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2" w:vAnchor="text" w:hSpace="0" w:vSpace="0"/>
        <w:widowControl w:val="0"/>
        <w:shd w:val="clear" w:color="auto" w:fill="auto"/>
        <w:spacing w:before="0" w:line="60" w:lineRule="exact"/>
        <w:ind w:left="0" w:firstLine="0"/>
      </w:pPr>
      <w:r>
        <w:rPr>
          <w:rFonts w:ascii="Arial" w:eastAsia="Arial" w:hAnsi="Arial" w:cs="Arial"/>
          <w:color w:val="000000"/>
          <w:spacing w:val="0"/>
          <w:w w:val="100"/>
          <w:position w:val="-1"/>
          <w:sz w:val="8"/>
          <w:szCs w:val="8"/>
        </w:rPr>
        <w:t>I</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rPr>
        <w:t>僧</w:t>
      </w:r>
      <w:r>
        <w:rPr>
          <w:rFonts w:ascii="Arial" w:eastAsia="Arial" w:hAnsi="Arial" w:cs="Arial"/>
          <w:spacing w:val="0"/>
          <w:w w:val="100"/>
          <w:position w:val="0"/>
          <w:sz w:val="54"/>
          <w:szCs w:val="54"/>
        </w:rPr>
        <w:t>I</w:t>
      </w:r>
      <w:r>
        <w:rPr>
          <w:spacing w:val="0"/>
          <w:w w:val="100"/>
          <w:position w:val="0"/>
        </w:rPr>
        <w:t>意停逐</w:t>
      </w:r>
    </w:p>
    <w:p>
      <w:pPr>
        <w:pStyle w:val="Style5"/>
        <w:keepNext w:val="0"/>
        <w:keepLines w:val="0"/>
        <w:widowControl w:val="0"/>
        <w:shd w:val="clear" w:color="auto" w:fill="auto"/>
        <w:bidi w:val="0"/>
        <w:spacing w:before="0" w:after="360" w:line="240" w:lineRule="auto"/>
        <w:ind w:left="0" w:right="0" w:firstLine="0"/>
        <w:jc w:val="center"/>
      </w:pPr>
      <w:r>
        <w:rPr>
          <w:rFonts w:ascii="SimHei" w:eastAsia="SimHei" w:hAnsi="SimHei" w:cs="SimHei"/>
          <w:b w:val="0"/>
          <w:bCs w:val="0"/>
          <w:color w:val="D21723"/>
          <w:spacing w:val="0"/>
          <w:w w:val="100"/>
          <w:position w:val="0"/>
          <w:sz w:val="32"/>
          <w:szCs w:val="32"/>
        </w:rPr>
        <w:t>也电</w:t>
      </w:r>
      <w:r>
        <w:rPr>
          <w:color w:val="D21723"/>
          <w:spacing w:val="0"/>
          <w:w w:val="100"/>
          <w:position w:val="0"/>
        </w:rPr>
        <w:t xml:space="preserve">j </w:t>
      </w:r>
      <w:r>
        <w:rPr>
          <w:spacing w:val="0"/>
          <w:w w:val="100"/>
          <w:position w:val="0"/>
        </w:rPr>
        <w:t>Global IWFoTech</w:t>
      </w:r>
    </w:p>
    <w:p>
      <w:pPr>
        <w:pStyle w:val="Style9"/>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高伟达软件股份有限公司</w:t>
      </w:r>
    </w:p>
    <w:p>
      <w:pPr>
        <w:pStyle w:val="Style11"/>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0"/>
      <w:bookmarkEnd w:id="1"/>
      <w:bookmarkEnd w:id="2"/>
    </w:p>
    <w:p>
      <w:pPr>
        <w:pStyle w:val="Style5"/>
        <w:keepNext w:val="0"/>
        <w:keepLines w:val="0"/>
        <w:widowControl w:val="0"/>
        <w:shd w:val="clear" w:color="auto" w:fill="auto"/>
        <w:bidi w:val="0"/>
        <w:spacing w:before="0" w:after="6000" w:line="240" w:lineRule="auto"/>
        <w:ind w:left="0" w:right="0" w:firstLine="0"/>
        <w:jc w:val="center"/>
        <w:rPr>
          <w:sz w:val="22"/>
          <w:szCs w:val="22"/>
        </w:rPr>
      </w:pPr>
      <w:r>
        <w:rPr>
          <w:color w:val="000000"/>
          <w:spacing w:val="0"/>
          <w:w w:val="100"/>
          <w:position w:val="0"/>
          <w:sz w:val="22"/>
          <w:szCs w:val="22"/>
        </w:rPr>
        <w:t>2022-008</w:t>
      </w:r>
    </w:p>
    <w:p>
      <w:pPr>
        <w:pStyle w:val="Style11"/>
        <w:keepNext/>
        <w:keepLines/>
        <w:widowControl w:val="0"/>
        <w:shd w:val="clear" w:color="auto" w:fill="auto"/>
        <w:bidi w:val="0"/>
        <w:spacing w:before="0" w:after="420" w:line="240" w:lineRule="auto"/>
        <w:ind w:left="0" w:right="0" w:firstLine="0"/>
        <w:jc w:val="center"/>
        <w:sectPr>
          <w:footnotePr>
            <w:pos w:val="pageBottom"/>
            <w:numFmt w:val="decimal"/>
            <w:numRestart w:val="continuous"/>
          </w:footnotePr>
          <w:pgSz w:w="11900" w:h="16840"/>
          <w:pgMar w:top="2746" w:right="970" w:bottom="2746" w:left="1104" w:header="0" w:footer="3" w:gutter="0"/>
          <w:cols w:space="720"/>
          <w:noEndnote/>
          <w:rtlGutter w:val="0"/>
          <w:docGrid w:linePitch="360"/>
        </w:sectP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3"/>
      <w:bookmarkEnd w:id="4"/>
      <w:bookmarkEnd w:id="5"/>
    </w:p>
    <w:p>
      <w:pPr>
        <w:pStyle w:val="Style11"/>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line="622" w:lineRule="exact"/>
        <w:ind w:left="0" w:right="0"/>
        <w:jc w:val="left"/>
      </w:pPr>
      <w:bookmarkStart w:id="9" w:name="bookmark9"/>
      <w:r>
        <w:rPr>
          <w:color w:val="000000"/>
          <w:spacing w:val="0"/>
          <w:w w:val="100"/>
          <w:position w:val="0"/>
        </w:rPr>
        <w:t>公司董事会、监事会及除以下存在异议声明的董事、监事、高级管理人员 外的其他董事、监事、高级管理人员均保证年度报告内容的真实、准确、完整， 不存在虚假记载、误导性陈述或重大遗漏，并承担个别和连带的法律责任。</w:t>
      </w:r>
      <w:bookmarkEnd w:id="9"/>
    </w:p>
    <w:p>
      <w:pPr>
        <w:pStyle w:val="Style15"/>
        <w:keepNext w:val="0"/>
        <w:keepLines w:val="0"/>
        <w:widowControl w:val="0"/>
        <w:shd w:val="clear" w:color="auto" w:fill="auto"/>
        <w:bidi w:val="0"/>
        <w:spacing w:before="0" w:after="240" w:line="622" w:lineRule="exact"/>
        <w:ind w:left="0" w:right="0"/>
        <w:jc w:val="left"/>
      </w:pPr>
      <w:r>
        <w:rPr>
          <w:color w:val="000000"/>
          <w:spacing w:val="0"/>
          <w:w w:val="100"/>
          <w:position w:val="0"/>
        </w:rPr>
        <w:t>董事、监事、高级管理人员异议声明</w:t>
      </w:r>
    </w:p>
    <w:tbl>
      <w:tblPr>
        <w:tblOverlap w:val="never"/>
        <w:jc w:val="center"/>
        <w:tblLayout w:type="fixed"/>
      </w:tblPr>
      <w:tblGrid>
        <w:gridCol w:w="2933"/>
        <w:gridCol w:w="2928"/>
        <w:gridCol w:w="3725"/>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姓名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职务</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内容和原因</w:t>
            </w:r>
          </w:p>
        </w:tc>
      </w:tr>
    </w:tbl>
    <w:p>
      <w:pPr>
        <w:pStyle w:val="Style15"/>
        <w:keepNext w:val="0"/>
        <w:keepLines w:val="0"/>
        <w:widowControl w:val="0"/>
        <w:shd w:val="clear" w:color="auto" w:fill="auto"/>
        <w:bidi w:val="0"/>
        <w:spacing w:before="0" w:line="624" w:lineRule="exact"/>
        <w:ind w:left="0" w:right="0"/>
        <w:jc w:val="left"/>
      </w:pPr>
      <w:r>
        <w:rPr>
          <w:color w:val="000000"/>
          <w:spacing w:val="0"/>
          <w:w w:val="100"/>
          <w:position w:val="0"/>
        </w:rPr>
        <w:t>公司负责人于伟、主管会计工作负责人高源及会计机构负责人（会计主管 人员）贾银肖声明：保证本年度报告中财务报告的真实、准确、完整。</w:t>
      </w:r>
    </w:p>
    <w:p>
      <w:pPr>
        <w:pStyle w:val="Style15"/>
        <w:keepNext w:val="0"/>
        <w:keepLines w:val="0"/>
        <w:widowControl w:val="0"/>
        <w:shd w:val="clear" w:color="auto" w:fill="auto"/>
        <w:bidi w:val="0"/>
        <w:spacing w:before="0" w:line="628" w:lineRule="exact"/>
        <w:ind w:left="0" w:right="0"/>
        <w:jc w:val="left"/>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14" w:lineRule="exact"/>
        <w:ind w:left="0" w:right="0"/>
        <w:jc w:val="left"/>
      </w:pPr>
      <w:r>
        <w:rPr>
          <w:color w:val="000000"/>
          <w:spacing w:val="0"/>
          <w:w w:val="100"/>
          <w:position w:val="0"/>
        </w:rPr>
        <w:t>公司在发展过程中，可能存在的风险具体请参阅本报告“第三节、管理层讨 论与分析”之“十一、公司未来发展的展望”部分。敬请广大投资者注意投资风险!</w:t>
      </w:r>
    </w:p>
    <w:p>
      <w:pPr>
        <w:pStyle w:val="Style15"/>
        <w:keepNext w:val="0"/>
        <w:keepLines w:val="0"/>
        <w:widowControl w:val="0"/>
        <w:shd w:val="clear" w:color="auto" w:fill="auto"/>
        <w:bidi w:val="0"/>
        <w:spacing w:before="0" w:line="631" w:lineRule="exact"/>
        <w:ind w:left="0" w:right="0"/>
        <w:jc w:val="left"/>
        <w:sectPr>
          <w:footnotePr>
            <w:pos w:val="pageBottom"/>
            <w:numFmt w:val="decimal"/>
            <w:numRestart w:val="continuous"/>
          </w:footnotePr>
          <w:pgSz w:w="11900" w:h="16840"/>
          <w:pgMar w:top="1974" w:right="970" w:bottom="1974" w:left="1104" w:header="0" w:footer="3" w:gutter="0"/>
          <w:cols w:space="720"/>
          <w:noEndnote/>
          <w:rtlGutter w:val="0"/>
          <w:docGrid w:linePitch="360"/>
        </w:sectPr>
      </w:pPr>
      <w:r>
        <w:rPr>
          <w:color w:val="000000"/>
          <w:spacing w:val="0"/>
          <w:w w:val="100"/>
          <w:position w:val="0"/>
        </w:rPr>
        <w:t>公司经本次董事会审议通过的利润分配预案为：以446,762,257为基数，向 全体股东每10股派发现金红利</w:t>
      </w:r>
      <w:r>
        <w:rPr>
          <w:color w:val="000000"/>
          <w:spacing w:val="0"/>
          <w:w w:val="100"/>
          <w:position w:val="0"/>
        </w:rPr>
        <w:t>0.00</w:t>
      </w:r>
      <w:r>
        <w:rPr>
          <w:color w:val="000000"/>
          <w:spacing w:val="0"/>
          <w:w w:val="100"/>
          <w:position w:val="0"/>
        </w:rPr>
        <w:t>元（含税），送红股0股（含税），以资本公 积金向全体股东每10股转增0股。</w:t>
      </w:r>
    </w:p>
    <w:p>
      <w:pPr>
        <w:pStyle w:val="Style9"/>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pos="1026" w:val="left"/>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07" w:val="right"/>
        </w:tabs>
        <w:bidi w:val="0"/>
        <w:spacing w:before="0" w:line="240" w:lineRule="auto"/>
        <w:ind w:left="0" w:right="0" w:firstLine="0"/>
        <w:jc w:val="left"/>
      </w:pPr>
      <w:hyperlink w:anchor="bookmark2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0"/>
        <w:keepNext w:val="0"/>
        <w:keepLines w:val="0"/>
        <w:widowControl w:val="0"/>
        <w:shd w:val="clear" w:color="auto" w:fill="auto"/>
        <w:tabs>
          <w:tab w:leader="dot" w:pos="9607" w:val="right"/>
        </w:tabs>
        <w:bidi w:val="0"/>
        <w:spacing w:before="0" w:line="240" w:lineRule="auto"/>
        <w:ind w:left="0" w:right="0" w:firstLine="0"/>
        <w:jc w:val="left"/>
      </w:pPr>
      <w:hyperlink w:anchor="bookmark65"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0"/>
        <w:keepNext w:val="0"/>
        <w:keepLines w:val="0"/>
        <w:widowControl w:val="0"/>
        <w:shd w:val="clear" w:color="auto" w:fill="auto"/>
        <w:tabs>
          <w:tab w:leader="dot" w:pos="9607" w:val="right"/>
        </w:tabs>
        <w:bidi w:val="0"/>
        <w:spacing w:before="0" w:line="240" w:lineRule="auto"/>
        <w:ind w:left="0" w:right="0" w:firstLine="0"/>
        <w:jc w:val="left"/>
      </w:pPr>
      <w:hyperlink w:anchor="bookmark243"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0"/>
        <w:keepNext w:val="0"/>
        <w:keepLines w:val="0"/>
        <w:widowControl w:val="0"/>
        <w:shd w:val="clear" w:color="auto" w:fill="auto"/>
        <w:tabs>
          <w:tab w:pos="1026" w:val="left"/>
          <w:tab w:leader="dot" w:pos="9607" w:val="right"/>
        </w:tabs>
        <w:bidi w:val="0"/>
        <w:spacing w:before="0" w:line="240" w:lineRule="auto"/>
        <w:ind w:left="0" w:right="0" w:firstLine="0"/>
        <w:jc w:val="left"/>
      </w:pPr>
      <w:hyperlink w:anchor="bookmark396"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0"/>
        <w:keepNext w:val="0"/>
        <w:keepLines w:val="0"/>
        <w:widowControl w:val="0"/>
        <w:shd w:val="clear" w:color="auto" w:fill="auto"/>
        <w:tabs>
          <w:tab w:pos="1026" w:val="left"/>
          <w:tab w:leader="dot" w:pos="9607" w:val="right"/>
        </w:tabs>
        <w:bidi w:val="0"/>
        <w:spacing w:before="0" w:line="240" w:lineRule="auto"/>
        <w:ind w:left="0" w:right="0" w:firstLine="0"/>
        <w:jc w:val="left"/>
      </w:pPr>
      <w:hyperlink w:anchor="bookmark416"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0"/>
        <w:keepNext w:val="0"/>
        <w:keepLines w:val="0"/>
        <w:widowControl w:val="0"/>
        <w:shd w:val="clear" w:color="auto" w:fill="auto"/>
        <w:tabs>
          <w:tab w:leader="dot" w:pos="9607" w:val="right"/>
        </w:tabs>
        <w:bidi w:val="0"/>
        <w:spacing w:before="0" w:line="240" w:lineRule="auto"/>
        <w:ind w:left="0" w:right="0" w:firstLine="0"/>
        <w:jc w:val="left"/>
      </w:pPr>
      <w:hyperlink w:anchor="bookmark561"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0"/>
        <w:keepNext w:val="0"/>
        <w:keepLines w:val="0"/>
        <w:widowControl w:val="0"/>
        <w:shd w:val="clear" w:color="auto" w:fill="auto"/>
        <w:tabs>
          <w:tab w:pos="1026" w:val="left"/>
          <w:tab w:leader="dot" w:pos="9607" w:val="right"/>
        </w:tabs>
        <w:bidi w:val="0"/>
        <w:spacing w:before="0" w:line="240" w:lineRule="auto"/>
        <w:ind w:left="0" w:right="0" w:firstLine="0"/>
        <w:jc w:val="left"/>
      </w:pPr>
      <w:hyperlink w:anchor="bookmark627"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0"/>
        <w:keepNext w:val="0"/>
        <w:keepLines w:val="0"/>
        <w:widowControl w:val="0"/>
        <w:shd w:val="clear" w:color="auto" w:fill="auto"/>
        <w:tabs>
          <w:tab w:leader="dot" w:pos="9607" w:val="right"/>
        </w:tabs>
        <w:bidi w:val="0"/>
        <w:spacing w:before="0" w:line="240" w:lineRule="auto"/>
        <w:ind w:left="0" w:right="0" w:firstLine="0"/>
        <w:jc w:val="left"/>
      </w:pPr>
      <w:hyperlink w:anchor="bookmark631"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0"/>
        <w:keepNext w:val="0"/>
        <w:keepLines w:val="0"/>
        <w:widowControl w:val="0"/>
        <w:shd w:val="clear" w:color="auto" w:fill="auto"/>
        <w:tabs>
          <w:tab w:leader="dot" w:pos="9607" w:val="right"/>
        </w:tabs>
        <w:bidi w:val="0"/>
        <w:spacing w:before="0" w:line="240" w:lineRule="auto"/>
        <w:ind w:left="0" w:right="0" w:firstLine="0"/>
        <w:jc w:val="left"/>
        <w:sectPr>
          <w:footnotePr>
            <w:pos w:val="pageBottom"/>
            <w:numFmt w:val="decimal"/>
            <w:numRestart w:val="continuous"/>
          </w:footnotePr>
          <w:pgSz w:w="11900" w:h="16840"/>
          <w:pgMar w:top="2857" w:right="1119" w:bottom="2857" w:left="1109" w:header="0" w:footer="3" w:gutter="0"/>
          <w:cols w:space="720"/>
          <w:noEndnote/>
          <w:rtlGutter w:val="0"/>
          <w:docGrid w:linePitch="360"/>
        </w:sectPr>
      </w:pPr>
      <w:hyperlink w:anchor="bookmark63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81</w:t>
        </w:r>
      </w:hyperlink>
      <w:r>
        <w:fldChar w:fldCharType="end"/>
      </w:r>
    </w:p>
    <w:p>
      <w:pPr>
        <w:pStyle w:val="Style11"/>
        <w:keepNext/>
        <w:keepLines/>
        <w:widowControl w:val="0"/>
        <w:shd w:val="clear" w:color="auto" w:fill="auto"/>
        <w:bidi w:val="0"/>
        <w:spacing w:before="0" w:after="86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23"/>
        <w:keepNext w:val="0"/>
        <w:keepLines w:val="0"/>
        <w:widowControl w:val="0"/>
        <w:shd w:val="clear" w:color="auto" w:fill="auto"/>
        <w:tabs>
          <w:tab w:pos="435" w:val="left"/>
        </w:tabs>
        <w:bidi w:val="0"/>
        <w:spacing w:before="0" w:after="140" w:line="240" w:lineRule="auto"/>
        <w:ind w:left="0" w:right="0" w:firstLine="0"/>
        <w:jc w:val="left"/>
      </w:pPr>
      <w:bookmarkStart w:id="13" w:name="bookmark13"/>
      <w:r>
        <w:rPr>
          <w:color w:val="000000"/>
          <w:spacing w:val="0"/>
          <w:w w:val="100"/>
          <w:position w:val="0"/>
        </w:rPr>
        <w:t>一</w:t>
      </w:r>
      <w:bookmarkEnd w:id="13"/>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年年度报告》文本原件；</w:t>
      </w:r>
    </w:p>
    <w:p>
      <w:pPr>
        <w:pStyle w:val="Style23"/>
        <w:keepNext w:val="0"/>
        <w:keepLines w:val="0"/>
        <w:widowControl w:val="0"/>
        <w:shd w:val="clear" w:color="auto" w:fill="auto"/>
        <w:tabs>
          <w:tab w:pos="435" w:val="left"/>
        </w:tabs>
        <w:bidi w:val="0"/>
        <w:spacing w:before="0" w:after="140" w:line="240" w:lineRule="auto"/>
        <w:ind w:left="0" w:right="0" w:firstLine="0"/>
        <w:jc w:val="left"/>
      </w:pPr>
      <w:bookmarkStart w:id="14" w:name="bookmark14"/>
      <w:r>
        <w:rPr>
          <w:color w:val="000000"/>
          <w:spacing w:val="0"/>
          <w:w w:val="100"/>
          <w:position w:val="0"/>
        </w:rPr>
        <w:t>二</w:t>
      </w:r>
      <w:bookmarkEnd w:id="14"/>
      <w:r>
        <w:rPr>
          <w:color w:val="000000"/>
          <w:spacing w:val="0"/>
          <w:w w:val="100"/>
          <w:position w:val="0"/>
        </w:rPr>
        <w:t>、</w:t>
        <w:tab/>
        <w:t>载有法定代表人、财务负责人、会计机构负责人签名并盖章的财务报告文本；</w:t>
      </w:r>
    </w:p>
    <w:p>
      <w:pPr>
        <w:pStyle w:val="Style23"/>
        <w:keepNext w:val="0"/>
        <w:keepLines w:val="0"/>
        <w:widowControl w:val="0"/>
        <w:shd w:val="clear" w:color="auto" w:fill="auto"/>
        <w:tabs>
          <w:tab w:pos="435" w:val="left"/>
        </w:tabs>
        <w:bidi w:val="0"/>
        <w:spacing w:before="0" w:after="140" w:line="240" w:lineRule="auto"/>
        <w:ind w:left="0" w:right="0" w:firstLine="0"/>
        <w:jc w:val="left"/>
      </w:pPr>
      <w:bookmarkStart w:id="15" w:name="bookmark15"/>
      <w:r>
        <w:rPr>
          <w:color w:val="000000"/>
          <w:spacing w:val="0"/>
          <w:w w:val="100"/>
          <w:position w:val="0"/>
        </w:rPr>
        <w:t>三</w:t>
      </w:r>
      <w:bookmarkEnd w:id="15"/>
      <w:r>
        <w:rPr>
          <w:color w:val="000000"/>
          <w:spacing w:val="0"/>
          <w:w w:val="100"/>
          <w:position w:val="0"/>
        </w:rPr>
        <w:t>、</w:t>
        <w:tab/>
        <w:t>载有会计师事务所盖章、注册会计师签名并盖章的审计报告文本；</w:t>
      </w:r>
    </w:p>
    <w:p>
      <w:pPr>
        <w:pStyle w:val="Style23"/>
        <w:keepNext w:val="0"/>
        <w:keepLines w:val="0"/>
        <w:widowControl w:val="0"/>
        <w:shd w:val="clear" w:color="auto" w:fill="auto"/>
        <w:tabs>
          <w:tab w:pos="435" w:val="left"/>
        </w:tabs>
        <w:bidi w:val="0"/>
        <w:spacing w:before="0" w:after="140" w:line="240" w:lineRule="auto"/>
        <w:ind w:left="0" w:right="0" w:firstLine="0"/>
        <w:jc w:val="left"/>
        <w:sectPr>
          <w:footnotePr>
            <w:pos w:val="pageBottom"/>
            <w:numFmt w:val="decimal"/>
            <w:numRestart w:val="continuous"/>
          </w:footnotePr>
          <w:pgSz w:w="11900" w:h="16840"/>
          <w:pgMar w:top="2089" w:right="1119" w:bottom="2089" w:left="1109" w:header="0" w:footer="3" w:gutter="0"/>
          <w:cols w:space="720"/>
          <w:noEndnote/>
          <w:rtlGutter w:val="0"/>
          <w:docGrid w:linePitch="360"/>
        </w:sectPr>
      </w:pPr>
      <w:bookmarkStart w:id="16" w:name="bookmark16"/>
      <w:r>
        <w:rPr>
          <w:color w:val="000000"/>
          <w:spacing w:val="0"/>
          <w:w w:val="100"/>
          <w:position w:val="0"/>
        </w:rPr>
        <w:t>四</w:t>
      </w:r>
      <w:bookmarkEnd w:id="16"/>
      <w:r>
        <w:rPr>
          <w:color w:val="000000"/>
          <w:spacing w:val="0"/>
          <w:w w:val="100"/>
          <w:position w:val="0"/>
        </w:rPr>
        <w:t>、</w:t>
        <w:tab/>
        <w:t>报告期内公司在中国证监会指定创业板信息披露媒体上公开披露过的所有文件及公告原稿;</w:t>
      </w:r>
    </w:p>
    <w:p>
      <w:pPr>
        <w:pStyle w:val="Style11"/>
        <w:keepNext/>
        <w:keepLines/>
        <w:widowControl w:val="0"/>
        <w:shd w:val="clear" w:color="auto" w:fill="auto"/>
        <w:bidi w:val="0"/>
        <w:spacing w:before="80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高伟达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鹰高投资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盈达信息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江苏盈达信息技术有限公司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翕振信息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上海翕振信息技术有限公司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成都高伟达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成都高伟达信息技术有限公司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本公司发行的人民币普通股</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《高伟达软件股份有限公司公司章程》</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27"/>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bookmarkStart w:id="27" w:name="bookmark27"/>
      <w:r>
        <w:rPr>
          <w:color w:val="000000"/>
          <w:spacing w:val="0"/>
          <w:w w:val="100"/>
          <w:position w:val="0"/>
          <w:sz w:val="24"/>
          <w:szCs w:val="24"/>
        </w:rPr>
        <w:t>一</w:t>
      </w:r>
      <w:bookmarkEnd w:id="26"/>
      <w:r>
        <w:rPr>
          <w:color w:val="000000"/>
          <w:spacing w:val="0"/>
          <w:w w:val="100"/>
          <w:position w:val="0"/>
          <w:sz w:val="24"/>
          <w:szCs w:val="24"/>
        </w:rPr>
        <w:t>、公司信息</w:t>
      </w:r>
      <w:bookmarkEnd w:id="24"/>
      <w:bookmarkEnd w:id="25"/>
      <w:bookmarkEnd w:id="27"/>
      <w:bookmarkEnd w:id="2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938" w:val="left"/>
                <w:tab w:pos="5102" w:val="left"/>
              </w:tabs>
              <w:bidi w:val="0"/>
              <w:spacing w:before="0" w:after="0" w:line="240" w:lineRule="auto"/>
              <w:ind w:left="0" w:right="0" w:firstLine="0"/>
              <w:jc w:val="left"/>
            </w:pPr>
            <w:r>
              <w:rPr>
                <w:color w:val="000000"/>
                <w:spacing w:val="0"/>
                <w:w w:val="100"/>
                <w:position w:val="0"/>
              </w:rPr>
              <w:t>高伟达</w:t>
              <w:tab/>
              <w:t>股票代码</w:t>
              <w:tab/>
            </w:r>
            <w:r>
              <w:rPr>
                <w:rFonts w:ascii="Times New Roman" w:eastAsia="Times New Roman" w:hAnsi="Times New Roman" w:cs="Times New Roman"/>
                <w:color w:val="000000"/>
                <w:spacing w:val="0"/>
                <w:w w:val="100"/>
                <w:position w:val="0"/>
              </w:rPr>
              <w:t>300465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GLOBAL INFOTECH CO., LTD.</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北京市海淀区大慧寺</w:t>
            </w:r>
            <w:r>
              <w:rPr>
                <w:rFonts w:ascii="Times New Roman" w:eastAsia="Times New Roman" w:hAnsi="Times New Roman" w:cs="Times New Roman"/>
                <w:color w:val="000000"/>
                <w:spacing w:val="0"/>
                <w:w w:val="100"/>
                <w:position w:val="0"/>
              </w:rPr>
              <w:t>8</w:t>
            </w:r>
            <w:r>
              <w:rPr>
                <w:color w:val="000000"/>
                <w:spacing w:val="0"/>
                <w:w w:val="100"/>
                <w:position w:val="0"/>
              </w:rPr>
              <w:t>号北区</w:t>
            </w:r>
            <w:r>
              <w:rPr>
                <w:rFonts w:ascii="Times New Roman" w:eastAsia="Times New Roman" w:hAnsi="Times New Roman" w:cs="Times New Roman"/>
                <w:color w:val="000000"/>
                <w:spacing w:val="0"/>
                <w:w w:val="100"/>
                <w:position w:val="0"/>
              </w:rPr>
              <w:t>20</w:t>
            </w:r>
            <w:r>
              <w:rPr>
                <w:color w:val="000000"/>
                <w:spacing w:val="0"/>
                <w:w w:val="100"/>
                <w:position w:val="0"/>
              </w:rPr>
              <w:t>栋</w:t>
            </w:r>
            <w:r>
              <w:rPr>
                <w:rFonts w:ascii="Times New Roman" w:eastAsia="Times New Roman" w:hAnsi="Times New Roman" w:cs="Times New Roman"/>
                <w:color w:val="000000"/>
                <w:spacing w:val="0"/>
                <w:w w:val="100"/>
                <w:position w:val="0"/>
              </w:rPr>
              <w:t>604</w:t>
            </w:r>
            <w:r>
              <w:rPr>
                <w:color w:val="000000"/>
                <w:spacing w:val="0"/>
                <w:w w:val="100"/>
                <w:position w:val="0"/>
              </w:rPr>
              <w:t>房间</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32</w:t>
            </w:r>
            <w:r>
              <w:rPr>
                <w:color w:val="000000"/>
                <w:spacing w:val="0"/>
                <w:w w:val="100"/>
                <w:position w:val="0"/>
              </w:rPr>
              <w:t>号高斓大厦</w:t>
            </w:r>
            <w:r>
              <w:rPr>
                <w:rFonts w:ascii="Times New Roman" w:eastAsia="Times New Roman" w:hAnsi="Times New Roman" w:cs="Times New Roman"/>
                <w:color w:val="000000"/>
                <w:spacing w:val="0"/>
                <w:w w:val="100"/>
                <w:position w:val="0"/>
              </w:rPr>
              <w:t>1501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100016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"http://www.git.com.cn" </w:instrText>
            </w:r>
            <w:r>
              <w:fldChar w:fldCharType="separate"/>
            </w:r>
            <w:r>
              <w:rPr>
                <w:rFonts w:ascii="Times New Roman" w:eastAsia="Times New Roman" w:hAnsi="Times New Roman" w:cs="Times New Roman"/>
                <w:color w:val="000000"/>
                <w:spacing w:val="0"/>
                <w:w w:val="100"/>
                <w:position w:val="0"/>
              </w:rPr>
              <w:t>www.git.com.cn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"mailto:securities@git.com.cn" </w:instrText>
            </w:r>
            <w:r>
              <w:fldChar w:fldCharType="separate"/>
            </w:r>
            <w:r>
              <w:rPr>
                <w:rFonts w:ascii="Times New Roman" w:eastAsia="Times New Roman" w:hAnsi="Times New Roman" w:cs="Times New Roman"/>
                <w:color w:val="000000"/>
                <w:spacing w:val="0"/>
                <w:w w:val="100"/>
                <w:position w:val="0"/>
              </w:rPr>
              <w:t>securities@git.com.cn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二</w:t>
      </w:r>
      <w:bookmarkEnd w:id="30"/>
      <w:r>
        <w:rPr>
          <w:color w:val="000000"/>
          <w:spacing w:val="0"/>
          <w:w w:val="100"/>
          <w:position w:val="0"/>
          <w:sz w:val="24"/>
          <w:szCs w:val="24"/>
        </w:rPr>
        <w:t>、联系人和联系方式</w:t>
      </w:r>
      <w:bookmarkEnd w:id="28"/>
      <w:bookmarkEnd w:id="29"/>
      <w:bookmarkEnd w:id="3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郑祥云</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32</w:t>
            </w:r>
            <w:r>
              <w:rPr>
                <w:color w:val="000000"/>
                <w:spacing w:val="0"/>
                <w:w w:val="100"/>
                <w:position w:val="0"/>
              </w:rPr>
              <w:t>号高斓大厦</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1501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32</w:t>
            </w:r>
            <w:r>
              <w:rPr>
                <w:color w:val="000000"/>
                <w:spacing w:val="0"/>
                <w:w w:val="100"/>
                <w:position w:val="0"/>
              </w:rPr>
              <w:t>号高斓大厦</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1501 </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010-57321010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010-57321010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010-57321000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010-57321000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"mailto:securities@git.com.cn" </w:instrText>
            </w:r>
            <w:r>
              <w:fldChar w:fldCharType="separate"/>
            </w:r>
            <w:r>
              <w:rPr>
                <w:rFonts w:ascii="Times New Roman" w:eastAsia="Times New Roman" w:hAnsi="Times New Roman" w:cs="Times New Roman"/>
                <w:color w:val="000000"/>
                <w:spacing w:val="0"/>
                <w:w w:val="100"/>
                <w:position w:val="0"/>
              </w:rPr>
              <w:t>securities@git.com.cn</w:t>
            </w:r>
            <w:r>
              <w:fldChar w:fldCharType="end"/>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securities@git. com. cn</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、信息披露及备置地点</w:t>
      </w:r>
      <w:bookmarkEnd w:id="32"/>
      <w:bookmarkEnd w:id="33"/>
      <w:bookmarkEnd w:id="3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32</w:t>
            </w:r>
            <w:r>
              <w:rPr>
                <w:color w:val="000000"/>
                <w:spacing w:val="0"/>
                <w:w w:val="100"/>
                <w:position w:val="0"/>
              </w:rPr>
              <w:t>号高斓大厦</w:t>
            </w:r>
            <w:r>
              <w:rPr>
                <w:rFonts w:ascii="Times New Roman" w:eastAsia="Times New Roman" w:hAnsi="Times New Roman" w:cs="Times New Roman"/>
                <w:color w:val="000000"/>
                <w:spacing w:val="0"/>
                <w:w w:val="100"/>
                <w:position w:val="0"/>
              </w:rPr>
              <w:t>1501</w:t>
            </w:r>
            <w:r>
              <w:rPr>
                <w:color w:val="000000"/>
                <w:spacing w:val="0"/>
                <w:w w:val="100"/>
                <w:position w:val="0"/>
              </w:rPr>
              <w:t>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、其他有关资料</w:t>
      </w:r>
      <w:bookmarkEnd w:id="36"/>
      <w:bookmarkEnd w:id="37"/>
      <w:bookmarkEnd w:id="3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北京市朝阳区东三环中路</w:t>
            </w:r>
            <w:r>
              <w:rPr>
                <w:rFonts w:ascii="Times New Roman" w:eastAsia="Times New Roman" w:hAnsi="Times New Roman" w:cs="Times New Roman"/>
                <w:color w:val="000000"/>
                <w:spacing w:val="0"/>
                <w:w w:val="100"/>
                <w:position w:val="0"/>
              </w:rPr>
              <w:t>5</w:t>
            </w:r>
            <w:r>
              <w:rPr>
                <w:color w:val="000000"/>
                <w:spacing w:val="0"/>
                <w:w w:val="100"/>
                <w:position w:val="0"/>
              </w:rPr>
              <w:t>号财富金融中心</w:t>
            </w:r>
            <w:r>
              <w:rPr>
                <w:rFonts w:ascii="Times New Roman" w:eastAsia="Times New Roman" w:hAnsi="Times New Roman" w:cs="Times New Roman"/>
                <w:color w:val="000000"/>
                <w:spacing w:val="0"/>
                <w:w w:val="100"/>
                <w:position w:val="0"/>
              </w:rPr>
              <w:t>19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胡健、秦妍、李振</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五</w:t>
      </w:r>
      <w:bookmarkEnd w:id="42"/>
      <w:r>
        <w:rPr>
          <w:color w:val="000000"/>
          <w:spacing w:val="0"/>
          <w:w w:val="100"/>
          <w:position w:val="0"/>
          <w:sz w:val="24"/>
          <w:szCs w:val="24"/>
        </w:rPr>
        <w:t>、主要会计数据和财务指标</w:t>
      </w:r>
      <w:bookmarkEnd w:id="40"/>
      <w:bookmarkEnd w:id="41"/>
      <w:bookmarkEnd w:id="43"/>
    </w:p>
    <w:p>
      <w:pPr>
        <w:pStyle w:val="Style2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2,278,964,568.88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1,893,658,496.29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1,758,318,368.99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123,987,125.52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-671,247,584.07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133,741,533.27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118,042,715.16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-701,755,987.68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124,202,928.77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-84,869,994.84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232,360,648.49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170,769,531.27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93.44%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1,505,236,956.76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1,939,276,129.09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2,408,869,603.59</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693,800,668.24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569,823,847.74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1,313,620,497.62</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3"/>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7"/>
        <w:keepNext/>
        <w:keepLines/>
        <w:widowControl w:val="0"/>
        <w:shd w:val="clear" w:color="auto" w:fill="auto"/>
        <w:bidi w:val="0"/>
        <w:spacing w:before="0" w:after="2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六</w:t>
      </w:r>
      <w:bookmarkEnd w:id="46"/>
      <w:r>
        <w:rPr>
          <w:color w:val="000000"/>
          <w:spacing w:val="0"/>
          <w:w w:val="100"/>
          <w:position w:val="0"/>
          <w:sz w:val="24"/>
          <w:szCs w:val="24"/>
        </w:rPr>
        <w:t>、分季度主要财务指标</w:t>
      </w:r>
      <w:bookmarkEnd w:id="44"/>
      <w:bookmarkEnd w:id="45"/>
      <w:bookmarkEnd w:id="47"/>
    </w:p>
    <w:p>
      <w:pPr>
        <w:pStyle w:val="Style23"/>
        <w:keepNext w:val="0"/>
        <w:keepLines w:val="0"/>
        <w:widowControl w:val="0"/>
        <w:shd w:val="clear" w:color="auto" w:fill="auto"/>
        <w:bidi w:val="0"/>
        <w:spacing w:before="0" w:after="14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816,314,099.03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436,484,495.77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419,415,875.58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606,750,098.50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16,513,757.57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28,205,810.90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30,818,269.08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48,449,287.97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16,317,898.33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26,649,036.73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29,484,617.46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45,591,162.64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-277,855,628.53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-39,577,240.05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18,473,274.27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214,089,599.47</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tabs>
          <w:tab w:pos="522" w:val="left"/>
        </w:tabs>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七</w:t>
      </w:r>
      <w:bookmarkEnd w:id="50"/>
      <w:r>
        <w:rPr>
          <w:color w:val="000000"/>
          <w:spacing w:val="0"/>
          <w:w w:val="100"/>
          <w:position w:val="0"/>
          <w:sz w:val="24"/>
          <w:szCs w:val="24"/>
        </w:rPr>
        <w:t>、</w:t>
        <w:tab/>
        <w:t>境内外会计准则下会计数据差异</w:t>
      </w:r>
      <w:bookmarkEnd w:id="48"/>
      <w:bookmarkEnd w:id="49"/>
      <w:bookmarkEnd w:id="51"/>
    </w:p>
    <w:p>
      <w:pPr>
        <w:pStyle w:val="Style32"/>
        <w:keepNext/>
        <w:keepLines/>
        <w:widowControl w:val="0"/>
        <w:shd w:val="clear" w:color="auto" w:fill="auto"/>
        <w:tabs>
          <w:tab w:pos="403" w:val="left"/>
        </w:tabs>
        <w:bidi w:val="0"/>
        <w:spacing w:before="0" w:line="240" w:lineRule="auto"/>
        <w:ind w:left="0" w:right="0" w:firstLine="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sz w:val="24"/>
          <w:szCs w:val="24"/>
        </w:rPr>
        <w:t>八</w:t>
      </w:r>
      <w:bookmarkEnd w:id="62"/>
      <w:r>
        <w:rPr>
          <w:color w:val="000000"/>
          <w:spacing w:val="0"/>
          <w:w w:val="100"/>
          <w:position w:val="0"/>
          <w:sz w:val="24"/>
          <w:szCs w:val="24"/>
        </w:rPr>
        <w:t>、</w:t>
        <w:tab/>
        <w:t>非经常性损益项目及金额</w:t>
      </w:r>
      <w:bookmarkEnd w:id="60"/>
      <w:bookmarkEnd w:id="61"/>
      <w:bookmarkEnd w:id="63"/>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1,960,663.03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固定资产处置</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3,822,463.06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4,617,937.13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4,908,544.00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税收及财政扶持款</w:t>
            </w: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1,044,095.63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26,496,508.77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446,303.65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-208,066.67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-223,224.71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-520,514.87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6,414,024.35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666,365.67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383,881.73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1,430,804.63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8,379.02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280,769.91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5,944,410.36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30,508,403.61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9,538,604.50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302" w:lineRule="exact"/>
        <w:ind w:left="0" w:right="0" w:firstLine="0"/>
        <w:jc w:val="both"/>
        <w:sectPr>
          <w:footnotePr>
            <w:pos w:val="pageBottom"/>
            <w:numFmt w:val="decimal"/>
            <w:numRestart w:val="continuous"/>
          </w:footnotePr>
          <w:pgSz w:w="11900" w:h="16840"/>
          <w:pgMar w:top="1441" w:right="1134" w:bottom="1566" w:left="1084"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before="540" w:line="240" w:lineRule="auto"/>
        <w:ind w:left="0" w:right="0" w:firstLine="0"/>
        <w:jc w:val="center"/>
      </w:pPr>
      <w:bookmarkStart w:id="64" w:name="bookmark64"/>
      <w:bookmarkStart w:id="65" w:name="bookmark65"/>
      <w:bookmarkStart w:id="66" w:name="bookmark66"/>
      <w:r>
        <w:rPr>
          <w:color w:val="000000"/>
          <w:spacing w:val="0"/>
          <w:w w:val="100"/>
          <w:position w:val="0"/>
        </w:rPr>
        <w:t>第三节管理层讨论与分析</w:t>
      </w:r>
      <w:bookmarkEnd w:id="64"/>
      <w:bookmarkEnd w:id="65"/>
      <w:bookmarkEnd w:id="66"/>
    </w:p>
    <w:p>
      <w:pPr>
        <w:pStyle w:val="Style27"/>
        <w:keepNext/>
        <w:keepLines/>
        <w:widowControl w:val="0"/>
        <w:shd w:val="clear" w:color="auto" w:fill="auto"/>
        <w:tabs>
          <w:tab w:pos="529" w:val="left"/>
        </w:tabs>
        <w:bidi w:val="0"/>
        <w:spacing w:before="0" w:after="240" w:line="240" w:lineRule="auto"/>
        <w:ind w:left="0" w:right="0" w:firstLine="0"/>
        <w:jc w:val="left"/>
      </w:pPr>
      <w:bookmarkStart w:id="67" w:name="bookmark67"/>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w:t>
        <w:tab/>
        <w:t>报告期内公司所处行业情况</w:t>
      </w:r>
      <w:bookmarkEnd w:id="68"/>
      <w:bookmarkEnd w:id="69"/>
      <w:bookmarkEnd w:id="71"/>
      <w:bookmarkEnd w:id="67"/>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3"/>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日，国务院颁发《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数字经济发展规划》，规划中指出大力推动大数据、人工智能、区块链等技术在 银行、证券、保险等领域的深化应用，发展智能支付、智慧网点、数字化融资等新模式，稳妥推进数字人民币研发，有序开 展可控试点。国家政策推出的数字经济相关指导政策将推动先进科技在金融领域的应用与发展。</w:t>
      </w:r>
    </w:p>
    <w:p>
      <w:pPr>
        <w:pStyle w:val="Style23"/>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此外，</w:t>
      </w:r>
      <w:r>
        <w:rPr>
          <w:rFonts w:ascii="Times New Roman" w:eastAsia="Times New Roman" w:hAnsi="Times New Roman" w:cs="Times New Roman"/>
          <w:color w:val="000000"/>
          <w:spacing w:val="0"/>
          <w:w w:val="100"/>
          <w:position w:val="0"/>
        </w:rPr>
        <w:t>2022</w:t>
      </w:r>
      <w:r>
        <w:rPr>
          <w:color w:val="000000"/>
          <w:spacing w:val="0"/>
          <w:w w:val="100"/>
          <w:position w:val="0"/>
        </w:rPr>
        <w:t>年，预计我国金融科技企业营业收入总规模将持续保持增长趋势，新一轮科技投入周期的到来以及信创政策 加持，将持续推动金融行业特别是银行业加大金融科技的相关投入，有利于服务于金融科技的相关行业。</w:t>
      </w:r>
    </w:p>
    <w:p>
      <w:pPr>
        <w:pStyle w:val="Style27"/>
        <w:keepNext/>
        <w:keepLines/>
        <w:widowControl w:val="0"/>
        <w:shd w:val="clear" w:color="auto" w:fill="auto"/>
        <w:tabs>
          <w:tab w:pos="529" w:val="left"/>
        </w:tabs>
        <w:bidi w:val="0"/>
        <w:spacing w:before="0" w:after="24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w:t>
        <w:tab/>
        <w:t>报告期内公司从事的主要业务</w:t>
      </w:r>
      <w:bookmarkEnd w:id="72"/>
      <w:bookmarkEnd w:id="73"/>
      <w:bookmarkEnd w:id="75"/>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公司主营业务情况如下：</w:t>
      </w:r>
    </w:p>
    <w:p>
      <w:pPr>
        <w:pStyle w:val="Style23"/>
        <w:keepNext w:val="0"/>
        <w:keepLines w:val="0"/>
        <w:widowControl w:val="0"/>
        <w:shd w:val="clear" w:color="auto" w:fill="auto"/>
        <w:tabs>
          <w:tab w:pos="650" w:val="left"/>
        </w:tabs>
        <w:bidi w:val="0"/>
        <w:spacing w:before="0" w:after="100" w:line="312" w:lineRule="exact"/>
        <w:ind w:left="0" w:right="0" w:firstLine="220"/>
        <w:jc w:val="both"/>
      </w:pPr>
      <w:bookmarkStart w:id="76" w:name="bookmark76"/>
      <w:r>
        <w:rPr>
          <w:color w:val="000000"/>
          <w:spacing w:val="0"/>
          <w:w w:val="100"/>
          <w:position w:val="0"/>
        </w:rPr>
        <w:t>一</w:t>
      </w:r>
      <w:bookmarkEnd w:id="76"/>
      <w:r>
        <w:rPr>
          <w:color w:val="000000"/>
          <w:spacing w:val="0"/>
          <w:w w:val="100"/>
          <w:position w:val="0"/>
        </w:rPr>
        <w:t>、</w:t>
        <w:tab/>
        <w:t>主营业务情况</w:t>
      </w:r>
    </w:p>
    <w:p>
      <w:pPr>
        <w:pStyle w:val="Style23"/>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从收入占比来看，公司现有主营业务主要为金融信息服务和少部分移动营销服务业务。</w:t>
      </w:r>
    </w:p>
    <w:p>
      <w:pPr>
        <w:pStyle w:val="Style23"/>
        <w:keepNext w:val="0"/>
        <w:keepLines w:val="0"/>
        <w:widowControl w:val="0"/>
        <w:shd w:val="clear" w:color="auto" w:fill="auto"/>
        <w:tabs>
          <w:tab w:pos="650" w:val="left"/>
        </w:tabs>
        <w:bidi w:val="0"/>
        <w:spacing w:before="0" w:after="100" w:line="312" w:lineRule="exact"/>
        <w:ind w:left="0" w:right="0" w:firstLine="220"/>
        <w:jc w:val="both"/>
      </w:pPr>
      <w:bookmarkStart w:id="77" w:name="bookmark77"/>
      <w:r>
        <w:rPr>
          <w:color w:val="000000"/>
          <w:spacing w:val="0"/>
          <w:w w:val="100"/>
          <w:position w:val="0"/>
        </w:rPr>
        <w:t>二</w:t>
      </w:r>
      <w:bookmarkEnd w:id="77"/>
      <w:r>
        <w:rPr>
          <w:color w:val="000000"/>
          <w:spacing w:val="0"/>
          <w:w w:val="100"/>
          <w:position w:val="0"/>
        </w:rPr>
        <w:t>、</w:t>
        <w:tab/>
        <w:t>产品和业务用途</w:t>
      </w:r>
    </w:p>
    <w:p>
      <w:pPr>
        <w:pStyle w:val="Style23"/>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金融信息服务是向以银行、保险、证券为主的金融企业客户提供软件开发及服务和系统集成及服务。具体可分为：</w:t>
      </w:r>
    </w:p>
    <w:p>
      <w:pPr>
        <w:pStyle w:val="Style23"/>
        <w:keepNext w:val="0"/>
        <w:keepLines w:val="0"/>
        <w:widowControl w:val="0"/>
        <w:shd w:val="clear" w:color="auto" w:fill="auto"/>
        <w:bidi w:val="0"/>
        <w:spacing w:before="0" w:after="100" w:line="312" w:lineRule="exact"/>
        <w:ind w:left="0" w:right="0" w:firstLine="380"/>
        <w:jc w:val="left"/>
      </w:pPr>
      <w:bookmarkStart w:id="78" w:name="bookmark78"/>
      <w:r>
        <w:rPr>
          <w:color w:val="000000"/>
          <w:spacing w:val="0"/>
          <w:w w:val="100"/>
          <w:position w:val="0"/>
        </w:rPr>
        <w:t>（</w:t>
      </w:r>
      <w:bookmarkEnd w:id="78"/>
      <w:r>
        <w:rPr>
          <w:color w:val="000000"/>
          <w:spacing w:val="0"/>
          <w:w w:val="100"/>
          <w:position w:val="0"/>
          <w:sz w:val="18"/>
          <w:szCs w:val="18"/>
        </w:rPr>
        <w:t>1</w:t>
      </w:r>
      <w:r>
        <w:rPr>
          <w:color w:val="000000"/>
          <w:spacing w:val="0"/>
          <w:w w:val="100"/>
          <w:position w:val="0"/>
        </w:rPr>
        <w:t>）软件开发及服务</w:t>
      </w:r>
    </w:p>
    <w:p>
      <w:pPr>
        <w:pStyle w:val="Style23"/>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是指针对客户的科技建设需求而提供的</w:t>
      </w:r>
      <w:r>
        <w:rPr>
          <w:rFonts w:ascii="Times New Roman" w:eastAsia="Times New Roman" w:hAnsi="Times New Roman" w:cs="Times New Roman"/>
          <w:color w:val="000000"/>
          <w:spacing w:val="0"/>
          <w:w w:val="100"/>
          <w:position w:val="0"/>
        </w:rPr>
        <w:t>IT</w:t>
      </w:r>
      <w:r>
        <w:rPr>
          <w:color w:val="000000"/>
          <w:spacing w:val="0"/>
          <w:w w:val="100"/>
          <w:position w:val="0"/>
        </w:rPr>
        <w:t>解决方案、软件外包服务和软件维护服务。主要包括以下业务类型：</w:t>
      </w:r>
    </w:p>
    <w:p>
      <w:pPr>
        <w:pStyle w:val="Style23"/>
        <w:keepNext w:val="0"/>
        <w:keepLines w:val="0"/>
        <w:widowControl w:val="0"/>
        <w:shd w:val="clear" w:color="auto" w:fill="auto"/>
        <w:tabs>
          <w:tab w:pos="710" w:val="left"/>
        </w:tabs>
        <w:bidi w:val="0"/>
        <w:spacing w:before="0" w:after="0"/>
        <w:ind w:left="0" w:right="0" w:firstLine="380"/>
        <w:jc w:val="both"/>
      </w:pPr>
      <w:bookmarkStart w:id="79" w:name="bookmark79"/>
      <w:r>
        <w:rPr>
          <w:rFonts w:ascii="Times New Roman" w:eastAsia="Times New Roman" w:hAnsi="Times New Roman" w:cs="Times New Roman"/>
          <w:color w:val="000000"/>
          <w:spacing w:val="0"/>
          <w:w w:val="100"/>
          <w:position w:val="0"/>
        </w:rPr>
        <w:t>1</w:t>
      </w:r>
      <w:bookmarkEnd w:id="79"/>
      <w:r>
        <w:rPr>
          <w:rFonts w:ascii="Times New Roman" w:eastAsia="Times New Roman" w:hAnsi="Times New Roman" w:cs="Times New Roman"/>
          <w:color w:val="000000"/>
          <w:spacing w:val="0"/>
          <w:w w:val="100"/>
          <w:position w:val="0"/>
        </w:rPr>
        <w:t>）</w:t>
        <w:tab/>
        <w:t>IT</w:t>
      </w:r>
      <w:r>
        <w:rPr>
          <w:color w:val="000000"/>
          <w:spacing w:val="0"/>
          <w:w w:val="100"/>
          <w:position w:val="0"/>
        </w:rPr>
        <w:t>解决方案</w:t>
      </w:r>
    </w:p>
    <w:p>
      <w:pPr>
        <w:pStyle w:val="Style23"/>
        <w:keepNext w:val="0"/>
        <w:keepLines w:val="0"/>
        <w:widowControl w:val="0"/>
        <w:shd w:val="clear" w:color="auto" w:fill="auto"/>
        <w:bidi w:val="0"/>
        <w:spacing w:before="0" w:after="240" w:line="307" w:lineRule="exact"/>
        <w:ind w:left="0" w:right="0" w:firstLine="380"/>
        <w:jc w:val="left"/>
      </w:pPr>
      <w:r>
        <w:rPr>
          <w:color w:val="000000"/>
          <w:spacing w:val="0"/>
          <w:w w:val="100"/>
          <w:position w:val="0"/>
        </w:rPr>
        <w:t>公司按照客户需求提供软件开发以及升级、改造、配套服务，根据合同约定对阶段性开发成果或最终产品负责，成果交 付时需要按照合同约定工作任务进行验收，公司在所开发软件成果交付运行，并通过客户验收后按照合同约定金额确认收入。</w:t>
      </w:r>
    </w:p>
    <w:p>
      <w:pPr>
        <w:pStyle w:val="Style23"/>
        <w:keepNext w:val="0"/>
        <w:keepLines w:val="0"/>
        <w:widowControl w:val="0"/>
        <w:shd w:val="clear" w:color="auto" w:fill="auto"/>
        <w:tabs>
          <w:tab w:pos="729" w:val="left"/>
        </w:tabs>
        <w:bidi w:val="0"/>
        <w:spacing w:before="0" w:after="0"/>
        <w:ind w:left="0" w:right="0" w:firstLine="380"/>
        <w:jc w:val="left"/>
      </w:pPr>
      <w:bookmarkStart w:id="80" w:name="bookmark80"/>
      <w:r>
        <w:rPr>
          <w:rFonts w:ascii="Times New Roman" w:eastAsia="Times New Roman" w:hAnsi="Times New Roman" w:cs="Times New Roman"/>
          <w:color w:val="000000"/>
          <w:spacing w:val="0"/>
          <w:w w:val="100"/>
          <w:position w:val="0"/>
        </w:rPr>
        <w:t>2</w:t>
      </w:r>
      <w:bookmarkEnd w:id="80"/>
      <w:r>
        <w:rPr>
          <w:rFonts w:ascii="Times New Roman" w:eastAsia="Times New Roman" w:hAnsi="Times New Roman" w:cs="Times New Roman"/>
          <w:color w:val="000000"/>
          <w:spacing w:val="0"/>
          <w:w w:val="100"/>
          <w:position w:val="0"/>
        </w:rPr>
        <w:t>）</w:t>
        <w:tab/>
      </w:r>
      <w:r>
        <w:rPr>
          <w:color w:val="000000"/>
          <w:spacing w:val="0"/>
          <w:w w:val="100"/>
          <w:position w:val="0"/>
        </w:rPr>
        <w:t>软件外包服务</w:t>
      </w:r>
    </w:p>
    <w:p>
      <w:pPr>
        <w:pStyle w:val="Style23"/>
        <w:keepNext w:val="0"/>
        <w:keepLines w:val="0"/>
        <w:widowControl w:val="0"/>
        <w:shd w:val="clear" w:color="auto" w:fill="auto"/>
        <w:bidi w:val="0"/>
        <w:spacing w:before="0" w:after="240" w:line="307" w:lineRule="exact"/>
        <w:ind w:left="0" w:right="0" w:firstLine="380"/>
        <w:jc w:val="both"/>
      </w:pPr>
      <w:r>
        <w:rPr>
          <w:color w:val="000000"/>
          <w:spacing w:val="0"/>
          <w:w w:val="100"/>
          <w:position w:val="0"/>
        </w:rPr>
        <w:t>公司根据客户需求，按期提供技术人员完成开发及服务，无需对最终开发成果负责。根据合同，于约定的每个结算时点 与客户确认对应服务期间内提供的人员数量、出勤情况、考核评价，按合同约定的不同级别技术人员的人月单价以及双方确 认的工作量确认收入。</w:t>
      </w:r>
    </w:p>
    <w:p>
      <w:pPr>
        <w:pStyle w:val="Style23"/>
        <w:keepNext w:val="0"/>
        <w:keepLines w:val="0"/>
        <w:widowControl w:val="0"/>
        <w:shd w:val="clear" w:color="auto" w:fill="auto"/>
        <w:tabs>
          <w:tab w:pos="729" w:val="left"/>
        </w:tabs>
        <w:bidi w:val="0"/>
        <w:spacing w:before="0" w:after="0"/>
        <w:ind w:left="0" w:right="0" w:firstLine="380"/>
        <w:jc w:val="left"/>
      </w:pPr>
      <w:bookmarkStart w:id="81" w:name="bookmark81"/>
      <w:r>
        <w:rPr>
          <w:rFonts w:ascii="Times New Roman" w:eastAsia="Times New Roman" w:hAnsi="Times New Roman" w:cs="Times New Roman"/>
          <w:color w:val="000000"/>
          <w:spacing w:val="0"/>
          <w:w w:val="100"/>
          <w:position w:val="0"/>
        </w:rPr>
        <w:t>3</w:t>
      </w:r>
      <w:bookmarkEnd w:id="81"/>
      <w:r>
        <w:rPr>
          <w:rFonts w:ascii="Times New Roman" w:eastAsia="Times New Roman" w:hAnsi="Times New Roman" w:cs="Times New Roman"/>
          <w:color w:val="000000"/>
          <w:spacing w:val="0"/>
          <w:w w:val="100"/>
          <w:position w:val="0"/>
        </w:rPr>
        <w:t>）</w:t>
        <w:tab/>
      </w:r>
      <w:r>
        <w:rPr>
          <w:color w:val="000000"/>
          <w:spacing w:val="0"/>
          <w:w w:val="100"/>
          <w:position w:val="0"/>
        </w:rPr>
        <w:t>软件运维服务</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公司根据客户需求，对本公司所开发的应用软件系统或客户指定的软件系统或其他</w:t>
      </w:r>
      <w:r>
        <w:rPr>
          <w:rFonts w:ascii="Times New Roman" w:eastAsia="Times New Roman" w:hAnsi="Times New Roman" w:cs="Times New Roman"/>
          <w:color w:val="000000"/>
          <w:spacing w:val="0"/>
          <w:w w:val="100"/>
          <w:position w:val="0"/>
        </w:rPr>
        <w:t>IT</w:t>
      </w:r>
      <w:r>
        <w:rPr>
          <w:color w:val="000000"/>
          <w:spacing w:val="0"/>
          <w:w w:val="100"/>
          <w:position w:val="0"/>
        </w:rPr>
        <w:t>运营系统提供运行维护服务，无需 对开发或服务成果负责。根据合同约定的服务方式提供现场或远程维护，按照约定的服务期间</w:t>
      </w:r>
      <w:r>
        <w:rPr>
          <w:rFonts w:ascii="Times New Roman" w:eastAsia="Times New Roman" w:hAnsi="Times New Roman" w:cs="Times New Roman"/>
          <w:color w:val="000000"/>
          <w:spacing w:val="0"/>
          <w:w w:val="100"/>
          <w:position w:val="0"/>
        </w:rPr>
        <w:t>（</w:t>
      </w:r>
      <w:r>
        <w:rPr>
          <w:color w:val="000000"/>
          <w:spacing w:val="0"/>
          <w:w w:val="100"/>
          <w:position w:val="0"/>
        </w:rPr>
        <w:t>月度、季度、半年度、年度</w:t>
      </w:r>
      <w:r>
        <w:rPr>
          <w:rFonts w:ascii="Times New Roman" w:eastAsia="Times New Roman" w:hAnsi="Times New Roman" w:cs="Times New Roman"/>
          <w:color w:val="000000"/>
          <w:spacing w:val="0"/>
          <w:w w:val="100"/>
          <w:position w:val="0"/>
        </w:rPr>
        <w:t xml:space="preserve">） </w:t>
      </w:r>
      <w:r>
        <w:rPr>
          <w:color w:val="000000"/>
          <w:spacing w:val="0"/>
          <w:w w:val="100"/>
          <w:position w:val="0"/>
        </w:rPr>
        <w:t>对提供的服务确认收入。</w:t>
      </w:r>
    </w:p>
    <w:p>
      <w:pPr>
        <w:pStyle w:val="Style23"/>
        <w:keepNext w:val="0"/>
        <w:keepLines w:val="0"/>
        <w:widowControl w:val="0"/>
        <w:shd w:val="clear" w:color="auto" w:fill="auto"/>
        <w:bidi w:val="0"/>
        <w:spacing w:before="0" w:after="240" w:line="312" w:lineRule="exact"/>
        <w:ind w:left="0" w:right="0" w:firstLine="380"/>
        <w:jc w:val="left"/>
      </w:pPr>
      <w:bookmarkStart w:id="82" w:name="bookmark82"/>
      <w:r>
        <w:rPr>
          <w:color w:val="000000"/>
          <w:spacing w:val="0"/>
          <w:w w:val="100"/>
          <w:position w:val="0"/>
          <w:sz w:val="18"/>
          <w:szCs w:val="18"/>
        </w:rPr>
        <w:t>（</w:t>
      </w:r>
      <w:bookmarkEnd w:id="82"/>
      <w:r>
        <w:rPr>
          <w:color w:val="000000"/>
          <w:spacing w:val="0"/>
          <w:w w:val="100"/>
          <w:position w:val="0"/>
          <w:sz w:val="18"/>
          <w:szCs w:val="18"/>
        </w:rPr>
        <w:t>2）</w:t>
      </w:r>
      <w:r>
        <w:rPr>
          <w:color w:val="000000"/>
          <w:spacing w:val="0"/>
          <w:w w:val="100"/>
          <w:position w:val="0"/>
        </w:rPr>
        <w:t>系统集成及服务</w:t>
      </w:r>
    </w:p>
    <w:p>
      <w:pPr>
        <w:pStyle w:val="Style23"/>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系统集成</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系统集成是指应客户需求，代客户采购数据中心、网络中心所需要的软硬件设备，并提供相应的集成服务，包括数据中 心集成设计、机房一体化建设、智能化综合布线、产品选型、软硬件详细配置、软硬件供货、软硬件安装调试、</w:t>
      </w:r>
      <w:r>
        <w:rPr>
          <w:rFonts w:ascii="Times New Roman" w:eastAsia="Times New Roman" w:hAnsi="Times New Roman" w:cs="Times New Roman"/>
          <w:color w:val="000000"/>
          <w:spacing w:val="0"/>
          <w:w w:val="100"/>
          <w:position w:val="0"/>
        </w:rPr>
        <w:t>IT</w:t>
      </w:r>
      <w:r>
        <w:rPr>
          <w:color w:val="000000"/>
          <w:spacing w:val="0"/>
          <w:w w:val="100"/>
          <w:position w:val="0"/>
        </w:rPr>
        <w:t xml:space="preserve">系统软硬 件改造升级、技术咨询等。按照合同约定，无法区分软硬件设备与相关服务价款，公司在相关货物发出及服务提供并经客户 </w:t>
      </w:r>
      <w:r>
        <w:rPr>
          <w:color w:val="000000"/>
          <w:spacing w:val="0"/>
          <w:w w:val="100"/>
          <w:position w:val="0"/>
        </w:rPr>
        <w:t>验收合格后确认系统集成收入。</w:t>
      </w:r>
    </w:p>
    <w:p>
      <w:pPr>
        <w:pStyle w:val="Style23"/>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系统集成服务</w:t>
      </w:r>
    </w:p>
    <w:p>
      <w:pPr>
        <w:pStyle w:val="Style23"/>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主要为客户采购软硬件设备同时，需要提供的集成服务，且在合同履约义务中单独约定支付价格，通常包括按次提供的 服务，例如机器安装调试、综合布线等；和按期</w:t>
      </w:r>
      <w:r>
        <w:rPr>
          <w:rFonts w:ascii="Times New Roman" w:eastAsia="Times New Roman" w:hAnsi="Times New Roman" w:cs="Times New Roman"/>
          <w:color w:val="000000"/>
          <w:spacing w:val="0"/>
          <w:w w:val="100"/>
          <w:position w:val="0"/>
        </w:rPr>
        <w:t>（</w:t>
      </w:r>
      <w:r>
        <w:rPr>
          <w:color w:val="000000"/>
          <w:spacing w:val="0"/>
          <w:w w:val="100"/>
          <w:position w:val="0"/>
        </w:rPr>
        <w:t>如年度</w:t>
      </w:r>
      <w:r>
        <w:rPr>
          <w:rFonts w:ascii="Times New Roman" w:eastAsia="Times New Roman" w:hAnsi="Times New Roman" w:cs="Times New Roman"/>
          <w:color w:val="000000"/>
          <w:spacing w:val="0"/>
          <w:w w:val="100"/>
          <w:position w:val="0"/>
        </w:rPr>
        <w:t>）</w:t>
      </w:r>
      <w:r>
        <w:rPr>
          <w:color w:val="000000"/>
          <w:spacing w:val="0"/>
          <w:w w:val="100"/>
          <w:position w:val="0"/>
        </w:rPr>
        <w:t>提供的服务，如机器设备的运行维护等。</w:t>
      </w:r>
    </w:p>
    <w:p>
      <w:pPr>
        <w:pStyle w:val="Style23"/>
        <w:keepNext w:val="0"/>
        <w:keepLines w:val="0"/>
        <w:widowControl w:val="0"/>
        <w:shd w:val="clear" w:color="auto" w:fill="auto"/>
        <w:bidi w:val="0"/>
        <w:spacing w:before="0" w:after="120" w:line="312" w:lineRule="exact"/>
        <w:ind w:left="0" w:right="0" w:firstLine="380"/>
        <w:jc w:val="both"/>
      </w:pPr>
      <w:bookmarkStart w:id="83" w:name="bookmark83"/>
      <w:r>
        <w:rPr>
          <w:color w:val="000000"/>
          <w:spacing w:val="0"/>
          <w:w w:val="100"/>
          <w:position w:val="0"/>
        </w:rPr>
        <w:t>（</w:t>
      </w:r>
      <w:bookmarkEnd w:id="83"/>
      <w:r>
        <w:rPr>
          <w:color w:val="000000"/>
          <w:spacing w:val="0"/>
          <w:w w:val="100"/>
          <w:position w:val="0"/>
          <w:sz w:val="18"/>
          <w:szCs w:val="18"/>
        </w:rPr>
        <w:t>3</w:t>
      </w:r>
      <w:r>
        <w:rPr>
          <w:color w:val="000000"/>
          <w:spacing w:val="0"/>
          <w:w w:val="100"/>
          <w:position w:val="0"/>
        </w:rPr>
        <w:t>）移动互联网营销</w:t>
      </w:r>
    </w:p>
    <w:p>
      <w:pPr>
        <w:pStyle w:val="Style23"/>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亦称为移动大数据精准营销，就是以国际和国内移动互联网络为基础，利用数字化的信息和移动互联网络媒体的交互性 来实现营销目标的一种新型的市场营销方式。</w:t>
      </w:r>
    </w:p>
    <w:p>
      <w:pPr>
        <w:pStyle w:val="Style23"/>
        <w:keepNext w:val="0"/>
        <w:keepLines w:val="0"/>
        <w:widowControl w:val="0"/>
        <w:shd w:val="clear" w:color="auto" w:fill="auto"/>
        <w:tabs>
          <w:tab w:pos="787" w:val="left"/>
        </w:tabs>
        <w:bidi w:val="0"/>
        <w:spacing w:before="0" w:after="120" w:line="312" w:lineRule="exact"/>
        <w:ind w:left="0" w:right="0" w:firstLine="380"/>
        <w:jc w:val="both"/>
      </w:pPr>
      <w:bookmarkStart w:id="84" w:name="bookmark84"/>
      <w:r>
        <w:rPr>
          <w:color w:val="000000"/>
          <w:spacing w:val="0"/>
          <w:w w:val="100"/>
          <w:position w:val="0"/>
        </w:rPr>
        <w:t>三</w:t>
      </w:r>
      <w:bookmarkEnd w:id="84"/>
      <w:r>
        <w:rPr>
          <w:color w:val="000000"/>
          <w:spacing w:val="0"/>
          <w:w w:val="100"/>
          <w:position w:val="0"/>
        </w:rPr>
        <w:t>、</w:t>
        <w:tab/>
        <w:t>经营模式</w:t>
      </w:r>
    </w:p>
    <w:p>
      <w:pPr>
        <w:pStyle w:val="Style23"/>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公司金融信息服务业务围绕着金融业客户的主要</w:t>
      </w:r>
      <w:r>
        <w:rPr>
          <w:rFonts w:ascii="Times New Roman" w:eastAsia="Times New Roman" w:hAnsi="Times New Roman" w:cs="Times New Roman"/>
          <w:color w:val="000000"/>
          <w:spacing w:val="0"/>
          <w:w w:val="100"/>
          <w:position w:val="0"/>
        </w:rPr>
        <w:t>IT</w:t>
      </w:r>
      <w:r>
        <w:rPr>
          <w:color w:val="000000"/>
          <w:spacing w:val="0"/>
          <w:w w:val="100"/>
          <w:position w:val="0"/>
        </w:rPr>
        <w:t>需求展开，体现了公司</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的经营模式，满足了客户各个层 次、不同阶段的</w:t>
      </w:r>
      <w:r>
        <w:rPr>
          <w:rFonts w:ascii="Times New Roman" w:eastAsia="Times New Roman" w:hAnsi="Times New Roman" w:cs="Times New Roman"/>
          <w:color w:val="000000"/>
          <w:spacing w:val="0"/>
          <w:w w:val="100"/>
          <w:position w:val="0"/>
        </w:rPr>
        <w:t>IT</w:t>
      </w:r>
      <w:r>
        <w:rPr>
          <w:color w:val="000000"/>
          <w:spacing w:val="0"/>
          <w:w w:val="100"/>
          <w:position w:val="0"/>
        </w:rPr>
        <w:t>需求，贯穿了企业</w:t>
      </w:r>
      <w:r>
        <w:rPr>
          <w:rFonts w:ascii="Times New Roman" w:eastAsia="Times New Roman" w:hAnsi="Times New Roman" w:cs="Times New Roman"/>
          <w:color w:val="000000"/>
          <w:spacing w:val="0"/>
          <w:w w:val="100"/>
          <w:position w:val="0"/>
        </w:rPr>
        <w:t>IT</w:t>
      </w:r>
      <w:r>
        <w:rPr>
          <w:color w:val="000000"/>
          <w:spacing w:val="0"/>
          <w:w w:val="100"/>
          <w:position w:val="0"/>
        </w:rPr>
        <w:t>系统生命周期的全过程，能够为企业</w:t>
      </w:r>
      <w:r>
        <w:rPr>
          <w:rFonts w:ascii="Times New Roman" w:eastAsia="Times New Roman" w:hAnsi="Times New Roman" w:cs="Times New Roman"/>
          <w:color w:val="000000"/>
          <w:spacing w:val="0"/>
          <w:w w:val="100"/>
          <w:position w:val="0"/>
        </w:rPr>
        <w:t>IT</w:t>
      </w:r>
      <w:r>
        <w:rPr>
          <w:color w:val="000000"/>
          <w:spacing w:val="0"/>
          <w:w w:val="100"/>
          <w:position w:val="0"/>
        </w:rPr>
        <w:t>系统的价值实现提供</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的综合解决方案。</w:t>
      </w:r>
    </w:p>
    <w:p>
      <w:pPr>
        <w:pStyle w:val="Style23"/>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互联网营销业务通过自有流量或者采购流量，结合客户需求，通过大数据分析，对用户精准投放广告，获取相关收益。</w:t>
      </w:r>
    </w:p>
    <w:p>
      <w:pPr>
        <w:pStyle w:val="Style23"/>
        <w:keepNext w:val="0"/>
        <w:keepLines w:val="0"/>
        <w:widowControl w:val="0"/>
        <w:shd w:val="clear" w:color="auto" w:fill="auto"/>
        <w:tabs>
          <w:tab w:pos="787" w:val="left"/>
        </w:tabs>
        <w:bidi w:val="0"/>
        <w:spacing w:before="0" w:after="120" w:line="312" w:lineRule="exact"/>
        <w:ind w:left="0" w:right="0" w:firstLine="380"/>
        <w:jc w:val="both"/>
      </w:pPr>
      <w:bookmarkStart w:id="85" w:name="bookmark85"/>
      <w:r>
        <w:rPr>
          <w:color w:val="000000"/>
          <w:spacing w:val="0"/>
          <w:w w:val="100"/>
          <w:position w:val="0"/>
        </w:rPr>
        <w:t>四</w:t>
      </w:r>
      <w:bookmarkEnd w:id="85"/>
      <w:r>
        <w:rPr>
          <w:color w:val="000000"/>
          <w:spacing w:val="0"/>
          <w:w w:val="100"/>
          <w:position w:val="0"/>
        </w:rPr>
        <w:t>、</w:t>
        <w:tab/>
        <w:t>影响本年度业绩的主要因素</w:t>
      </w:r>
    </w:p>
    <w:p>
      <w:pPr>
        <w:pStyle w:val="Style23"/>
        <w:keepNext w:val="0"/>
        <w:keepLines w:val="0"/>
        <w:widowControl w:val="0"/>
        <w:shd w:val="clear" w:color="auto" w:fill="auto"/>
        <w:bidi w:val="0"/>
        <w:spacing w:before="0" w:after="120" w:line="307"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年，受益于国家信创大战略的稳步推进，金融行业在科技领域的投入不断提升，公司抓住机遇，不断扩大业务规模， 整体收入取得了较快的增长，</w:t>
      </w:r>
      <w:r>
        <w:rPr>
          <w:rFonts w:ascii="Times New Roman" w:eastAsia="Times New Roman" w:hAnsi="Times New Roman" w:cs="Times New Roman"/>
          <w:color w:val="000000"/>
          <w:spacing w:val="0"/>
          <w:w w:val="100"/>
          <w:position w:val="0"/>
        </w:rPr>
        <w:t>2021</w:t>
      </w:r>
      <w:r>
        <w:rPr>
          <w:color w:val="000000"/>
          <w:spacing w:val="0"/>
          <w:w w:val="100"/>
          <w:position w:val="0"/>
        </w:rPr>
        <w:t>年营业收入同比增长</w:t>
      </w:r>
      <w:r>
        <w:rPr>
          <w:rFonts w:ascii="Times New Roman" w:eastAsia="Times New Roman" w:hAnsi="Times New Roman" w:cs="Times New Roman"/>
          <w:color w:val="000000"/>
          <w:spacing w:val="0"/>
          <w:w w:val="100"/>
          <w:position w:val="0"/>
        </w:rPr>
        <w:t>20.35%</w:t>
      </w:r>
      <w:r>
        <w:rPr>
          <w:color w:val="000000"/>
          <w:spacing w:val="0"/>
          <w:w w:val="100"/>
          <w:position w:val="0"/>
        </w:rPr>
        <w:t>。</w:t>
      </w:r>
    </w:p>
    <w:p>
      <w:pPr>
        <w:pStyle w:val="Style23"/>
        <w:keepNext w:val="0"/>
        <w:keepLines w:val="0"/>
        <w:widowControl w:val="0"/>
        <w:shd w:val="clear" w:color="auto" w:fill="auto"/>
        <w:bidi w:val="0"/>
        <w:spacing w:before="0" w:after="120" w:line="310"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年，公司整体收入持续增长的同时，收入结构也得到进一步优化，金融科技业务占比继续提升。</w:t>
      </w:r>
      <w:r>
        <w:rPr>
          <w:rFonts w:ascii="Times New Roman" w:eastAsia="Times New Roman" w:hAnsi="Times New Roman" w:cs="Times New Roman"/>
          <w:color w:val="000000"/>
          <w:spacing w:val="0"/>
          <w:w w:val="100"/>
          <w:position w:val="0"/>
        </w:rPr>
        <w:t>2021</w:t>
      </w:r>
      <w:r>
        <w:rPr>
          <w:color w:val="000000"/>
          <w:spacing w:val="0"/>
          <w:w w:val="100"/>
          <w:position w:val="0"/>
        </w:rPr>
        <w:t>年，公司金融 科技业务实现收入</w:t>
      </w:r>
      <w:r>
        <w:rPr>
          <w:rFonts w:ascii="Times New Roman" w:eastAsia="Times New Roman" w:hAnsi="Times New Roman" w:cs="Times New Roman"/>
          <w:color w:val="000000"/>
          <w:spacing w:val="0"/>
          <w:w w:val="100"/>
          <w:position w:val="0"/>
        </w:rPr>
        <w:t>21.22</w:t>
      </w:r>
      <w:r>
        <w:rPr>
          <w:color w:val="000000"/>
          <w:spacing w:val="0"/>
          <w:w w:val="100"/>
          <w:position w:val="0"/>
        </w:rPr>
        <w:t>亿元，收入规模增长</w:t>
      </w:r>
      <w:r>
        <w:rPr>
          <w:rFonts w:ascii="Times New Roman" w:eastAsia="Times New Roman" w:hAnsi="Times New Roman" w:cs="Times New Roman"/>
          <w:color w:val="000000"/>
          <w:spacing w:val="0"/>
          <w:w w:val="100"/>
          <w:position w:val="0"/>
        </w:rPr>
        <w:t>35.12%</w:t>
      </w:r>
      <w:r>
        <w:rPr>
          <w:color w:val="000000"/>
          <w:spacing w:val="0"/>
          <w:w w:val="100"/>
          <w:position w:val="0"/>
        </w:rPr>
        <w:t>，占公司全年收入的</w:t>
      </w:r>
      <w:r>
        <w:rPr>
          <w:rFonts w:ascii="Times New Roman" w:eastAsia="Times New Roman" w:hAnsi="Times New Roman" w:cs="Times New Roman"/>
          <w:color w:val="000000"/>
          <w:spacing w:val="0"/>
          <w:w w:val="100"/>
          <w:position w:val="0"/>
        </w:rPr>
        <w:t>93.10%</w:t>
      </w:r>
      <w:r>
        <w:rPr>
          <w:color w:val="000000"/>
          <w:spacing w:val="0"/>
          <w:w w:val="100"/>
          <w:position w:val="0"/>
        </w:rPr>
        <w:t>。其中，软件开发及服务业务全年实现</w:t>
      </w:r>
      <w:r>
        <w:rPr>
          <w:rFonts w:ascii="Times New Roman" w:eastAsia="Times New Roman" w:hAnsi="Times New Roman" w:cs="Times New Roman"/>
          <w:color w:val="000000"/>
          <w:spacing w:val="0"/>
          <w:w w:val="100"/>
          <w:position w:val="0"/>
        </w:rPr>
        <w:t xml:space="preserve">9.23 </w:t>
      </w:r>
      <w:r>
        <w:rPr>
          <w:color w:val="000000"/>
          <w:spacing w:val="0"/>
          <w:w w:val="100"/>
          <w:position w:val="0"/>
        </w:rPr>
        <w:t>亿元，同比增长</w:t>
      </w:r>
      <w:r>
        <w:rPr>
          <w:rFonts w:ascii="Times New Roman" w:eastAsia="Times New Roman" w:hAnsi="Times New Roman" w:cs="Times New Roman"/>
          <w:color w:val="000000"/>
          <w:spacing w:val="0"/>
          <w:w w:val="100"/>
          <w:position w:val="0"/>
        </w:rPr>
        <w:t>50.28%</w:t>
      </w:r>
      <w:r>
        <w:rPr>
          <w:color w:val="000000"/>
          <w:spacing w:val="0"/>
          <w:w w:val="100"/>
          <w:position w:val="0"/>
        </w:rPr>
        <w:t>，创历年新高。毛利率较高的软件开发及服务业务的增长，带来了公司整体利润水平的提升。自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年以来，公司的软件及服务业务维持了较快的增长，业务规模不断提升。公司预计软件及服务业务是公司未来发展的主线， 也是公司着力拓展的方向，将在未来成为公司业务构成的最重要组成部分。受益于国家信创大战略的逐渐落地，本年度公司 系统集成及服务业务实现收入</w:t>
      </w:r>
      <w:r>
        <w:rPr>
          <w:rFonts w:ascii="Times New Roman" w:eastAsia="Times New Roman" w:hAnsi="Times New Roman" w:cs="Times New Roman"/>
          <w:color w:val="000000"/>
          <w:spacing w:val="0"/>
          <w:w w:val="100"/>
          <w:position w:val="0"/>
        </w:rPr>
        <w:t>11.99</w:t>
      </w:r>
      <w:r>
        <w:rPr>
          <w:color w:val="000000"/>
          <w:spacing w:val="0"/>
          <w:w w:val="100"/>
          <w:position w:val="0"/>
        </w:rPr>
        <w:t>亿元，同比增长</w:t>
      </w:r>
      <w:r>
        <w:rPr>
          <w:rFonts w:ascii="Times New Roman" w:eastAsia="Times New Roman" w:hAnsi="Times New Roman" w:cs="Times New Roman"/>
          <w:color w:val="000000"/>
          <w:spacing w:val="0"/>
          <w:w w:val="100"/>
          <w:position w:val="0"/>
        </w:rPr>
        <w:t>25.39%</w:t>
      </w:r>
      <w:r>
        <w:rPr>
          <w:color w:val="000000"/>
          <w:spacing w:val="0"/>
          <w:w w:val="100"/>
          <w:position w:val="0"/>
        </w:rPr>
        <w:t>。移动营销业务受制于流量成本上涨，业务需求萎缩，仅实现收 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w:t>
      </w:r>
      <w:r>
        <w:rPr>
          <w:color w:val="000000"/>
          <w:spacing w:val="0"/>
          <w:w w:val="100"/>
          <w:position w:val="0"/>
        </w:rPr>
        <w:t>亿元，同比下降</w:t>
      </w:r>
      <w:r>
        <w:rPr>
          <w:rFonts w:ascii="Times New Roman" w:eastAsia="Times New Roman" w:hAnsi="Times New Roman" w:cs="Times New Roman"/>
          <w:color w:val="000000"/>
          <w:spacing w:val="0"/>
          <w:w w:val="100"/>
          <w:position w:val="0"/>
        </w:rPr>
        <w:t>51.38%</w:t>
      </w:r>
      <w:r>
        <w:rPr>
          <w:color w:val="000000"/>
          <w:spacing w:val="0"/>
          <w:w w:val="100"/>
          <w:position w:val="0"/>
        </w:rPr>
        <w:t>，由于移动营销业务规模较小，占公司整体业务规模较低，并未对当期业绩构成重大影响。</w:t>
      </w:r>
    </w:p>
    <w:p>
      <w:pPr>
        <w:pStyle w:val="Style23"/>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受疫情影响，以及收购公司所在资产组自身的不利因素的影响，收购公司所在资产组于</w:t>
      </w:r>
      <w:r>
        <w:rPr>
          <w:rFonts w:ascii="Times New Roman" w:eastAsia="Times New Roman" w:hAnsi="Times New Roman" w:cs="Times New Roman"/>
          <w:color w:val="000000"/>
          <w:spacing w:val="0"/>
          <w:w w:val="100"/>
          <w:position w:val="0"/>
        </w:rPr>
        <w:t>2021</w:t>
      </w:r>
      <w:r>
        <w:rPr>
          <w:color w:val="000000"/>
          <w:spacing w:val="0"/>
          <w:w w:val="100"/>
          <w:position w:val="0"/>
        </w:rPr>
        <w:t>年计提商誉减值准备</w:t>
      </w:r>
      <w:r>
        <w:rPr>
          <w:rFonts w:ascii="Times New Roman" w:eastAsia="Times New Roman" w:hAnsi="Times New Roman" w:cs="Times New Roman"/>
          <w:color w:val="000000"/>
          <w:spacing w:val="0"/>
          <w:w w:val="100"/>
          <w:position w:val="0"/>
        </w:rPr>
        <w:t xml:space="preserve">899.73 </w:t>
      </w:r>
      <w:r>
        <w:rPr>
          <w:color w:val="000000"/>
          <w:spacing w:val="0"/>
          <w:w w:val="100"/>
          <w:position w:val="0"/>
        </w:rPr>
        <w:t>万元。计提商誉减值准备，对公司当期业绩造成了不利影响。本报告期内，归属于母公司所有者的净利润为</w:t>
      </w:r>
      <w:r>
        <w:rPr>
          <w:rFonts w:ascii="Times New Roman" w:eastAsia="Times New Roman" w:hAnsi="Times New Roman" w:cs="Times New Roman"/>
          <w:color w:val="000000"/>
          <w:spacing w:val="0"/>
          <w:w w:val="100"/>
          <w:position w:val="0"/>
        </w:rPr>
        <w:t>12,398.71</w:t>
      </w:r>
      <w:r>
        <w:rPr>
          <w:color w:val="000000"/>
          <w:spacing w:val="0"/>
          <w:w w:val="100"/>
          <w:position w:val="0"/>
        </w:rPr>
        <w:t>万元， 实现扭亏为盈。</w:t>
      </w:r>
    </w:p>
    <w:p>
      <w:pPr>
        <w:pStyle w:val="Style27"/>
        <w:keepNext/>
        <w:keepLines/>
        <w:widowControl w:val="0"/>
        <w:shd w:val="clear" w:color="auto" w:fill="auto"/>
        <w:bidi w:val="0"/>
        <w:spacing w:before="0" w:after="28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三</w:t>
      </w:r>
      <w:bookmarkEnd w:id="88"/>
      <w:r>
        <w:rPr>
          <w:color w:val="000000"/>
          <w:spacing w:val="0"/>
          <w:w w:val="100"/>
          <w:position w:val="0"/>
          <w:sz w:val="24"/>
          <w:szCs w:val="24"/>
        </w:rPr>
        <w:t>、核心竞争力分析</w:t>
      </w:r>
      <w:bookmarkEnd w:id="86"/>
      <w:bookmarkEnd w:id="87"/>
      <w:bookmarkEnd w:id="89"/>
    </w:p>
    <w:p>
      <w:pPr>
        <w:pStyle w:val="Style23"/>
        <w:keepNext w:val="0"/>
        <w:keepLines w:val="0"/>
        <w:widowControl w:val="0"/>
        <w:shd w:val="clear" w:color="auto" w:fill="auto"/>
        <w:tabs>
          <w:tab w:pos="691" w:val="left"/>
        </w:tabs>
        <w:bidi w:val="0"/>
        <w:spacing w:before="0" w:after="0" w:line="312" w:lineRule="exact"/>
        <w:ind w:left="0" w:right="0" w:firstLine="380"/>
        <w:jc w:val="both"/>
      </w:pPr>
      <w:bookmarkStart w:id="90" w:name="bookmark90"/>
      <w:r>
        <w:rPr>
          <w:rFonts w:ascii="Times New Roman" w:eastAsia="Times New Roman" w:hAnsi="Times New Roman" w:cs="Times New Roman"/>
          <w:b/>
          <w:bCs/>
          <w:color w:val="000000"/>
          <w:spacing w:val="0"/>
          <w:w w:val="100"/>
          <w:position w:val="0"/>
        </w:rPr>
        <w:t>1</w:t>
      </w:r>
      <w:bookmarkEnd w:id="90"/>
      <w:r>
        <w:rPr>
          <w:b/>
          <w:bCs/>
          <w:color w:val="000000"/>
          <w:spacing w:val="0"/>
          <w:w w:val="100"/>
          <w:position w:val="0"/>
        </w:rPr>
        <w:t>、</w:t>
        <w:tab/>
        <w:t>持续的技术和业务创新能力</w:t>
      </w:r>
    </w:p>
    <w:p>
      <w:pPr>
        <w:pStyle w:val="Style23"/>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公司高度重视技术研发和产品创新能力的建设，坚持走产品化的</w:t>
      </w:r>
      <w:r>
        <w:rPr>
          <w:rFonts w:ascii="Times New Roman" w:eastAsia="Times New Roman" w:hAnsi="Times New Roman" w:cs="Times New Roman"/>
          <w:color w:val="000000"/>
          <w:spacing w:val="0"/>
          <w:w w:val="100"/>
          <w:position w:val="0"/>
        </w:rPr>
        <w:t>IT</w:t>
      </w:r>
      <w:r>
        <w:rPr>
          <w:color w:val="000000"/>
          <w:spacing w:val="0"/>
          <w:w w:val="100"/>
          <w:position w:val="0"/>
        </w:rPr>
        <w:t>产业发展道路，通过技术创新引领产品和服务创新， 不断丰富完善技术、产品和服务模式，持续打造公司核心竞争力。公司是北京市高新技术企业。公司从研发理念、组织机构、 创新机制和管理制度等方面进行了系统的构建。</w:t>
      </w:r>
    </w:p>
    <w:p>
      <w:pPr>
        <w:pStyle w:val="Style23"/>
        <w:keepNext w:val="0"/>
        <w:keepLines w:val="0"/>
        <w:widowControl w:val="0"/>
        <w:shd w:val="clear" w:color="auto" w:fill="auto"/>
        <w:tabs>
          <w:tab w:pos="706" w:val="left"/>
        </w:tabs>
        <w:bidi w:val="0"/>
        <w:spacing w:before="0" w:after="0"/>
        <w:ind w:left="0" w:right="0" w:firstLine="380"/>
        <w:jc w:val="both"/>
      </w:pPr>
      <w:bookmarkStart w:id="91" w:name="bookmark91"/>
      <w:r>
        <w:rPr>
          <w:rFonts w:ascii="Times New Roman" w:eastAsia="Times New Roman" w:hAnsi="Times New Roman" w:cs="Times New Roman"/>
          <w:b/>
          <w:bCs/>
          <w:color w:val="000000"/>
          <w:spacing w:val="0"/>
          <w:w w:val="100"/>
          <w:position w:val="0"/>
        </w:rPr>
        <w:t>2</w:t>
      </w:r>
      <w:bookmarkEnd w:id="91"/>
      <w:r>
        <w:rPr>
          <w:b/>
          <w:bCs/>
          <w:color w:val="000000"/>
          <w:spacing w:val="0"/>
          <w:w w:val="100"/>
          <w:position w:val="0"/>
        </w:rPr>
        <w:t>、</w:t>
        <w:tab/>
        <w:t>品牌与客户资源优势</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在多年的发展过程中，公司积累了一批以银行业为主，涉及保险、证券、基金、信托、融资租赁等行业的优质客户，形 成了涵盖政策性银行、国有商业银行、股份制银行、城商行、农商行</w:t>
      </w:r>
      <w:r>
        <w:rPr>
          <w:rFonts w:ascii="Times New Roman" w:eastAsia="Times New Roman" w:hAnsi="Times New Roman" w:cs="Times New Roman"/>
          <w:color w:val="000000"/>
          <w:spacing w:val="0"/>
          <w:w w:val="100"/>
          <w:position w:val="0"/>
        </w:rPr>
        <w:t>/</w:t>
      </w:r>
      <w:r>
        <w:rPr>
          <w:color w:val="000000"/>
          <w:spacing w:val="0"/>
          <w:w w:val="100"/>
          <w:position w:val="0"/>
        </w:rPr>
        <w:t>农村合作银行、农信社、外资银行、证券公司、大中 型保险机构、信托公司、消费金融公司、小贷公司、融资租赁公司、金融资产交易所等在内的完整的、有层次的金融行业客 户谱系，通过优质、全面的软件及服务满足不同客户的各阶段、差异化的信息化需求。</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公司与许多优质客户建立了长期稳定的合作关系，并伴随着客户信息化成长的各个阶段，成为了许多客户信息化进程的 主要参与者。</w:t>
      </w:r>
    </w:p>
    <w:p>
      <w:pPr>
        <w:pStyle w:val="Style23"/>
        <w:keepNext w:val="0"/>
        <w:keepLines w:val="0"/>
        <w:widowControl w:val="0"/>
        <w:shd w:val="clear" w:color="auto" w:fill="auto"/>
        <w:tabs>
          <w:tab w:pos="706" w:val="left"/>
        </w:tabs>
        <w:bidi w:val="0"/>
        <w:spacing w:before="0" w:after="120" w:line="312" w:lineRule="exact"/>
        <w:ind w:left="0" w:right="0" w:firstLine="380"/>
        <w:jc w:val="both"/>
      </w:pPr>
      <w:bookmarkStart w:id="92" w:name="bookmark92"/>
      <w:r>
        <w:rPr>
          <w:rFonts w:ascii="Times New Roman" w:eastAsia="Times New Roman" w:hAnsi="Times New Roman" w:cs="Times New Roman"/>
          <w:b/>
          <w:bCs/>
          <w:color w:val="000000"/>
          <w:spacing w:val="0"/>
          <w:w w:val="100"/>
          <w:position w:val="0"/>
        </w:rPr>
        <w:t>3</w:t>
      </w:r>
      <w:bookmarkEnd w:id="92"/>
      <w:r>
        <w:rPr>
          <w:b/>
          <w:bCs/>
          <w:color w:val="000000"/>
          <w:spacing w:val="0"/>
          <w:w w:val="100"/>
          <w:position w:val="0"/>
        </w:rPr>
        <w:t>、</w:t>
        <w:tab/>
        <w:t>行业地位和提供整体解决方案的能力</w:t>
      </w:r>
    </w:p>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依托公司完备的产品线，丰富的项目管理能力和突出的研发实力，公司成为能够提供金融领域信息化完整解决方案的</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服务商之一。</w:t>
      </w:r>
    </w:p>
    <w:p>
      <w:pPr>
        <w:pStyle w:val="Style23"/>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公司经过多年的技术研发和服务创新，形成了信贷及风控管理系统、核心业务系统、</w:t>
      </w:r>
      <w:r>
        <w:rPr>
          <w:rFonts w:ascii="Times New Roman" w:eastAsia="Times New Roman" w:hAnsi="Times New Roman" w:cs="Times New Roman"/>
          <w:color w:val="000000"/>
          <w:spacing w:val="0"/>
          <w:w w:val="100"/>
          <w:position w:val="0"/>
        </w:rPr>
        <w:t>CRM</w:t>
      </w:r>
      <w:r>
        <w:rPr>
          <w:color w:val="000000"/>
          <w:spacing w:val="0"/>
          <w:w w:val="100"/>
          <w:position w:val="0"/>
        </w:rPr>
        <w:t>及</w:t>
      </w:r>
      <w:r>
        <w:rPr>
          <w:rFonts w:ascii="Times New Roman" w:eastAsia="Times New Roman" w:hAnsi="Times New Roman" w:cs="Times New Roman"/>
          <w:color w:val="000000"/>
          <w:spacing w:val="0"/>
          <w:w w:val="100"/>
          <w:position w:val="0"/>
        </w:rPr>
        <w:t>ECIF</w:t>
      </w:r>
      <w:r>
        <w:rPr>
          <w:color w:val="000000"/>
          <w:spacing w:val="0"/>
          <w:w w:val="100"/>
          <w:position w:val="0"/>
        </w:rPr>
        <w:t>等具有较强市场竞争 力和较高市场占有率的解决方案，上述系统已经成功应用于政策性银行、国有商业银行、股份制银行、城商行及农信社，积 累了丰富的应用案例和广泛的客户群，为公司产品升级和市场开拓奠定了良好的基础。</w:t>
      </w:r>
    </w:p>
    <w:p>
      <w:pPr>
        <w:pStyle w:val="Style23"/>
        <w:keepNext w:val="0"/>
        <w:keepLines w:val="0"/>
        <w:widowControl w:val="0"/>
        <w:shd w:val="clear" w:color="auto" w:fill="auto"/>
        <w:tabs>
          <w:tab w:pos="687" w:val="left"/>
        </w:tabs>
        <w:bidi w:val="0"/>
        <w:spacing w:before="0" w:after="0"/>
        <w:ind w:left="0" w:right="0" w:firstLine="380"/>
        <w:jc w:val="both"/>
      </w:pPr>
      <w:bookmarkStart w:id="93" w:name="bookmark93"/>
      <w:r>
        <w:rPr>
          <w:rFonts w:ascii="Times New Roman" w:eastAsia="Times New Roman" w:hAnsi="Times New Roman" w:cs="Times New Roman"/>
          <w:b/>
          <w:bCs/>
          <w:color w:val="000000"/>
          <w:spacing w:val="0"/>
          <w:w w:val="100"/>
          <w:position w:val="0"/>
        </w:rPr>
        <w:t>4</w:t>
      </w:r>
      <w:bookmarkEnd w:id="93"/>
      <w:r>
        <w:rPr>
          <w:b/>
          <w:bCs/>
          <w:color w:val="000000"/>
          <w:spacing w:val="0"/>
          <w:w w:val="100"/>
          <w:position w:val="0"/>
        </w:rPr>
        <w:t>、</w:t>
        <w:tab/>
        <w:t>丰富的项目实施经验和成熟的技术开发能力</w:t>
      </w:r>
    </w:p>
    <w:p>
      <w:pPr>
        <w:pStyle w:val="Style23"/>
        <w:keepNext w:val="0"/>
        <w:keepLines w:val="0"/>
        <w:widowControl w:val="0"/>
        <w:shd w:val="clear" w:color="auto" w:fill="auto"/>
        <w:bidi w:val="0"/>
        <w:spacing w:before="0" w:after="140" w:line="317" w:lineRule="exact"/>
        <w:ind w:left="0" w:right="0" w:firstLine="320"/>
        <w:jc w:val="both"/>
      </w:pPr>
      <w:r>
        <w:rPr>
          <w:color w:val="000000"/>
          <w:spacing w:val="0"/>
          <w:w w:val="100"/>
          <w:position w:val="0"/>
        </w:rPr>
        <w:t>公司自设立以来，专注于以银行业为主的金融信息化领域，一直伴随客户信息化建设的成长，深刻理解行业需求，并在 如何提升解决方案运行稳定性方面具备成熟的经验，对于银行业科技需求拥有成熟的，成体系的解决方案。</w:t>
      </w:r>
    </w:p>
    <w:p>
      <w:pPr>
        <w:pStyle w:val="Style23"/>
        <w:keepNext w:val="0"/>
        <w:keepLines w:val="0"/>
        <w:widowControl w:val="0"/>
        <w:shd w:val="clear" w:color="auto" w:fill="auto"/>
        <w:tabs>
          <w:tab w:pos="687" w:val="left"/>
        </w:tabs>
        <w:bidi w:val="0"/>
        <w:spacing w:before="0" w:after="0"/>
        <w:ind w:left="0" w:right="0" w:firstLine="380"/>
        <w:jc w:val="both"/>
      </w:pPr>
      <w:bookmarkStart w:id="94" w:name="bookmark94"/>
      <w:r>
        <w:rPr>
          <w:rFonts w:ascii="Times New Roman" w:eastAsia="Times New Roman" w:hAnsi="Times New Roman" w:cs="Times New Roman"/>
          <w:b/>
          <w:bCs/>
          <w:color w:val="000000"/>
          <w:spacing w:val="0"/>
          <w:w w:val="100"/>
          <w:position w:val="0"/>
        </w:rPr>
        <w:t>5</w:t>
      </w:r>
      <w:bookmarkEnd w:id="94"/>
      <w:r>
        <w:rPr>
          <w:b/>
          <w:bCs/>
          <w:color w:val="000000"/>
          <w:spacing w:val="0"/>
          <w:w w:val="100"/>
          <w:position w:val="0"/>
        </w:rPr>
        <w:t>、</w:t>
        <w:tab/>
        <w:t>复合型人才储备和稳定的技术、管理团队</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金融信息系统自身的复杂性和专业性以及其作为国民经济核心的行业特征，要求开发人员具备丰富的行业经验、复合的 知识结构以及技术积累。公司长期以来培养了一支融合了</w:t>
      </w:r>
      <w:r>
        <w:rPr>
          <w:rFonts w:ascii="Times New Roman" w:eastAsia="Times New Roman" w:hAnsi="Times New Roman" w:cs="Times New Roman"/>
          <w:color w:val="000000"/>
          <w:spacing w:val="0"/>
          <w:w w:val="100"/>
          <w:position w:val="0"/>
        </w:rPr>
        <w:t>IT</w:t>
      </w:r>
      <w:r>
        <w:rPr>
          <w:color w:val="000000"/>
          <w:spacing w:val="0"/>
          <w:w w:val="100"/>
          <w:position w:val="0"/>
        </w:rPr>
        <w:t>技术、银行业务知识及行业管理经验的复合型人才队伍，对于高 度复杂的银行信息系统开发具有独到的理解能力和丰富的实施经验，拥有多项核心技术和全部产品的自主知识产权。</w:t>
      </w:r>
    </w:p>
    <w:p>
      <w:pPr>
        <w:pStyle w:val="Style23"/>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公司形成了一系列符合市场要求及公司实际的考核机制，使得团队成员的利益与公司的发展保持高度一致。公司高管深 刻认同公司的文化和经营管理理念，对金融信息化领域拥有敏感性和前瞻性。</w:t>
      </w:r>
    </w:p>
    <w:p>
      <w:pPr>
        <w:pStyle w:val="Style23"/>
        <w:keepNext w:val="0"/>
        <w:keepLines w:val="0"/>
        <w:widowControl w:val="0"/>
        <w:shd w:val="clear" w:color="auto" w:fill="auto"/>
        <w:tabs>
          <w:tab w:pos="687" w:val="left"/>
        </w:tabs>
        <w:bidi w:val="0"/>
        <w:spacing w:before="0" w:after="0"/>
        <w:ind w:left="0" w:right="0" w:firstLine="380"/>
        <w:jc w:val="both"/>
      </w:pPr>
      <w:bookmarkStart w:id="95" w:name="bookmark95"/>
      <w:r>
        <w:rPr>
          <w:rFonts w:ascii="Times New Roman" w:eastAsia="Times New Roman" w:hAnsi="Times New Roman" w:cs="Times New Roman"/>
          <w:b/>
          <w:bCs/>
          <w:color w:val="000000"/>
          <w:spacing w:val="0"/>
          <w:w w:val="100"/>
          <w:position w:val="0"/>
        </w:rPr>
        <w:t>6</w:t>
      </w:r>
      <w:bookmarkEnd w:id="95"/>
      <w:r>
        <w:rPr>
          <w:b/>
          <w:bCs/>
          <w:color w:val="000000"/>
          <w:spacing w:val="0"/>
          <w:w w:val="100"/>
          <w:position w:val="0"/>
        </w:rPr>
        <w:t>、</w:t>
        <w:tab/>
        <w:t>研发模式和理念</w:t>
      </w:r>
    </w:p>
    <w:p>
      <w:pPr>
        <w:pStyle w:val="Style23"/>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公司在长期的项目实践中，深化了项目运作的内涵，建立了适应未来发展的</w:t>
      </w:r>
      <w:r>
        <w:rPr>
          <w:rFonts w:ascii="Times New Roman" w:eastAsia="Times New Roman" w:hAnsi="Times New Roman" w:cs="Times New Roman"/>
          <w:color w:val="000000"/>
          <w:spacing w:val="0"/>
          <w:w w:val="100"/>
          <w:position w:val="0"/>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rPr>
        <w:t>”</w:t>
      </w:r>
      <w:r>
        <w:rPr>
          <w:color w:val="000000"/>
          <w:spacing w:val="0"/>
          <w:w w:val="100"/>
          <w:position w:val="0"/>
        </w:rPr>
        <w:t>，建立了公司阶梯式 上升的产品结构。</w:t>
      </w:r>
      <w:r>
        <w:rPr>
          <w:rFonts w:ascii="Times New Roman" w:eastAsia="Times New Roman" w:hAnsi="Times New Roman" w:cs="Times New Roman"/>
          <w:color w:val="000000"/>
          <w:spacing w:val="0"/>
          <w:w w:val="100"/>
          <w:position w:val="0"/>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rPr>
        <w:t>”</w:t>
      </w:r>
      <w:r>
        <w:rPr>
          <w:color w:val="000000"/>
          <w:spacing w:val="0"/>
          <w:w w:val="100"/>
          <w:position w:val="0"/>
        </w:rPr>
        <w:t>是结合客户项目化开发的需求，以建立完善的基线产品模块库为中心，建立统一的 版本合并机制。公司依托模块化配置技术、统一版本融合的机制和自动化管理软件等核心技术支撑了</w:t>
      </w:r>
      <w:r>
        <w:rPr>
          <w:rFonts w:ascii="Times New Roman" w:eastAsia="Times New Roman" w:hAnsi="Times New Roman" w:cs="Times New Roman"/>
          <w:color w:val="000000"/>
          <w:spacing w:val="0"/>
          <w:w w:val="100"/>
          <w:position w:val="0"/>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的实施。该研发模式不但保持了项目化的灵活特性，并大大提高了项目实施效率。</w:t>
      </w:r>
    </w:p>
    <w:p>
      <w:pPr>
        <w:pStyle w:val="Style23"/>
        <w:keepNext w:val="0"/>
        <w:keepLines w:val="0"/>
        <w:widowControl w:val="0"/>
        <w:shd w:val="clear" w:color="auto" w:fill="auto"/>
        <w:tabs>
          <w:tab w:pos="687" w:val="left"/>
        </w:tabs>
        <w:bidi w:val="0"/>
        <w:spacing w:before="0" w:after="0"/>
        <w:ind w:left="0" w:right="0" w:firstLine="380"/>
        <w:jc w:val="both"/>
      </w:pPr>
      <w:bookmarkStart w:id="96" w:name="bookmark96"/>
      <w:r>
        <w:rPr>
          <w:rFonts w:ascii="Times New Roman" w:eastAsia="Times New Roman" w:hAnsi="Times New Roman" w:cs="Times New Roman"/>
          <w:b/>
          <w:bCs/>
          <w:color w:val="000000"/>
          <w:spacing w:val="0"/>
          <w:w w:val="100"/>
          <w:position w:val="0"/>
        </w:rPr>
        <w:t>7</w:t>
      </w:r>
      <w:bookmarkEnd w:id="96"/>
      <w:r>
        <w:rPr>
          <w:b/>
          <w:bCs/>
          <w:color w:val="000000"/>
          <w:spacing w:val="0"/>
          <w:w w:val="100"/>
          <w:position w:val="0"/>
        </w:rPr>
        <w:t>、</w:t>
        <w:tab/>
        <w:t>全国性的战略布局</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公司建立了全国性的营销和服务网络。公司总部位于北京，拥有遍及北京、深圳、成都、南京、上海、武汉、广州等多 地的子公司和分支机构，同时下设若干地方业务团队，形成了覆盖华北、华东、华南、华中和西南地区的全国性营销及服务 网络，公司的客户范围遍及全国除港、澳、台地区以外的绝大多数省、自治区和直辖市。</w:t>
      </w:r>
    </w:p>
    <w:p>
      <w:pPr>
        <w:pStyle w:val="Style23"/>
        <w:keepNext w:val="0"/>
        <w:keepLines w:val="0"/>
        <w:widowControl w:val="0"/>
        <w:shd w:val="clear" w:color="auto" w:fill="auto"/>
        <w:bidi w:val="0"/>
        <w:spacing w:before="0" w:after="360" w:line="336" w:lineRule="exact"/>
        <w:ind w:left="0" w:right="0" w:firstLine="380"/>
        <w:jc w:val="both"/>
        <w:rPr>
          <w:sz w:val="24"/>
          <w:szCs w:val="24"/>
        </w:rPr>
      </w:pPr>
      <w:r>
        <w:rPr>
          <w:color w:val="000000"/>
          <w:spacing w:val="0"/>
          <w:w w:val="100"/>
          <w:position w:val="0"/>
          <w:sz w:val="18"/>
          <w:szCs w:val="18"/>
        </w:rPr>
        <w:t>全国性的战略布局不仅提高了公司的客户响应速度，有效提高了客户服务质量，同时有利于公司对于区域性金融机构的 客户拓展</w:t>
      </w:r>
      <w:r>
        <w:rPr>
          <w:color w:val="000000"/>
          <w:spacing w:val="0"/>
          <w:w w:val="100"/>
          <w:position w:val="0"/>
          <w:sz w:val="24"/>
          <w:szCs w:val="24"/>
        </w:rPr>
        <w:t>。</w:t>
      </w:r>
    </w:p>
    <w:p>
      <w:pPr>
        <w:pStyle w:val="Style27"/>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四</w:t>
      </w:r>
      <w:bookmarkEnd w:id="99"/>
      <w:r>
        <w:rPr>
          <w:color w:val="000000"/>
          <w:spacing w:val="0"/>
          <w:w w:val="100"/>
          <w:position w:val="0"/>
          <w:sz w:val="24"/>
          <w:szCs w:val="24"/>
        </w:rPr>
        <w:t>、主营业务分析</w:t>
      </w:r>
      <w:bookmarkEnd w:id="100"/>
      <w:bookmarkEnd w:id="97"/>
      <w:bookmarkEnd w:id="98"/>
    </w:p>
    <w:p>
      <w:pPr>
        <w:pStyle w:val="Style32"/>
        <w:keepNext/>
        <w:keepLines/>
        <w:widowControl w:val="0"/>
        <w:shd w:val="clear" w:color="auto" w:fill="auto"/>
        <w:bidi w:val="0"/>
        <w:spacing w:before="0" w:after="26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、概述</w:t>
      </w:r>
      <w:bookmarkEnd w:id="101"/>
      <w:bookmarkEnd w:id="102"/>
      <w:bookmarkEnd w:id="104"/>
    </w:p>
    <w:p>
      <w:pPr>
        <w:pStyle w:val="Style23"/>
        <w:keepNext w:val="0"/>
        <w:keepLines w:val="0"/>
        <w:widowControl w:val="0"/>
        <w:shd w:val="clear" w:color="auto" w:fill="auto"/>
        <w:bidi w:val="0"/>
        <w:spacing w:before="0" w:after="140" w:line="319"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年，受新一轮金融科技投入周期以及信创政策带来的积极影响，公司在把握行业机遇的同时，积极开展产业布局， 市场份额进一步提升，营业收入及利润情况均同向上升。系统集成及服务和软件开发及服务都取得了长足的发展，未来发展 趋势稳健，业务拓展良好。</w:t>
      </w:r>
    </w:p>
    <w:p>
      <w:pPr>
        <w:pStyle w:val="Style2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出于保证收入的增长，留住技术人才的考虑，上海睿民</w:t>
      </w:r>
      <w:r>
        <w:rPr>
          <w:rFonts w:ascii="Times New Roman" w:eastAsia="Times New Roman" w:hAnsi="Times New Roman" w:cs="Times New Roman"/>
          <w:color w:val="000000"/>
          <w:spacing w:val="0"/>
          <w:w w:val="100"/>
          <w:position w:val="0"/>
        </w:rPr>
        <w:t>2021</w:t>
      </w:r>
      <w:r>
        <w:rPr>
          <w:color w:val="000000"/>
          <w:spacing w:val="0"/>
          <w:w w:val="100"/>
          <w:position w:val="0"/>
        </w:rPr>
        <w:t>年对公司的人员薪酬有所提升。虽然公司产品已经逐步适应 行业发展，但未来盈利能力受到一定影响。坚果技术受流量成本持续上升带来的不利影响，业务拓展不达预期。综合各方面 情况的考虑，本着审慎的态度，公司对上述子公司所在的资产组计提商誉减值准备合计</w:t>
      </w:r>
      <w:r>
        <w:rPr>
          <w:rFonts w:ascii="Times New Roman" w:eastAsia="Times New Roman" w:hAnsi="Times New Roman" w:cs="Times New Roman"/>
          <w:color w:val="000000"/>
          <w:spacing w:val="0"/>
          <w:w w:val="100"/>
          <w:position w:val="0"/>
        </w:rPr>
        <w:t>899.73</w:t>
      </w:r>
      <w:r>
        <w:rPr>
          <w:color w:val="000000"/>
          <w:spacing w:val="0"/>
          <w:w w:val="100"/>
          <w:position w:val="0"/>
        </w:rPr>
        <w:t>万元。报告期内，公司实现营 业总收入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2.79</w:t>
      </w:r>
      <w:r>
        <w:rPr>
          <w:color w:val="000000"/>
          <w:spacing w:val="0"/>
          <w:w w:val="100"/>
          <w:position w:val="0"/>
        </w:rPr>
        <w:t>亿元，同比增长</w:t>
      </w:r>
      <w:r>
        <w:rPr>
          <w:rFonts w:ascii="Times New Roman" w:eastAsia="Times New Roman" w:hAnsi="Times New Roman" w:cs="Times New Roman"/>
          <w:color w:val="000000"/>
          <w:spacing w:val="0"/>
          <w:w w:val="100"/>
          <w:position w:val="0"/>
        </w:rPr>
        <w:t>20.35%</w:t>
      </w:r>
      <w:r>
        <w:rPr>
          <w:color w:val="000000"/>
          <w:spacing w:val="0"/>
          <w:w w:val="100"/>
          <w:position w:val="0"/>
        </w:rPr>
        <w:t>；利润总额为</w:t>
      </w:r>
      <w:r>
        <w:rPr>
          <w:rFonts w:ascii="Times New Roman" w:eastAsia="Times New Roman" w:hAnsi="Times New Roman" w:cs="Times New Roman"/>
          <w:color w:val="000000"/>
          <w:spacing w:val="0"/>
          <w:w w:val="100"/>
          <w:position w:val="0"/>
        </w:rPr>
        <w:t>1.3</w:t>
      </w:r>
      <w:r>
        <w:rPr>
          <w:rFonts w:ascii="Times New Roman" w:eastAsia="Times New Roman" w:hAnsi="Times New Roman" w:cs="Times New Roman"/>
          <w:color w:val="000000"/>
          <w:spacing w:val="0"/>
          <w:w w:val="100"/>
          <w:position w:val="0"/>
        </w:rPr>
        <w:t>2</w:t>
      </w:r>
      <w:r>
        <w:rPr>
          <w:color w:val="000000"/>
          <w:spacing w:val="0"/>
          <w:w w:val="100"/>
          <w:position w:val="0"/>
        </w:rPr>
        <w:t>亿元，同比</w:t>
      </w:r>
      <w:r>
        <w:rPr>
          <w:rFonts w:ascii="Times New Roman" w:eastAsia="Times New Roman" w:hAnsi="Times New Roman" w:cs="Times New Roman"/>
          <w:color w:val="000000"/>
          <w:spacing w:val="0"/>
          <w:w w:val="100"/>
          <w:position w:val="0"/>
        </w:rPr>
        <w:t>119.89%</w:t>
      </w:r>
      <w:r>
        <w:rPr>
          <w:color w:val="000000"/>
          <w:spacing w:val="0"/>
          <w:w w:val="100"/>
          <w:position w:val="0"/>
        </w:rPr>
        <w:t>；本报告期内，公司归属于母公司所有者的净利 润为</w:t>
      </w:r>
      <w:r>
        <w:rPr>
          <w:rFonts w:ascii="Times New Roman" w:eastAsia="Times New Roman" w:hAnsi="Times New Roman" w:cs="Times New Roman"/>
          <w:color w:val="000000"/>
          <w:spacing w:val="0"/>
          <w:w w:val="100"/>
          <w:position w:val="0"/>
        </w:rPr>
        <w:t>1.24</w:t>
      </w:r>
      <w:r>
        <w:rPr>
          <w:color w:val="000000"/>
          <w:spacing w:val="0"/>
          <w:w w:val="100"/>
          <w:position w:val="0"/>
        </w:rPr>
        <w:t>亿元，实现扭亏为盈。</w:t>
      </w:r>
      <w:r>
        <w:br w:type="page"/>
      </w:r>
    </w:p>
    <w:p>
      <w:pPr>
        <w:pStyle w:val="Style32"/>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、收入与成本</w:t>
      </w:r>
      <w:bookmarkEnd w:id="105"/>
      <w:bookmarkEnd w:id="106"/>
      <w:bookmarkEnd w:id="108"/>
    </w:p>
    <w:p>
      <w:pPr>
        <w:pStyle w:val="Style32"/>
        <w:keepNext/>
        <w:keepLines/>
        <w:widowControl w:val="0"/>
        <w:numPr>
          <w:ilvl w:val="0"/>
          <w:numId w:val="1"/>
        </w:numPr>
        <w:shd w:val="clear" w:color="auto" w:fill="auto"/>
        <w:bidi w:val="0"/>
        <w:spacing w:before="0" w:line="240" w:lineRule="auto"/>
        <w:ind w:left="0" w:right="0" w:firstLine="0"/>
        <w:jc w:val="left"/>
      </w:pPr>
      <w:bookmarkStart w:id="105" w:name="bookmark105"/>
      <w:bookmarkStart w:id="106" w:name="bookmark106"/>
      <w:bookmarkStart w:id="109" w:name="bookmark109"/>
      <w:bookmarkStart w:id="110" w:name="bookmark110"/>
      <w:bookmarkEnd w:id="109"/>
      <w:r>
        <w:rPr>
          <w:color w:val="000000"/>
          <w:spacing w:val="0"/>
          <w:w w:val="100"/>
          <w:position w:val="0"/>
        </w:rPr>
        <w:t>营业收入构成</w:t>
      </w:r>
      <w:bookmarkEnd w:id="105"/>
      <w:bookmarkEnd w:id="106"/>
      <w:bookmarkEnd w:id="11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2,278,964,568.88</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1,893,658,496.29</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银行金融业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1,939,936,465.90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1,404,265,366.06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132,788,056.28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91,515,057.53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157,237,037.16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323,416,065.13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49,003,009.54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74,462,007.57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922,581,858.08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613,915,115.93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1,199,145,673.64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956,327,315.23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157,237,037.16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323,416,065.13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17,310,255.14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38,364,387.92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1,667,237,075.80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1,207,990,132.48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320,418,765.66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344,330,620.37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128,302,705.06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146,210,139.24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61,142,901.62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36,947,614.26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22,506,948.62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21,093,208.36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62,045,916.98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98,721,959.47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2,278,964,568.88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1,893,658,496.29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109"/>
        <w:gridCol w:w="1008"/>
        <w:gridCol w:w="1013"/>
        <w:gridCol w:w="1013"/>
        <w:gridCol w:w="1003"/>
        <w:gridCol w:w="1003"/>
        <w:gridCol w:w="1003"/>
        <w:gridCol w:w="108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816,314,099.03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436,484,495.77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419,415,875.58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606,750,098.50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216,203,076.65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447,728,055.40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336,644,228.23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893,083,136.01</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16,513,757.57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28,205,810.90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30,818,269.08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48,449,287.97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-3,289,460.95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32,362,130.58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11,034,118.47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-711,354,372.17</w:t>
            </w:r>
          </w:p>
        </w:tc>
      </w:tr>
    </w:tbl>
    <w:tbl>
      <w:tblPr>
        <w:tblOverlap w:val="never"/>
        <w:jc w:val="center"/>
        <w:tblLayout w:type="fixed"/>
      </w:tblPr>
      <w:tblGrid>
        <w:gridCol w:w="1426"/>
        <w:gridCol w:w="1109"/>
        <w:gridCol w:w="1008"/>
        <w:gridCol w:w="1013"/>
        <w:gridCol w:w="1013"/>
        <w:gridCol w:w="1003"/>
        <w:gridCol w:w="1003"/>
        <w:gridCol w:w="1003"/>
        <w:gridCol w:w="1080"/>
      </w:tblGrid>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16,317,898.33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26,649,036.73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29,484,617.46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45,591,162.64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-5,132,519.44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29,111,373.67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7,726,960.33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-733,461,802.24</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 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-277,855,628.53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-39,577,240.05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18,473,274.27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214,089,599.47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-340,174,175.30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185,034,907.02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-9,046,245.18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396,546,161.95</w:t>
            </w:r>
          </w:p>
        </w:tc>
      </w:tr>
    </w:tbl>
    <w:p>
      <w:pPr>
        <w:widowControl w:val="0"/>
        <w:spacing w:after="59" w:line="1" w:lineRule="exact"/>
      </w:pP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说明经营季节性（或周期性）发生的原因及波动风险</w:t>
      </w:r>
    </w:p>
    <w:p>
      <w:pPr>
        <w:pStyle w:val="Style41"/>
        <w:keepNext w:val="0"/>
        <w:keepLines w:val="0"/>
        <w:widowControl w:val="0"/>
        <w:shd w:val="clear" w:color="auto" w:fill="auto"/>
        <w:bidi w:val="0"/>
        <w:spacing w:before="0"/>
        <w:ind w:left="0" w:right="0" w:firstLine="0"/>
        <w:jc w:val="left"/>
      </w:pPr>
      <w:r>
        <w:rPr>
          <w:color w:val="000000"/>
          <w:spacing w:val="0"/>
          <w:w w:val="100"/>
          <w:position w:val="0"/>
        </w:rPr>
        <w:t>金融企业客户通常遵照预算决算体制，在年初完成预算的制定工作，年底进行决算。其预算、立项和 采购均有一定的季节性特征，因此金融科技企业的收入通常呈现一定的季节性波动。</w:t>
      </w:r>
    </w:p>
    <w:p>
      <w:pPr>
        <w:pStyle w:val="Style32"/>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1"/>
      <w:bookmarkEnd w:id="112"/>
      <w:bookmarkEnd w:id="114"/>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银行金融业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1,939,936,465.90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1,625,401,152.51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r>
      <w:tr>
        <w:trPr>
          <w:trHeight w:val="398"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922,581,858.08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637,967,377.07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1,199,145,673.64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1,124,946,354.15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1,573,886,130.52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1,353,338,434.73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289,012,477.66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220,091,834.28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bl>
    <w:p>
      <w:pPr>
        <w:widowControl w:val="0"/>
        <w:spacing w:after="5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5"/>
      <w:bookmarkEnd w:id="116"/>
      <w:bookmarkEnd w:id="11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9"/>
      <w:bookmarkEnd w:id="120"/>
      <w:bookmarkEnd w:id="12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286,059.75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469,108.59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58,072.22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128,532,771.66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258,491,822.50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1,124,946,354.15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883,526,150.98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567,690,948.58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348,591,320.31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48,042,309.07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31,400,816.99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外购成本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22,234,119.42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9,731,917.21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说明</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主营业务成本构成</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1,147,180,473.57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893,258,068.19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567,690,948.58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348,591,320.31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变动成本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48,042,309.07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31,400,816.99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bl>
    <w:p>
      <w:pPr>
        <w:widowControl w:val="0"/>
        <w:spacing w:after="299" w:line="1" w:lineRule="exact"/>
      </w:pPr>
    </w:p>
    <w:p>
      <w:pPr>
        <w:pStyle w:val="Style32"/>
        <w:keepNext/>
        <w:keepLines/>
        <w:widowControl w:val="0"/>
        <w:numPr>
          <w:ilvl w:val="0"/>
          <w:numId w:val="3"/>
        </w:numPr>
        <w:shd w:val="clear" w:color="auto" w:fill="auto"/>
        <w:bidi w:val="0"/>
        <w:spacing w:before="0" w:after="30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报告期内合并范围是否发生变动</w:t>
      </w:r>
      <w:bookmarkEnd w:id="127"/>
      <w:bookmarkEnd w:id="128"/>
      <w:bookmarkEnd w:id="130"/>
    </w:p>
    <w:p>
      <w:pPr>
        <w:pStyle w:val="Style23"/>
        <w:keepNext w:val="0"/>
        <w:keepLines w:val="0"/>
        <w:widowControl w:val="0"/>
        <w:shd w:val="clear" w:color="auto" w:fill="auto"/>
        <w:bidi w:val="0"/>
        <w:spacing w:before="0" w:after="100" w:line="29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tabs>
          <w:tab w:pos="815" w:val="left"/>
        </w:tabs>
        <w:bidi w:val="0"/>
        <w:spacing w:before="0" w:after="100" w:line="294" w:lineRule="exact"/>
        <w:ind w:left="0" w:right="0" w:firstLine="380"/>
        <w:jc w:val="both"/>
      </w:pPr>
      <w:bookmarkStart w:id="131" w:name="bookmark131"/>
      <w:r>
        <w:rPr>
          <w:b/>
          <w:bCs/>
          <w:color w:val="000000"/>
          <w:spacing w:val="0"/>
          <w:w w:val="100"/>
          <w:position w:val="0"/>
        </w:rPr>
        <w:t>一</w:t>
      </w:r>
      <w:bookmarkEnd w:id="131"/>
      <w:r>
        <w:rPr>
          <w:b/>
          <w:bCs/>
          <w:color w:val="000000"/>
          <w:spacing w:val="0"/>
          <w:w w:val="100"/>
          <w:position w:val="0"/>
        </w:rPr>
        <w:t>、</w:t>
        <w:tab/>
        <w:t>处置子公司</w:t>
      </w:r>
    </w:p>
    <w:p>
      <w:pPr>
        <w:pStyle w:val="Style23"/>
        <w:keepNext w:val="0"/>
        <w:keepLines w:val="0"/>
        <w:widowControl w:val="0"/>
        <w:shd w:val="clear" w:color="auto" w:fill="auto"/>
        <w:bidi w:val="0"/>
        <w:spacing w:before="0" w:after="100" w:line="291" w:lineRule="exact"/>
        <w:ind w:left="0" w:right="0" w:firstLine="380"/>
        <w:jc w:val="both"/>
      </w:pPr>
      <w:r>
        <w:rPr>
          <w:color w:val="000000"/>
          <w:spacing w:val="0"/>
          <w:w w:val="100"/>
          <w:position w:val="0"/>
        </w:rPr>
        <w:t>根据子公司深圳市快读科技有限公司与交易对手方于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日签订的《成都市约莫科技有限公司股权转让协议书》， 并经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日子公司深圳市快读科技有限公司股东会审议批准，由于该子公司未实际经营，同意子公司深圳市快读科技 有限公司将所持有的成都市约莫科技有限公司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股权以实收资本进行转让，股权转让基准日为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月起，不再将其纳入合并财务报表范围。</w:t>
      </w:r>
    </w:p>
    <w:p>
      <w:pPr>
        <w:pStyle w:val="Style23"/>
        <w:keepNext w:val="0"/>
        <w:keepLines w:val="0"/>
        <w:widowControl w:val="0"/>
        <w:shd w:val="clear" w:color="auto" w:fill="auto"/>
        <w:tabs>
          <w:tab w:pos="815" w:val="left"/>
        </w:tabs>
        <w:bidi w:val="0"/>
        <w:spacing w:before="0" w:after="100" w:line="294" w:lineRule="exact"/>
        <w:ind w:left="0" w:right="0" w:firstLine="380"/>
        <w:jc w:val="both"/>
      </w:pPr>
      <w:bookmarkStart w:id="132" w:name="bookmark132"/>
      <w:r>
        <w:rPr>
          <w:b/>
          <w:bCs/>
          <w:color w:val="000000"/>
          <w:spacing w:val="0"/>
          <w:w w:val="100"/>
          <w:position w:val="0"/>
        </w:rPr>
        <w:t>二</w:t>
      </w:r>
      <w:bookmarkEnd w:id="132"/>
      <w:r>
        <w:rPr>
          <w:b/>
          <w:bCs/>
          <w:color w:val="000000"/>
          <w:spacing w:val="0"/>
          <w:w w:val="100"/>
          <w:position w:val="0"/>
        </w:rPr>
        <w:t>、</w:t>
        <w:tab/>
        <w:t>其他原因引起的合并范围的变动</w:t>
      </w:r>
    </w:p>
    <w:p>
      <w:pPr>
        <w:pStyle w:val="Style23"/>
        <w:keepNext w:val="0"/>
        <w:keepLines w:val="0"/>
        <w:widowControl w:val="0"/>
        <w:shd w:val="clear" w:color="auto" w:fill="auto"/>
        <w:bidi w:val="0"/>
        <w:spacing w:before="0" w:after="100" w:line="294" w:lineRule="exact"/>
        <w:ind w:left="0" w:right="0" w:firstLine="38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.以直接设立或投资等方式增加的子公司</w:t>
      </w:r>
      <w:r>
        <w:rPr>
          <w:rFonts w:ascii="Times New Roman" w:eastAsia="Times New Roman" w:hAnsi="Times New Roman" w:cs="Times New Roman"/>
          <w:color w:val="000000"/>
          <w:spacing w:val="0"/>
          <w:w w:val="100"/>
          <w:position w:val="0"/>
        </w:rPr>
        <w:t>(</w:t>
      </w:r>
      <w:r>
        <w:rPr>
          <w:color w:val="000000"/>
          <w:spacing w:val="0"/>
          <w:w w:val="100"/>
          <w:position w:val="0"/>
        </w:rPr>
        <w:t>指通过新设、派生分立等非合并收购方式增加的子公司</w:t>
      </w:r>
      <w:r>
        <w:rPr>
          <w:color w:val="000000"/>
          <w:spacing w:val="0"/>
          <w:w w:val="100"/>
          <w:position w:val="0"/>
        </w:rPr>
        <w:t>)</w:t>
      </w:r>
    </w:p>
    <w:p>
      <w:pPr>
        <w:pStyle w:val="Style23"/>
        <w:keepNext w:val="0"/>
        <w:keepLines w:val="0"/>
        <w:widowControl w:val="0"/>
        <w:numPr>
          <w:ilvl w:val="0"/>
          <w:numId w:val="5"/>
        </w:numPr>
        <w:shd w:val="clear" w:color="auto" w:fill="auto"/>
        <w:tabs>
          <w:tab w:pos="762" w:val="left"/>
        </w:tabs>
        <w:bidi w:val="0"/>
        <w:spacing w:before="0" w:after="100" w:line="294" w:lineRule="exact"/>
        <w:ind w:left="0" w:right="0" w:firstLine="380"/>
        <w:jc w:val="both"/>
      </w:pPr>
      <w:bookmarkStart w:id="133" w:name="bookmark133"/>
      <w:bookmarkEnd w:id="133"/>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月，子公司江苏盈达信息技术有限公司出资设立江苏泰达软件技术有限公司。该公司于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 工商设立登记，注册资本为人民币</w:t>
      </w:r>
      <w:r>
        <w:rPr>
          <w:rFonts w:ascii="Times New Roman" w:eastAsia="Times New Roman" w:hAnsi="Times New Roman" w:cs="Times New Roman"/>
          <w:color w:val="000000"/>
          <w:spacing w:val="0"/>
          <w:w w:val="100"/>
          <w:position w:val="0"/>
        </w:rPr>
        <w:t>1,000.00</w:t>
      </w:r>
      <w:r>
        <w:rPr>
          <w:color w:val="000000"/>
          <w:spacing w:val="0"/>
          <w:w w:val="100"/>
          <w:position w:val="0"/>
        </w:rPr>
        <w:t>万元，全部由子公司江苏盈达信息技术有限公司出资，拥有对其的控制权，故自 该公司成立之日起，将其纳入合并财务报表范围。截止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日，子公司江苏盈达信息技术有限公司尚未实际出资， 江苏泰达软件技术有限公司尚未开展经营活动，期末净资产为</w:t>
      </w:r>
      <w:r>
        <w:rPr>
          <w:rFonts w:ascii="Times New Roman" w:eastAsia="Times New Roman" w:hAnsi="Times New Roman" w:cs="Times New Roman"/>
          <w:color w:val="000000"/>
          <w:spacing w:val="0"/>
          <w:w w:val="100"/>
          <w:position w:val="0"/>
        </w:rPr>
        <w:t>0.00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pStyle w:val="Style23"/>
        <w:keepNext w:val="0"/>
        <w:keepLines w:val="0"/>
        <w:widowControl w:val="0"/>
        <w:numPr>
          <w:ilvl w:val="0"/>
          <w:numId w:val="5"/>
        </w:numPr>
        <w:shd w:val="clear" w:color="auto" w:fill="auto"/>
        <w:tabs>
          <w:tab w:pos="771" w:val="left"/>
        </w:tabs>
        <w:bidi w:val="0"/>
        <w:spacing w:before="0" w:after="100" w:line="295" w:lineRule="exact"/>
        <w:ind w:left="0" w:right="0" w:firstLine="380"/>
        <w:jc w:val="both"/>
      </w:pPr>
      <w:bookmarkStart w:id="134" w:name="bookmark134"/>
      <w:bookmarkEnd w:id="134"/>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月，子公司海南坚果创娱信息技术有限公司出资设立内蒙古魔力果信息技术有限公司。该公司于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万元，全部由子公司海南坚果创娱信息技术有限公司出资，拥有对其的控 制权，故自该公司成立之日起，将其纳入合并财务报表范围。截止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日，子公司海南坚果创娱信息技术有限公司 </w:t>
      </w:r>
      <w:r>
        <w:rPr>
          <w:color w:val="000000"/>
          <w:spacing w:val="0"/>
          <w:w w:val="100"/>
          <w:position w:val="0"/>
        </w:rPr>
        <w:t>尚未实际出资，内蒙古魔力果信息技术有限公司尚未开展经营活动，期末净资产为</w:t>
      </w:r>
      <w:r>
        <w:rPr>
          <w:rFonts w:ascii="Times New Roman" w:eastAsia="Times New Roman" w:hAnsi="Times New Roman" w:cs="Times New Roman"/>
          <w:color w:val="000000"/>
          <w:spacing w:val="0"/>
          <w:w w:val="100"/>
          <w:position w:val="0"/>
        </w:rPr>
        <w:t>0.00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 xml:space="preserve">0.00 </w:t>
      </w:r>
      <w:r>
        <w:rPr>
          <w:color w:val="000000"/>
          <w:spacing w:val="0"/>
          <w:w w:val="100"/>
          <w:position w:val="0"/>
        </w:rPr>
        <w:t>万元。</w:t>
      </w:r>
    </w:p>
    <w:p>
      <w:pPr>
        <w:pStyle w:val="Style23"/>
        <w:keepNext w:val="0"/>
        <w:keepLines w:val="0"/>
        <w:widowControl w:val="0"/>
        <w:numPr>
          <w:ilvl w:val="0"/>
          <w:numId w:val="5"/>
        </w:numPr>
        <w:shd w:val="clear" w:color="auto" w:fill="auto"/>
        <w:bidi w:val="0"/>
        <w:spacing w:before="0" w:after="100" w:line="294" w:lineRule="exact"/>
        <w:ind w:left="0" w:right="0" w:firstLine="380"/>
        <w:jc w:val="both"/>
      </w:pPr>
      <w:bookmarkStart w:id="135" w:name="bookmark135"/>
      <w:bookmarkEnd w:id="13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月，高伟达软件股份有限公司出资设立海南高伟达科技有限公司。该公司于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日完成工商设立登 记，注册资本为人民币</w:t>
      </w:r>
      <w:r>
        <w:rPr>
          <w:rFonts w:ascii="Times New Roman" w:eastAsia="Times New Roman" w:hAnsi="Times New Roman" w:cs="Times New Roman"/>
          <w:color w:val="000000"/>
          <w:spacing w:val="0"/>
          <w:w w:val="100"/>
          <w:position w:val="0"/>
        </w:rPr>
        <w:t>1,000.00</w:t>
      </w:r>
      <w:r>
        <w:rPr>
          <w:color w:val="000000"/>
          <w:spacing w:val="0"/>
          <w:w w:val="100"/>
          <w:position w:val="0"/>
        </w:rPr>
        <w:t>万元，全部由高伟达软件股份有限公司出资，拥有对其的控制权，故自该公司成立之日起， 将其纳入合并财务报表范围。截止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日，高伟达软件股份有限公司尚未实际出资，海南高伟达科技有限公司尚未 开展经营活动，期末净资产为</w:t>
      </w:r>
      <w:r>
        <w:rPr>
          <w:rFonts w:ascii="Times New Roman" w:eastAsia="Times New Roman" w:hAnsi="Times New Roman" w:cs="Times New Roman"/>
          <w:color w:val="000000"/>
          <w:spacing w:val="0"/>
          <w:w w:val="100"/>
          <w:position w:val="0"/>
        </w:rPr>
        <w:t>0.00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pStyle w:val="Style23"/>
        <w:keepNext w:val="0"/>
        <w:keepLines w:val="0"/>
        <w:widowControl w:val="0"/>
        <w:shd w:val="clear" w:color="auto" w:fill="auto"/>
        <w:bidi w:val="0"/>
        <w:spacing w:before="0" w:after="100" w:line="294"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.因其他原因减少子公司的情况</w:t>
      </w:r>
      <w:r>
        <w:rPr>
          <w:rFonts w:ascii="Times New Roman" w:eastAsia="Times New Roman" w:hAnsi="Times New Roman" w:cs="Times New Roman"/>
          <w:color w:val="000000"/>
          <w:spacing w:val="0"/>
          <w:w w:val="100"/>
          <w:position w:val="0"/>
        </w:rPr>
        <w:t>(</w:t>
      </w:r>
      <w:r>
        <w:rPr>
          <w:color w:val="000000"/>
          <w:spacing w:val="0"/>
          <w:w w:val="100"/>
          <w:position w:val="0"/>
        </w:rPr>
        <w:t>指因破产、歇业、到期解散等原因而注销减少的子公司</w:t>
      </w:r>
      <w:r>
        <w:rPr>
          <w:color w:val="000000"/>
          <w:spacing w:val="0"/>
          <w:w w:val="100"/>
          <w:position w:val="0"/>
        </w:rPr>
        <w:t>)</w:t>
      </w:r>
    </w:p>
    <w:p>
      <w:pPr>
        <w:pStyle w:val="Style23"/>
        <w:keepNext w:val="0"/>
        <w:keepLines w:val="0"/>
        <w:widowControl w:val="0"/>
        <w:numPr>
          <w:ilvl w:val="0"/>
          <w:numId w:val="7"/>
        </w:numPr>
        <w:shd w:val="clear" w:color="auto" w:fill="auto"/>
        <w:tabs>
          <w:tab w:pos="757" w:val="left"/>
        </w:tabs>
        <w:bidi w:val="0"/>
        <w:spacing w:before="0" w:after="100" w:line="302" w:lineRule="exact"/>
        <w:ind w:left="0" w:right="0" w:firstLine="380"/>
        <w:jc w:val="both"/>
      </w:pPr>
      <w:bookmarkStart w:id="136" w:name="bookmark136"/>
      <w:bookmarkEnd w:id="136"/>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日，公司批准深圳市磐世科技有限公司解散。深圳市磐世科技有限公司已于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日办妥注销手 续。故自该公司注销时起，不再将其纳入合并财务报表范围。</w:t>
      </w:r>
    </w:p>
    <w:p>
      <w:pPr>
        <w:pStyle w:val="Style23"/>
        <w:keepNext w:val="0"/>
        <w:keepLines w:val="0"/>
        <w:widowControl w:val="0"/>
        <w:numPr>
          <w:ilvl w:val="0"/>
          <w:numId w:val="7"/>
        </w:numPr>
        <w:shd w:val="clear" w:color="auto" w:fill="auto"/>
        <w:tabs>
          <w:tab w:pos="762" w:val="left"/>
        </w:tabs>
        <w:bidi w:val="0"/>
        <w:spacing w:before="0" w:after="100" w:line="293" w:lineRule="exact"/>
        <w:ind w:left="0" w:right="0" w:firstLine="380"/>
        <w:jc w:val="both"/>
      </w:pPr>
      <w:bookmarkStart w:id="137" w:name="bookmark137"/>
      <w:bookmarkEnd w:id="137"/>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日内蒙古魔力果信息技术有限公司股东会决议公司解散。内蒙古魔力果信息技术有限公司已于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日办妥注销手续。故自该公司注销时起，不再将其纳入合并财务报表范围。</w:t>
      </w:r>
    </w:p>
    <w:p>
      <w:pPr>
        <w:pStyle w:val="Style23"/>
        <w:keepNext w:val="0"/>
        <w:keepLines w:val="0"/>
        <w:widowControl w:val="0"/>
        <w:numPr>
          <w:ilvl w:val="0"/>
          <w:numId w:val="7"/>
        </w:numPr>
        <w:shd w:val="clear" w:color="auto" w:fill="auto"/>
        <w:tabs>
          <w:tab w:pos="771" w:val="left"/>
        </w:tabs>
        <w:bidi w:val="0"/>
        <w:spacing w:before="0" w:after="400" w:line="293" w:lineRule="exact"/>
        <w:ind w:left="0" w:right="0" w:firstLine="380"/>
        <w:jc w:val="both"/>
      </w:pPr>
      <w:bookmarkStart w:id="138" w:name="bookmark138"/>
      <w:bookmarkEnd w:id="13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日苏州伟达融创信息技术有限公司股东会决议公司解散。苏州伟达融创信息技术有限公司已于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日办妥注销手续。故自该公司注销时起，不再将其纳入合并财务报表范围。</w:t>
      </w:r>
    </w:p>
    <w:p>
      <w:pPr>
        <w:pStyle w:val="Style32"/>
        <w:keepNext/>
        <w:keepLines/>
        <w:widowControl w:val="0"/>
        <w:numPr>
          <w:ilvl w:val="0"/>
          <w:numId w:val="3"/>
        </w:numPr>
        <w:shd w:val="clear" w:color="auto" w:fill="auto"/>
        <w:tabs>
          <w:tab w:pos="502" w:val="left"/>
        </w:tabs>
        <w:bidi w:val="0"/>
        <w:spacing w:before="0" w:after="400" w:line="240" w:lineRule="auto"/>
        <w:ind w:left="0" w:right="0" w:firstLine="0"/>
        <w:jc w:val="both"/>
      </w:pPr>
      <w:bookmarkStart w:id="139" w:name="bookmark139"/>
      <w:bookmarkStart w:id="140" w:name="bookmark140"/>
      <w:bookmarkStart w:id="141" w:name="bookmark141"/>
      <w:bookmarkStart w:id="142" w:name="bookmark142"/>
      <w:bookmarkEnd w:id="141"/>
      <w:r>
        <w:rPr>
          <w:color w:val="000000"/>
          <w:spacing w:val="0"/>
          <w:w w:val="100"/>
          <w:position w:val="0"/>
        </w:rPr>
        <w:t>公司报告期内业务、产品或服务发生重大变化或调整有关情况</w:t>
      </w:r>
      <w:bookmarkEnd w:id="139"/>
      <w:bookmarkEnd w:id="140"/>
      <w:bookmarkEnd w:id="142"/>
    </w:p>
    <w:p>
      <w:pPr>
        <w:pStyle w:val="Style23"/>
        <w:keepNext w:val="0"/>
        <w:keepLines w:val="0"/>
        <w:widowControl w:val="0"/>
        <w:shd w:val="clear" w:color="auto" w:fill="auto"/>
        <w:bidi w:val="0"/>
        <w:spacing w:before="0" w:after="300" w:line="34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3"/>
        </w:numPr>
        <w:shd w:val="clear" w:color="auto" w:fill="auto"/>
        <w:tabs>
          <w:tab w:pos="502" w:val="left"/>
        </w:tabs>
        <w:bidi w:val="0"/>
        <w:spacing w:before="0" w:after="300" w:line="240" w:lineRule="auto"/>
        <w:ind w:left="0" w:right="0" w:firstLine="0"/>
        <w:jc w:val="both"/>
      </w:pPr>
      <w:bookmarkStart w:id="143" w:name="bookmark143"/>
      <w:bookmarkStart w:id="144" w:name="bookmark144"/>
      <w:bookmarkStart w:id="145" w:name="bookmark145"/>
      <w:bookmarkStart w:id="146" w:name="bookmark146"/>
      <w:bookmarkEnd w:id="145"/>
      <w:r>
        <w:rPr>
          <w:color w:val="000000"/>
          <w:spacing w:val="0"/>
          <w:w w:val="100"/>
          <w:position w:val="0"/>
        </w:rPr>
        <w:t>主要销售客户和主要供应商情况</w:t>
      </w:r>
      <w:bookmarkEnd w:id="143"/>
      <w:bookmarkEnd w:id="144"/>
      <w:bookmarkEnd w:id="146"/>
    </w:p>
    <w:p>
      <w:pPr>
        <w:pStyle w:val="Style23"/>
        <w:keepNext w:val="0"/>
        <w:keepLines w:val="0"/>
        <w:widowControl w:val="0"/>
        <w:shd w:val="clear" w:color="auto" w:fill="auto"/>
        <w:bidi w:val="0"/>
        <w:spacing w:before="0" w:after="100" w:line="294" w:lineRule="exact"/>
        <w:ind w:left="0" w:right="0" w:firstLine="0"/>
        <w:jc w:val="both"/>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1,537,243,863.78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9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1,014,944,332.34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44.54%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281,428,444.38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12.35%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122,020,843.53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60,961,357.48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2.67%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57,888,886.06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2.54%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1,537,243,863.79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67.45%</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主要客户其他情况说明</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809,258,985.89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484,635,650.59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147,176,584.00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8.43%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70,205,844.96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4.02%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55,375,892.34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51,865,014.00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2.97%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809,258,985.89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46.34%</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主要供应商其他情况说明</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344"/>
        <w:gridCol w:w="1560"/>
        <w:gridCol w:w="1416"/>
        <w:gridCol w:w="334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63,335,983.05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66,013,326.34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公司销售费用整体变动不大</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78,013,391.05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72,272,546.59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公司管理费用整体变动不大</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17,544,133.31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31,353,882.69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主要系公司融资规模缩小，融资成本降低； 及摊销融资费用减少所致</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89,201,692.53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78,497,779.09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主要系集团内各子公司为提高技术创新能 力，增加研发投入所致</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4</w:t>
      </w:r>
      <w:bookmarkEnd w:id="153"/>
      <w:r>
        <w:rPr>
          <w:color w:val="000000"/>
          <w:spacing w:val="0"/>
          <w:w w:val="100"/>
          <w:position w:val="0"/>
        </w:rPr>
        <w:t>、研发投入</w:t>
      </w:r>
      <w:bookmarkEnd w:id="151"/>
      <w:bookmarkEnd w:id="152"/>
      <w:bookmarkEnd w:id="15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481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江苏盈达数字化客 户管理平台研发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整合打通金融行业集团 内各业务条线客户信 息，着力提升数字化客 户运营业务全流程的平 台化管理和精细化管理 水平的指导思想；聚合 企业内部资源，构建一 体化、集团化的数字化 客户服务管理体系，围 绕数字化转型为客户搭 建一个分工明确、协调 高效、能够面向多样化 业务需求以及金融产 品、服务等复杂化要求 的业务运作体系以及配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已完成研发，已形成 软件著作权，并已在 相关银行客户中完 成项目落地，已形成 典型行业实践案例。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统一归集、管理的基础上提 升客户洞察能力，结合内外 部数据，结合大数据平台， 实现各类客户分析、标签及 画像能力；</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建立一套数字化客户业务管 理体系，充分利用与有效配 置内外各类资源为客户提供 综合服务且可持续运转的客 户协同管理体系。实现客户 信息共享、服务资源集成的 情况下建立协同任务流程管 理体系支持完善面向服务 场景的活动管理</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建设完备的产品、方案、项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基于金融行业的业务特征， 结合各金融机构的数字化转 型要求，面向客户信息管理 与服务，提供各业务部门与 销售交易之间业务信息互联 互通的渠道，建设支撑全业 务链服务体系的客户信息管 理平台，为跨部门业务协同 提供高效系统支持，实现业 务联合服务的高效协同、管 理与统计，并利用数据分析 与挖掘技术，实现细分客户 类型，挖掘潜在业务价值， 寻找更多交叉销售业务机 会，提升客户价值变现能力。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套的客户信息管理平 台，全面支撑全业务链 服务综合管理模式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目、综合金融场景服务方案 及知识库管理</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提升机构业务转型，实现</w:t>
            </w:r>
            <w:r>
              <w:rPr>
                <w:rFonts w:ascii="Times New Roman" w:eastAsia="Times New Roman" w:hAnsi="Times New Roman" w:cs="Times New Roman"/>
                <w:color w:val="000000"/>
                <w:spacing w:val="0"/>
                <w:w w:val="100"/>
                <w:position w:val="0"/>
              </w:rPr>
              <w:t>“</w:t>
            </w:r>
            <w:r>
              <w:rPr>
                <w:color w:val="000000"/>
                <w:spacing w:val="0"/>
                <w:w w:val="100"/>
                <w:position w:val="0"/>
              </w:rPr>
              <w:t>双 轮驱动</w:t>
            </w:r>
            <w:r>
              <w:rPr>
                <w:rFonts w:ascii="Times New Roman" w:eastAsia="Times New Roman" w:hAnsi="Times New Roman" w:cs="Times New Roman"/>
                <w:color w:val="000000"/>
                <w:spacing w:val="0"/>
                <w:w w:val="100"/>
                <w:position w:val="0"/>
              </w:rPr>
              <w:t>”</w:t>
            </w:r>
            <w:r>
              <w:rPr>
                <w:color w:val="000000"/>
                <w:spacing w:val="0"/>
                <w:w w:val="100"/>
                <w:position w:val="0"/>
              </w:rPr>
              <w:t>，将以数字化客户管 理平台为底层平台，加速打 造具备数字化销售管理和客 户运营的能力。本产品已经 申请软件著作权，对应的研 发成果已在多个银行落地， 预计在未来几年能够为公司 带来收益。</w:t>
            </w:r>
          </w:p>
        </w:tc>
      </w:tr>
      <w:tr>
        <w:trPr>
          <w:trHeight w:val="726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江苏盈达互联网信 贷产品研发项目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围绕监管及风控管理要 求，充分发挥数据价值 在信贷领域的应用，探 索围绕信创战略的业务 实践，深化互联网在银 行信贷业务中所发挥的 作用，一方面拓宽了业 务营销渠道，为未来顺 利引入第三方合作平台 及外部客户奠定良好的 基础；另一方面引入自 动化工具实现自动化审 批、自助放款，从而有 效降低运营成本，提高 资本回报率；同时，还 可提高银行信贷客户的 客户体验，增加银行客 户经营能力，以及客户 与银行的粘性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已完成研发，已形成 软件著作权，并已在 相关银行客户中完 成项目落地，已形成 典型行业实践案例。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实现互联网信贷客户信息的 统一管理，实现同其他业务 系统的数据交互；在线实时 获取客户的经营或收入等历 史数据，全面了解授信客户 的信用情况，实现客户标签 及画像管理，降低信息不对 称风险，提高授信的风险防 范能力和贷后管理水平。</w:t>
            </w:r>
          </w:p>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实现互联网信贷业务流程线 上化、智能化，实现授信申 请、受理、审批、放款、回 收全流程的线上管理。</w:t>
            </w:r>
          </w:p>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实现客户统一额度管控，基 于银保监及人行的管理要 求，围绕客户综合授信额度 管理办法，制实现客户授信 额度在金融各类业务系统中 授信、用信的全生命周期管 理。</w:t>
            </w:r>
          </w:p>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实现智能化的贷后管理，涵 盖智能催收、智慧诉讼、科 学核销、及时保全。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围绕互联网金融的本质</w:t>
            </w:r>
            <w:r>
              <w:rPr>
                <w:color w:val="000000"/>
                <w:spacing w:val="0"/>
                <w:w w:val="100"/>
                <w:position w:val="0"/>
              </w:rPr>
              <w:t>，</w:t>
            </w:r>
            <w:r>
              <w:rPr>
                <w:color w:val="000000"/>
                <w:spacing w:val="0"/>
                <w:w w:val="100"/>
                <w:position w:val="0"/>
              </w:rPr>
              <w:t>从 信贷金融产品创造、营销、 运营、管控的全流程，充分 大数据、人工智能等新技术 应用，充分结合国家信创战 略，最终推动银行产品、渠 道、基础设施、盈利模式的 变化新的形势，新的发展， 从而实现</w:t>
            </w:r>
            <w:r>
              <w:rPr>
                <w:rFonts w:ascii="Times New Roman" w:eastAsia="Times New Roman" w:hAnsi="Times New Roman" w:cs="Times New Roman"/>
                <w:color w:val="000000"/>
                <w:spacing w:val="0"/>
                <w:w w:val="100"/>
                <w:position w:val="0"/>
              </w:rPr>
              <w:t>“</w:t>
            </w:r>
            <w:r>
              <w:rPr>
                <w:color w:val="000000"/>
                <w:spacing w:val="0"/>
                <w:w w:val="100"/>
                <w:position w:val="0"/>
              </w:rPr>
              <w:t>智能化</w:t>
            </w:r>
            <w:r>
              <w:rPr>
                <w:rFonts w:ascii="Times New Roman" w:eastAsia="Times New Roman" w:hAnsi="Times New Roman" w:cs="Times New Roman"/>
                <w:color w:val="000000"/>
                <w:spacing w:val="0"/>
                <w:w w:val="100"/>
                <w:position w:val="0"/>
              </w:rPr>
              <w:t>”</w:t>
            </w:r>
            <w:r>
              <w:rPr>
                <w:color w:val="000000"/>
                <w:spacing w:val="0"/>
                <w:w w:val="100"/>
                <w:position w:val="0"/>
              </w:rPr>
              <w:t>互联网信 贷应用实践，本产品已经申 请软件著作权，对应的研发 成果已在多个银行落地，预 计在未来几年能够为公司带 来收益。</w:t>
            </w:r>
          </w:p>
        </w:tc>
      </w:tr>
      <w:tr>
        <w:trPr>
          <w:trHeight w:val="25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高伟达持续集成工 具平台</w:t>
            </w:r>
            <w:r>
              <w:rPr>
                <w:rFonts w:ascii="Times New Roman" w:eastAsia="Times New Roman" w:hAnsi="Times New Roman" w:cs="Times New Roman"/>
                <w:color w:val="000000"/>
                <w:spacing w:val="0"/>
                <w:w w:val="100"/>
                <w:position w:val="0"/>
              </w:rPr>
              <w:t>V1.0</w:t>
            </w:r>
          </w:p>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Easy_CI_V1.0</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搭建公司级的</w:t>
            </w:r>
          </w:p>
          <w:p>
            <w:pPr>
              <w:pStyle w:val="Style1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DEVOPS</w:t>
            </w:r>
            <w:r>
              <w:rPr>
                <w:color w:val="000000"/>
                <w:spacing w:val="0"/>
                <w:w w:val="100"/>
                <w:position w:val="0"/>
              </w:rPr>
              <w:t>平台，支持公 司产品研发、项目实施 使用，形成统一的持续 集成机制，并在未来能 够逐步输出成熟应用方 案及工具平台至金融行 业客户。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研发一期已经初步 完成与配置库、制品 仓库的集成，完成统 一的</w:t>
            </w:r>
            <w:r>
              <w:rPr>
                <w:rFonts w:ascii="Times New Roman" w:eastAsia="Times New Roman" w:hAnsi="Times New Roman" w:cs="Times New Roman"/>
                <w:color w:val="000000"/>
                <w:spacing w:val="0"/>
                <w:w w:val="100"/>
                <w:position w:val="0"/>
              </w:rPr>
              <w:t>JAVA</w:t>
            </w:r>
            <w:r>
              <w:rPr>
                <w:color w:val="000000"/>
                <w:spacing w:val="0"/>
                <w:w w:val="100"/>
                <w:position w:val="0"/>
              </w:rPr>
              <w:t>生态构建 功能，初步满足项目 开发实施过程中的 规范化使用。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后续进一步完善自动化测 试、持续部署等延申功能， 逐步形成公司级的成熟 </w:t>
            </w:r>
            <w:r>
              <w:rPr>
                <w:rFonts w:ascii="Times New Roman" w:eastAsia="Times New Roman" w:hAnsi="Times New Roman" w:cs="Times New Roman"/>
                <w:color w:val="000000"/>
                <w:spacing w:val="0"/>
                <w:w w:val="100"/>
                <w:position w:val="0"/>
              </w:rPr>
              <w:t>DEVOPS</w:t>
            </w:r>
            <w:r>
              <w:rPr>
                <w:color w:val="000000"/>
                <w:spacing w:val="0"/>
                <w:w w:val="100"/>
                <w:position w:val="0"/>
              </w:rPr>
              <w:t>平台工具，逐步满 足产品对外输出标准。</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将该持续集成工具平台逐 步推广至公司的产品研发、 项目实施过程中，规范各项 目实施作业至统一标准，通 过配置管理的标准化稳步加 强项目实施质量，进而提升 公司项目实施形象及业内影 响力。</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322" w:lineRule="exact"/>
              <w:ind w:left="0" w:right="0" w:firstLine="0"/>
              <w:jc w:val="left"/>
            </w:pPr>
            <w:r>
              <w:rPr>
                <w:color w:val="000000"/>
                <w:spacing w:val="0"/>
                <w:w w:val="100"/>
                <w:position w:val="0"/>
              </w:rPr>
              <w:t>高伟达国产基础平 台信贷应用开发</w:t>
            </w:r>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随着银行业信贷业务的 发展，信贷管理系统应 用的功能越来越多，系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在项目建设过程中， 已实现统一的技术 框架的搭建：项目采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伴随着信贷业务用户量增 加，信贷业务功能扩展及相 应方式在逐步进行演变，在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支持分布式架构的国产信贷 应用开发平台建设项目能够 满足应用平台一次建设，多</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7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统打包、部署和新特性 上线的周期也变得越来 越困难。于此同时，随 着互联网</w:t>
            </w:r>
            <w:r>
              <w:rPr>
                <w:rFonts w:ascii="Times New Roman" w:eastAsia="Times New Roman" w:hAnsi="Times New Roman" w:cs="Times New Roman"/>
                <w:color w:val="000000"/>
                <w:spacing w:val="0"/>
                <w:w w:val="100"/>
                <w:position w:val="0"/>
              </w:rPr>
              <w:t>/</w:t>
            </w:r>
            <w:r>
              <w:rPr>
                <w:color w:val="000000"/>
                <w:spacing w:val="0"/>
                <w:w w:val="100"/>
                <w:position w:val="0"/>
              </w:rPr>
              <w:t>移动互联网的 兴起，信贷业务用户量 激增，大流量、高并发 的用户访问对服务器的 压力越来越大，传统的 方式通过不断的增加硬 件来满足应用的快速响 应和高的吞吐量，但这 些方式逐渐难以解决日 益增长的业务处理效率 和系统运行维护问题。 鉴于银行业是信息化程 度较高的行业，商业银 行要在产品的推出效 率、客户体验、精准营 销、业务场景等方面做 出改进和安排，这就要 求银行的</w:t>
            </w:r>
            <w:r>
              <w:rPr>
                <w:rFonts w:ascii="Times New Roman" w:eastAsia="Times New Roman" w:hAnsi="Times New Roman" w:cs="Times New Roman"/>
                <w:color w:val="000000"/>
                <w:spacing w:val="0"/>
                <w:w w:val="100"/>
                <w:position w:val="0"/>
              </w:rPr>
              <w:t>IT</w:t>
            </w:r>
            <w:r>
              <w:rPr>
                <w:color w:val="000000"/>
                <w:spacing w:val="0"/>
                <w:w w:val="100"/>
                <w:position w:val="0"/>
              </w:rPr>
              <w:t>系统架构必 须灵活、开放。在这样 的背景下，分布式系统 架构得以广泛使用，此 平台建设完成后，将应 用于商业银行信贷管理 系统及相关业务系统的 开发及维护，满足在互 联网及移动互联网背景 下，银行业大客户量、 高并发量的信贷业务需 求。同时伴随着信息技 术应用创新产业的发 展，在</w:t>
            </w:r>
            <w:r>
              <w:rPr>
                <w:rFonts w:ascii="Times New Roman" w:eastAsia="Times New Roman" w:hAnsi="Times New Roman" w:cs="Times New Roman"/>
                <w:color w:val="000000"/>
                <w:spacing w:val="0"/>
                <w:w w:val="100"/>
                <w:position w:val="0"/>
              </w:rPr>
              <w:t>IT</w:t>
            </w:r>
            <w:r>
              <w:rPr>
                <w:color w:val="000000"/>
                <w:spacing w:val="0"/>
                <w:w w:val="100"/>
                <w:position w:val="0"/>
              </w:rPr>
              <w:t>基础设施、基 础软件、信息安全等方 面逐步国产化是一项国 家战略。通过国产信贷 应用开发平台的建设， 目的是逐步构建我们自 己的</w:t>
            </w:r>
            <w:r>
              <w:rPr>
                <w:rFonts w:ascii="Times New Roman" w:eastAsia="Times New Roman" w:hAnsi="Times New Roman" w:cs="Times New Roman"/>
                <w:color w:val="000000"/>
                <w:spacing w:val="0"/>
                <w:w w:val="100"/>
                <w:position w:val="0"/>
              </w:rPr>
              <w:t>IT</w:t>
            </w:r>
            <w:r>
              <w:rPr>
                <w:color w:val="000000"/>
                <w:spacing w:val="0"/>
                <w:w w:val="100"/>
                <w:position w:val="0"/>
              </w:rPr>
              <w:t>底层构架和标 准，形成自由的开放生 态，保证信息可控，安 全，拥有我们自己可用 的，好用的</w:t>
            </w:r>
            <w:r>
              <w:rPr>
                <w:rFonts w:ascii="Times New Roman" w:eastAsia="Times New Roman" w:hAnsi="Times New Roman" w:cs="Times New Roman"/>
                <w:color w:val="000000"/>
                <w:spacing w:val="0"/>
                <w:w w:val="100"/>
                <w:position w:val="0"/>
              </w:rPr>
              <w:t>IT</w:t>
            </w:r>
            <w:r>
              <w:rPr>
                <w:color w:val="000000"/>
                <w:spacing w:val="0"/>
                <w:w w:val="100"/>
                <w:position w:val="0"/>
              </w:rPr>
              <w:t>生态系统。</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用统一的前端开发 架构、后端交易架 构、服务处理架构、 批处理架构在项目 建设过程中，已实现 统一的数据规范的 制定：统一的数据字 典、数据库表规范、 信贷数据标准规范、 信贷结果数据应用 规范。在项目建设过 程中，已实现统一的 开发规范遵循：遵循 统一的开发规范和 应用平台开发手册 规范。</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这个过程中，开发模式、技 术架构等都会发生非常大的 变化。通过支持分布式架构 的国产信贷应用开发平台， 从服务化的角度进行开发， 支持系统的公共服务抽取， 支持独立开发，部署和维护， 通过分布式系统架构的应用 解决系统并发，扩展，维护 的问题，达到更好的独立发 展与伸缩、更灵活的部署、 更好的隔离和容错、更高的 开发效率的目标通过国产信 贷应用开发平台的建设，实 现信息技术应用创新的目 标，逐步构建我们自己的</w:t>
            </w:r>
            <w:r>
              <w:rPr>
                <w:rFonts w:ascii="Times New Roman" w:eastAsia="Times New Roman" w:hAnsi="Times New Roman" w:cs="Times New Roman"/>
                <w:color w:val="000000"/>
                <w:spacing w:val="0"/>
                <w:w w:val="100"/>
                <w:position w:val="0"/>
              </w:rPr>
              <w:t xml:space="preserve">IT </w:t>
            </w:r>
            <w:r>
              <w:rPr>
                <w:color w:val="000000"/>
                <w:spacing w:val="0"/>
                <w:w w:val="100"/>
                <w:position w:val="0"/>
              </w:rPr>
              <w:t>底层构架和标准，形成自由 的开放生态，保证信息可控， 安全，拥有我们自己可用的， 好用的</w:t>
            </w:r>
            <w:r>
              <w:rPr>
                <w:rFonts w:ascii="Times New Roman" w:eastAsia="Times New Roman" w:hAnsi="Times New Roman" w:cs="Times New Roman"/>
                <w:color w:val="000000"/>
                <w:spacing w:val="0"/>
                <w:w w:val="100"/>
                <w:position w:val="0"/>
              </w:rPr>
              <w:t>IT</w:t>
            </w:r>
            <w:r>
              <w:rPr>
                <w:color w:val="000000"/>
                <w:spacing w:val="0"/>
                <w:w w:val="100"/>
                <w:position w:val="0"/>
              </w:rPr>
              <w:t>生态系统。</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次复用的一次性投资收益。 平台建成后，在未来信贷管 理系统的研发和实施过程 中，可以节省实施方面的技 术成本，提高实施效率，为 整体项目带来更好的盈利 性。通过分布式架构的国产 信贷应用开发平台建设，能 够降低信贷管理系统的建设 成本，提高项目实施效率， 在每个信贷管理系统建设过 程中，为整体项目带来非一 次性收益。通过分布式架构 的国产信贷应用开发平台建 设，除了满足技术平台及信 贷管理系统项目的实施收 益，在知识积累、技术储备、 技术平台输出等方面都能带 来不可定量的收益。通过积 极应对信创产业的发展，顺 应金融数字化转型的变化， 引进信创技术体系，带动传 统</w:t>
            </w:r>
            <w:r>
              <w:rPr>
                <w:rFonts w:ascii="Times New Roman" w:eastAsia="Times New Roman" w:hAnsi="Times New Roman" w:cs="Times New Roman"/>
                <w:color w:val="000000"/>
                <w:spacing w:val="0"/>
                <w:w w:val="100"/>
                <w:position w:val="0"/>
              </w:rPr>
              <w:t>IT</w:t>
            </w:r>
            <w:r>
              <w:rPr>
                <w:color w:val="000000"/>
                <w:spacing w:val="0"/>
                <w:w w:val="100"/>
                <w:position w:val="0"/>
              </w:rPr>
              <w:t>信息产业进行转型。</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85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高伟达移动信贷系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目前各级金融机构正在 运行的信贷管理系统对 规范信贷业务管理、促 进业务发展起到了积极 的作用。但随着业务的 发展和技术的进步，原 有的信贷管理系统已经 逐渐无法满足业务及管 理的需要。为了更好的 满足客户多元化和个性 化的需求，使金融服务 逐步向消费导向和服务 导向转变，本着</w:t>
            </w:r>
            <w:r>
              <w:rPr>
                <w:rFonts w:ascii="Times New Roman" w:eastAsia="Times New Roman" w:hAnsi="Times New Roman" w:cs="Times New Roman"/>
                <w:color w:val="000000"/>
                <w:spacing w:val="0"/>
                <w:w w:val="100"/>
                <w:position w:val="0"/>
              </w:rPr>
              <w:t>“</w:t>
            </w:r>
            <w:r>
              <w:rPr>
                <w:color w:val="000000"/>
                <w:spacing w:val="0"/>
                <w:w w:val="100"/>
                <w:position w:val="0"/>
              </w:rPr>
              <w:t>线下业 务移动化</w:t>
            </w:r>
            <w:r>
              <w:rPr>
                <w:rFonts w:ascii="Times New Roman" w:eastAsia="Times New Roman" w:hAnsi="Times New Roman" w:cs="Times New Roman"/>
                <w:color w:val="000000"/>
                <w:spacing w:val="0"/>
                <w:w w:val="100"/>
                <w:position w:val="0"/>
              </w:rPr>
              <w:t>”</w:t>
            </w:r>
            <w:r>
              <w:rPr>
                <w:color w:val="000000"/>
                <w:spacing w:val="0"/>
                <w:w w:val="100"/>
                <w:position w:val="0"/>
              </w:rPr>
              <w:t>的原则，通过 移动</w:t>
            </w:r>
            <w:r>
              <w:rPr>
                <w:rFonts w:ascii="Times New Roman" w:eastAsia="Times New Roman" w:hAnsi="Times New Roman" w:cs="Times New Roman"/>
                <w:color w:val="000000"/>
                <w:spacing w:val="0"/>
                <w:w w:val="100"/>
                <w:position w:val="0"/>
              </w:rPr>
              <w:t>pad</w:t>
            </w:r>
            <w:r>
              <w:rPr>
                <w:color w:val="000000"/>
                <w:spacing w:val="0"/>
                <w:w w:val="100"/>
                <w:position w:val="0"/>
              </w:rPr>
              <w:t>和智能终端受 理客户申请、完成信息 采集、并依赖信贷系统 对客户风险点做智能化 分析，实现贷前、贷中、 贷后高度智能、便捷化 的线上信贷业务操作。 依据信贷业务发展与</w:t>
            </w:r>
            <w:r>
              <w:rPr>
                <w:rFonts w:ascii="Times New Roman" w:eastAsia="Times New Roman" w:hAnsi="Times New Roman" w:cs="Times New Roman"/>
                <w:color w:val="000000"/>
                <w:spacing w:val="0"/>
                <w:w w:val="100"/>
                <w:position w:val="0"/>
              </w:rPr>
              <w:t xml:space="preserve">IT </w:t>
            </w:r>
            <w:r>
              <w:rPr>
                <w:color w:val="000000"/>
                <w:spacing w:val="0"/>
                <w:w w:val="100"/>
                <w:position w:val="0"/>
              </w:rPr>
              <w:t>建设的统一规划，启动 移动信贷系统</w:t>
            </w:r>
            <w:r>
              <w:rPr>
                <w:rFonts w:ascii="Times New Roman" w:eastAsia="Times New Roman" w:hAnsi="Times New Roman" w:cs="Times New Roman"/>
                <w:color w:val="000000"/>
                <w:spacing w:val="0"/>
                <w:w w:val="100"/>
                <w:position w:val="0"/>
              </w:rPr>
              <w:t>V1.0</w:t>
            </w:r>
            <w:r>
              <w:rPr>
                <w:color w:val="000000"/>
                <w:spacing w:val="0"/>
                <w:w w:val="100"/>
                <w:position w:val="0"/>
              </w:rPr>
              <w:t>研发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在项目建设过程中， 已建设完成登录验 证方式、信息采集、 客户管理、影像压 缩、流程处理、在线 审批、贷款发放、定 位轨迹、自助催收、 风险预警通知推送、 汇总图表、电子签名 和印章、权限转移、 押品管理、贷后检 查、档案管理等功能 建设。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通过移动信贷系统</w:t>
            </w:r>
            <w:r>
              <w:rPr>
                <w:rFonts w:ascii="Times New Roman" w:eastAsia="Times New Roman" w:hAnsi="Times New Roman" w:cs="Times New Roman"/>
                <w:color w:val="000000"/>
                <w:spacing w:val="0"/>
                <w:w w:val="100"/>
                <w:position w:val="0"/>
              </w:rPr>
              <w:t>V1.0</w:t>
            </w:r>
            <w:r>
              <w:rPr>
                <w:color w:val="000000"/>
                <w:spacing w:val="0"/>
                <w:w w:val="100"/>
                <w:position w:val="0"/>
              </w:rPr>
              <w:t>项 目的建设，将引入一套先进 的信贷管理系统技术平台， 以</w:t>
            </w:r>
            <w:r>
              <w:rPr>
                <w:rFonts w:ascii="Times New Roman" w:eastAsia="Times New Roman" w:hAnsi="Times New Roman" w:cs="Times New Roman"/>
                <w:color w:val="000000"/>
                <w:spacing w:val="0"/>
                <w:w w:val="100"/>
                <w:position w:val="0"/>
              </w:rPr>
              <w:t>“</w:t>
            </w:r>
            <w:r>
              <w:rPr>
                <w:color w:val="000000"/>
                <w:spacing w:val="0"/>
                <w:w w:val="100"/>
                <w:position w:val="0"/>
              </w:rPr>
              <w:t>适用性、灵活性、经济性、 可操作性、安全性、规范性、 可靠性、可扩展性</w:t>
            </w:r>
            <w:r>
              <w:rPr>
                <w:rFonts w:ascii="Times New Roman" w:eastAsia="Times New Roman" w:hAnsi="Times New Roman" w:cs="Times New Roman"/>
                <w:color w:val="000000"/>
                <w:spacing w:val="0"/>
                <w:w w:val="100"/>
                <w:position w:val="0"/>
              </w:rPr>
              <w:t>”</w:t>
            </w:r>
            <w:r>
              <w:rPr>
                <w:color w:val="000000"/>
                <w:spacing w:val="0"/>
                <w:w w:val="100"/>
                <w:position w:val="0"/>
              </w:rPr>
              <w:t xml:space="preserve">为建设原 则建设完成移动信贷系统 </w:t>
            </w:r>
            <w:r>
              <w:rPr>
                <w:rFonts w:ascii="Times New Roman" w:eastAsia="Times New Roman" w:hAnsi="Times New Roman" w:cs="Times New Roman"/>
                <w:color w:val="000000"/>
                <w:spacing w:val="0"/>
                <w:w w:val="100"/>
                <w:position w:val="0"/>
              </w:rPr>
              <w:t>V1.0</w:t>
            </w:r>
            <w:r>
              <w:rPr>
                <w:color w:val="000000"/>
                <w:spacing w:val="0"/>
                <w:w w:val="100"/>
                <w:position w:val="0"/>
              </w:rPr>
              <w:t>研发产品。</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移动信贷系统</w:t>
            </w:r>
            <w:r>
              <w:rPr>
                <w:rFonts w:ascii="Times New Roman" w:eastAsia="Times New Roman" w:hAnsi="Times New Roman" w:cs="Times New Roman"/>
                <w:color w:val="000000"/>
                <w:spacing w:val="0"/>
                <w:w w:val="100"/>
                <w:position w:val="0"/>
              </w:rPr>
              <w:t>V1.0</w:t>
            </w:r>
            <w:r>
              <w:rPr>
                <w:color w:val="000000"/>
                <w:spacing w:val="0"/>
                <w:w w:val="100"/>
                <w:position w:val="0"/>
              </w:rPr>
              <w:t>建设目 标最终将实现通过移动设备 办理相关的信贷业务，实现 信贷业务线上化操作。支持 业务人员岗位能够办理采集 客户信息、发起信贷业务流 程及相关业务查询等业务； 管理人员岗位能够完成贷款 审批、相关业务查询和人员 作业监督管理等业务。</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移动信贷系统实现的功能是 信贷系统的移动化，实现信 贷业务各条线上所有业务移 动化操作，包括客户信息采 集、信贷业务审批、贷后检 查及相关业务情况查询和督 导等。通过建设移动信贷系 统</w:t>
            </w:r>
            <w:r>
              <w:rPr>
                <w:rFonts w:ascii="Times New Roman" w:eastAsia="Times New Roman" w:hAnsi="Times New Roman" w:cs="Times New Roman"/>
                <w:color w:val="000000"/>
                <w:spacing w:val="0"/>
                <w:w w:val="100"/>
                <w:position w:val="0"/>
              </w:rPr>
              <w:t>V1.0</w:t>
            </w:r>
            <w:r>
              <w:rPr>
                <w:color w:val="000000"/>
                <w:spacing w:val="0"/>
                <w:w w:val="100"/>
                <w:position w:val="0"/>
              </w:rPr>
              <w:t>，</w:t>
            </w:r>
            <w:r>
              <w:rPr>
                <w:color w:val="000000"/>
                <w:spacing w:val="0"/>
                <w:w w:val="100"/>
                <w:position w:val="0"/>
              </w:rPr>
              <w:t>提供一套先进的风 险控制平台和工具。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通过移动信贷系统</w:t>
            </w:r>
            <w:r>
              <w:rPr>
                <w:rFonts w:ascii="Times New Roman" w:eastAsia="Times New Roman" w:hAnsi="Times New Roman" w:cs="Times New Roman"/>
                <w:color w:val="000000"/>
                <w:spacing w:val="0"/>
                <w:w w:val="100"/>
                <w:position w:val="0"/>
              </w:rPr>
              <w:t>V1.0</w:t>
            </w:r>
            <w:r>
              <w:rPr>
                <w:color w:val="000000"/>
                <w:spacing w:val="0"/>
                <w:w w:val="100"/>
                <w:position w:val="0"/>
              </w:rPr>
              <w:t>的 建设。能够满足应用平台一 次建设，多次复用的一次性 投资收益。平台建成后，在 未来移动信贷系统的研发和 实施过程中，可以节省实施 方面的技术成本，提高实施 效率，为整体项目带来更好 的盈利性。通过移动信贷系 统</w:t>
            </w:r>
            <w:r>
              <w:rPr>
                <w:rFonts w:ascii="Times New Roman" w:eastAsia="Times New Roman" w:hAnsi="Times New Roman" w:cs="Times New Roman"/>
                <w:color w:val="000000"/>
                <w:spacing w:val="0"/>
                <w:w w:val="100"/>
                <w:position w:val="0"/>
              </w:rPr>
              <w:t>V1.0</w:t>
            </w:r>
            <w:r>
              <w:rPr>
                <w:color w:val="000000"/>
                <w:spacing w:val="0"/>
                <w:w w:val="100"/>
                <w:position w:val="0"/>
              </w:rPr>
              <w:t>的建设，能够降低信 贷业务系统群的建设成本， 提高项目实施效率，为整体 项目带来非一次性收益。通 过移动信贷系统</w:t>
            </w:r>
            <w:r>
              <w:rPr>
                <w:rFonts w:ascii="Times New Roman" w:eastAsia="Times New Roman" w:hAnsi="Times New Roman" w:cs="Times New Roman"/>
                <w:color w:val="000000"/>
                <w:spacing w:val="0"/>
                <w:w w:val="100"/>
                <w:position w:val="0"/>
              </w:rPr>
              <w:t>V1.0</w:t>
            </w:r>
            <w:r>
              <w:rPr>
                <w:color w:val="000000"/>
                <w:spacing w:val="0"/>
                <w:w w:val="100"/>
                <w:position w:val="0"/>
              </w:rPr>
              <w:t>的建 设，除了满足技术平台及移 动信贷系统项目的实施收 益，在知识积累、技术储备、 技术平台输出等方面都能带 来不可定量的收益。通过移 动信贷系统</w:t>
            </w:r>
            <w:r>
              <w:rPr>
                <w:rFonts w:ascii="Times New Roman" w:eastAsia="Times New Roman" w:hAnsi="Times New Roman" w:cs="Times New Roman"/>
                <w:color w:val="000000"/>
                <w:spacing w:val="0"/>
                <w:w w:val="100"/>
                <w:position w:val="0"/>
              </w:rPr>
              <w:t>V1.0</w:t>
            </w:r>
            <w:r>
              <w:rPr>
                <w:color w:val="000000"/>
                <w:spacing w:val="0"/>
                <w:w w:val="100"/>
                <w:position w:val="0"/>
              </w:rPr>
              <w:t>的建设，能 够丰富公司信贷管理系统产 品线，支持围绕客户、渠道、 产品为金融类客户提供全方 面的信贷</w:t>
            </w:r>
            <w:r>
              <w:rPr>
                <w:rFonts w:ascii="Times New Roman" w:eastAsia="Times New Roman" w:hAnsi="Times New Roman" w:cs="Times New Roman"/>
                <w:color w:val="000000"/>
                <w:spacing w:val="0"/>
                <w:w w:val="100"/>
                <w:position w:val="0"/>
              </w:rPr>
              <w:t>IT</w:t>
            </w:r>
            <w:r>
              <w:rPr>
                <w:color w:val="000000"/>
                <w:spacing w:val="0"/>
                <w:w w:val="100"/>
                <w:position w:val="0"/>
              </w:rPr>
              <w:t>服务。</w:t>
            </w:r>
          </w:p>
        </w:tc>
      </w:tr>
      <w:tr>
        <w:trPr>
          <w:trHeight w:val="53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329" w:lineRule="exact"/>
              <w:ind w:left="0" w:right="0" w:firstLine="0"/>
              <w:jc w:val="left"/>
            </w:pPr>
            <w:r>
              <w:rPr>
                <w:color w:val="000000"/>
                <w:spacing w:val="0"/>
                <w:w w:val="100"/>
                <w:position w:val="0"/>
              </w:rPr>
              <w:t>睿雪信用卡客户经 理营销管理平台软 件【简称：</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ifinACMMS</w:t>
            </w:r>
            <w:r>
              <w:rPr>
                <w:color w:val="000000"/>
                <w:spacing w:val="0"/>
                <w:w w:val="100"/>
                <w:position w:val="0"/>
              </w:rPr>
              <w:t xml:space="preserve">] </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随着移动互联网的快速 发展，移动</w:t>
            </w:r>
            <w:r>
              <w:rPr>
                <w:rFonts w:ascii="Times New Roman" w:eastAsia="Times New Roman" w:hAnsi="Times New Roman" w:cs="Times New Roman"/>
                <w:color w:val="000000"/>
                <w:spacing w:val="0"/>
                <w:w w:val="100"/>
                <w:position w:val="0"/>
              </w:rPr>
              <w:t>App</w:t>
            </w:r>
            <w:r>
              <w:rPr>
                <w:color w:val="000000"/>
                <w:spacing w:val="0"/>
                <w:w w:val="100"/>
                <w:position w:val="0"/>
              </w:rPr>
              <w:t>成为商 业银行开展信用卡业务 和拓展服务渠道的重要 途径，也是客户关系管 理和用户生命周期管理 的重要手段。目前信用 卡市场相对饱和度越来 越高，新增发卡量增速 正逐年下滑，信用卡获 客越来越难。但信用卡 营销的重点仍然在获客 上，未来获客方向是信 用卡中心通过跨界合 作，进行场景的深度挖 掘，实现精准营销。获 取平台消费场景，精准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研发完成，已获得软 著，成果已在银行客 户项目中落地。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608" w:val="left"/>
              </w:tabs>
              <w:bidi w:val="0"/>
              <w:spacing w:before="0" w:after="0" w:line="314" w:lineRule="exact"/>
              <w:ind w:left="0" w:right="0" w:firstLine="0"/>
              <w:jc w:val="both"/>
            </w:pPr>
            <w:r>
              <w:rPr>
                <w:color w:val="000000"/>
                <w:spacing w:val="0"/>
                <w:w w:val="100"/>
                <w:position w:val="0"/>
              </w:rPr>
              <w:t>睿雪信用卡客户经理营销管 理平台软件使用目标客群主 要为银行信用卡中心客户经 理，产品主要功能包括：线 索营销派单（抢单、</w:t>
            </w:r>
            <w:r>
              <w:rPr>
                <w:rFonts w:ascii="Times New Roman" w:eastAsia="Times New Roman" w:hAnsi="Times New Roman" w:cs="Times New Roman"/>
                <w:color w:val="000000"/>
                <w:spacing w:val="0"/>
                <w:w w:val="100"/>
                <w:position w:val="0"/>
              </w:rPr>
              <w:t>GPS</w:t>
            </w:r>
            <w:r>
              <w:rPr>
                <w:color w:val="000000"/>
                <w:spacing w:val="0"/>
                <w:w w:val="100"/>
                <w:position w:val="0"/>
              </w:rPr>
              <w:t>派 单及线索追踪）和辅助营销 线索功能提供业绩查询、热 门活动、消息中心、签到签 退、在线学习、在线考试、 竞赛活动及业绩查询等提供 服务支持功能。</w:t>
              <w:tab/>
              <w:t>客户经</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理营销管理平台，通过标准 接口对接卡中心内部系统， 获取信用卡中心新客户及存 量客户，通过相关派单模型 计算，筛选出有效的客户资 源，精准的推送给客户经理，</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不同金融机构在面对不同的 客户类别时，业务处理细节 也可能并不一致，为了保证 能够随着业务需求的不断变 化而满足市场要求，管理平 台实现规则化驱动，调整策 略无须改动任何代码，减少 技术人员的后台干预，最大 程度满足公司各相关业务政 策部门和风险部门的各种策 略制定需求，具备很好的简 单易用性和可维护性。睿雪 信用卡客户经理营销管理平 台软件为银行、金融机构及 有营销需求提供数据采集、 智能派单、客户经理课程培 训及考试、客户经理日常展</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tabs>
                <w:tab w:pos="1498" w:val="left"/>
              </w:tabs>
              <w:bidi w:val="0"/>
              <w:spacing w:before="0" w:after="0" w:line="312" w:lineRule="exact"/>
              <w:ind w:left="0" w:right="0" w:firstLine="0"/>
              <w:jc w:val="both"/>
            </w:pPr>
            <w:r>
              <w:rPr>
                <w:color w:val="000000"/>
                <w:spacing w:val="0"/>
                <w:w w:val="100"/>
                <w:position w:val="0"/>
              </w:rPr>
              <w:t>地了解用户习惯，找到 有这类消费需求的目标 客户，将线索推送给客 户经理，提高客户经理 推广办卡效率，增加卡 中心发卡量。</w:t>
              <w:tab/>
              <w:t>睿雪</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信用卡客户经理营销管 理平台，将线上发卡模 式和线下发卡模式两种 发卡模式有效的结合， 实现线上客户资源线下 营销，有效激活了客户 资源。同时还具有办卡 进度查询、热门活动、 消息中心、签到签退、 在线学习、在线考试、 竞赛活动及业绩查询等 提供服务支持功能，将 客户经理营销服务平台 打造为客户经理线下工 作的贴心助手。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帮助客户经理迅速的寻找和 定位目标客户，大幅度的提 高客户经理推广办卡效率， 增加卡中心发卡量。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业活动业绩为一体的营销解 决方案。提高公司核心竞争 力，满足市场需求，提高公 司收益。</w:t>
            </w:r>
          </w:p>
        </w:tc>
      </w:tr>
      <w:tr>
        <w:trPr>
          <w:trHeight w:val="723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睿雪数据服务决策 支持系统软件【简 称：</w:t>
            </w:r>
            <w:r>
              <w:rPr>
                <w:rFonts w:ascii="Times New Roman" w:eastAsia="Times New Roman" w:hAnsi="Times New Roman" w:cs="Times New Roman"/>
                <w:color w:val="000000"/>
                <w:spacing w:val="0"/>
                <w:w w:val="100"/>
                <w:position w:val="0"/>
              </w:rPr>
              <w:t>iFinDataDSS</w:t>
            </w:r>
            <w:r>
              <w:rPr>
                <w:color w:val="000000"/>
                <w:spacing w:val="0"/>
                <w:w w:val="100"/>
                <w:position w:val="0"/>
              </w:rPr>
              <w:t>】</w:t>
            </w:r>
          </w:p>
          <w:p>
            <w:pPr>
              <w:pStyle w:val="Style17"/>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随着企业业务规模的增 长，企业积累了较为丰 富、实用的市场营销的 实施模式和经验，构成 了各行业务宝贵的信息 资源；同时在</w:t>
            </w:r>
            <w:r>
              <w:rPr>
                <w:rFonts w:ascii="Times New Roman" w:eastAsia="Times New Roman" w:hAnsi="Times New Roman" w:cs="Times New Roman"/>
                <w:color w:val="000000"/>
                <w:spacing w:val="0"/>
                <w:w w:val="100"/>
                <w:position w:val="0"/>
              </w:rPr>
              <w:t>“</w:t>
            </w:r>
            <w:r>
              <w:rPr>
                <w:color w:val="000000"/>
                <w:spacing w:val="0"/>
                <w:w w:val="100"/>
                <w:position w:val="0"/>
              </w:rPr>
              <w:t>规模发 展</w:t>
            </w:r>
            <w:r>
              <w:rPr>
                <w:rFonts w:ascii="Times New Roman" w:eastAsia="Times New Roman" w:hAnsi="Times New Roman" w:cs="Times New Roman"/>
                <w:color w:val="000000"/>
                <w:spacing w:val="0"/>
                <w:w w:val="100"/>
                <w:position w:val="0"/>
              </w:rPr>
              <w:t>”</w:t>
            </w:r>
            <w:r>
              <w:rPr>
                <w:color w:val="000000"/>
                <w:spacing w:val="0"/>
                <w:w w:val="100"/>
                <w:position w:val="0"/>
              </w:rPr>
              <w:t>的第一阶段目标初 步实现之后，未来行业 业务将逐渐向</w:t>
            </w:r>
            <w:r>
              <w:rPr>
                <w:rFonts w:ascii="Times New Roman" w:eastAsia="Times New Roman" w:hAnsi="Times New Roman" w:cs="Times New Roman"/>
                <w:color w:val="000000"/>
                <w:spacing w:val="0"/>
                <w:w w:val="100"/>
                <w:position w:val="0"/>
              </w:rPr>
              <w:t>“</w:t>
            </w:r>
            <w:r>
              <w:rPr>
                <w:color w:val="000000"/>
                <w:spacing w:val="0"/>
                <w:w w:val="100"/>
                <w:position w:val="0"/>
              </w:rPr>
              <w:t>质量发 展</w:t>
            </w:r>
            <w:r>
              <w:rPr>
                <w:rFonts w:ascii="Times New Roman" w:eastAsia="Times New Roman" w:hAnsi="Times New Roman" w:cs="Times New Roman"/>
                <w:color w:val="000000"/>
                <w:spacing w:val="0"/>
                <w:w w:val="100"/>
                <w:position w:val="0"/>
              </w:rPr>
              <w:t>”</w:t>
            </w:r>
            <w:r>
              <w:rPr>
                <w:color w:val="000000"/>
                <w:spacing w:val="0"/>
                <w:w w:val="100"/>
                <w:position w:val="0"/>
              </w:rPr>
              <w:t>的方向转变，迫切需 要各企业引入精细化管 理和精准营销、提高服 务品质、加强客户研究、 提供差异化服务、提高 整体收益水平。</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睿雪数据服务决策支持 系统软件集合金融企业 环境的特点，为金融企 业量身打造一个智能化 的工作流程和数据服务 平台。使得企业在面对 当前市场激烈竞争做出 关键决策活动时，可以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已开发完成，并获得 软著。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实现一套能够独立部署的营 销决策平台，用户可以利用 可视化的方式来配置数据 源、绑定数据源、配置图形 化数据显示和输入项检查、 定制样式主题，并最终能够 非常容易的发布设计好的表 单并集成到各个系统的</w:t>
            </w:r>
            <w:r>
              <w:rPr>
                <w:rFonts w:ascii="Times New Roman" w:eastAsia="Times New Roman" w:hAnsi="Times New Roman" w:cs="Times New Roman"/>
                <w:color w:val="000000"/>
                <w:spacing w:val="0"/>
                <w:w w:val="100"/>
                <w:position w:val="0"/>
              </w:rPr>
              <w:t xml:space="preserve">PC </w:t>
            </w:r>
            <w:r>
              <w:rPr>
                <w:color w:val="000000"/>
                <w:spacing w:val="0"/>
                <w:w w:val="100"/>
                <w:position w:val="0"/>
              </w:rPr>
              <w:t>和移动</w:t>
            </w:r>
            <w:r>
              <w:rPr>
                <w:rFonts w:ascii="Times New Roman" w:eastAsia="Times New Roman" w:hAnsi="Times New Roman" w:cs="Times New Roman"/>
                <w:color w:val="000000"/>
                <w:spacing w:val="0"/>
                <w:w w:val="100"/>
                <w:position w:val="0"/>
              </w:rPr>
              <w:t>Web</w:t>
            </w:r>
            <w:r>
              <w:rPr>
                <w:color w:val="000000"/>
                <w:spacing w:val="0"/>
                <w:w w:val="100"/>
                <w:position w:val="0"/>
              </w:rPr>
              <w:t>页面中，平台将 包含下列特色功能：（</w:t>
            </w:r>
            <w:r>
              <w:rPr>
                <w:rFonts w:ascii="Times New Roman" w:eastAsia="Times New Roman" w:hAnsi="Times New Roman" w:cs="Times New Roman"/>
                <w:color w:val="000000"/>
                <w:spacing w:val="0"/>
                <w:w w:val="100"/>
                <w:position w:val="0"/>
              </w:rPr>
              <w:t>1</w:t>
            </w:r>
            <w:r>
              <w:rPr>
                <w:color w:val="000000"/>
                <w:spacing w:val="0"/>
                <w:w w:val="100"/>
                <w:position w:val="0"/>
              </w:rPr>
              <w:t>）配 置管理，包括数据源管理、 皮肤管理、表单组件管理、 画布管理、元数据管理（</w:t>
            </w:r>
            <w:r>
              <w:rPr>
                <w:rFonts w:ascii="Times New Roman" w:eastAsia="Times New Roman" w:hAnsi="Times New Roman" w:cs="Times New Roman"/>
                <w:color w:val="000000"/>
                <w:spacing w:val="0"/>
                <w:w w:val="100"/>
                <w:position w:val="0"/>
              </w:rPr>
              <w:t>2</w:t>
            </w:r>
            <w:r>
              <w:rPr>
                <w:color w:val="000000"/>
                <w:spacing w:val="0"/>
                <w:w w:val="100"/>
                <w:position w:val="0"/>
              </w:rPr>
              <w:t>） 图形化引擎，包括表单元数 据、权限元数据、数据适配、 缓存处理、</w:t>
            </w:r>
            <w:r>
              <w:rPr>
                <w:rFonts w:ascii="Times New Roman" w:eastAsia="Times New Roman" w:hAnsi="Times New Roman" w:cs="Times New Roman"/>
                <w:color w:val="000000"/>
                <w:spacing w:val="0"/>
                <w:w w:val="100"/>
                <w:position w:val="0"/>
              </w:rPr>
              <w:t>SQL</w:t>
            </w:r>
            <w:r>
              <w:rPr>
                <w:color w:val="000000"/>
                <w:spacing w:val="0"/>
                <w:w w:val="100"/>
                <w:position w:val="0"/>
              </w:rPr>
              <w:t>解析器（</w:t>
            </w:r>
            <w:r>
              <w:rPr>
                <w:rFonts w:ascii="Times New Roman" w:eastAsia="Times New Roman" w:hAnsi="Times New Roman" w:cs="Times New Roman"/>
                <w:color w:val="000000"/>
                <w:spacing w:val="0"/>
                <w:w w:val="100"/>
                <w:position w:val="0"/>
              </w:rPr>
              <w:t>3</w:t>
            </w:r>
            <w:r>
              <w:rPr>
                <w:color w:val="000000"/>
                <w:spacing w:val="0"/>
                <w:w w:val="100"/>
                <w:position w:val="0"/>
              </w:rPr>
              <w:t>） 模版设计器，包括表单组件、 表格组件、画布组件、校验 组件、元数据绑定组件</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平台集合金融企业的特点， 为金融企业量身打造一个智 能化的工作流程和数据服务 平台。使得企业在面对当前 市场激烈竞争做出关键决策 活动时，可以做到</w:t>
            </w:r>
            <w:r>
              <w:rPr>
                <w:rFonts w:ascii="Times New Roman" w:eastAsia="Times New Roman" w:hAnsi="Times New Roman" w:cs="Times New Roman"/>
                <w:color w:val="000000"/>
                <w:spacing w:val="0"/>
                <w:w w:val="100"/>
                <w:position w:val="0"/>
              </w:rPr>
              <w:t>“</w:t>
            </w:r>
            <w:r>
              <w:rPr>
                <w:color w:val="000000"/>
                <w:spacing w:val="0"/>
                <w:w w:val="100"/>
                <w:position w:val="0"/>
              </w:rPr>
              <w:t>广泛性、 深入性、可比性、前瞻性</w:t>
            </w:r>
            <w:r>
              <w:rPr>
                <w:rFonts w:ascii="Times New Roman" w:eastAsia="Times New Roman" w:hAnsi="Times New Roman" w:cs="Times New Roman"/>
                <w:color w:val="000000"/>
                <w:spacing w:val="0"/>
                <w:w w:val="100"/>
                <w:position w:val="0"/>
              </w:rPr>
              <w:t xml:space="preserve">” </w:t>
            </w:r>
            <w:r>
              <w:rPr>
                <w:color w:val="000000"/>
                <w:spacing w:val="0"/>
                <w:w w:val="100"/>
                <w:position w:val="0"/>
              </w:rPr>
              <w:t>正确把握市场脉搏。同时做 到对数据的高效率的管理、 深度的挖掘、全面的积累， 成为最终胜出市场的可靠保 障。目前银行刚刚进行数据 服务决策支持系统项目的尝 试，目前也是试点，在本次 立项产品开发出来时，产品 可以赶上大规模应用时机。</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做到</w:t>
            </w:r>
            <w:r>
              <w:rPr>
                <w:rFonts w:ascii="Times New Roman" w:eastAsia="Times New Roman" w:hAnsi="Times New Roman" w:cs="Times New Roman"/>
                <w:color w:val="000000"/>
                <w:spacing w:val="0"/>
                <w:w w:val="100"/>
                <w:position w:val="0"/>
              </w:rPr>
              <w:t>“</w:t>
            </w:r>
            <w:r>
              <w:rPr>
                <w:color w:val="000000"/>
                <w:spacing w:val="0"/>
                <w:w w:val="100"/>
                <w:position w:val="0"/>
              </w:rPr>
              <w:t>广泛性、深入性、 可比性、前瞻性</w:t>
            </w:r>
            <w:r>
              <w:rPr>
                <w:rFonts w:ascii="Times New Roman" w:eastAsia="Times New Roman" w:hAnsi="Times New Roman" w:cs="Times New Roman"/>
                <w:color w:val="000000"/>
                <w:spacing w:val="0"/>
                <w:w w:val="100"/>
                <w:position w:val="0"/>
              </w:rPr>
              <w:t>”</w:t>
            </w:r>
            <w:r>
              <w:rPr>
                <w:color w:val="000000"/>
                <w:spacing w:val="0"/>
                <w:w w:val="100"/>
                <w:position w:val="0"/>
              </w:rPr>
              <w:t>正确把 握市场脉搏。同时做到 对数据的高效率的管 理、深度的挖掘、全面 的积累，成为最终胜出 市场的可靠保障。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睿雪票据交易直联</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业务管理平台软件</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【简称：</w:t>
            </w:r>
            <w:r>
              <w:rPr>
                <w:rFonts w:ascii="Times New Roman" w:eastAsia="Times New Roman" w:hAnsi="Times New Roman" w:cs="Times New Roman"/>
                <w:color w:val="000000"/>
                <w:spacing w:val="0"/>
                <w:w w:val="100"/>
                <w:position w:val="0"/>
              </w:rPr>
              <w:t>iFinCPES</w:t>
            </w:r>
            <w:r>
              <w:rPr>
                <w:color w:val="000000"/>
                <w:spacing w:val="0"/>
                <w:w w:val="100"/>
                <w:position w:val="0"/>
              </w:rPr>
              <w:t>】</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日，票交 所向工商银行等</w:t>
            </w:r>
            <w:r>
              <w:rPr>
                <w:rFonts w:ascii="Times New Roman" w:eastAsia="Times New Roman" w:hAnsi="Times New Roman" w:cs="Times New Roman"/>
                <w:color w:val="000000"/>
                <w:spacing w:val="0"/>
                <w:w w:val="100"/>
                <w:position w:val="0"/>
              </w:rPr>
              <w:t>20</w:t>
            </w:r>
            <w:r>
              <w:rPr>
                <w:color w:val="000000"/>
                <w:spacing w:val="0"/>
                <w:w w:val="100"/>
                <w:position w:val="0"/>
              </w:rPr>
              <w:t>余家 金融机构发送</w:t>
            </w:r>
            <w:r>
              <w:rPr>
                <w:rFonts w:ascii="Times New Roman" w:eastAsia="Times New Roman" w:hAnsi="Times New Roman" w:cs="Times New Roman"/>
                <w:color w:val="000000"/>
                <w:spacing w:val="0"/>
                <w:w w:val="100"/>
                <w:position w:val="0"/>
              </w:rPr>
              <w:t>“</w:t>
            </w:r>
            <w:r>
              <w:rPr>
                <w:color w:val="000000"/>
                <w:spacing w:val="0"/>
                <w:w w:val="100"/>
                <w:position w:val="0"/>
              </w:rPr>
              <w:t>上海票 据交易所关于开展《票 据业务系统直连接口规 范》征求意见函</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票 据业务系统工程实施安 排调查问卷</w:t>
            </w:r>
            <w:r>
              <w:rPr>
                <w:rFonts w:ascii="Times New Roman" w:eastAsia="Times New Roman" w:hAnsi="Times New Roman" w:cs="Times New Roman"/>
                <w:color w:val="000000"/>
                <w:spacing w:val="0"/>
                <w:w w:val="100"/>
                <w:position w:val="0"/>
              </w:rPr>
              <w:t>”</w:t>
            </w:r>
            <w:r>
              <w:rPr>
                <w:color w:val="000000"/>
                <w:spacing w:val="0"/>
                <w:w w:val="100"/>
                <w:position w:val="0"/>
              </w:rPr>
              <w:t>，拟建设承 载票据全生命周期业务 的新一代票据业务系 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票交所正式发布关于印 发《新一代票据业务系 统业务方案》和《新一 代票据业务系统直连接 口规范</w:t>
            </w:r>
            <w:r>
              <w:rPr>
                <w:rFonts w:ascii="Times New Roman" w:eastAsia="Times New Roman" w:hAnsi="Times New Roman" w:cs="Times New Roman"/>
                <w:color w:val="000000"/>
                <w:spacing w:val="0"/>
                <w:w w:val="100"/>
                <w:position w:val="0"/>
              </w:rPr>
              <w:t>V1.0</w:t>
            </w:r>
            <w:r>
              <w:rPr>
                <w:color w:val="000000"/>
                <w:spacing w:val="0"/>
                <w:w w:val="100"/>
                <w:position w:val="0"/>
              </w:rPr>
              <w:t>》的通知。 根据通知的要求，票交 所初定第一批金融机构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月起接入 票交所联调测试，于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月份票据业务 系统投产上线，其他金 融机构在</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前按月逐批进行投产上 线（具体计划待后续公 布）；待并行期后，所有 金融机构完成新老票据 系统切换和存量数据迁 移工作，最终所有金融 机构均在新一代票据业 务系统中办理全生命周 期票据业务。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日，票交所发布《新 一代票据业务系统工程 计划》、《新一代票据业 务系统市场推广期业务 安排》的通知（票交所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已完成项目开发，并 已获得软著，研发成 果在多家银行客户 项目中得到应用。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睿雪票据交易直联业务管理 平台软件主要实现的功能范 围，是通过与</w:t>
            </w:r>
            <w:r>
              <w:rPr>
                <w:rFonts w:ascii="Times New Roman" w:eastAsia="Times New Roman" w:hAnsi="Times New Roman" w:cs="Times New Roman"/>
                <w:color w:val="000000"/>
                <w:spacing w:val="0"/>
                <w:w w:val="100"/>
                <w:position w:val="0"/>
              </w:rPr>
              <w:t>CPES</w:t>
            </w:r>
            <w:r>
              <w:rPr>
                <w:color w:val="000000"/>
                <w:spacing w:val="0"/>
                <w:w w:val="100"/>
                <w:position w:val="0"/>
              </w:rPr>
              <w:t>实现新 一代票据业务全直连接入， 包括一级市场票据承兑、背 书、质押、保证、贴现等贴 现前业务流程，创新实现了 按票据包形式签发票据，支 持持票人按实际需要将所持 票据包进行分包使用的业务 功能；同时，融合优化了交 易系统的交易、转贴现、质 押式回购、再贴现等贴现后 业务流程；同步补齐了票据 市场新型风险的系统控制功 能（包括：企业信息报备、 账户主动管理等），新增了不 可转让标志撤销、电票冻结 与解冻、到期提示付款批量 清算等功能。</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票交所为降低市场成员系统 对接、功能建设成本和运维 复杂度、补强票据业务风险 防控手段、提升票据对企业 端市场服务能力的迫切需 要，建设承载票据全生命周 期业务的新一代票据业务系 统，并要求所有商业银行财 务公司分批次接入。公司票 据产品根据票交所要求升级 睿雪票据交易直联业务管理 平台软件【简称：</w:t>
            </w:r>
            <w:r>
              <w:rPr>
                <w:rFonts w:ascii="Times New Roman" w:eastAsia="Times New Roman" w:hAnsi="Times New Roman" w:cs="Times New Roman"/>
                <w:color w:val="000000"/>
                <w:spacing w:val="0"/>
                <w:w w:val="100"/>
                <w:position w:val="0"/>
              </w:rPr>
              <w:t>iFinCPES</w:t>
            </w:r>
            <w:r>
              <w:rPr>
                <w:color w:val="000000"/>
                <w:spacing w:val="0"/>
                <w:w w:val="100"/>
                <w:position w:val="0"/>
              </w:rPr>
              <w:t xml:space="preserve">】 </w:t>
            </w:r>
            <w:r>
              <w:rPr>
                <w:rFonts w:ascii="Times New Roman" w:eastAsia="Times New Roman" w:hAnsi="Times New Roman" w:cs="Times New Roman"/>
                <w:color w:val="000000"/>
                <w:spacing w:val="0"/>
                <w:w w:val="100"/>
                <w:position w:val="0"/>
              </w:rPr>
              <w:t>V4.0</w:t>
            </w:r>
            <w:r>
              <w:rPr>
                <w:color w:val="000000"/>
                <w:spacing w:val="0"/>
                <w:w w:val="100"/>
                <w:position w:val="0"/>
              </w:rPr>
              <w:t>，响应票交所号召，满 足市场需求，可产生客观的 直接经济效益。</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67</w:t>
            </w:r>
            <w:r>
              <w:rPr>
                <w:color w:val="000000"/>
                <w:spacing w:val="0"/>
                <w:w w:val="100"/>
                <w:position w:val="0"/>
              </w:rPr>
              <w:t>号），进 一步明确新一代票据业 务系统推广期业务安排 和工程实施计划。睿雪 票据交易直联业务管理 平台软件将不断产出形 成适应新一代票据业务 系统直连规范标准的睿 雪票据交易直联业务管 理平台，作为后续大规 模项目实施的基础版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睿雪供应链金融服 务平台软件【简称： </w:t>
            </w:r>
            <w:r>
              <w:rPr>
                <w:rFonts w:ascii="Times New Roman" w:eastAsia="Times New Roman" w:hAnsi="Times New Roman" w:cs="Times New Roman"/>
                <w:color w:val="000000"/>
                <w:spacing w:val="0"/>
                <w:w w:val="100"/>
                <w:position w:val="0"/>
              </w:rPr>
              <w:t>iFinSCF］</w:t>
            </w:r>
            <w:r>
              <w:rPr>
                <w:color w:val="000000"/>
                <w:spacing w:val="0"/>
                <w:w w:val="100"/>
                <w:position w:val="0"/>
              </w:rPr>
              <w:t xml:space="preserve">】 </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睿雪供应链金融服务平 台软件旨在打造业内领 先的面向企业客户全线 上的多租户供应链金融 平台，定位为贸易金融 业务线上化操作及客户 营销的综合服务平台。 平台整合供应链金融相 关贸易数据、线上业务 操作数据、合作方（如 物流企业）对接数据， 为客户提供贸易协作、 在线融资、物流监管、 支付结算等互联网金融 服务，提高客户服务水 平，增强客户满意度， 引领供应链金融业务发 展，并改进工作流程， 促进工作协同，保持企 业供应链金融的业内领 先地位，增强企业的可 持续发展能力。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已获得软著，研发成 果已在客户现场得 到应用。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睿雪供应链金融服务平台软 件主要是依托核心企业面向 集团公司上下游企业客户提 供基于数据的在线综合金融 服务的发展策略，实现平台 化互联供应链金融业务发展 目标，构建睿雪供应链金融 云平台软件，支持并覆盖产 业链各环节的金融服务。基 于贸易场景的金融服务，与 内外部合作机构进行系统对 接（如企业验真、发票验签、 电子签章、合同存证等一系 列在线外部数据交互）以确 保供应链贸易数据真实、不 可篡改，金融资产可信、可 溯源，达到线上操作业务， 简化业务流程的目的，优化 客户体验，进而提升核心企 业综合金融服务的品牌形 象；实现与集团下属企业、 上下游中小企业及其他第三 方合作机构的信息交互，支 持多法人云部署、支持</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模式业务运营。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近年来，供应链金融已经获 得了较大的发展，已经从银 行业务扩展到其他行业客户 的一种服务模式，多数大型 企业及集团公司相继开展供 应链融资业务，但由于自建 系统周期长且费用高的情况 下，迫切需要系统来支撑目 前的业务，而睿雪供应链金 融云平台软件就能满足其需 求。平台借助互联网信息技 术、移动通信技术，通过对 网络数据的挖掘和分析，打 通资金端、资产端、运营端 及第三方服务端提供综合金 融服务。 睿雪供应链金 融服务平台软件研发，将有 效的落地公司对供应链业务 的市场需求及业务理解，可 向银行及金融机构提供一套 可有效可靠的供应链金融系 统。满足客户的供应链业务 需求。</w:t>
            </w:r>
          </w:p>
        </w:tc>
      </w:tr>
      <w:tr>
        <w:trPr>
          <w:trHeight w:val="224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翕振移动信贷软件</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提升信贷风险管理功 能、流转实效及审批审 核效率，并结合实际工 作场景，挑选了部分在 日常业务中比较常用的 功能移植到手机办公场</w:t>
            </w:r>
          </w:p>
          <w:p>
            <w:pPr>
              <w:pStyle w:val="Style17"/>
              <w:keepNext w:val="0"/>
              <w:keepLines w:val="0"/>
              <w:widowControl w:val="0"/>
              <w:shd w:val="clear" w:color="auto" w:fill="auto"/>
              <w:tabs>
                <w:tab w:pos="720" w:val="left"/>
              </w:tabs>
              <w:bidi w:val="0"/>
              <w:spacing w:before="0" w:after="0" w:line="311" w:lineRule="exact"/>
              <w:ind w:left="0" w:right="0" w:firstLine="0"/>
              <w:jc w:val="both"/>
            </w:pPr>
            <w:r>
              <w:rPr>
                <w:color w:val="000000"/>
                <w:spacing w:val="0"/>
                <w:w w:val="100"/>
                <w:position w:val="0"/>
              </w:rPr>
              <w:t>景。</w:t>
              <w:tab/>
              <w:t>结合新兴技术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已完成项目开发，并 开始在客户项目中 尝试使用。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系统开发成功将对客户的信 贷业务提供充分的</w:t>
            </w:r>
            <w:r>
              <w:rPr>
                <w:rFonts w:ascii="Times New Roman" w:eastAsia="Times New Roman" w:hAnsi="Times New Roman" w:cs="Times New Roman"/>
                <w:color w:val="000000"/>
                <w:spacing w:val="0"/>
                <w:w w:val="100"/>
                <w:position w:val="0"/>
              </w:rPr>
              <w:t>IT</w:t>
            </w:r>
            <w:r>
              <w:rPr>
                <w:color w:val="000000"/>
                <w:spacing w:val="0"/>
                <w:w w:val="100"/>
                <w:position w:val="0"/>
              </w:rPr>
              <w:t>支持， 具有极强的扩展性和前瞻 性。系统能够实现客户的管 理、业务电子化管理、信息 交流、统计分析、监测、审 批、控制和信息存储、汇总、</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在完成产品研发的基础上， 研发成果在上海银行移动审 批、上海银行魔镜等项目中 得到应用，预期在未来能够 为公司带来客观市场效益。</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框架，采用前后端分离 架构，支持更丰富的部 署及集成模式，提供更 优的操作体验。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收集、提供等一系列功能， 为各层次的经营管理提供全 面的信息及监控、决策工具。 为加快信贷业务创新、强化 绩效考核手段、降低风险管 理成本、提高风险决策效率 和水平提供充分的信息支 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403" w:hRule="exact"/>
        </w:trPr>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w:t>
            </w:r>
          </w:p>
        </w:tc>
      </w:tr>
      <w:tr>
        <w:trPr>
          <w:trHeight w:val="403" w:hRule="exact"/>
        </w:trPr>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76,050,766.95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63,133,646.45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52,503,277.04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36,424.50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pStyle w:val="Style32"/>
        <w:keepNext/>
        <w:keepLines/>
        <w:widowControl w:val="0"/>
        <w:shd w:val="clear" w:color="auto" w:fill="auto"/>
        <w:bidi w:val="0"/>
        <w:spacing w:before="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5</w:t>
      </w:r>
      <w:bookmarkEnd w:id="157"/>
      <w:r>
        <w:rPr>
          <w:color w:val="000000"/>
          <w:spacing w:val="0"/>
          <w:w w:val="100"/>
          <w:position w:val="0"/>
        </w:rPr>
        <w:t>、现金流</w:t>
      </w:r>
      <w:bookmarkEnd w:id="155"/>
      <w:bookmarkEnd w:id="156"/>
      <w:bookmarkEnd w:id="15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2,554,816,352.89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2,181,114,244.63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2,639,686,347.73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1,948,753,596.14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-84,869,994.84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232,360,648.49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562,336,333.18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727,712,988.67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461,241,920.80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962,264,836.29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101,094,412.38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-234,551,847.62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339,040,585.70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471,522,665.56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476,580,512.36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479,912,583.62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-137,539,926.66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-8,389,918.06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-1,539.35%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-121,335,096.70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-10,430,845.74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-1,063.23%</w:t>
            </w:r>
          </w:p>
        </w:tc>
      </w:tr>
    </w:tbl>
    <w:p>
      <w:pPr>
        <w:pStyle w:val="Style23"/>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349" w:val="left"/>
        </w:tabs>
        <w:bidi w:val="0"/>
        <w:spacing w:before="0" w:after="0" w:line="326" w:lineRule="exact"/>
        <w:ind w:left="0" w:right="0" w:firstLine="0"/>
        <w:jc w:val="left"/>
      </w:pPr>
      <w:bookmarkStart w:id="159" w:name="bookmark159"/>
      <w:r>
        <w:rPr>
          <w:rFonts w:ascii="Times New Roman" w:eastAsia="Times New Roman" w:hAnsi="Times New Roman" w:cs="Times New Roman"/>
          <w:color w:val="000000"/>
          <w:spacing w:val="0"/>
          <w:w w:val="100"/>
          <w:position w:val="0"/>
        </w:rPr>
        <w:t>1</w:t>
      </w:r>
      <w:bookmarkEnd w:id="159"/>
      <w:r>
        <w:rPr>
          <w:color w:val="000000"/>
          <w:spacing w:val="0"/>
          <w:w w:val="100"/>
          <w:position w:val="0"/>
        </w:rPr>
        <w:t>、</w:t>
        <w:tab/>
        <w:t>经营活动产生的现金流量净额较上年同期下降</w:t>
      </w:r>
      <w:r>
        <w:rPr>
          <w:rFonts w:ascii="Times New Roman" w:eastAsia="Times New Roman" w:hAnsi="Times New Roman" w:cs="Times New Roman"/>
          <w:color w:val="000000"/>
          <w:spacing w:val="0"/>
          <w:w w:val="100"/>
          <w:position w:val="0"/>
        </w:rPr>
        <w:t>136.53%</w:t>
      </w:r>
      <w:r>
        <w:rPr>
          <w:color w:val="000000"/>
          <w:spacing w:val="0"/>
          <w:w w:val="100"/>
          <w:position w:val="0"/>
        </w:rPr>
        <w:t>，主要系报告期支付集成采购款，及人员规模扩大支付薪酬增加 所致。</w:t>
      </w:r>
    </w:p>
    <w:p>
      <w:pPr>
        <w:pStyle w:val="Style23"/>
        <w:keepNext w:val="0"/>
        <w:keepLines w:val="0"/>
        <w:widowControl w:val="0"/>
        <w:shd w:val="clear" w:color="auto" w:fill="auto"/>
        <w:tabs>
          <w:tab w:pos="354" w:val="left"/>
        </w:tabs>
        <w:bidi w:val="0"/>
        <w:spacing w:before="0" w:after="0" w:line="326" w:lineRule="exact"/>
        <w:ind w:left="0" w:right="0" w:firstLine="0"/>
        <w:jc w:val="left"/>
      </w:pPr>
      <w:bookmarkStart w:id="160" w:name="bookmark160"/>
      <w:r>
        <w:rPr>
          <w:rFonts w:ascii="Times New Roman" w:eastAsia="Times New Roman" w:hAnsi="Times New Roman" w:cs="Times New Roman"/>
          <w:color w:val="000000"/>
          <w:spacing w:val="0"/>
          <w:w w:val="100"/>
          <w:position w:val="0"/>
        </w:rPr>
        <w:t>2</w:t>
      </w:r>
      <w:bookmarkEnd w:id="160"/>
      <w:r>
        <w:rPr>
          <w:color w:val="000000"/>
          <w:spacing w:val="0"/>
          <w:w w:val="100"/>
          <w:position w:val="0"/>
        </w:rPr>
        <w:t>、</w:t>
        <w:tab/>
        <w:t>投资活动产生的现金流量净额较上年同期增加</w:t>
      </w:r>
      <w:r>
        <w:rPr>
          <w:rFonts w:ascii="Times New Roman" w:eastAsia="Times New Roman" w:hAnsi="Times New Roman" w:cs="Times New Roman"/>
          <w:color w:val="000000"/>
          <w:spacing w:val="0"/>
          <w:w w:val="100"/>
          <w:position w:val="0"/>
        </w:rPr>
        <w:t>143.10%</w:t>
      </w:r>
      <w:r>
        <w:rPr>
          <w:color w:val="000000"/>
          <w:spacing w:val="0"/>
          <w:w w:val="100"/>
          <w:position w:val="0"/>
        </w:rPr>
        <w:t>，主要系报告期公司处置房产及现金管理所致。</w:t>
      </w:r>
    </w:p>
    <w:p>
      <w:pPr>
        <w:pStyle w:val="Style23"/>
        <w:keepNext w:val="0"/>
        <w:keepLines w:val="0"/>
        <w:widowControl w:val="0"/>
        <w:shd w:val="clear" w:color="auto" w:fill="auto"/>
        <w:tabs>
          <w:tab w:pos="354" w:val="left"/>
        </w:tabs>
        <w:bidi w:val="0"/>
        <w:spacing w:before="0" w:after="0" w:line="326" w:lineRule="exact"/>
        <w:ind w:left="0" w:right="0" w:firstLine="0"/>
        <w:jc w:val="left"/>
      </w:pPr>
      <w:bookmarkStart w:id="161" w:name="bookmark161"/>
      <w:r>
        <w:rPr>
          <w:rFonts w:ascii="Times New Roman" w:eastAsia="Times New Roman" w:hAnsi="Times New Roman" w:cs="Times New Roman"/>
          <w:color w:val="000000"/>
          <w:spacing w:val="0"/>
          <w:w w:val="100"/>
          <w:position w:val="0"/>
        </w:rPr>
        <w:t>3</w:t>
      </w:r>
      <w:bookmarkEnd w:id="161"/>
      <w:r>
        <w:rPr>
          <w:color w:val="000000"/>
          <w:spacing w:val="0"/>
          <w:w w:val="100"/>
          <w:position w:val="0"/>
        </w:rPr>
        <w:t>、</w:t>
        <w:tab/>
        <w:t>筹资活动产生的现金流量净额较上年同期下降</w:t>
      </w:r>
      <w:r>
        <w:rPr>
          <w:rFonts w:ascii="Times New Roman" w:eastAsia="Times New Roman" w:hAnsi="Times New Roman" w:cs="Times New Roman"/>
          <w:color w:val="000000"/>
          <w:spacing w:val="0"/>
          <w:w w:val="100"/>
          <w:position w:val="0"/>
        </w:rPr>
        <w:t>1539.35%</w:t>
      </w:r>
      <w:r>
        <w:rPr>
          <w:color w:val="000000"/>
          <w:spacing w:val="0"/>
          <w:w w:val="100"/>
          <w:position w:val="0"/>
        </w:rPr>
        <w:t>，主要系报告期公司偿还银行贷款所致。</w:t>
      </w:r>
    </w:p>
    <w:p>
      <w:pPr>
        <w:pStyle w:val="Style23"/>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年度经营现金流</w:t>
      </w:r>
      <w:r>
        <w:rPr>
          <w:rFonts w:ascii="Times New Roman" w:eastAsia="Times New Roman" w:hAnsi="Times New Roman" w:cs="Times New Roman"/>
          <w:color w:val="000000"/>
          <w:spacing w:val="0"/>
          <w:w w:val="100"/>
          <w:position w:val="0"/>
        </w:rPr>
        <w:t>-8,487.00</w:t>
      </w:r>
      <w:r>
        <w:rPr>
          <w:color w:val="000000"/>
          <w:spacing w:val="0"/>
          <w:w w:val="100"/>
          <w:position w:val="0"/>
        </w:rPr>
        <w:t>万元，净利润</w:t>
      </w:r>
      <w:r>
        <w:rPr>
          <w:rFonts w:ascii="Times New Roman" w:eastAsia="Times New Roman" w:hAnsi="Times New Roman" w:cs="Times New Roman"/>
          <w:color w:val="000000"/>
          <w:spacing w:val="0"/>
          <w:w w:val="100"/>
          <w:position w:val="0"/>
        </w:rPr>
        <w:t>12,732.27</w:t>
      </w:r>
      <w:r>
        <w:rPr>
          <w:color w:val="000000"/>
          <w:spacing w:val="0"/>
          <w:w w:val="100"/>
          <w:position w:val="0"/>
        </w:rPr>
        <w:t>万元；差异较大主要由两方面因素形成：</w:t>
      </w:r>
    </w:p>
    <w:p>
      <w:pPr>
        <w:pStyle w:val="Style23"/>
        <w:keepNext w:val="0"/>
        <w:keepLines w:val="0"/>
        <w:widowControl w:val="0"/>
        <w:shd w:val="clear" w:color="auto" w:fill="auto"/>
        <w:tabs>
          <w:tab w:pos="334" w:val="left"/>
        </w:tabs>
        <w:bidi w:val="0"/>
        <w:spacing w:before="0" w:after="0" w:line="326" w:lineRule="exact"/>
        <w:ind w:left="0" w:right="0" w:firstLine="0"/>
        <w:jc w:val="left"/>
      </w:pPr>
      <w:bookmarkStart w:id="162" w:name="bookmark162"/>
      <w:r>
        <w:rPr>
          <w:rFonts w:ascii="Times New Roman" w:eastAsia="Times New Roman" w:hAnsi="Times New Roman" w:cs="Times New Roman"/>
          <w:color w:val="000000"/>
          <w:spacing w:val="0"/>
          <w:w w:val="100"/>
          <w:position w:val="0"/>
        </w:rPr>
        <w:t>1</w:t>
      </w:r>
      <w:bookmarkEnd w:id="16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年末集成设备应付款于</w:t>
      </w:r>
      <w:r>
        <w:rPr>
          <w:rFonts w:ascii="Times New Roman" w:eastAsia="Times New Roman" w:hAnsi="Times New Roman" w:cs="Times New Roman"/>
          <w:color w:val="000000"/>
          <w:spacing w:val="0"/>
          <w:w w:val="100"/>
          <w:position w:val="0"/>
        </w:rPr>
        <w:t>2021</w:t>
      </w:r>
      <w:r>
        <w:rPr>
          <w:color w:val="000000"/>
          <w:spacing w:val="0"/>
          <w:w w:val="100"/>
          <w:position w:val="0"/>
        </w:rPr>
        <w:t>年到期兑付，货币资金兑付集成采购款，使得当年现金流出较多。</w:t>
      </w:r>
    </w:p>
    <w:p>
      <w:pPr>
        <w:pStyle w:val="Style23"/>
        <w:keepNext w:val="0"/>
        <w:keepLines w:val="0"/>
        <w:widowControl w:val="0"/>
        <w:shd w:val="clear" w:color="auto" w:fill="auto"/>
        <w:tabs>
          <w:tab w:pos="354" w:val="left"/>
        </w:tabs>
        <w:bidi w:val="0"/>
        <w:spacing w:before="0" w:after="0" w:line="326" w:lineRule="exact"/>
        <w:ind w:left="0" w:right="0" w:firstLine="0"/>
        <w:jc w:val="left"/>
      </w:pPr>
      <w:bookmarkStart w:id="163" w:name="bookmark163"/>
      <w:r>
        <w:rPr>
          <w:rFonts w:ascii="Times New Roman" w:eastAsia="Times New Roman" w:hAnsi="Times New Roman" w:cs="Times New Roman"/>
          <w:color w:val="000000"/>
          <w:spacing w:val="0"/>
          <w:w w:val="100"/>
          <w:position w:val="0"/>
        </w:rPr>
        <w:t>2</w:t>
      </w:r>
      <w:bookmarkEnd w:id="163"/>
      <w:r>
        <w:rPr>
          <w:color w:val="000000"/>
          <w:spacing w:val="0"/>
          <w:w w:val="100"/>
          <w:position w:val="0"/>
        </w:rPr>
        <w:t>、</w:t>
        <w:tab/>
        <w:t>以及</w:t>
      </w:r>
      <w:r>
        <w:rPr>
          <w:rFonts w:ascii="Times New Roman" w:eastAsia="Times New Roman" w:hAnsi="Times New Roman" w:cs="Times New Roman"/>
          <w:color w:val="000000"/>
          <w:spacing w:val="0"/>
          <w:w w:val="100"/>
          <w:position w:val="0"/>
        </w:rPr>
        <w:t>2021</w:t>
      </w:r>
      <w:r>
        <w:rPr>
          <w:color w:val="000000"/>
          <w:spacing w:val="0"/>
          <w:w w:val="100"/>
          <w:position w:val="0"/>
        </w:rPr>
        <w:t>年公司软件业务人员规模不断扩大，支付薪酬增加。</w:t>
      </w:r>
    </w:p>
    <w:p>
      <w:pPr>
        <w:pStyle w:val="Style23"/>
        <w:keepNext w:val="0"/>
        <w:keepLines w:val="0"/>
        <w:widowControl w:val="0"/>
        <w:shd w:val="clear" w:color="auto" w:fill="auto"/>
        <w:bidi w:val="0"/>
        <w:spacing w:before="0" w:after="360" w:line="326" w:lineRule="exact"/>
        <w:ind w:left="0" w:right="0" w:firstLine="0"/>
        <w:jc w:val="left"/>
      </w:pPr>
      <w:r>
        <w:rPr>
          <w:color w:val="000000"/>
          <w:spacing w:val="0"/>
          <w:w w:val="100"/>
          <w:position w:val="0"/>
        </w:rPr>
        <w:t>以上原因共同作用，导致本期经营现金流降低。</w:t>
      </w:r>
    </w:p>
    <w:p>
      <w:pPr>
        <w:pStyle w:val="Style27"/>
        <w:keepNext/>
        <w:keepLines/>
        <w:widowControl w:val="0"/>
        <w:shd w:val="clear" w:color="auto" w:fill="auto"/>
        <w:tabs>
          <w:tab w:pos="517"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五</w:t>
      </w:r>
      <w:bookmarkEnd w:id="166"/>
      <w:r>
        <w:rPr>
          <w:color w:val="000000"/>
          <w:spacing w:val="0"/>
          <w:w w:val="100"/>
          <w:position w:val="0"/>
          <w:sz w:val="24"/>
          <w:szCs w:val="24"/>
        </w:rPr>
        <w:t>、</w:t>
        <w:tab/>
        <w:t>非主营业务情况</w:t>
      </w:r>
      <w:bookmarkEnd w:id="164"/>
      <w:bookmarkEnd w:id="165"/>
      <w:bookmarkEnd w:id="167"/>
    </w:p>
    <w:p>
      <w:pPr>
        <w:pStyle w:val="Style23"/>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六</w:t>
      </w:r>
      <w:bookmarkEnd w:id="170"/>
      <w:r>
        <w:rPr>
          <w:color w:val="000000"/>
          <w:spacing w:val="0"/>
          <w:w w:val="100"/>
          <w:position w:val="0"/>
          <w:sz w:val="24"/>
          <w:szCs w:val="24"/>
        </w:rPr>
        <w:t>、</w:t>
        <w:tab/>
        <w:t>资产及负债状况分析</w:t>
      </w:r>
      <w:bookmarkEnd w:id="168"/>
      <w:bookmarkEnd w:id="169"/>
      <w:bookmarkEnd w:id="171"/>
    </w:p>
    <w:p>
      <w:pPr>
        <w:pStyle w:val="Style32"/>
        <w:keepNext/>
        <w:keepLines/>
        <w:widowControl w:val="0"/>
        <w:shd w:val="clear" w:color="auto" w:fill="auto"/>
        <w:bidi w:val="0"/>
        <w:spacing w:before="0" w:after="2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23"/>
        <w:keepNext w:val="0"/>
        <w:keepLines w:val="0"/>
        <w:widowControl w:val="0"/>
        <w:shd w:val="clear" w:color="auto" w:fill="auto"/>
        <w:bidi w:val="0"/>
        <w:spacing w:before="0" w:after="80" w:line="326" w:lineRule="exact"/>
        <w:ind w:left="0" w:right="0" w:firstLine="0"/>
        <w:jc w:val="right"/>
      </w:pPr>
      <w:r>
        <w:rPr>
          <w:color w:val="000000"/>
          <w:spacing w:val="0"/>
          <w:w w:val="100"/>
          <w:position w:val="0"/>
        </w:rPr>
        <w:t>单位：元</w:t>
      </w:r>
    </w:p>
    <w:tbl>
      <w:tblPr>
        <w:tblOverlap w:val="never"/>
        <w:jc w:val="center"/>
        <w:tblLayout w:type="fixed"/>
      </w:tblPr>
      <w:tblGrid>
        <w:gridCol w:w="1286"/>
        <w:gridCol w:w="1253"/>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占总资产比 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占总资产比 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86"/>
        <w:gridCol w:w="1253"/>
        <w:gridCol w:w="1066"/>
        <w:gridCol w:w="1195"/>
        <w:gridCol w:w="1061"/>
        <w:gridCol w:w="797"/>
        <w:gridCol w:w="292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373,878,639.80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577,368,063.80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主要系支付采购款、偿还贷款所致</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391,779,062.82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363,796,975.46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主要系当期业务增长，应收款增加所 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24,058,618.57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主要系合同质保金增加所致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444,914,314.52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436,614,107.98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12,575,981.52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主要系处置参股公司所致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8,503,245.42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64,356,403.06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主要系处置房屋建筑物所致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10,335,634.87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9,612,518.32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226,040,585.70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269,483,670.00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主要系偿还借款所致</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202,140,235.06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188,824,094.46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主要系当期业务增长，预收款增加所 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主要系当期偿还借款所致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6,206,315.52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6,498,507.81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37,571,864.27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134,816,141.03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主要系年末在执行集成项目同比降 低所致</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9,932,171.43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138,230,863.38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主要系年末理财产品到期所致</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16,072,461.00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214,987,261.00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主要系年末在执行集成项目同比降 低所致</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91,888,106.99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330,421,615.68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主要系年末在执行集成项目同比降 低所致</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65,369,567.69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38,936,008.74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主要系人员规模扩大所致</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88,991,706.46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187,943,615.66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主要系支付到期款项所致</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、以公允价值计量的资产和负债</w:t>
      </w:r>
      <w:bookmarkEnd w:id="176"/>
      <w:bookmarkEnd w:id="177"/>
      <w:bookmarkEnd w:id="179"/>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2,467,543.25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-895,564.0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1,571,979.20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、截至报告期末的资产权利受限情况</w:t>
      </w:r>
      <w:bookmarkEnd w:id="180"/>
      <w:bookmarkEnd w:id="181"/>
      <w:bookmarkEnd w:id="183"/>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本报告期末受限货币资金余额为</w:t>
      </w:r>
      <w:r>
        <w:rPr>
          <w:rFonts w:ascii="Times New Roman" w:eastAsia="Times New Roman" w:hAnsi="Times New Roman" w:cs="Times New Roman"/>
          <w:color w:val="000000"/>
          <w:spacing w:val="0"/>
          <w:w w:val="100"/>
          <w:position w:val="0"/>
        </w:rPr>
        <w:t>3,620.93</w:t>
      </w:r>
      <w:r>
        <w:rPr>
          <w:color w:val="000000"/>
          <w:spacing w:val="0"/>
          <w:w w:val="100"/>
          <w:position w:val="0"/>
        </w:rPr>
        <w:t>万元，主要系存放在银行用于开具银行保函以及开立银行承兑汇票之保证金。</w:t>
      </w:r>
    </w:p>
    <w:p>
      <w:pPr>
        <w:pStyle w:val="Style27"/>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sz w:val="24"/>
          <w:szCs w:val="24"/>
        </w:rPr>
        <w:t>七</w:t>
      </w:r>
      <w:bookmarkEnd w:id="186"/>
      <w:r>
        <w:rPr>
          <w:color w:val="000000"/>
          <w:spacing w:val="0"/>
          <w:w w:val="100"/>
          <w:position w:val="0"/>
          <w:sz w:val="24"/>
          <w:szCs w:val="24"/>
        </w:rPr>
        <w:t>、投资状况分析</w:t>
      </w:r>
      <w:bookmarkEnd w:id="184"/>
      <w:bookmarkEnd w:id="185"/>
      <w:bookmarkEnd w:id="187"/>
    </w:p>
    <w:p>
      <w:pPr>
        <w:pStyle w:val="Style32"/>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、总体情况</w:t>
      </w:r>
      <w:bookmarkEnd w:id="188"/>
      <w:bookmarkEnd w:id="189"/>
      <w:bookmarkEnd w:id="191"/>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539,029.50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27,591,954.92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报告期内获取的重大的股权投资情况</w:t>
      </w:r>
      <w:bookmarkEnd w:id="192"/>
      <w:bookmarkEnd w:id="193"/>
      <w:bookmarkEnd w:id="195"/>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以公允价值计量的金融资产</w:t>
      </w:r>
      <w:bookmarkEnd w:id="200"/>
      <w:bookmarkEnd w:id="201"/>
      <w:bookmarkEnd w:id="203"/>
    </w:p>
    <w:p>
      <w:pPr>
        <w:pStyle w:val="Style23"/>
        <w:keepNext w:val="0"/>
        <w:keepLines w:val="0"/>
        <w:widowControl w:val="0"/>
        <w:numPr>
          <w:ilvl w:val="0"/>
          <w:numId w:val="9"/>
        </w:numPr>
        <w:shd w:val="clear" w:color="auto" w:fill="auto"/>
        <w:tabs>
          <w:tab w:pos="282" w:val="left"/>
        </w:tabs>
        <w:bidi w:val="0"/>
        <w:spacing w:before="0" w:after="360" w:line="240" w:lineRule="auto"/>
        <w:ind w:left="0" w:right="0" w:firstLine="0"/>
        <w:jc w:val="both"/>
      </w:pPr>
      <w:bookmarkStart w:id="204" w:name="bookmark204"/>
      <w:bookmarkEnd w:id="20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w:t>
        <w:tab/>
        <w:t>募集资金使用情况</w:t>
      </w:r>
      <w:bookmarkEnd w:id="205"/>
      <w:bookmarkEnd w:id="206"/>
      <w:bookmarkEnd w:id="208"/>
    </w:p>
    <w:p>
      <w:pPr>
        <w:pStyle w:val="Style23"/>
        <w:keepNext w:val="0"/>
        <w:keepLines w:val="0"/>
        <w:widowControl w:val="0"/>
        <w:numPr>
          <w:ilvl w:val="0"/>
          <w:numId w:val="9"/>
        </w:numPr>
        <w:shd w:val="clear" w:color="auto" w:fill="auto"/>
        <w:tabs>
          <w:tab w:pos="282" w:val="left"/>
        </w:tabs>
        <w:bidi w:val="0"/>
        <w:spacing w:before="0" w:after="140" w:line="240" w:lineRule="auto"/>
        <w:ind w:left="0" w:right="0" w:firstLine="0"/>
        <w:jc w:val="both"/>
      </w:pPr>
      <w:bookmarkStart w:id="209" w:name="bookmark209"/>
      <w:bookmarkEnd w:id="20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公司报告期无募集资金使用情况。</w:t>
      </w:r>
    </w:p>
    <w:p>
      <w:pPr>
        <w:pStyle w:val="Style27"/>
        <w:keepNext/>
        <w:keepLines/>
        <w:widowControl w:val="0"/>
        <w:shd w:val="clear" w:color="auto" w:fill="auto"/>
        <w:bidi w:val="0"/>
        <w:spacing w:before="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sz w:val="24"/>
          <w:szCs w:val="24"/>
        </w:rPr>
        <w:t>八</w:t>
      </w:r>
      <w:bookmarkEnd w:id="212"/>
      <w:r>
        <w:rPr>
          <w:color w:val="000000"/>
          <w:spacing w:val="0"/>
          <w:w w:val="100"/>
          <w:position w:val="0"/>
          <w:sz w:val="24"/>
          <w:szCs w:val="24"/>
        </w:rPr>
        <w:t>、重大资产和股权出售</w:t>
      </w:r>
      <w:bookmarkEnd w:id="210"/>
      <w:bookmarkEnd w:id="211"/>
      <w:bookmarkEnd w:id="213"/>
    </w:p>
    <w:p>
      <w:pPr>
        <w:pStyle w:val="Style32"/>
        <w:keepNext/>
        <w:keepLines/>
        <w:widowControl w:val="0"/>
        <w:shd w:val="clear" w:color="auto" w:fill="auto"/>
        <w:bidi w:val="0"/>
        <w:spacing w:before="0" w:line="240" w:lineRule="auto"/>
        <w:ind w:left="0" w:right="0" w:firstLine="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、出售重大资产情况</w:t>
      </w:r>
      <w:bookmarkEnd w:id="214"/>
      <w:bookmarkEnd w:id="215"/>
      <w:bookmarkEnd w:id="217"/>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648"/>
        <w:gridCol w:w="638"/>
        <w:gridCol w:w="643"/>
        <w:gridCol w:w="638"/>
        <w:gridCol w:w="638"/>
        <w:gridCol w:w="638"/>
        <w:gridCol w:w="638"/>
        <w:gridCol w:w="638"/>
        <w:gridCol w:w="638"/>
        <w:gridCol w:w="638"/>
        <w:gridCol w:w="638"/>
        <w:gridCol w:w="638"/>
        <w:gridCol w:w="638"/>
        <w:gridCol w:w="638"/>
        <w:gridCol w:w="638"/>
      </w:tblGrid>
      <w:tr>
        <w:trPr>
          <w:trHeight w:val="1666"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出售对</w:t>
            </w:r>
          </w:p>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资产出</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售定价 原则</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是否按 计划如 期实 施，如 未按计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48"/>
        <w:gridCol w:w="638"/>
        <w:gridCol w:w="643"/>
        <w:gridCol w:w="638"/>
        <w:gridCol w:w="638"/>
        <w:gridCol w:w="638"/>
        <w:gridCol w:w="638"/>
        <w:gridCol w:w="638"/>
        <w:gridCol w:w="638"/>
        <w:gridCol w:w="638"/>
        <w:gridCol w:w="638"/>
        <w:gridCol w:w="638"/>
        <w:gridCol w:w="638"/>
        <w:gridCol w:w="638"/>
        <w:gridCol w:w="63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司贡献 的净利 润（万 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占净利 润总额 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交易情</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形）</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划实 施，应 当说明 原因及 公司已 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9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炳喆</w:t>
            </w:r>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w:t>
            </w:r>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海）企 业管理 合伙企 业（有 限合 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市场价 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 nfo.co </w:t>
            </w:r>
            <w:r>
              <w:rPr>
                <w:rFonts w:ascii="Times New Roman" w:eastAsia="Times New Roman" w:hAnsi="Times New Roman" w:cs="Times New Roman"/>
                <w:color w:val="000000"/>
                <w:spacing w:val="0"/>
                <w:w w:val="100"/>
                <w:position w:val="0"/>
              </w:rPr>
              <w:t>m.cn/ne</w:t>
            </w:r>
            <w:r>
              <w:rPr>
                <w:rFonts w:ascii="Times New Roman" w:eastAsia="Times New Roman" w:hAnsi="Times New Roman" w:cs="Times New Roman"/>
                <w:color w:val="000000"/>
                <w:spacing w:val="0"/>
                <w:w w:val="100"/>
                <w:position w:val="0"/>
              </w:rPr>
              <w:t xml:space="preserve"> w/discl osure/d etail?st ockCod e=3004 65&amp;an nounce mentId =12103 76050 &amp;orgId =99000 23805 &amp;anno unceme ntTime =2021- 06-30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、出售重大股权情况</w:t>
      </w:r>
      <w:bookmarkEnd w:id="218"/>
      <w:bookmarkEnd w:id="219"/>
      <w:bookmarkEnd w:id="221"/>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、主要控股参股公司分析</w:t>
      </w:r>
      <w:bookmarkEnd w:id="222"/>
      <w:bookmarkEnd w:id="223"/>
      <w:bookmarkEnd w:id="225"/>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上海睿民互</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联网科技有</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计算机网络</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科技、互联</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网科技专业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193,763,969.36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137,590,544.68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182,373,305.89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11,216,046.25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12,685,944.61</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9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领域内的技 术开发、技 术咨询、技 术转让、技 术服务，电 子商务（不 得从事增值 电信、金融 业务），计算 机系统集 成，计算机 网络工程， 计算机软硬 件的开发、 销售，市场 信息咨询与 调查（不得 从事社会调 查、社会调 研、民意调 查、民意测 验），会务服 务，市场营 销策划，设 计、制作、 代理、发布 各类广告， 从事货物及 技术的进出 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江苏盈达信 息技术有限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技术研发、 技术转让、 技术培训</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（不含与学 历教育相关 的培训或服 务）、技术咨 询、技术服 务；计算机 及外围设 备、通讯设 备销售及系 统安装、集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36,000,000.00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103,767,083.05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77,916,725.50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112,651,763.58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15,379,123.44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14,285,849.72</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成服务；计 算机网络工 程安装服 务、技术咨 询；设计、 制作、代理、 发布国内各 类广告；互 联网信息服 务（不含投 资、新闻、 出版、教育、 医疗保健、 药品和医疗 器械，含电 子公告服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深圳市快读</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一般经营项 目是：家用 电器的批发 和零售；机 械设备、五 金交电、电 子产品、文 化用品、照 相器材、计 算机、软件 及辅助设 备、卫生用 品、化工产 品（不含危 险化学品及 一类易制毒 化学品）、体 育用品、百 货、纺织品、 日用品、家 具、金银珠 宝首饰、避 孕器具（避 孕药除外）、 初级农产 品、饲料、 花卉、装饰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5,000,000.00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131,391,416.43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90,258,581.97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73,596,637.55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13,784,973.68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13,845,038.49</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25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材料、通讯 设备、工艺 礼品、钟表 眼镜、玩具、 汽车和摩托 车配件、仪 器仪表、卫 生洁具、陶 瓷制品、橡 胶制品、日 用百货、海 产品、服装 服饰、皮革 制品、鞋帽、 洗涤用品、 化妆品、计 算机的技术 开发与技术 咨询；互联 网技术开 发；从事广 告业务；电 子产品、电 子元器件、 通信设备、 手机配件、 五金产品、 机械设备、 塑料制品、 建筑材料、 数码产品、 计算机软硬 件的技术开 发与销售； 经济信息咨 询；国内贸 易；经营进 出口业务； 提供婚姻介 绍信息咨询</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7"/>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r>
        <w:rPr>
          <w:color w:val="000000"/>
          <w:spacing w:val="0"/>
          <w:w w:val="100"/>
          <w:position w:val="0"/>
          <w:sz w:val="24"/>
          <w:szCs w:val="24"/>
        </w:rPr>
        <w:t>十、公司控制的结构化主体情况</w:t>
      </w:r>
      <w:bookmarkEnd w:id="226"/>
      <w:bookmarkEnd w:id="227"/>
      <w:bookmarkEnd w:id="228"/>
    </w:p>
    <w:p>
      <w:pPr>
        <w:pStyle w:val="Style23"/>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r>
        <w:rPr>
          <w:color w:val="000000"/>
          <w:spacing w:val="0"/>
          <w:w w:val="100"/>
          <w:position w:val="0"/>
          <w:sz w:val="24"/>
          <w:szCs w:val="24"/>
        </w:rPr>
        <w:t>十一、公司未来发展的展望</w:t>
      </w:r>
      <w:bookmarkEnd w:id="229"/>
      <w:bookmarkEnd w:id="230"/>
      <w:bookmarkEnd w:id="231"/>
    </w:p>
    <w:p>
      <w:pPr>
        <w:pStyle w:val="Style23"/>
        <w:keepNext w:val="0"/>
        <w:keepLines w:val="0"/>
        <w:widowControl w:val="0"/>
        <w:shd w:val="clear" w:color="auto" w:fill="auto"/>
        <w:tabs>
          <w:tab w:pos="694" w:val="left"/>
        </w:tabs>
        <w:bidi w:val="0"/>
        <w:spacing w:before="0" w:after="0"/>
        <w:ind w:left="0" w:right="0"/>
        <w:jc w:val="both"/>
      </w:pPr>
      <w:bookmarkStart w:id="232" w:name="bookmark232"/>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公司未来发展战略</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软件开发及服务业务，预计</w:t>
      </w:r>
      <w:r>
        <w:rPr>
          <w:rFonts w:ascii="Times New Roman" w:eastAsia="Times New Roman" w:hAnsi="Times New Roman" w:cs="Times New Roman"/>
          <w:color w:val="000000"/>
          <w:spacing w:val="0"/>
          <w:w w:val="100"/>
          <w:position w:val="0"/>
        </w:rPr>
        <w:t>2022</w:t>
      </w:r>
      <w:r>
        <w:rPr>
          <w:color w:val="000000"/>
          <w:spacing w:val="0"/>
          <w:w w:val="100"/>
          <w:position w:val="0"/>
        </w:rPr>
        <w:t>年订单规模将继续保持上涨的态势。银行软件应用系统已经进入新一轮的迭代周期，同 时</w:t>
      </w:r>
      <w:r>
        <w:rPr>
          <w:rFonts w:ascii="Times New Roman" w:eastAsia="Times New Roman" w:hAnsi="Times New Roman" w:cs="Times New Roman"/>
          <w:color w:val="000000"/>
          <w:spacing w:val="0"/>
          <w:w w:val="100"/>
          <w:position w:val="0"/>
        </w:rPr>
        <w:t>“</w:t>
      </w:r>
      <w:r>
        <w:rPr>
          <w:color w:val="000000"/>
          <w:spacing w:val="0"/>
          <w:w w:val="100"/>
          <w:position w:val="0"/>
        </w:rPr>
        <w:t>十四五规划</w:t>
      </w:r>
      <w:r>
        <w:rPr>
          <w:rFonts w:ascii="Times New Roman" w:eastAsia="Times New Roman" w:hAnsi="Times New Roman" w:cs="Times New Roman"/>
          <w:color w:val="000000"/>
          <w:spacing w:val="0"/>
          <w:w w:val="100"/>
          <w:position w:val="0"/>
        </w:rPr>
        <w:t>”</w:t>
      </w:r>
      <w:r>
        <w:rPr>
          <w:color w:val="000000"/>
          <w:spacing w:val="0"/>
          <w:w w:val="100"/>
          <w:position w:val="0"/>
        </w:rPr>
        <w:t>中明确大力发展数字经济，将先进技术应用于金融科技领域。作为金融科技综合服务提供商，公司有能力在 新周期和国家信创大战略的指引下，进一步提升市场份额，丰富客户种类，在业务收入提升的同时，提高软件业务毛利率。 为对接业务需求，公司将同步扩充员工数量，加强业务培训，提升专业技能。此外，公司一如既往地保持与市场的良性沟通， 合理判断行业特性，在产业升级换代的周期中，能够与不同种类的客户实现需求和业务的共振，切实匹配市场的发展特点。</w:t>
      </w:r>
    </w:p>
    <w:p>
      <w:pPr>
        <w:pStyle w:val="Style23"/>
        <w:keepNext w:val="0"/>
        <w:keepLines w:val="0"/>
        <w:widowControl w:val="0"/>
        <w:shd w:val="clear" w:color="auto" w:fill="auto"/>
        <w:bidi w:val="0"/>
        <w:spacing w:before="0" w:after="100" w:line="314" w:lineRule="exact"/>
        <w:ind w:left="0" w:right="0"/>
        <w:jc w:val="both"/>
      </w:pPr>
      <w:r>
        <w:rPr>
          <w:color w:val="000000"/>
          <w:spacing w:val="0"/>
          <w:w w:val="100"/>
          <w:position w:val="0"/>
        </w:rPr>
        <w:t>软件开发及服务业务是公司未来</w:t>
      </w:r>
      <w:r>
        <w:rPr>
          <w:rFonts w:ascii="Times New Roman" w:eastAsia="Times New Roman" w:hAnsi="Times New Roman" w:cs="Times New Roman"/>
          <w:color w:val="000000"/>
          <w:spacing w:val="0"/>
          <w:w w:val="100"/>
          <w:position w:val="0"/>
        </w:rPr>
        <w:t>2-3</w:t>
      </w:r>
      <w:r>
        <w:rPr>
          <w:color w:val="000000"/>
          <w:spacing w:val="0"/>
          <w:w w:val="100"/>
          <w:position w:val="0"/>
        </w:rPr>
        <w:t>年重点发展的业务领域，市场空间巨大，盈利前景明确，客户需求稳步提升。公司 将抓住机遇快速提升软件业务规模，广泛布局银行科技中软件业务的各个业务增长点，为公司未来业绩的持续提升奠定基础。</w:t>
      </w:r>
    </w:p>
    <w:p>
      <w:pPr>
        <w:pStyle w:val="Style23"/>
        <w:keepNext w:val="0"/>
        <w:keepLines w:val="0"/>
        <w:widowControl w:val="0"/>
        <w:shd w:val="clear" w:color="auto" w:fill="auto"/>
        <w:tabs>
          <w:tab w:pos="714" w:val="left"/>
        </w:tabs>
        <w:bidi w:val="0"/>
        <w:spacing w:before="0" w:after="0"/>
        <w:ind w:left="0" w:right="0"/>
        <w:jc w:val="both"/>
      </w:pPr>
      <w:bookmarkStart w:id="233" w:name="bookmark233"/>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公司可能面对的风险</w:t>
      </w:r>
    </w:p>
    <w:p>
      <w:pPr>
        <w:pStyle w:val="Style23"/>
        <w:keepNext w:val="0"/>
        <w:keepLines w:val="0"/>
        <w:widowControl w:val="0"/>
        <w:shd w:val="clear" w:color="auto" w:fill="auto"/>
        <w:tabs>
          <w:tab w:pos="709" w:val="left"/>
        </w:tabs>
        <w:bidi w:val="0"/>
        <w:spacing w:before="0" w:after="0"/>
        <w:ind w:left="0" w:right="0"/>
        <w:jc w:val="both"/>
      </w:pPr>
      <w:bookmarkStart w:id="234" w:name="bookmark234"/>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t>行业趋势波动的风险</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对于金融信息服务行业，金融机构受到行业发展趋势和行业政策变化的影响，削减</w:t>
      </w:r>
      <w:r>
        <w:rPr>
          <w:rFonts w:ascii="Times New Roman" w:eastAsia="Times New Roman" w:hAnsi="Times New Roman" w:cs="Times New Roman"/>
          <w:color w:val="000000"/>
          <w:spacing w:val="0"/>
          <w:w w:val="100"/>
          <w:position w:val="0"/>
        </w:rPr>
        <w:t>IT</w:t>
      </w:r>
      <w:r>
        <w:rPr>
          <w:color w:val="000000"/>
          <w:spacing w:val="0"/>
          <w:w w:val="100"/>
          <w:position w:val="0"/>
        </w:rPr>
        <w:t>投入，将会对公司经营产生不利影 响。</w:t>
      </w:r>
    </w:p>
    <w:p>
      <w:pPr>
        <w:pStyle w:val="Style23"/>
        <w:keepNext w:val="0"/>
        <w:keepLines w:val="0"/>
        <w:widowControl w:val="0"/>
        <w:shd w:val="clear" w:color="auto" w:fill="auto"/>
        <w:tabs>
          <w:tab w:pos="728" w:val="left"/>
        </w:tabs>
        <w:bidi w:val="0"/>
        <w:spacing w:before="0" w:after="0" w:line="314" w:lineRule="exact"/>
        <w:ind w:left="0" w:right="0"/>
        <w:jc w:val="both"/>
      </w:pPr>
      <w:bookmarkStart w:id="235" w:name="bookmark235"/>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公司对外扩张和并购带来的风险</w:t>
      </w:r>
    </w:p>
    <w:p>
      <w:pPr>
        <w:pStyle w:val="Style23"/>
        <w:keepNext w:val="0"/>
        <w:keepLines w:val="0"/>
        <w:widowControl w:val="0"/>
        <w:shd w:val="clear" w:color="auto" w:fill="auto"/>
        <w:bidi w:val="0"/>
        <w:spacing w:before="0" w:after="100" w:line="314" w:lineRule="exact"/>
        <w:ind w:left="0" w:right="0"/>
        <w:jc w:val="both"/>
      </w:pPr>
      <w:r>
        <w:rPr>
          <w:color w:val="000000"/>
          <w:spacing w:val="0"/>
          <w:w w:val="100"/>
          <w:position w:val="0"/>
        </w:rPr>
        <w:t>随着并购、对外投资等外延式扩张，公司的资产规模将不断提高，公司管理层的管理与协调能力，以及公司在资源整合、 市场开拓、质量管理、内部控制等方面面临考验。</w:t>
      </w:r>
    </w:p>
    <w:p>
      <w:pPr>
        <w:pStyle w:val="Style23"/>
        <w:keepNext w:val="0"/>
        <w:keepLines w:val="0"/>
        <w:widowControl w:val="0"/>
        <w:shd w:val="clear" w:color="auto" w:fill="auto"/>
        <w:tabs>
          <w:tab w:pos="728" w:val="left"/>
        </w:tabs>
        <w:bidi w:val="0"/>
        <w:spacing w:before="0" w:after="0"/>
        <w:ind w:left="0" w:right="0"/>
        <w:jc w:val="both"/>
      </w:pPr>
      <w:bookmarkStart w:id="236" w:name="bookmark236"/>
      <w:r>
        <w:rPr>
          <w:rFonts w:ascii="Times New Roman" w:eastAsia="Times New Roman" w:hAnsi="Times New Roman" w:cs="Times New Roman"/>
          <w:color w:val="000000"/>
          <w:spacing w:val="0"/>
          <w:w w:val="100"/>
          <w:position w:val="0"/>
        </w:rPr>
        <w:t>3</w:t>
      </w:r>
      <w:bookmarkEnd w:id="236"/>
      <w:r>
        <w:rPr>
          <w:color w:val="000000"/>
          <w:spacing w:val="0"/>
          <w:w w:val="100"/>
          <w:position w:val="0"/>
        </w:rPr>
        <w:t>）</w:t>
        <w:tab/>
        <w:t>核心技术团队流失的风险</w:t>
      </w:r>
    </w:p>
    <w:p>
      <w:pPr>
        <w:pStyle w:val="Style23"/>
        <w:keepNext w:val="0"/>
        <w:keepLines w:val="0"/>
        <w:widowControl w:val="0"/>
        <w:shd w:val="clear" w:color="auto" w:fill="auto"/>
        <w:bidi w:val="0"/>
        <w:spacing w:before="0" w:after="100" w:line="314" w:lineRule="exact"/>
        <w:ind w:left="0" w:right="0"/>
        <w:jc w:val="both"/>
      </w:pPr>
      <w:r>
        <w:rPr>
          <w:color w:val="000000"/>
          <w:spacing w:val="0"/>
          <w:w w:val="100"/>
          <w:position w:val="0"/>
        </w:rPr>
        <w:t>公司所在的行业为人才驱动型的行业，人才在公司业务发展过程中至关重要。核心人员的流失将会对企业经营发展带来 不利影响。如何用好人才、留住人才、发展人才、是对公司经营提出的重要挑战。</w:t>
      </w:r>
    </w:p>
    <w:p>
      <w:pPr>
        <w:pStyle w:val="Style23"/>
        <w:keepNext w:val="0"/>
        <w:keepLines w:val="0"/>
        <w:widowControl w:val="0"/>
        <w:shd w:val="clear" w:color="auto" w:fill="auto"/>
        <w:tabs>
          <w:tab w:pos="728" w:val="left"/>
        </w:tabs>
        <w:bidi w:val="0"/>
        <w:spacing w:before="0" w:after="0"/>
        <w:ind w:left="0" w:right="0"/>
        <w:jc w:val="both"/>
      </w:pPr>
      <w:bookmarkStart w:id="237" w:name="bookmark237"/>
      <w:r>
        <w:rPr>
          <w:rFonts w:ascii="Times New Roman" w:eastAsia="Times New Roman" w:hAnsi="Times New Roman" w:cs="Times New Roman"/>
          <w:color w:val="000000"/>
          <w:spacing w:val="0"/>
          <w:w w:val="100"/>
          <w:position w:val="0"/>
        </w:rPr>
        <w:t>4</w:t>
      </w:r>
      <w:bookmarkEnd w:id="237"/>
      <w:r>
        <w:rPr>
          <w:color w:val="000000"/>
          <w:spacing w:val="0"/>
          <w:w w:val="100"/>
          <w:position w:val="0"/>
        </w:rPr>
        <w:t>）</w:t>
        <w:tab/>
        <w:t>商誉减值的风险</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公司在进行资产收购的过程中，根据企业会计准则要求，非同一控制下的企业合并，合并成本大于合并中取得的被购买 方可辨认净资产公允价值份额的差额，确认为商誉，商誉不做摊销处理，但需在未来年度每年年终进行减值测试。截至目前， 商誉余额为</w:t>
      </w:r>
      <w:r>
        <w:rPr>
          <w:rFonts w:ascii="Times New Roman" w:eastAsia="Times New Roman" w:hAnsi="Times New Roman" w:cs="Times New Roman"/>
          <w:color w:val="000000"/>
          <w:spacing w:val="0"/>
          <w:w w:val="100"/>
          <w:position w:val="0"/>
        </w:rPr>
        <w:t>13,219.64</w:t>
      </w:r>
      <w:r>
        <w:rPr>
          <w:color w:val="000000"/>
          <w:spacing w:val="0"/>
          <w:w w:val="100"/>
          <w:position w:val="0"/>
        </w:rPr>
        <w:t>万元。如果未来被收购资产所在的资产组所处行业不景气、自身业务持续下降或者其他因素导致未来经 营状况和盈利能力不达预期，则存在商誉减值的风险。</w:t>
      </w:r>
    </w:p>
    <w:p>
      <w:pPr>
        <w:pStyle w:val="Style23"/>
        <w:keepNext w:val="0"/>
        <w:keepLines w:val="0"/>
        <w:widowControl w:val="0"/>
        <w:shd w:val="clear" w:color="auto" w:fill="auto"/>
        <w:tabs>
          <w:tab w:pos="723" w:val="left"/>
        </w:tabs>
        <w:bidi w:val="0"/>
        <w:spacing w:before="0" w:after="360" w:line="314" w:lineRule="exact"/>
        <w:ind w:left="0" w:right="0"/>
        <w:jc w:val="both"/>
      </w:pPr>
      <w:bookmarkStart w:id="238" w:name="bookmark238"/>
      <w:r>
        <w:rPr>
          <w:rFonts w:ascii="Times New Roman" w:eastAsia="Times New Roman" w:hAnsi="Times New Roman" w:cs="Times New Roman"/>
          <w:color w:val="000000"/>
          <w:spacing w:val="0"/>
          <w:w w:val="100"/>
          <w:position w:val="0"/>
        </w:rPr>
        <w:t>5</w:t>
      </w:r>
      <w:bookmarkEnd w:id="238"/>
      <w:r>
        <w:rPr>
          <w:color w:val="000000"/>
          <w:spacing w:val="0"/>
          <w:w w:val="100"/>
          <w:position w:val="0"/>
        </w:rPr>
        <w:t>）</w:t>
        <w:tab/>
        <w:t>由于新冠病毒疫情，公司金融科技和移动互联网业务板块均受到不同程度的影响。如果新冠病毒疫情继续蔓延，对 公司的经营发展将带来持续的不良影响。</w:t>
      </w:r>
    </w:p>
    <w:p>
      <w:pPr>
        <w:pStyle w:val="Style27"/>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r>
        <w:rPr>
          <w:color w:val="000000"/>
          <w:spacing w:val="0"/>
          <w:w w:val="100"/>
          <w:position w:val="0"/>
          <w:sz w:val="24"/>
          <w:szCs w:val="24"/>
        </w:rPr>
        <w:t>十二、报告期内接待调研、沟通、采访等活动登记表</w:t>
      </w:r>
      <w:bookmarkEnd w:id="239"/>
      <w:bookmarkEnd w:id="240"/>
      <w:bookmarkEnd w:id="24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272"/>
        <w:gridCol w:w="1138"/>
        <w:gridCol w:w="1210"/>
        <w:gridCol w:w="1291"/>
        <w:gridCol w:w="1296"/>
        <w:gridCol w:w="1810"/>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 亮马桥路</w:t>
            </w:r>
            <w:r>
              <w:rPr>
                <w:rFonts w:ascii="Times New Roman" w:eastAsia="Times New Roman" w:hAnsi="Times New Roman" w:cs="Times New Roman"/>
                <w:color w:val="000000"/>
                <w:spacing w:val="0"/>
                <w:w w:val="100"/>
                <w:position w:val="0"/>
              </w:rPr>
              <w:t xml:space="preserve">50 </w:t>
            </w:r>
            <w:r>
              <w:rPr>
                <w:color w:val="000000"/>
                <w:spacing w:val="0"/>
                <w:w w:val="100"/>
                <w:position w:val="0"/>
              </w:rPr>
              <w:t>号凯宾斯基酒 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公司主营业务 内容及行业发 展现状等相关 问题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static. cninfo. com. cn/finalpage/2021-07-0 6/1210428333.PDF</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北京辖区深市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网上投资者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w:t>
            </w:r>
          </w:p>
        </w:tc>
      </w:tr>
    </w:tbl>
    <w:p>
      <w:pPr>
        <w:spacing w:lineRule="exact" w:line="1"/>
        <w:rPr>
          <w:sz w:val="2"/>
          <w:szCs w:val="2"/>
        </w:rPr>
      </w:pPr>
      <w:r>
        <w:br w:type="page"/>
      </w:r>
    </w:p>
    <w:tbl>
      <w:tblPr>
        <w:tblOverlap w:val="never"/>
        <w:jc w:val="center"/>
        <w:tblLayout w:type="fixed"/>
      </w:tblPr>
      <w:tblGrid>
        <w:gridCol w:w="1570"/>
        <w:gridCol w:w="1272"/>
        <w:gridCol w:w="1138"/>
        <w:gridCol w:w="1210"/>
        <w:gridCol w:w="1291"/>
        <w:gridCol w:w="1296"/>
        <w:gridCol w:w="1810"/>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上市公司投资 者集体接待（网 上路演）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内容及行业发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展现状等相关 问题</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cn/new/disclo sure/detai 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szse&amp;orgId</w:t>
            </w:r>
            <w:r>
              <w:rPr>
                <w:rFonts w:ascii="Times New Roman" w:eastAsia="Times New Roman" w:hAnsi="Times New Roman" w:cs="Times New Roman"/>
                <w:color w:val="000000"/>
                <w:spacing w:val="0"/>
                <w:w w:val="100"/>
                <w:position w:val="0"/>
              </w:rPr>
              <w:t xml:space="preserve">= 99 </w:t>
            </w:r>
            <w:r>
              <w:rPr>
                <w:rFonts w:ascii="Times New Roman" w:eastAsia="Times New Roman" w:hAnsi="Times New Roman" w:cs="Times New Roman"/>
                <w:color w:val="000000"/>
                <w:spacing w:val="0"/>
                <w:w w:val="100"/>
                <w:position w:val="0"/>
              </w:rPr>
              <w:t>00023805&amp;stockCode</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300465&amp;announcement Id=1211093056&amp;annou ncementTime=2021-09- 17%2016:00</w:t>
            </w:r>
          </w:p>
        </w:tc>
      </w:tr>
    </w:tbl>
    <w:p>
      <w:pPr>
        <w:sectPr>
          <w:footnotePr>
            <w:pos w:val="pageBottom"/>
            <w:numFmt w:val="decimal"/>
            <w:numRestart w:val="continuous"/>
          </w:footnotePr>
          <w:pgSz w:w="11900" w:h="16840"/>
          <w:pgMar w:top="1358" w:right="1077" w:bottom="1480" w:left="1046" w:header="0" w:footer="3" w:gutter="0"/>
          <w:cols w:space="720"/>
          <w:noEndnote/>
          <w:rtlGutter w:val="0"/>
          <w:docGrid w:linePitch="360"/>
        </w:sectPr>
      </w:pPr>
    </w:p>
    <w:p>
      <w:pPr>
        <w:pStyle w:val="Style11"/>
        <w:keepNext/>
        <w:keepLines/>
        <w:widowControl w:val="0"/>
        <w:shd w:val="clear" w:color="auto" w:fill="auto"/>
        <w:bidi w:val="0"/>
        <w:spacing w:before="520" w:after="500" w:line="240" w:lineRule="auto"/>
        <w:ind w:left="0" w:right="0" w:firstLine="0"/>
        <w:jc w:val="center"/>
      </w:pPr>
      <w:bookmarkStart w:id="242" w:name="bookmark242"/>
      <w:bookmarkStart w:id="243" w:name="bookmark243"/>
      <w:bookmarkStart w:id="244" w:name="bookmark244"/>
      <w:r>
        <w:rPr>
          <w:color w:val="000000"/>
          <w:spacing w:val="0"/>
          <w:w w:val="100"/>
          <w:position w:val="0"/>
        </w:rPr>
        <w:t>第四节公司治理</w:t>
      </w:r>
      <w:bookmarkEnd w:id="242"/>
      <w:bookmarkEnd w:id="243"/>
      <w:bookmarkEnd w:id="244"/>
    </w:p>
    <w:p>
      <w:pPr>
        <w:pStyle w:val="Style27"/>
        <w:keepNext/>
        <w:keepLines/>
        <w:widowControl w:val="0"/>
        <w:shd w:val="clear" w:color="auto" w:fill="auto"/>
        <w:tabs>
          <w:tab w:pos="517" w:val="left"/>
        </w:tabs>
        <w:bidi w:val="0"/>
        <w:spacing w:before="0" w:after="240" w:line="317" w:lineRule="exact"/>
        <w:ind w:left="0" w:right="0" w:firstLine="0"/>
        <w:jc w:val="left"/>
      </w:pPr>
      <w:bookmarkStart w:id="245" w:name="bookmark245"/>
      <w:bookmarkStart w:id="246" w:name="bookmark246"/>
      <w:bookmarkStart w:id="247" w:name="bookmark247"/>
      <w:bookmarkStart w:id="248" w:name="bookmark248"/>
      <w:bookmarkStart w:id="249" w:name="bookmark249"/>
      <w:r>
        <w:rPr>
          <w:color w:val="000000"/>
          <w:spacing w:val="0"/>
          <w:w w:val="100"/>
          <w:position w:val="0"/>
          <w:sz w:val="24"/>
          <w:szCs w:val="24"/>
        </w:rPr>
        <w:t>一</w:t>
      </w:r>
      <w:bookmarkEnd w:id="248"/>
      <w:r>
        <w:rPr>
          <w:color w:val="000000"/>
          <w:spacing w:val="0"/>
          <w:w w:val="100"/>
          <w:position w:val="0"/>
          <w:sz w:val="24"/>
          <w:szCs w:val="24"/>
        </w:rPr>
        <w:t>、</w:t>
        <w:tab/>
        <w:t>公司治理的基本状况</w:t>
      </w:r>
      <w:bookmarkEnd w:id="246"/>
      <w:bookmarkEnd w:id="247"/>
      <w:bookmarkEnd w:id="249"/>
      <w:bookmarkEnd w:id="245"/>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报告期内，公司根据《公司法》、《证券法》、《上市公司治理准则》、《深圳证券交易所创业板股票上市规则》、《深 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号——创业板上市公司规范运作》等法律法规的要求，结合公司实际情况建立、健 全和完善了《公司章程》和各项内部控制制度，发挥了董事会及下属专门委员会的职能和作用，完善提高了董事会的职能和 专业化程度，有效保障了董事会决策的科学性和合规性，不断完善公司法人治理结构和内控体系，进一步规范公司运作，提 高公司治理水平。截至报告期末，本公司治理实际情况基本符合中国证监会发布的有关上市公司治理的规范性文件的要求。</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公司严格按照有关法律法规以及《信息披露管理办法》、《投资者关系管理制度》等，真实、准确、及时、公平、完整 地披露有关信息。</w:t>
      </w:r>
    </w:p>
    <w:p>
      <w:pPr>
        <w:pStyle w:val="Style23"/>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年公司未受到中国证监会、深圳证券交易所就公司内控存在问题的处分，今后公司将进一步优化和完善公司的内控 制度。</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517" w:val="left"/>
        </w:tabs>
        <w:bidi w:val="0"/>
        <w:spacing w:before="0" w:after="240" w:line="317" w:lineRule="exact"/>
        <w:ind w:left="0" w:right="0" w:firstLine="0"/>
        <w:jc w:val="both"/>
      </w:pPr>
      <w:bookmarkStart w:id="250" w:name="bookmark250"/>
      <w:bookmarkStart w:id="251" w:name="bookmark251"/>
      <w:bookmarkStart w:id="252" w:name="bookmark252"/>
      <w:bookmarkStart w:id="253" w:name="bookmark253"/>
      <w:r>
        <w:rPr>
          <w:color w:val="000000"/>
          <w:spacing w:val="0"/>
          <w:w w:val="100"/>
          <w:position w:val="0"/>
          <w:sz w:val="24"/>
          <w:szCs w:val="24"/>
        </w:rPr>
        <w:t>二</w:t>
      </w:r>
      <w:bookmarkEnd w:id="252"/>
      <w:r>
        <w:rPr>
          <w:color w:val="000000"/>
          <w:spacing w:val="0"/>
          <w:w w:val="100"/>
          <w:position w:val="0"/>
          <w:sz w:val="24"/>
          <w:szCs w:val="24"/>
        </w:rPr>
        <w:t>、</w:t>
        <w:tab/>
        <w:t>公司相对于控股股东、实际控制人在保证公司资产、人员、财务、机构、业务等方面的 独立情况</w:t>
      </w:r>
      <w:bookmarkEnd w:id="250"/>
      <w:bookmarkEnd w:id="251"/>
      <w:bookmarkEnd w:id="253"/>
    </w:p>
    <w:p>
      <w:pPr>
        <w:pStyle w:val="Style23"/>
        <w:keepNext w:val="0"/>
        <w:keepLines w:val="0"/>
        <w:widowControl w:val="0"/>
        <w:shd w:val="clear" w:color="auto" w:fill="auto"/>
        <w:bidi w:val="0"/>
        <w:spacing w:before="0" w:after="320" w:line="312" w:lineRule="exact"/>
        <w:ind w:left="0" w:right="0"/>
        <w:jc w:val="both"/>
      </w:pPr>
      <w:r>
        <w:rPr>
          <w:color w:val="000000"/>
          <w:spacing w:val="0"/>
          <w:w w:val="100"/>
          <w:position w:val="0"/>
        </w:rPr>
        <w:t>公司相对于控股股东在业务、人员、资产、机构、财务等方面保持独立。</w:t>
      </w:r>
    </w:p>
    <w:p>
      <w:pPr>
        <w:pStyle w:val="Style27"/>
        <w:keepNext/>
        <w:keepLines/>
        <w:widowControl w:val="0"/>
        <w:shd w:val="clear" w:color="auto" w:fill="auto"/>
        <w:tabs>
          <w:tab w:pos="517" w:val="left"/>
        </w:tabs>
        <w:bidi w:val="0"/>
        <w:spacing w:before="0" w:line="317" w:lineRule="exact"/>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三</w:t>
      </w:r>
      <w:bookmarkEnd w:id="256"/>
      <w:r>
        <w:rPr>
          <w:color w:val="000000"/>
          <w:spacing w:val="0"/>
          <w:w w:val="100"/>
          <w:position w:val="0"/>
          <w:sz w:val="24"/>
          <w:szCs w:val="24"/>
        </w:rPr>
        <w:t>、</w:t>
        <w:tab/>
        <w:t>同业竞争情况</w:t>
      </w:r>
      <w:bookmarkEnd w:id="254"/>
      <w:bookmarkEnd w:id="255"/>
      <w:bookmarkEnd w:id="257"/>
    </w:p>
    <w:p>
      <w:pPr>
        <w:pStyle w:val="Style23"/>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317" w:lineRule="exact"/>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四</w:t>
      </w:r>
      <w:bookmarkEnd w:id="260"/>
      <w:r>
        <w:rPr>
          <w:color w:val="000000"/>
          <w:spacing w:val="0"/>
          <w:w w:val="100"/>
          <w:position w:val="0"/>
          <w:sz w:val="24"/>
          <w:szCs w:val="24"/>
        </w:rPr>
        <w:t>、</w:t>
        <w:tab/>
        <w:t>报告期内召开的年度股东大会和临时股东大会的有关情况</w:t>
      </w:r>
      <w:bookmarkEnd w:id="258"/>
      <w:bookmarkEnd w:id="259"/>
      <w:bookmarkEnd w:id="261"/>
    </w:p>
    <w:p>
      <w:pPr>
        <w:pStyle w:val="Style32"/>
        <w:keepNext/>
        <w:keepLines/>
        <w:widowControl w:val="0"/>
        <w:shd w:val="clear" w:color="auto" w:fill="auto"/>
        <w:bidi w:val="0"/>
        <w:spacing w:before="0" w:after="32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、本报告期股东大会情况</w:t>
      </w:r>
      <w:bookmarkEnd w:id="262"/>
      <w:bookmarkEnd w:id="263"/>
      <w:bookmarkEnd w:id="265"/>
    </w:p>
    <w:tbl>
      <w:tblPr>
        <w:tblOverlap w:val="never"/>
        <w:jc w:val="center"/>
        <w:tblLayout w:type="fixed"/>
      </w:tblPr>
      <w:tblGrid>
        <w:gridCol w:w="1853"/>
        <w:gridCol w:w="134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http://www. cninfo. co </w:t>
            </w:r>
            <w:r>
              <w:rPr>
                <w:rFonts w:ascii="Times New Roman" w:eastAsia="Times New Roman" w:hAnsi="Times New Roman" w:cs="Times New Roman"/>
                <w:color w:val="000000"/>
                <w:spacing w:val="0"/>
                <w:w w:val="100"/>
                <w:position w:val="0"/>
              </w:rPr>
              <w:t>m.cn/new/disclosure/</w:t>
            </w:r>
            <w:r>
              <w:rPr>
                <w:rFonts w:ascii="Times New Roman" w:eastAsia="Times New Roman" w:hAnsi="Times New Roman" w:cs="Times New Roman"/>
                <w:color w:val="000000"/>
                <w:spacing w:val="0"/>
                <w:w w:val="100"/>
                <w:position w:val="0"/>
              </w:rPr>
              <w:t xml:space="preserve"> detail?plate=szse&amp;or gId=9900023805&amp;st ockCode=300465&amp;a nnouncementId= 120 9698589&amp;announce mentTime=2021-04- 16</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w:t>
            </w:r>
          </w:p>
        </w:tc>
      </w:tr>
    </w:tbl>
    <w:p>
      <w:pPr>
        <w:spacing w:lineRule="exact" w:line="1"/>
        <w:rPr>
          <w:sz w:val="2"/>
          <w:szCs w:val="2"/>
        </w:rPr>
      </w:pPr>
      <w:r>
        <w:br w:type="page"/>
      </w:r>
    </w:p>
    <w:tbl>
      <w:tblPr>
        <w:tblOverlap w:val="never"/>
        <w:jc w:val="center"/>
        <w:tblLayout w:type="fixed"/>
      </w:tblPr>
      <w:tblGrid>
        <w:gridCol w:w="1853"/>
        <w:gridCol w:w="1344"/>
        <w:gridCol w:w="1594"/>
        <w:gridCol w:w="1598"/>
        <w:gridCol w:w="1594"/>
        <w:gridCol w:w="1603"/>
      </w:tblGrid>
      <w:tr>
        <w:trPr>
          <w:trHeight w:val="254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东大会决议公告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m.cn/new/disclosure/</w:t>
            </w:r>
            <w:r>
              <w:rPr>
                <w:rFonts w:ascii="Times New Roman" w:eastAsia="Times New Roman" w:hAnsi="Times New Roman" w:cs="Times New Roman"/>
                <w:color w:val="000000"/>
                <w:spacing w:val="0"/>
                <w:w w:val="100"/>
                <w:position w:val="0"/>
              </w:rPr>
              <w:t xml:space="preserve"> detail?plate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 gId=9900023805&amp;st ockCode=300465&amp;a nnouncementId</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121 1008119&amp;announce mentTime=2021-09- 10%2017:41</w:t>
            </w:r>
          </w:p>
        </w:tc>
      </w:tr>
      <w:tr>
        <w:trPr>
          <w:trHeight w:val="29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 东大会决议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http://www. cninfo. co </w:t>
            </w:r>
            <w:r>
              <w:rPr>
                <w:rFonts w:ascii="Times New Roman" w:eastAsia="Times New Roman" w:hAnsi="Times New Roman" w:cs="Times New Roman"/>
                <w:color w:val="000000"/>
                <w:spacing w:val="0"/>
                <w:w w:val="100"/>
                <w:position w:val="0"/>
              </w:rPr>
              <w:t>m.cn/new/disclosure/</w:t>
            </w:r>
            <w:r>
              <w:rPr>
                <w:rFonts w:ascii="Times New Roman" w:eastAsia="Times New Roman" w:hAnsi="Times New Roman" w:cs="Times New Roman"/>
                <w:color w:val="000000"/>
                <w:spacing w:val="0"/>
                <w:w w:val="100"/>
                <w:position w:val="0"/>
              </w:rPr>
              <w:t xml:space="preserve"> detail?plate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 gId=9900023805&amp;st ockCode=300465&amp;a nnouncementId</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121 2044595&amp;announce mentTime=2021-12- 29</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、表决权恢复的优先股股东请求召开临时股东大会</w:t>
      </w:r>
      <w:bookmarkEnd w:id="266"/>
      <w:bookmarkEnd w:id="267"/>
      <w:bookmarkEnd w:id="269"/>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4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五</w:t>
      </w:r>
      <w:bookmarkEnd w:id="272"/>
      <w:r>
        <w:rPr>
          <w:color w:val="000000"/>
          <w:spacing w:val="0"/>
          <w:w w:val="100"/>
          <w:position w:val="0"/>
          <w:sz w:val="24"/>
          <w:szCs w:val="24"/>
        </w:rPr>
        <w:t>、</w:t>
        <w:tab/>
        <w:t>公司具有表决权差异安排</w:t>
      </w:r>
      <w:bookmarkEnd w:id="270"/>
      <w:bookmarkEnd w:id="271"/>
      <w:bookmarkEnd w:id="273"/>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4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六</w:t>
      </w:r>
      <w:bookmarkEnd w:id="276"/>
      <w:r>
        <w:rPr>
          <w:color w:val="000000"/>
          <w:spacing w:val="0"/>
          <w:w w:val="100"/>
          <w:position w:val="0"/>
          <w:sz w:val="24"/>
          <w:szCs w:val="24"/>
        </w:rPr>
        <w:t>、</w:t>
        <w:tab/>
        <w:t>红筹架构公司治理情况</w:t>
      </w:r>
      <w:bookmarkEnd w:id="274"/>
      <w:bookmarkEnd w:id="275"/>
      <w:bookmarkEnd w:id="277"/>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4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七</w:t>
      </w:r>
      <w:bookmarkEnd w:id="280"/>
      <w:r>
        <w:rPr>
          <w:color w:val="000000"/>
          <w:spacing w:val="0"/>
          <w:w w:val="100"/>
          <w:position w:val="0"/>
          <w:sz w:val="24"/>
          <w:szCs w:val="24"/>
        </w:rPr>
        <w:t>、</w:t>
        <w:tab/>
        <w:t>董事、监事和高级管理人员情况</w:t>
      </w:r>
      <w:bookmarkEnd w:id="278"/>
      <w:bookmarkEnd w:id="279"/>
      <w:bookmarkEnd w:id="281"/>
    </w:p>
    <w:p>
      <w:pPr>
        <w:pStyle w:val="Style32"/>
        <w:keepNext/>
        <w:keepLines/>
        <w:widowControl w:val="0"/>
        <w:shd w:val="clear" w:color="auto" w:fill="auto"/>
        <w:bidi w:val="0"/>
        <w:spacing w:before="0" w:after="34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、基本情况</w:t>
      </w:r>
      <w:bookmarkEnd w:id="282"/>
      <w:bookmarkEnd w:id="283"/>
      <w:bookmarkEnd w:id="285"/>
    </w:p>
    <w:tbl>
      <w:tblPr>
        <w:tblOverlap w:val="never"/>
        <w:jc w:val="center"/>
        <w:tblLayout w:type="fixed"/>
      </w:tblPr>
      <w:tblGrid>
        <w:gridCol w:w="739"/>
        <w:gridCol w:w="739"/>
        <w:gridCol w:w="734"/>
        <w:gridCol w:w="734"/>
        <w:gridCol w:w="739"/>
        <w:gridCol w:w="734"/>
        <w:gridCol w:w="974"/>
        <w:gridCol w:w="710"/>
        <w:gridCol w:w="566"/>
        <w:gridCol w:w="691"/>
        <w:gridCol w:w="739"/>
        <w:gridCol w:w="734"/>
        <w:gridCol w:w="744"/>
      </w:tblGrid>
      <w:tr>
        <w:trPr>
          <w:trHeight w:val="165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本期减</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持股份</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程军</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974"/>
        <w:gridCol w:w="710"/>
        <w:gridCol w:w="566"/>
        <w:gridCol w:w="691"/>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总监、董</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事会秘</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340" w:line="315" w:lineRule="exact"/>
        <w:ind w:left="0" w:right="0" w:firstLine="380"/>
        <w:jc w:val="left"/>
      </w:pPr>
      <w:r>
        <w:rPr>
          <w:color w:val="000000"/>
          <w:spacing w:val="0"/>
          <w:w w:val="100"/>
          <w:position w:val="0"/>
        </w:rPr>
        <w:t>王月女士因个人原因申请辞去公司董事会董事职务，辞职后不在公司任职。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时股东大会，审议通过了《关于补选公司第四届董事会非独立董事的议案》，经控股股东鹰潭市鹰高投资咨询有限公司提名， 董事会提名委员会审核，公司股东大会同意由张文隽先生担任公司第四届董事会非独立董事，任期自公司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股东大会选举通过之日起至公司第四届董事会任期届满之日止。</w:t>
      </w:r>
    </w:p>
    <w:p>
      <w:pPr>
        <w:pStyle w:val="Style23"/>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公司董事、监事、高级管理人员变动情况</w:t>
      </w:r>
    </w:p>
    <w:p>
      <w:pPr>
        <w:pStyle w:val="Style23"/>
        <w:keepNext w:val="0"/>
        <w:keepLines w:val="0"/>
        <w:widowControl w:val="0"/>
        <w:shd w:val="clear" w:color="auto" w:fill="auto"/>
        <w:bidi w:val="0"/>
        <w:spacing w:before="0" w:after="14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166"/>
        <w:gridCol w:w="1493"/>
        <w:gridCol w:w="425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董事王月女士离任，张文隽先生被选举为新任董事</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w:t>
      </w:r>
      <w:bookmarkEnd w:id="288"/>
      <w:r>
        <w:rPr>
          <w:color w:val="000000"/>
          <w:spacing w:val="0"/>
          <w:w w:val="100"/>
          <w:position w:val="0"/>
        </w:rPr>
        <w:t>、任职情况</w:t>
      </w:r>
      <w:bookmarkEnd w:id="286"/>
      <w:bookmarkEnd w:id="287"/>
      <w:bookmarkEnd w:id="289"/>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tabs>
          <w:tab w:pos="655" w:val="left"/>
        </w:tabs>
        <w:bidi w:val="0"/>
        <w:spacing w:before="0" w:after="0" w:line="314" w:lineRule="exact"/>
        <w:ind w:left="0" w:right="0" w:firstLine="380"/>
        <w:jc w:val="both"/>
      </w:pPr>
      <w:bookmarkStart w:id="290" w:name="bookmark290"/>
      <w:r>
        <w:rPr>
          <w:rFonts w:ascii="Times New Roman" w:eastAsia="Times New Roman" w:hAnsi="Times New Roman" w:cs="Times New Roman"/>
          <w:color w:val="000000"/>
          <w:spacing w:val="0"/>
          <w:w w:val="100"/>
          <w:position w:val="0"/>
        </w:rPr>
        <w:t>1</w:t>
      </w:r>
      <w:bookmarkEnd w:id="290"/>
      <w:r>
        <w:rPr>
          <w:color w:val="000000"/>
          <w:spacing w:val="0"/>
          <w:w w:val="100"/>
          <w:position w:val="0"/>
        </w:rPr>
        <w:t>、</w:t>
        <w:tab/>
        <w:t>董事</w:t>
      </w:r>
    </w:p>
    <w:p>
      <w:pPr>
        <w:pStyle w:val="Style2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于伟，董事长，</w:t>
      </w:r>
      <w:r>
        <w:rPr>
          <w:rFonts w:ascii="Times New Roman" w:eastAsia="Times New Roman" w:hAnsi="Times New Roman" w:cs="Times New Roman"/>
          <w:color w:val="000000"/>
          <w:spacing w:val="0"/>
          <w:w w:val="100"/>
          <w:position w:val="0"/>
        </w:rPr>
        <w:t>1958</w:t>
      </w:r>
      <w:r>
        <w:rPr>
          <w:color w:val="000000"/>
          <w:spacing w:val="0"/>
          <w:w w:val="100"/>
          <w:position w:val="0"/>
        </w:rPr>
        <w:t>年出生，中国国籍，无境外永久居留权，毕业于国际关系学院，获学士学位。工作期间历任中国瑞 宝开发公司项目经理、阿斯克（中国）软件技术有限公司总经理、西科姆（中国）有限公司总经理、深圳市高伟达投资有限 公司执行董事兼总经理、北京高伟达科技发展有限公司董事长、北京高伟达系统集成有限公司董事长兼总经理、高伟达控股 公司董事长，现任公司董事长。</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程军，董事、总经理，</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年出生，中国国籍，无境外永久居留权，大专学历。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-199</w:t>
      </w:r>
      <w:r>
        <w:rPr>
          <w:rFonts w:ascii="Times New Roman" w:eastAsia="Times New Roman" w:hAnsi="Times New Roman" w:cs="Times New Roman"/>
          <w:color w:val="000000"/>
          <w:spacing w:val="0"/>
          <w:w w:val="100"/>
          <w:position w:val="0"/>
        </w:rPr>
        <w:t>7</w:t>
      </w:r>
      <w:r>
        <w:rPr>
          <w:color w:val="000000"/>
          <w:spacing w:val="0"/>
          <w:w w:val="100"/>
          <w:position w:val="0"/>
        </w:rPr>
        <w:t>年，供职于联合饼干（中 国）武汉分公司财务部；</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-2006</w:t>
      </w:r>
      <w:r>
        <w:rPr>
          <w:color w:val="000000"/>
          <w:spacing w:val="0"/>
          <w:w w:val="100"/>
          <w:position w:val="0"/>
        </w:rPr>
        <w:t>年，担任北京高伟达科技发展有限公司武汉分公司总经理；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011</w:t>
      </w:r>
      <w:r>
        <w:rPr>
          <w:color w:val="000000"/>
          <w:spacing w:val="0"/>
          <w:w w:val="100"/>
          <w:position w:val="0"/>
        </w:rPr>
        <w:t>年，担任北京 高伟达软件技术有限公司副总经理；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月，担任高伟达软件股份有限公司副总经理，现任公司董事、总经理。</w:t>
      </w:r>
    </w:p>
    <w:p>
      <w:pPr>
        <w:pStyle w:val="Style2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张文隽，董事、副总经理，</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年出生，中国国籍，无境外永久居留权，本科学历。工作期间历任北京东南鼎盛科技公 司高级工程师、北京和勤技术有限公司移动增值业务部技术总监、神州数码融信软件有限公司项目总监、塔塔（中国）信息 技术有限公司金融部门项目总监。</w:t>
      </w:r>
      <w:r>
        <w:rPr>
          <w:rFonts w:ascii="Times New Roman" w:eastAsia="Times New Roman" w:hAnsi="Times New Roman" w:cs="Times New Roman"/>
          <w:color w:val="000000"/>
          <w:spacing w:val="0"/>
          <w:w w:val="100"/>
          <w:position w:val="0"/>
        </w:rPr>
        <w:t>2011</w:t>
      </w:r>
      <w:r>
        <w:rPr>
          <w:color w:val="000000"/>
          <w:spacing w:val="0"/>
          <w:w w:val="100"/>
          <w:position w:val="0"/>
        </w:rPr>
        <w:t>年加入高伟达公司，现任高伟达软件股份有限公司董事、副总经理、建信事业部总经 理。</w:t>
      </w:r>
    </w:p>
    <w:p>
      <w:pPr>
        <w:pStyle w:val="Style2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钱英，独立董事，</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年出生，中国国籍，无境外永久居留权，中国政法大学毕业，研究生学历，工作期间历任北京国 际关系学院从事教学工作。</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年加入北京五环律师事务所开始从事专职律师工作并为五环所执行合伙人，</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年至今为北京汉卓律师事务所律师并为该所合伙人。现任公司独立董事。</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郑建明，独立董事，</w:t>
      </w:r>
      <w:r>
        <w:rPr>
          <w:rFonts w:ascii="Times New Roman" w:eastAsia="Times New Roman" w:hAnsi="Times New Roman" w:cs="Times New Roman"/>
          <w:color w:val="000000"/>
          <w:spacing w:val="0"/>
          <w:w w:val="100"/>
          <w:position w:val="0"/>
        </w:rPr>
        <w:t>1971</w:t>
      </w:r>
      <w:r>
        <w:rPr>
          <w:color w:val="000000"/>
          <w:spacing w:val="0"/>
          <w:w w:val="100"/>
          <w:position w:val="0"/>
        </w:rPr>
        <w:t xml:space="preserve">年出生，中国国籍，无境外永久居留权，中南财经大学毕业，博士，全国会计领军人才，中国 </w:t>
      </w:r>
      <w:r>
        <w:rPr>
          <w:rFonts w:ascii="Times New Roman" w:eastAsia="Times New Roman" w:hAnsi="Times New Roman" w:cs="Times New Roman"/>
          <w:color w:val="000000"/>
          <w:spacing w:val="0"/>
          <w:w w:val="100"/>
          <w:position w:val="0"/>
        </w:rPr>
        <w:t>WTO</w:t>
      </w:r>
      <w:r>
        <w:rPr>
          <w:color w:val="000000"/>
          <w:spacing w:val="0"/>
          <w:w w:val="100"/>
          <w:position w:val="0"/>
        </w:rPr>
        <w:t>研究院特约研究员，中国社会经济系统分析研究会理事，中国会计学会财务管理专业委员会委员，北京区域经济学会 理事。</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至今，对外经济贸易大学国际商学院教授、博导。现任公司独立董事。</w:t>
      </w:r>
    </w:p>
    <w:p>
      <w:pPr>
        <w:pStyle w:val="Style23"/>
        <w:keepNext w:val="0"/>
        <w:keepLines w:val="0"/>
        <w:widowControl w:val="0"/>
        <w:shd w:val="clear" w:color="auto" w:fill="auto"/>
        <w:tabs>
          <w:tab w:pos="674" w:val="left"/>
        </w:tabs>
        <w:bidi w:val="0"/>
        <w:spacing w:before="0" w:after="0" w:line="314" w:lineRule="exact"/>
        <w:ind w:left="0" w:right="0" w:firstLine="380"/>
        <w:jc w:val="both"/>
      </w:pPr>
      <w:bookmarkStart w:id="291" w:name="bookmark291"/>
      <w:r>
        <w:rPr>
          <w:rFonts w:ascii="Times New Roman" w:eastAsia="Times New Roman" w:hAnsi="Times New Roman" w:cs="Times New Roman"/>
          <w:color w:val="000000"/>
          <w:spacing w:val="0"/>
          <w:w w:val="100"/>
          <w:position w:val="0"/>
        </w:rPr>
        <w:t>2</w:t>
      </w:r>
      <w:bookmarkEnd w:id="291"/>
      <w:r>
        <w:rPr>
          <w:color w:val="000000"/>
          <w:spacing w:val="0"/>
          <w:w w:val="100"/>
          <w:position w:val="0"/>
        </w:rPr>
        <w:t>、</w:t>
        <w:tab/>
        <w:t>监事</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汪挺，监事会主席，</w:t>
      </w:r>
      <w:r>
        <w:rPr>
          <w:rFonts w:ascii="Times New Roman" w:eastAsia="Times New Roman" w:hAnsi="Times New Roman" w:cs="Times New Roman"/>
          <w:color w:val="000000"/>
          <w:spacing w:val="0"/>
          <w:w w:val="100"/>
          <w:position w:val="0"/>
        </w:rPr>
        <w:t>1962</w:t>
      </w:r>
      <w:r>
        <w:rPr>
          <w:color w:val="000000"/>
          <w:spacing w:val="0"/>
          <w:w w:val="100"/>
          <w:position w:val="0"/>
        </w:rPr>
        <w:t>年出生，中国国籍，无境外永久居留权，大学本科学历。</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月，担任中科院计算 技术研究所助理工程师、工程师，参与国内大型计算机的研发工作；</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月加入西科姆（中国）有限公司， 曾担任软件事业部经理；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月加入公司，历任公司副总经理、软件中心总经理、金融咨询服务中心总经理，现任深圳 分公司总经理。现任公司监事。</w:t>
      </w:r>
    </w:p>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孙颖，监事，</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年出生，中国国籍，无境外永久居留权，大专学历。工作期间历任阿斯克（中国）软件技术有限公 司财务部出纳；历任西科姆（中国）有限公司财务部出纳、会计；历任北京高伟达系统集成有限公司财务部会计；历任北京 高伟达软件技术有限公司财务部主管、副经理，兼任监事；历任高伟达软件股份有限公司董事会秘书。现担任公司监事。</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熊桂生，职工代表监事，</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年出生，中国国籍，无境外永久居留权，学士学位。历任清华华康电力电子有限公司工程 师、研发部主管，北京南天信息工程有限公司高级项目经理，赛迪顾问股份有限公司金融咨询事业部外联经理，</w:t>
      </w:r>
      <w:r>
        <w:rPr>
          <w:rFonts w:ascii="Times New Roman" w:eastAsia="Times New Roman" w:hAnsi="Times New Roman" w:cs="Times New Roman"/>
          <w:color w:val="000000"/>
          <w:spacing w:val="0"/>
          <w:w w:val="100"/>
          <w:position w:val="0"/>
        </w:rPr>
        <w:t>NCS</w:t>
      </w:r>
      <w:r>
        <w:rPr>
          <w:color w:val="000000"/>
          <w:spacing w:val="0"/>
          <w:w w:val="100"/>
          <w:position w:val="0"/>
        </w:rPr>
        <w:t>宇博公 司咨询经理，万国华浩信息技术有限公司副总经理，宇博信诚信息技术有限公司售前经理、高伟达软件技术有限公司解决方 案中心总经理、金融咨询服务中心总经理，现任高伟达软件股份有限公司战略投资部总经理、公司监事。</w:t>
      </w:r>
    </w:p>
    <w:p>
      <w:pPr>
        <w:pStyle w:val="Style23"/>
        <w:keepNext w:val="0"/>
        <w:keepLines w:val="0"/>
        <w:widowControl w:val="0"/>
        <w:shd w:val="clear" w:color="auto" w:fill="auto"/>
        <w:tabs>
          <w:tab w:pos="674" w:val="left"/>
        </w:tabs>
        <w:bidi w:val="0"/>
        <w:spacing w:before="0" w:after="0" w:line="314" w:lineRule="exact"/>
        <w:ind w:left="0" w:right="0" w:firstLine="380"/>
        <w:jc w:val="both"/>
      </w:pPr>
      <w:bookmarkStart w:id="292" w:name="bookmark292"/>
      <w:r>
        <w:rPr>
          <w:rFonts w:ascii="Times New Roman" w:eastAsia="Times New Roman" w:hAnsi="Times New Roman" w:cs="Times New Roman"/>
          <w:color w:val="000000"/>
          <w:spacing w:val="0"/>
          <w:w w:val="100"/>
          <w:position w:val="0"/>
        </w:rPr>
        <w:t>3</w:t>
      </w:r>
      <w:bookmarkEnd w:id="292"/>
      <w:r>
        <w:rPr>
          <w:color w:val="000000"/>
          <w:spacing w:val="0"/>
          <w:w w:val="100"/>
          <w:position w:val="0"/>
        </w:rPr>
        <w:t>、</w:t>
        <w:tab/>
        <w:t>高级管理人员</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程军，见董事程军简历。</w:t>
      </w:r>
    </w:p>
    <w:p>
      <w:pPr>
        <w:pStyle w:val="Style2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李勇，副总经理，</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年出生，中国国籍，无境外永久居留权，毕业于山东大学，获学士学位。工作期间历任山东中创 软件工程股份有限公司工程师、部门经理及副总工程师、中钞信用卡信息产业发展有限公司研发中心经理及</w:t>
      </w:r>
      <w:r>
        <w:rPr>
          <w:rFonts w:ascii="Times New Roman" w:eastAsia="Times New Roman" w:hAnsi="Times New Roman" w:cs="Times New Roman"/>
          <w:color w:val="000000"/>
          <w:spacing w:val="0"/>
          <w:w w:val="100"/>
          <w:position w:val="0"/>
        </w:rPr>
        <w:t>IC</w:t>
      </w:r>
      <w:r>
        <w:rPr>
          <w:color w:val="000000"/>
          <w:spacing w:val="0"/>
          <w:w w:val="100"/>
          <w:position w:val="0"/>
        </w:rPr>
        <w:t>卡事业部总工 程师、北京高伟达软件技术有限公司副总经理，现任公司副总经理。</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张文隽，见董事张文隽简历。</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高源，副总经理、财务总监、董事会秘书，</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年，就读于兰州 大学新闻系，获得学士学位。</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年就读于比利时</w:t>
      </w:r>
      <w:r>
        <w:rPr>
          <w:rFonts w:ascii="Times New Roman" w:eastAsia="Times New Roman" w:hAnsi="Times New Roman" w:cs="Times New Roman"/>
          <w:color w:val="000000"/>
          <w:spacing w:val="0"/>
          <w:w w:val="100"/>
          <w:position w:val="0"/>
        </w:rPr>
        <w:t>EHSAL</w:t>
      </w:r>
      <w:r>
        <w:rPr>
          <w:color w:val="000000"/>
          <w:spacing w:val="0"/>
          <w:w w:val="100"/>
          <w:position w:val="0"/>
        </w:rPr>
        <w:t>大学商业管理专业，获得硕士学位。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月，在中国雨润食品集团股份有限公司投资者关系部，任投资者关系主任。</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月，在慈铭健康体检管理 集团股份有限公司，任证券事务代表。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月，在博彦科技股份有限公司任证券事务与投融资总监。</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月，在东易日盛家居装饰集团股份有限公司任副总经理、董事会秘书。</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月至今，现任公司副总经理、 董事会秘书、财务总监。</w:t>
      </w:r>
    </w:p>
    <w:p>
      <w:pPr>
        <w:pStyle w:val="Style23"/>
        <w:keepNext w:val="0"/>
        <w:keepLines w:val="0"/>
        <w:widowControl w:val="0"/>
        <w:shd w:val="clear" w:color="auto" w:fill="auto"/>
        <w:bidi w:val="0"/>
        <w:spacing w:before="0" w:after="140" w:line="314" w:lineRule="exact"/>
        <w:ind w:left="0" w:right="0"/>
        <w:jc w:val="both"/>
      </w:pPr>
      <w:r>
        <w:rPr>
          <w:color w:val="000000"/>
          <w:spacing w:val="0"/>
          <w:w w:val="100"/>
          <w:position w:val="0"/>
        </w:rPr>
        <w:t>秦开宇，副总经理，</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年出生，中国国籍，无境外永久居留权，毕业于成都科技大学。</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年，在北京中联 软件工程有限公司历任总监、副总裁（港股上市）；</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年，担任北京高伟达软件科技有限公司副总经理；</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年，担任华信资产管理有限公司执行总裁；</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年，担任华谊兄弟传媒股份有限公司副总裁；</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年，担任深圳市创梦天地科技有限公司副总裁。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日至今，担任公司副总经理。</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2472"/>
        <w:gridCol w:w="1982"/>
        <w:gridCol w:w="1560"/>
        <w:gridCol w:w="854"/>
        <w:gridCol w:w="1493"/>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董事长于伟先生通过控股股东间接持有公司股份，系鹰潭市鹰高投资咨询有限公司股东，担任执行董事、 总经理</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3120"/>
        <w:gridCol w:w="1272"/>
        <w:gridCol w:w="1589"/>
        <w:gridCol w:w="1531"/>
        <w:gridCol w:w="1214"/>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在其他单位是 否领取报酬津 贴</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于伟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北京万通益生物科技有限公司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中国人民人寿保险股份有限公司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北京电旗通讯技术股份有限公司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中邮证券有限责任公司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北京朗视仪器股份有限公司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北汽蓝谷新能源科技股份有限公司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孙颖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北京睿拓弘盛科技发展有限公司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北京格意网络科技有限公司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保定高伟达科技发展有限公司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保泰实业发展（深圳）有限公司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深圳市易保网通科技有限公司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秦开宇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长沙梦聚乐谷科技有限公司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秦开宇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长沙创聚星球科技有限公司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秦开宇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江西天下凤凰文化旅游产业有限公司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秦开宇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凉山华谊兄弟电影小镇有限公司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8726"/>
      </w:tblGrid>
      <w:tr>
        <w:trPr>
          <w:trHeight w:val="104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况的说明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3</w:t>
      </w:r>
      <w:bookmarkEnd w:id="295"/>
      <w:r>
        <w:rPr>
          <w:color w:val="000000"/>
          <w:spacing w:val="0"/>
          <w:w w:val="100"/>
          <w:position w:val="0"/>
        </w:rPr>
        <w:t>、董事、监事、高级管理人员报酬情况</w:t>
      </w:r>
      <w:bookmarkEnd w:id="293"/>
      <w:bookmarkEnd w:id="294"/>
      <w:bookmarkEnd w:id="296"/>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bidi w:val="0"/>
        <w:spacing w:before="0" w:after="320" w:line="322" w:lineRule="exact"/>
        <w:ind w:left="0" w:right="0" w:firstLine="380"/>
        <w:jc w:val="left"/>
      </w:pPr>
      <w:r>
        <w:rPr>
          <w:color w:val="000000"/>
          <w:spacing w:val="0"/>
          <w:w w:val="100"/>
          <w:position w:val="0"/>
        </w:rPr>
        <w:t>董事、监事、高级管理人员报酬根据公司《高伟达软件股份有限公司薪酬与考核委员会议事规则》确定，由董事会薪酬 与考核委员会组织并考核。</w:t>
      </w:r>
    </w:p>
    <w:p>
      <w:pPr>
        <w:pStyle w:val="Style23"/>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137.56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副总经理、财务 总监、董事会秘 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804.43</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八</w:t>
      </w:r>
      <w:bookmarkEnd w:id="299"/>
      <w:r>
        <w:rPr>
          <w:color w:val="000000"/>
          <w:spacing w:val="0"/>
          <w:w w:val="100"/>
          <w:position w:val="0"/>
          <w:sz w:val="24"/>
          <w:szCs w:val="24"/>
        </w:rPr>
        <w:t>、报告期内董事履行职责的情况</w:t>
      </w:r>
      <w:bookmarkEnd w:id="297"/>
      <w:bookmarkEnd w:id="298"/>
      <w:bookmarkEnd w:id="300"/>
    </w:p>
    <w:p>
      <w:pPr>
        <w:pStyle w:val="Style32"/>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、本报告期董事会情况</w:t>
      </w:r>
      <w:bookmarkEnd w:id="301"/>
      <w:bookmarkEnd w:id="302"/>
      <w:bookmarkEnd w:id="304"/>
    </w:p>
    <w:tbl>
      <w:tblPr>
        <w:tblOverlap w:val="never"/>
        <w:jc w:val="center"/>
        <w:tblLayout w:type="fixed"/>
      </w:tblPr>
      <w:tblGrid>
        <w:gridCol w:w="2419"/>
        <w:gridCol w:w="1699"/>
        <w:gridCol w:w="1843"/>
        <w:gridCol w:w="362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第四届董事会第七次会议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《第四届董事会第七次会议决议》(公告编 号：</w:t>
            </w:r>
            <w:r>
              <w:rPr>
                <w:rFonts w:ascii="Times New Roman" w:eastAsia="Times New Roman" w:hAnsi="Times New Roman" w:cs="Times New Roman"/>
                <w:color w:val="000000"/>
                <w:spacing w:val="0"/>
                <w:w w:val="100"/>
                <w:position w:val="0"/>
              </w:rPr>
              <w:t>2021-008</w:t>
            </w:r>
            <w:r>
              <w:rPr>
                <w:color w:val="000000"/>
                <w:spacing w:val="0"/>
                <w:w w:val="100"/>
                <w:position w:val="0"/>
              </w:rPr>
              <w:t>)刊载于巨潮资讯网</w:t>
            </w:r>
          </w:p>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19"/>
        <w:gridCol w:w="1699"/>
        <w:gridCol w:w="1843"/>
        <w:gridCol w:w="3624"/>
      </w:tblGrid>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第四届董事会第八次会议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《第四届董事会第八次会议决议》(公告编号：</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2021-014</w:t>
            </w:r>
            <w:r>
              <w:rPr>
                <w:color w:val="000000"/>
                <w:spacing w:val="0"/>
                <w:w w:val="100"/>
                <w:position w:val="0"/>
              </w:rPr>
              <w:t>)刊载于巨潮资讯网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第四届董事会第九次会议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《第四届董事会第九次会议决议》(公告编号：</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2021-027</w:t>
            </w:r>
            <w:r>
              <w:rPr>
                <w:color w:val="000000"/>
                <w:spacing w:val="0"/>
                <w:w w:val="100"/>
                <w:position w:val="0"/>
              </w:rPr>
              <w:t>)</w:t>
            </w:r>
            <w:r>
              <w:rPr>
                <w:color w:val="000000"/>
                <w:spacing w:val="0"/>
                <w:w w:val="100"/>
                <w:position w:val="0"/>
              </w:rPr>
              <w:t>刊载于巨潮资讯网</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第四届董事会第十次会议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《第四届董事会第十次会议决议》(公告编号：</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2021-033</w:t>
            </w:r>
            <w:r>
              <w:rPr>
                <w:color w:val="000000"/>
                <w:spacing w:val="0"/>
                <w:w w:val="100"/>
                <w:position w:val="0"/>
              </w:rPr>
              <w:t>)刊载于巨潮资讯网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第四届董事会第十一次会议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《第四届董事会第十一次会议决议》(公告编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2021-034</w:t>
            </w:r>
            <w:r>
              <w:rPr>
                <w:color w:val="000000"/>
                <w:spacing w:val="0"/>
                <w:w w:val="100"/>
                <w:position w:val="0"/>
              </w:rPr>
              <w:t>)刊载于巨潮资讯网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第四届董事会第十二次会议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《第四届董事会第十二次会议决议》(公告编 号：</w:t>
            </w:r>
            <w:r>
              <w:rPr>
                <w:rFonts w:ascii="Times New Roman" w:eastAsia="Times New Roman" w:hAnsi="Times New Roman" w:cs="Times New Roman"/>
                <w:color w:val="000000"/>
                <w:spacing w:val="0"/>
                <w:w w:val="100"/>
                <w:position w:val="0"/>
              </w:rPr>
              <w:t>2021-043</w:t>
            </w:r>
            <w:r>
              <w:rPr>
                <w:color w:val="000000"/>
                <w:spacing w:val="0"/>
                <w:w w:val="100"/>
                <w:position w:val="0"/>
              </w:rPr>
              <w:t>)</w:t>
            </w:r>
            <w:r>
              <w:rPr>
                <w:color w:val="000000"/>
                <w:spacing w:val="0"/>
                <w:w w:val="100"/>
                <w:position w:val="0"/>
              </w:rPr>
              <w:t>刊载于巨潮资讯网</w:t>
            </w:r>
          </w:p>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第四届董事会第十三次会议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《第四届董事会第十三次会议决议》(公告编</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2021-045</w:t>
            </w:r>
            <w:r>
              <w:rPr>
                <w:color w:val="000000"/>
                <w:spacing w:val="0"/>
                <w:w w:val="100"/>
                <w:position w:val="0"/>
              </w:rPr>
              <w:t>)</w:t>
            </w:r>
            <w:r>
              <w:rPr>
                <w:color w:val="000000"/>
                <w:spacing w:val="0"/>
                <w:w w:val="100"/>
                <w:position w:val="0"/>
              </w:rPr>
              <w:t>刊载于巨潮资讯网</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第四届董事会第十四次会议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《第四届董事会第十四次会议决议》(公告编 号：</w:t>
            </w:r>
            <w:r>
              <w:rPr>
                <w:rFonts w:ascii="Times New Roman" w:eastAsia="Times New Roman" w:hAnsi="Times New Roman" w:cs="Times New Roman"/>
                <w:color w:val="000000"/>
                <w:spacing w:val="0"/>
                <w:w w:val="100"/>
                <w:position w:val="0"/>
              </w:rPr>
              <w:t>2021-050</w:t>
            </w:r>
            <w:r>
              <w:rPr>
                <w:color w:val="000000"/>
                <w:spacing w:val="0"/>
                <w:w w:val="100"/>
                <w:position w:val="0"/>
              </w:rPr>
              <w:t>)刊载于巨潮资讯网</w:t>
            </w:r>
          </w:p>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第四届董事会第十五次会议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《第四届董事会第十五次会议决议》(公告编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2021-052</w:t>
            </w:r>
            <w:r>
              <w:rPr>
                <w:color w:val="000000"/>
                <w:spacing w:val="0"/>
                <w:w w:val="100"/>
                <w:position w:val="0"/>
              </w:rPr>
              <w:t>)刊载于巨潮资讯网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、董事出席董事会及股东大会的情况</w:t>
      </w:r>
      <w:bookmarkEnd w:id="305"/>
      <w:bookmarkEnd w:id="306"/>
      <w:bookmarkEnd w:id="30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以通讯方式参</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张文隽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郑建明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tabs>
          <w:tab w:pos="378" w:val="left"/>
        </w:tabs>
        <w:bidi w:val="0"/>
        <w:spacing w:before="0" w:after="380" w:line="240" w:lineRule="auto"/>
        <w:ind w:left="0" w:right="0" w:firstLine="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t>董事对公司有关事项提出异议的情况</w:t>
      </w:r>
      <w:bookmarkEnd w:id="309"/>
      <w:bookmarkEnd w:id="310"/>
      <w:bookmarkEnd w:id="312"/>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董事对公司有关事项是否提出异议</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380" w:line="240" w:lineRule="auto"/>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4</w:t>
      </w:r>
      <w:bookmarkEnd w:id="315"/>
      <w:r>
        <w:rPr>
          <w:color w:val="000000"/>
          <w:spacing w:val="0"/>
          <w:w w:val="100"/>
          <w:position w:val="0"/>
        </w:rPr>
        <w:t>、</w:t>
        <w:tab/>
        <w:t>董事履行职责的其他说明</w:t>
      </w:r>
      <w:bookmarkEnd w:id="313"/>
      <w:bookmarkEnd w:id="314"/>
      <w:bookmarkEnd w:id="316"/>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董事对公司有关建议是否被采纳</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董事对公司有关建议被采纳或未被采纳的说明</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27"/>
        <w:keepNext/>
        <w:keepLines/>
        <w:widowControl w:val="0"/>
        <w:shd w:val="clear" w:color="auto" w:fill="auto"/>
        <w:bidi w:val="0"/>
        <w:spacing w:before="0" w:after="30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九</w:t>
      </w:r>
      <w:bookmarkEnd w:id="319"/>
      <w:r>
        <w:rPr>
          <w:color w:val="000000"/>
          <w:spacing w:val="0"/>
          <w:w w:val="100"/>
          <w:position w:val="0"/>
          <w:sz w:val="24"/>
          <w:szCs w:val="24"/>
        </w:rPr>
        <w:t>、董事会下设专门委员会在报告期内的情况</w:t>
      </w:r>
      <w:bookmarkEnd w:id="317"/>
      <w:bookmarkEnd w:id="318"/>
      <w:bookmarkEnd w:id="320"/>
    </w:p>
    <w:tbl>
      <w:tblPr>
        <w:tblOverlap w:val="never"/>
        <w:jc w:val="center"/>
        <w:tblLayout w:type="fixed"/>
      </w:tblPr>
      <w:tblGrid>
        <w:gridCol w:w="1205"/>
        <w:gridCol w:w="1195"/>
        <w:gridCol w:w="730"/>
        <w:gridCol w:w="989"/>
        <w:gridCol w:w="1872"/>
        <w:gridCol w:w="1195"/>
        <w:gridCol w:w="1195"/>
        <w:gridCol w:w="1205"/>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异议事项具体 情况（如有）</w:t>
            </w:r>
          </w:p>
        </w:tc>
      </w:tr>
      <w:tr>
        <w:trPr>
          <w:trHeight w:val="196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郑建明、钱英、 于伟</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审议《关于审计中介机 构</w:t>
            </w:r>
            <w:r>
              <w:rPr>
                <w:rFonts w:ascii="Times New Roman" w:eastAsia="Times New Roman" w:hAnsi="Times New Roman" w:cs="Times New Roman"/>
                <w:color w:val="000000"/>
                <w:spacing w:val="0"/>
                <w:w w:val="100"/>
                <w:position w:val="0"/>
              </w:rPr>
              <w:t>2020</w:t>
            </w:r>
            <w:r>
              <w:rPr>
                <w:color w:val="000000"/>
                <w:spacing w:val="0"/>
                <w:w w:val="100"/>
                <w:position w:val="0"/>
              </w:rPr>
              <w:t>年报审计计划 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新会计准则 下，关注公司 收入确认方法 的变更对公司 年度收入确认 带来的影响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审议《关于内部审计机 构</w:t>
            </w:r>
            <w:r>
              <w:rPr>
                <w:rFonts w:ascii="Times New Roman" w:eastAsia="Times New Roman" w:hAnsi="Times New Roman" w:cs="Times New Roman"/>
                <w:color w:val="000000"/>
                <w:spacing w:val="0"/>
                <w:w w:val="100"/>
                <w:position w:val="0"/>
              </w:rPr>
              <w:t>2020</w:t>
            </w:r>
            <w:r>
              <w:rPr>
                <w:color w:val="000000"/>
                <w:spacing w:val="0"/>
                <w:w w:val="100"/>
                <w:position w:val="0"/>
              </w:rPr>
              <w:t>年下半年工作 总结及</w:t>
            </w:r>
            <w:r>
              <w:rPr>
                <w:rFonts w:ascii="Times New Roman" w:eastAsia="Times New Roman" w:hAnsi="Times New Roman" w:cs="Times New Roman"/>
                <w:color w:val="000000"/>
                <w:spacing w:val="0"/>
                <w:w w:val="100"/>
                <w:position w:val="0"/>
              </w:rPr>
              <w:t>2021</w:t>
            </w:r>
            <w:r>
              <w:rPr>
                <w:color w:val="000000"/>
                <w:spacing w:val="0"/>
                <w:w w:val="100"/>
                <w:position w:val="0"/>
              </w:rPr>
              <w:t>年上半年 工作计划的议案》;审议</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《续聘公司</w:t>
            </w:r>
            <w:r>
              <w:rPr>
                <w:rFonts w:ascii="Times New Roman" w:eastAsia="Times New Roman" w:hAnsi="Times New Roman" w:cs="Times New Roman"/>
                <w:color w:val="000000"/>
                <w:spacing w:val="0"/>
                <w:w w:val="100"/>
                <w:position w:val="0"/>
              </w:rPr>
              <w:t>2021</w:t>
            </w:r>
            <w:r>
              <w:rPr>
                <w:color w:val="000000"/>
                <w:spacing w:val="0"/>
                <w:w w:val="100"/>
                <w:position w:val="0"/>
              </w:rPr>
              <w:t>年度 审计机构的议案》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内部审计报告 应清晰列示审 计关注点、审 计问题、审计 结论及建议， 体现因果关 系；会议同意 续聘中汇会计 师事务所作为 公司</w:t>
            </w:r>
            <w:r>
              <w:rPr>
                <w:rFonts w:ascii="Times New Roman" w:eastAsia="Times New Roman" w:hAnsi="Times New Roman" w:cs="Times New Roman"/>
                <w:color w:val="000000"/>
                <w:spacing w:val="0"/>
                <w:w w:val="100"/>
                <w:position w:val="0"/>
              </w:rPr>
              <w:t>2021</w:t>
            </w:r>
            <w:r>
              <w:rPr>
                <w:color w:val="000000"/>
                <w:spacing w:val="0"/>
                <w:w w:val="100"/>
                <w:position w:val="0"/>
              </w:rPr>
              <w:t>年报 的审计机构。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8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w:t>
            </w:r>
            <w:r>
              <w:rPr>
                <w:color w:val="000000"/>
                <w:spacing w:val="0"/>
                <w:w w:val="100"/>
                <w:position w:val="0"/>
              </w:rPr>
              <w:t>〉</w:t>
            </w:r>
            <w:r>
              <w:rPr>
                <w:color w:val="000000"/>
                <w:spacing w:val="0"/>
                <w:w w:val="100"/>
                <w:position w:val="0"/>
              </w:rPr>
              <w:t>全文和摘 要的议案》；审议《关于 变更会计政策的议案》； 审议《关于</w:t>
            </w:r>
            <w:r>
              <w:rPr>
                <w:rFonts w:ascii="Times New Roman" w:eastAsia="Times New Roman" w:hAnsi="Times New Roman" w:cs="Times New Roman"/>
                <w:color w:val="000000"/>
                <w:spacing w:val="0"/>
                <w:w w:val="100"/>
                <w:position w:val="0"/>
              </w:rPr>
              <w:t>＜2020</w:t>
            </w:r>
            <w:r>
              <w:rPr>
                <w:color w:val="000000"/>
                <w:spacing w:val="0"/>
                <w:w w:val="100"/>
                <w:position w:val="0"/>
              </w:rPr>
              <w:t>年度 内部控制自我评价报 告</w:t>
            </w:r>
            <w:r>
              <w:rPr>
                <w:color w:val="000000"/>
                <w:spacing w:val="0"/>
                <w:w w:val="100"/>
                <w:position w:val="0"/>
              </w:rPr>
              <w:t>〉</w:t>
            </w:r>
            <w:r>
              <w:rPr>
                <w:color w:val="000000"/>
                <w:spacing w:val="0"/>
                <w:w w:val="100"/>
                <w:position w:val="0"/>
              </w:rPr>
              <w:t>的议案</w:t>
            </w:r>
            <w:r>
              <w:rPr>
                <w:color w:val="000000"/>
                <w:spacing w:val="0"/>
                <w:w w:val="100"/>
                <w:position w:val="0"/>
              </w:rPr>
              <w:t>〉</w:t>
            </w:r>
            <w:r>
              <w:rPr>
                <w:color w:val="000000"/>
                <w:spacing w:val="0"/>
                <w:w w:val="100"/>
                <w:position w:val="0"/>
              </w:rPr>
              <w:t>；审议《关 于</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 报告</w:t>
            </w:r>
            <w:r>
              <w:rPr>
                <w:color w:val="000000"/>
                <w:spacing w:val="0"/>
                <w:w w:val="100"/>
                <w:position w:val="0"/>
              </w:rPr>
              <w:t>〉</w:t>
            </w:r>
            <w:r>
              <w:rPr>
                <w:color w:val="000000"/>
                <w:spacing w:val="0"/>
                <w:w w:val="100"/>
                <w:position w:val="0"/>
              </w:rPr>
              <w:t>的议案》；审议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730"/>
        <w:gridCol w:w="989"/>
        <w:gridCol w:w="1872"/>
        <w:gridCol w:w="1195"/>
        <w:gridCol w:w="1195"/>
        <w:gridCol w:w="1205"/>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 分配预案</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年第一季度报告</w:t>
            </w:r>
            <w:r>
              <w:rPr>
                <w:color w:val="000000"/>
                <w:spacing w:val="0"/>
                <w:w w:val="100"/>
                <w:position w:val="0"/>
              </w:rPr>
              <w:t>〉</w:t>
            </w:r>
            <w:r>
              <w:rPr>
                <w:color w:val="000000"/>
                <w:spacing w:val="0"/>
                <w:w w:val="100"/>
                <w:position w:val="0"/>
              </w:rPr>
              <w:t>的议 案》；审议《关于变更会 计政策的议案》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审议《内部审计机构</w:t>
            </w:r>
          </w:p>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年上半年工作总 结及</w:t>
            </w:r>
            <w:r>
              <w:rPr>
                <w:rFonts w:ascii="Times New Roman" w:eastAsia="Times New Roman" w:hAnsi="Times New Roman" w:cs="Times New Roman"/>
                <w:color w:val="000000"/>
                <w:spacing w:val="0"/>
                <w:w w:val="100"/>
                <w:position w:val="0"/>
              </w:rPr>
              <w:t>2021</w:t>
            </w:r>
            <w:r>
              <w:rPr>
                <w:color w:val="000000"/>
                <w:spacing w:val="0"/>
                <w:w w:val="100"/>
                <w:position w:val="0"/>
              </w:rPr>
              <w:t>年下半年工 作计划的议案》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内部审计报告 中，针对公司 存在部分问题 的运营项目应 列示出纠正措 施及公司的防 范机制。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年半年度报告</w:t>
            </w:r>
            <w:r>
              <w:rPr>
                <w:color w:val="000000"/>
                <w:spacing w:val="0"/>
                <w:w w:val="100"/>
                <w:position w:val="0"/>
              </w:rPr>
              <w:t>〉</w:t>
            </w:r>
            <w:r>
              <w:rPr>
                <w:color w:val="000000"/>
                <w:spacing w:val="0"/>
                <w:w w:val="100"/>
                <w:position w:val="0"/>
              </w:rPr>
              <w:t>全文和 摘要的议案》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年第三季度报告的</w:t>
            </w:r>
            <w:r>
              <w:rPr>
                <w:color w:val="000000"/>
                <w:spacing w:val="0"/>
                <w:w w:val="100"/>
                <w:position w:val="0"/>
              </w:rPr>
              <w:t>〉</w:t>
            </w:r>
            <w:r>
              <w:rPr>
                <w:color w:val="000000"/>
                <w:spacing w:val="0"/>
                <w:w w:val="100"/>
                <w:position w:val="0"/>
              </w:rPr>
              <w:t>全 文的议案》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4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审议《关于审计中介机 构</w:t>
            </w:r>
            <w:r>
              <w:rPr>
                <w:rFonts w:ascii="Times New Roman" w:eastAsia="Times New Roman" w:hAnsi="Times New Roman" w:cs="Times New Roman"/>
                <w:color w:val="000000"/>
                <w:spacing w:val="0"/>
                <w:w w:val="100"/>
                <w:position w:val="0"/>
              </w:rPr>
              <w:t>2021</w:t>
            </w:r>
            <w:r>
              <w:rPr>
                <w:color w:val="000000"/>
                <w:spacing w:val="0"/>
                <w:w w:val="100"/>
                <w:position w:val="0"/>
              </w:rPr>
              <w:t>年报审计计划 的议案》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持续关注收入 确认方法变更 后对当年利润 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十、监事会工作情况</w:t>
      </w:r>
      <w:bookmarkEnd w:id="321"/>
      <w:bookmarkEnd w:id="322"/>
      <w:bookmarkEnd w:id="32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十一、公司员工情况</w:t>
      </w:r>
      <w:bookmarkEnd w:id="324"/>
      <w:bookmarkEnd w:id="325"/>
      <w:bookmarkEnd w:id="326"/>
    </w:p>
    <w:p>
      <w:pPr>
        <w:pStyle w:val="Style32"/>
        <w:keepNext/>
        <w:keepLines/>
        <w:widowControl w:val="0"/>
        <w:shd w:val="clear" w:color="auto" w:fill="auto"/>
        <w:bidi w:val="0"/>
        <w:spacing w:before="0" w:after="30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、员工数量、专业构成及教育程度</w:t>
      </w:r>
      <w:bookmarkEnd w:id="327"/>
      <w:bookmarkEnd w:id="328"/>
      <w:bookmarkEnd w:id="33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1,704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2,297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3,628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4,001</w:t>
            </w:r>
          </w:p>
        </w:tc>
      </w:tr>
      <w:tr>
        <w:trPr>
          <w:trHeight w:val="398"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本科及以上学历</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2,842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1,111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48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4,001</w:t>
            </w:r>
          </w:p>
        </w:tc>
      </w:tr>
    </w:tbl>
    <w:p>
      <w:pPr>
        <w:widowControl w:val="0"/>
        <w:spacing w:after="359" w:line="1" w:lineRule="exact"/>
      </w:pPr>
    </w:p>
    <w:p>
      <w:pPr>
        <w:pStyle w:val="Style32"/>
        <w:keepNext/>
        <w:keepLines/>
        <w:widowControl w:val="0"/>
        <w:shd w:val="clear" w:color="auto" w:fill="auto"/>
        <w:tabs>
          <w:tab w:pos="378" w:val="left"/>
        </w:tabs>
        <w:bidi w:val="0"/>
        <w:spacing w:before="0" w:after="260" w:line="240" w:lineRule="auto"/>
        <w:ind w:left="0" w:right="0" w:firstLine="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薪酬政策</w:t>
      </w:r>
      <w:bookmarkEnd w:id="331"/>
      <w:bookmarkEnd w:id="332"/>
      <w:bookmarkEnd w:id="334"/>
    </w:p>
    <w:p>
      <w:pPr>
        <w:pStyle w:val="Style23"/>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公司员工薪酬政策力求体现工资管理的激励性、竞争性和公平性，把个人业绩和团队业绩有效结合起来，共同分享企业 发展所带来的机遇，促进员工价值观念的凝合，形成留住人才和吸引人才的机制，最终推进公司发展战略的实现。公司薪酬 政策分为年薪制、月薪制，并通过绩效考核将员工工作目标与企业战略目标以及个人绩效结合，激发员工的积极性。</w:t>
      </w:r>
    </w:p>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3"/>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报告期内，营业成本中职工薪酬总额为</w:t>
      </w:r>
      <w:r>
        <w:rPr>
          <w:rFonts w:ascii="Times New Roman" w:eastAsia="Times New Roman" w:hAnsi="Times New Roman" w:cs="Times New Roman"/>
          <w:color w:val="000000"/>
          <w:spacing w:val="0"/>
          <w:w w:val="100"/>
          <w:position w:val="0"/>
        </w:rPr>
        <w:t>56,797</w:t>
      </w:r>
      <w:r>
        <w:rPr>
          <w:rFonts w:ascii="Times New Roman" w:eastAsia="Times New Roman" w:hAnsi="Times New Roman" w:cs="Times New Roman"/>
          <w:color w:val="000000"/>
          <w:spacing w:val="0"/>
          <w:w w:val="100"/>
          <w:position w:val="0"/>
        </w:rPr>
        <w:t>.7</w:t>
      </w:r>
      <w:r>
        <w:rPr>
          <w:color w:val="000000"/>
          <w:spacing w:val="0"/>
          <w:w w:val="100"/>
          <w:position w:val="0"/>
        </w:rPr>
        <w:t>万元，占公司营业成本的</w:t>
      </w:r>
      <w:r>
        <w:rPr>
          <w:rFonts w:ascii="Times New Roman" w:eastAsia="Times New Roman" w:hAnsi="Times New Roman" w:cs="Times New Roman"/>
          <w:color w:val="000000"/>
          <w:spacing w:val="0"/>
          <w:w w:val="100"/>
          <w:position w:val="0"/>
        </w:rPr>
        <w:t>29.9%</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日，公司核心技术 人员为</w:t>
      </w:r>
      <w:r>
        <w:rPr>
          <w:rFonts w:ascii="Times New Roman" w:eastAsia="Times New Roman" w:hAnsi="Times New Roman" w:cs="Times New Roman"/>
          <w:color w:val="000000"/>
          <w:spacing w:val="0"/>
          <w:w w:val="100"/>
          <w:position w:val="0"/>
        </w:rPr>
        <w:t>4</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0.1%</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rPr>
        <w:t>4</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0.11%</w:t>
      </w:r>
      <w:r>
        <w:rPr>
          <w:color w:val="000000"/>
          <w:spacing w:val="0"/>
          <w:w w:val="100"/>
          <w:position w:val="0"/>
        </w:rPr>
        <w:t>；截至报告期末，核心技术人 员薪酬占全体员工薪酬的</w:t>
      </w:r>
      <w:r>
        <w:rPr>
          <w:rFonts w:ascii="Times New Roman" w:eastAsia="Times New Roman" w:hAnsi="Times New Roman" w:cs="Times New Roman"/>
          <w:color w:val="000000"/>
          <w:spacing w:val="0"/>
          <w:w w:val="100"/>
          <w:position w:val="0"/>
        </w:rPr>
        <w:t>0.55%</w:t>
      </w:r>
      <w:r>
        <w:rPr>
          <w:color w:val="000000"/>
          <w:spacing w:val="0"/>
          <w:w w:val="100"/>
          <w:position w:val="0"/>
        </w:rPr>
        <w:t>，上年同期为</w:t>
      </w:r>
      <w:r>
        <w:rPr>
          <w:rFonts w:ascii="Times New Roman" w:eastAsia="Times New Roman" w:hAnsi="Times New Roman" w:cs="Times New Roman"/>
          <w:color w:val="000000"/>
          <w:spacing w:val="0"/>
          <w:w w:val="100"/>
          <w:position w:val="0"/>
        </w:rPr>
        <w:t>0.87%</w:t>
      </w:r>
      <w:r>
        <w:rPr>
          <w:color w:val="000000"/>
          <w:spacing w:val="0"/>
          <w:w w:val="100"/>
          <w:position w:val="0"/>
        </w:rPr>
        <w:t>。</w:t>
      </w:r>
    </w:p>
    <w:p>
      <w:pPr>
        <w:pStyle w:val="Style32"/>
        <w:keepNext/>
        <w:keepLines/>
        <w:widowControl w:val="0"/>
        <w:shd w:val="clear" w:color="auto" w:fill="auto"/>
        <w:tabs>
          <w:tab w:pos="378" w:val="left"/>
        </w:tabs>
        <w:bidi w:val="0"/>
        <w:spacing w:before="0" w:after="260" w:line="240" w:lineRule="auto"/>
        <w:ind w:left="0" w:right="0" w:firstLine="0"/>
        <w:jc w:val="both"/>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培训计划</w:t>
      </w:r>
      <w:bookmarkEnd w:id="335"/>
      <w:bookmarkEnd w:id="336"/>
      <w:bookmarkEnd w:id="338"/>
    </w:p>
    <w:p>
      <w:pPr>
        <w:pStyle w:val="Style23"/>
        <w:keepNext w:val="0"/>
        <w:keepLines w:val="0"/>
        <w:widowControl w:val="0"/>
        <w:shd w:val="clear" w:color="auto" w:fill="auto"/>
        <w:bidi w:val="0"/>
        <w:spacing w:before="0" w:after="360" w:line="319"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年组织实施员工培训，严格按照培训流程。</w:t>
      </w:r>
      <w:r>
        <w:rPr>
          <w:rFonts w:ascii="Times New Roman" w:eastAsia="Times New Roman" w:hAnsi="Times New Roman" w:cs="Times New Roman"/>
          <w:color w:val="000000"/>
          <w:spacing w:val="0"/>
          <w:w w:val="100"/>
          <w:position w:val="0"/>
        </w:rPr>
        <w:t>2022</w:t>
      </w:r>
      <w:r>
        <w:rPr>
          <w:color w:val="000000"/>
          <w:spacing w:val="0"/>
          <w:w w:val="100"/>
          <w:position w:val="0"/>
        </w:rPr>
        <w:t>年，将不断精细化完善培训管理制度，不断加强执行力的提高，不 断吸收对培训有益的良好思想积极采纳并持续改进，与此同时，加强培训相关人员的密切联系，以达到促进培训工作高效开 展、有效落地的目的。公司计划加强与高校的合作，提前锁定技术人才，为后续的企业规模扩张打好基础。</w:t>
      </w:r>
    </w:p>
    <w:p>
      <w:pPr>
        <w:pStyle w:val="Style32"/>
        <w:keepNext/>
        <w:keepLines/>
        <w:widowControl w:val="0"/>
        <w:shd w:val="clear" w:color="auto" w:fill="auto"/>
        <w:tabs>
          <w:tab w:pos="378" w:val="left"/>
        </w:tabs>
        <w:bidi w:val="0"/>
        <w:spacing w:before="0" w:after="260" w:line="240" w:lineRule="auto"/>
        <w:ind w:left="0" w:right="0" w:firstLine="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劳务外包情况</w:t>
      </w:r>
      <w:bookmarkEnd w:id="339"/>
      <w:bookmarkEnd w:id="340"/>
      <w:bookmarkEnd w:id="342"/>
    </w:p>
    <w:p>
      <w:pPr>
        <w:pStyle w:val="Style23"/>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343" w:name="bookmark343"/>
      <w:bookmarkStart w:id="344" w:name="bookmark344"/>
      <w:bookmarkStart w:id="345" w:name="bookmark345"/>
      <w:r>
        <w:rPr>
          <w:color w:val="000000"/>
          <w:spacing w:val="0"/>
          <w:w w:val="100"/>
          <w:position w:val="0"/>
          <w:sz w:val="24"/>
          <w:szCs w:val="24"/>
        </w:rPr>
        <w:t>十二、公司利润分配及资本公积金转增股本情况</w:t>
      </w:r>
      <w:bookmarkEnd w:id="343"/>
      <w:bookmarkEnd w:id="344"/>
      <w:bookmarkEnd w:id="345"/>
    </w:p>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报告期内利润分配政策，特别是现金分红政策的制定、执行或调整情况</w:t>
      </w:r>
    </w:p>
    <w:p>
      <w:pPr>
        <w:pStyle w:val="Style23"/>
        <w:keepNext w:val="0"/>
        <w:keepLines w:val="0"/>
        <w:widowControl w:val="0"/>
        <w:shd w:val="clear" w:color="auto" w:fill="auto"/>
        <w:bidi w:val="0"/>
        <w:spacing w:before="0" w:after="32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公司上市后的利润分配政策如下：</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公司可以采取现金或者股票方式分配利润。公司的利润分配政策应保持连续性和稳定性。公司实施股利分配应当遵守以 下规定</w:t>
      </w:r>
      <w:r>
        <w:rPr>
          <w:color w:val="000000"/>
          <w:spacing w:val="0"/>
          <w:w w:val="100"/>
          <w:position w:val="0"/>
        </w:rPr>
        <w:t>：</w:t>
      </w:r>
    </w:p>
    <w:p>
      <w:pPr>
        <w:pStyle w:val="Style23"/>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公司的利润分配应重视对投资者的合理投资回报，同时兼顾公司的实际经营情况及公司的远期战略发展目标；公司一般 进行年度分红，在有条件的情况下，公司可以进行中期利润分配。在公司当年盈利且无重大投资计划或重大现金支出事项发 生的情况下，公司必须进行现金分红，以现金形式分配的利润不少于当年实现的可供分配利润的</w:t>
      </w:r>
      <w:r>
        <w:rPr>
          <w:rFonts w:ascii="Times New Roman" w:eastAsia="Times New Roman" w:hAnsi="Times New Roman" w:cs="Times New Roman"/>
          <w:color w:val="000000"/>
          <w:spacing w:val="0"/>
          <w:w w:val="100"/>
          <w:position w:val="0"/>
        </w:rPr>
        <w:t>15%</w:t>
      </w:r>
      <w:r>
        <w:rPr>
          <w:color w:val="000000"/>
          <w:spacing w:val="0"/>
          <w:w w:val="100"/>
          <w:position w:val="0"/>
        </w:rPr>
        <w:t>；公司最近三年以现金 方式累计分配的利润不少于最近三年实现的年均可分配利润的</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23"/>
        <w:keepNext w:val="0"/>
        <w:keepLines w:val="0"/>
        <w:widowControl w:val="0"/>
        <w:shd w:val="clear" w:color="auto" w:fill="auto"/>
        <w:bidi w:val="0"/>
        <w:spacing w:before="0" w:after="100" w:line="317" w:lineRule="exact"/>
        <w:ind w:left="0" w:right="0"/>
        <w:jc w:val="both"/>
      </w:pPr>
      <w:r>
        <w:rPr>
          <w:color w:val="000000"/>
          <w:spacing w:val="0"/>
          <w:w w:val="100"/>
          <w:position w:val="0"/>
        </w:rPr>
        <w:t>公司出现以下情况，可以进行股票股利分配：公司营业收入增长迅速，并且董事会认为公司股票价格与公司股本规模不 匹配时，可以在满足上述现金股利分配的同时，制定股票股利分配预案。</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现金分红政策进行调整或变更的，条件及程序是否合规、透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-173,029,703.78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根据中国证券监督管理委员会有关规定及《公司章程》的相关规定，鉴于</w:t>
            </w:r>
            <w:r>
              <w:rPr>
                <w:rFonts w:ascii="Times New Roman" w:eastAsia="Times New Roman" w:hAnsi="Times New Roman" w:cs="Times New Roman"/>
                <w:color w:val="000000"/>
                <w:spacing w:val="0"/>
                <w:w w:val="100"/>
                <w:position w:val="0"/>
              </w:rPr>
              <w:t>2021</w:t>
            </w:r>
            <w:r>
              <w:rPr>
                <w:color w:val="000000"/>
                <w:spacing w:val="0"/>
                <w:w w:val="100"/>
                <w:position w:val="0"/>
              </w:rPr>
              <w:t>年度可供投资者分配的利润为负</w:t>
            </w:r>
            <w:r>
              <w:rPr>
                <w:color w:val="000000"/>
                <w:spacing w:val="0"/>
                <w:w w:val="100"/>
                <w:position w:val="0"/>
              </w:rPr>
              <w:t>，</w:t>
            </w:r>
            <w:r>
              <w:rPr>
                <w:color w:val="000000"/>
                <w:spacing w:val="0"/>
                <w:w w:val="100"/>
                <w:position w:val="0"/>
              </w:rPr>
              <w:t>不具备分 红的条件，同时结合公司未来经营发展需要，公司拟定</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年度利润分配预案为：不派发现金红利，不送红股，亦不以 资本公积金转增股本。</w:t>
            </w:r>
          </w:p>
        </w:tc>
      </w:tr>
    </w:tbl>
    <w:p>
      <w:pPr>
        <w:pStyle w:val="Style2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公司报告期内盈利且母公司可供股东分配利润为正但未提出现金红利分配预案</w:t>
      </w:r>
    </w:p>
    <w:p>
      <w:pPr>
        <w:pStyle w:val="Style23"/>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十三、公司股权激励计划、员工持股计划或其他员工激励措施的实施情况</w:t>
      </w:r>
      <w:bookmarkEnd w:id="346"/>
      <w:bookmarkEnd w:id="347"/>
      <w:bookmarkEnd w:id="348"/>
    </w:p>
    <w:p>
      <w:pPr>
        <w:pStyle w:val="Style23"/>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tabs>
          <w:tab w:pos="368" w:val="left"/>
        </w:tabs>
        <w:bidi w:val="0"/>
        <w:spacing w:before="0" w:after="26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w:t>
        <w:tab/>
        <w:t>股权激励</w:t>
      </w:r>
      <w:bookmarkEnd w:id="349"/>
      <w:bookmarkEnd w:id="350"/>
      <w:bookmarkEnd w:id="352"/>
    </w:p>
    <w:p>
      <w:pPr>
        <w:pStyle w:val="Style23"/>
        <w:keepNext w:val="0"/>
        <w:keepLines w:val="0"/>
        <w:widowControl w:val="0"/>
        <w:shd w:val="clear" w:color="auto" w:fill="auto"/>
        <w:bidi w:val="0"/>
        <w:spacing w:before="0" w:after="60" w:line="314" w:lineRule="exact"/>
        <w:ind w:left="0" w:right="0" w:firstLine="0"/>
        <w:jc w:val="left"/>
      </w:pPr>
      <w:r>
        <w:rPr>
          <w:color w:val="000000"/>
          <w:spacing w:val="0"/>
          <w:w w:val="100"/>
          <w:position w:val="0"/>
        </w:rPr>
        <w:t>不适用</w:t>
      </w:r>
    </w:p>
    <w:p>
      <w:pPr>
        <w:pStyle w:val="Style2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董事、高级管理人员获得的股权激励情况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60" w:line="314" w:lineRule="exact"/>
        <w:ind w:left="0" w:right="0" w:firstLine="0"/>
        <w:jc w:val="left"/>
      </w:pPr>
      <w:r>
        <w:rPr>
          <w:color w:val="000000"/>
          <w:spacing w:val="0"/>
          <w:w w:val="100"/>
          <w:position w:val="0"/>
        </w:rPr>
        <w:t>高级管理人员的考评机制及激励情况</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公司建立了符合发展需求和行业实际情况的薪酬体系，并制定了聘用高级管理人员的聘用流程，有效保障了高管管理人 员发挥积极的主观能动性和创造力。</w:t>
      </w:r>
    </w:p>
    <w:p>
      <w:pPr>
        <w:pStyle w:val="Style2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公司建立相应的激励和约束机制，高级管理人员的薪酬结构由基础月薪、岗位绩效或季度绩效和年终奖金组成，基础月 薪酬参考市场同类薪酬标准，结合职位、责任、能力等因素确定，按月支付；岗位绩效或季度绩效结合岗位职责和季度考核 结果按月或者按季度支付，年终奖金结合个人年度业绩考核结果和公司经营情况等确定。</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w:t>
        <w:tab/>
        <w:t>员工持股计划的实施情况</w:t>
      </w:r>
      <w:bookmarkEnd w:id="353"/>
      <w:bookmarkEnd w:id="354"/>
      <w:bookmarkEnd w:id="356"/>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2275"/>
        <w:gridCol w:w="994"/>
        <w:gridCol w:w="1522"/>
        <w:gridCol w:w="888"/>
        <w:gridCol w:w="2299"/>
        <w:gridCol w:w="160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持有的股票总额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占上市公司股本总额的比例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实施计划的资金来 源</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公司董事、监事、高级管理 人员及公司核心骨干人员</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5,707,486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合法薪酬、自筹资金 以及法律法规允许 的其他资金</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59" w:line="1" w:lineRule="exact"/>
      </w:pPr>
    </w:p>
    <w:tbl>
      <w:tblPr>
        <w:tblOverlap w:val="never"/>
        <w:jc w:val="center"/>
        <w:tblLayout w:type="fixed"/>
      </w:tblPr>
      <w:tblGrid>
        <w:gridCol w:w="1003"/>
        <w:gridCol w:w="2827"/>
        <w:gridCol w:w="1915"/>
        <w:gridCol w:w="1493"/>
        <w:gridCol w:w="234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占上市公司股本总额的比例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2,776,014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610,723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111,041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111,041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111,041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副总经理、财务总监、董事会秘书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111,041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222,081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222,081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报告期内资产管理机构的变更情况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报告期内因持有人处置份额等引起的权益变动情况</w:t>
      </w:r>
    </w:p>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报告期内股东权利行使的情况</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不适用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报告期内员工持股计划的其他相关情形及说明</w:t>
      </w:r>
    </w:p>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员工持股计划管理委员会成员发生变化</w:t>
      </w:r>
    </w:p>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员工持股计划对报告期上市公司的财务影响及相关会计处理</w:t>
      </w:r>
    </w:p>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报告期内员工持股计划终止的情况</w:t>
      </w:r>
    </w:p>
    <w:p>
      <w:pPr>
        <w:pStyle w:val="Style23"/>
        <w:keepNext w:val="0"/>
        <w:keepLines w:val="0"/>
        <w:widowControl w:val="0"/>
        <w:numPr>
          <w:ilvl w:val="0"/>
          <w:numId w:val="11"/>
        </w:numPr>
        <w:shd w:val="clear" w:color="auto" w:fill="auto"/>
        <w:tabs>
          <w:tab w:pos="282" w:val="left"/>
        </w:tabs>
        <w:bidi w:val="0"/>
        <w:spacing w:before="0" w:after="0" w:line="315" w:lineRule="exact"/>
        <w:ind w:left="0" w:right="0" w:firstLine="0"/>
        <w:jc w:val="left"/>
      </w:pPr>
      <w:bookmarkStart w:id="357" w:name="bookmark357"/>
      <w:bookmarkEnd w:id="35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3"/>
        <w:keepNext w:val="0"/>
        <w:keepLines w:val="0"/>
        <w:widowControl w:val="0"/>
        <w:numPr>
          <w:ilvl w:val="0"/>
          <w:numId w:val="13"/>
        </w:numPr>
        <w:shd w:val="clear" w:color="auto" w:fill="auto"/>
        <w:tabs>
          <w:tab w:pos="675" w:val="left"/>
        </w:tabs>
        <w:bidi w:val="0"/>
        <w:spacing w:before="0" w:after="0" w:line="315" w:lineRule="exact"/>
        <w:ind w:left="0" w:right="0" w:firstLine="380"/>
        <w:jc w:val="both"/>
      </w:pPr>
      <w:bookmarkStart w:id="358" w:name="bookmark358"/>
      <w:bookmarkEnd w:id="358"/>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日召开的第四届董事会第五次会议、第四届监事会第五次会议以及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 第一次临时股东大会审议通过了《关于</w:t>
      </w:r>
      <w:r>
        <w:rPr>
          <w:color w:val="000000"/>
          <w:spacing w:val="0"/>
          <w:w w:val="100"/>
          <w:position w:val="0"/>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年第一期员工持股计划（草案）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w:t>
      </w:r>
      <w:r>
        <w:rPr>
          <w:color w:val="000000"/>
          <w:spacing w:val="0"/>
          <w:w w:val="100"/>
          <w:position w:val="0"/>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年第一期员工持股计划管理办法</w:t>
      </w:r>
      <w:r>
        <w:rPr>
          <w:color w:val="000000"/>
          <w:spacing w:val="0"/>
          <w:w w:val="100"/>
          <w:position w:val="0"/>
        </w:rPr>
        <w:t>〉</w:t>
      </w:r>
      <w:r>
        <w:rPr>
          <w:color w:val="000000"/>
          <w:spacing w:val="0"/>
          <w:w w:val="100"/>
          <w:position w:val="0"/>
        </w:rPr>
        <w:t>的议案》、《关于提请股东大会授权董事会办理员 工持股计划相关事宜的议案》，具体内容详见公司分别于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披露的相关公告。</w:t>
      </w:r>
    </w:p>
    <w:p>
      <w:pPr>
        <w:pStyle w:val="Style23"/>
        <w:keepNext w:val="0"/>
        <w:keepLines w:val="0"/>
        <w:widowControl w:val="0"/>
        <w:numPr>
          <w:ilvl w:val="0"/>
          <w:numId w:val="13"/>
        </w:numPr>
        <w:shd w:val="clear" w:color="auto" w:fill="auto"/>
        <w:tabs>
          <w:tab w:pos="670" w:val="left"/>
        </w:tabs>
        <w:bidi w:val="0"/>
        <w:spacing w:before="0" w:after="0" w:line="315" w:lineRule="exact"/>
        <w:ind w:left="0" w:right="0" w:firstLine="380"/>
        <w:jc w:val="both"/>
      </w:pPr>
      <w:bookmarkStart w:id="359" w:name="bookmark359"/>
      <w:bookmarkEnd w:id="359"/>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日，公司披露了《关于第一期员工持股计划完成股票购买的公告》（公告编号：</w:t>
      </w:r>
      <w:r>
        <w:rPr>
          <w:rFonts w:ascii="Times New Roman" w:eastAsia="Times New Roman" w:hAnsi="Times New Roman" w:cs="Times New Roman"/>
          <w:color w:val="000000"/>
          <w:spacing w:val="0"/>
          <w:w w:val="100"/>
          <w:position w:val="0"/>
        </w:rPr>
        <w:t>2021-009</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日，公司员工持股计划通过陕国投</w:t>
      </w:r>
      <w:r>
        <w:rPr>
          <w:rFonts w:ascii="Times New Roman" w:eastAsia="Times New Roman" w:hAnsi="Times New Roman" w:cs="Times New Roman"/>
          <w:color w:val="000000"/>
          <w:spacing w:val="0"/>
          <w:w w:val="100"/>
          <w:position w:val="0"/>
        </w:rPr>
        <w:t>•</w:t>
      </w:r>
      <w:r>
        <w:rPr>
          <w:color w:val="000000"/>
          <w:spacing w:val="0"/>
          <w:w w:val="100"/>
          <w:position w:val="0"/>
        </w:rPr>
        <w:t>高伟达第一期员工持股集合资金信托计划在二级市场购买的方式累计买入公司股 票共计</w:t>
      </w:r>
      <w:r>
        <w:rPr>
          <w:rFonts w:ascii="Times New Roman" w:eastAsia="Times New Roman" w:hAnsi="Times New Roman" w:cs="Times New Roman"/>
          <w:color w:val="000000"/>
          <w:spacing w:val="0"/>
          <w:w w:val="100"/>
          <w:position w:val="0"/>
        </w:rPr>
        <w:t>8,483,500</w:t>
      </w:r>
      <w:r>
        <w:rPr>
          <w:color w:val="000000"/>
          <w:spacing w:val="0"/>
          <w:w w:val="100"/>
          <w:position w:val="0"/>
        </w:rPr>
        <w:t>股</w:t>
      </w:r>
      <w:r>
        <w:rPr>
          <w:color w:val="000000"/>
          <w:spacing w:val="0"/>
          <w:w w:val="100"/>
          <w:position w:val="0"/>
        </w:rPr>
        <w:t>，</w:t>
      </w:r>
      <w:r>
        <w:rPr>
          <w:color w:val="000000"/>
          <w:spacing w:val="0"/>
          <w:w w:val="100"/>
          <w:position w:val="0"/>
        </w:rPr>
        <w:t>约占公司总股本的</w:t>
      </w:r>
      <w:r>
        <w:rPr>
          <w:rFonts w:ascii="Times New Roman" w:eastAsia="Times New Roman" w:hAnsi="Times New Roman" w:cs="Times New Roman"/>
          <w:color w:val="000000"/>
          <w:spacing w:val="0"/>
          <w:w w:val="100"/>
          <w:position w:val="0"/>
        </w:rPr>
        <w:t>1.90%</w:t>
      </w:r>
      <w:r>
        <w:rPr>
          <w:color w:val="000000"/>
          <w:spacing w:val="0"/>
          <w:w w:val="100"/>
          <w:position w:val="0"/>
        </w:rPr>
        <w:t>，成交均价约为</w:t>
      </w:r>
      <w:r>
        <w:rPr>
          <w:rFonts w:ascii="Times New Roman" w:eastAsia="Times New Roman" w:hAnsi="Times New Roman" w:cs="Times New Roman"/>
          <w:color w:val="000000"/>
          <w:spacing w:val="0"/>
          <w:w w:val="100"/>
          <w:position w:val="0"/>
        </w:rPr>
        <w:t>8.77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3"/>
        <w:keepNext w:val="0"/>
        <w:keepLines w:val="0"/>
        <w:widowControl w:val="0"/>
        <w:numPr>
          <w:ilvl w:val="0"/>
          <w:numId w:val="13"/>
        </w:numPr>
        <w:shd w:val="clear" w:color="auto" w:fill="auto"/>
        <w:bidi w:val="0"/>
        <w:spacing w:before="0" w:after="0" w:line="315" w:lineRule="exact"/>
        <w:ind w:left="0" w:right="0" w:firstLine="380"/>
        <w:jc w:val="both"/>
      </w:pPr>
      <w:bookmarkStart w:id="360" w:name="bookmark360"/>
      <w:bookmarkEnd w:id="360"/>
      <w:r>
        <w:rPr>
          <w:rFonts w:ascii="Times New Roman" w:eastAsia="Times New Roman" w:hAnsi="Times New Roman" w:cs="Times New Roman"/>
          <w:color w:val="000000"/>
          <w:spacing w:val="0"/>
          <w:w w:val="100"/>
          <w:position w:val="0"/>
        </w:rPr>
        <w:t xml:space="preserve"> </w:t>
      </w:r>
      <w:r>
        <w:rPr>
          <w:color w:val="000000"/>
          <w:spacing w:val="0"/>
          <w:w w:val="100"/>
          <w:position w:val="0"/>
        </w:rPr>
        <w:t>公司员工持股计划锁定期为</w:t>
      </w:r>
      <w:r>
        <w:rPr>
          <w:rFonts w:ascii="Times New Roman" w:eastAsia="Times New Roman" w:hAnsi="Times New Roman" w:cs="Times New Roman"/>
          <w:color w:val="000000"/>
          <w:spacing w:val="0"/>
          <w:w w:val="100"/>
          <w:position w:val="0"/>
        </w:rPr>
        <w:t>12</w:t>
      </w:r>
      <w:r>
        <w:rPr>
          <w:color w:val="000000"/>
          <w:spacing w:val="0"/>
          <w:w w:val="100"/>
          <w:position w:val="0"/>
        </w:rPr>
        <w:t>个月，自公司公告最后一笔买入之日起计算，即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 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上披露了《关于第一期员工持股计划锁定期届满的提示性公告》</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2022-003</w:t>
      </w:r>
      <w:r>
        <w:rPr>
          <w:color w:val="000000"/>
          <w:spacing w:val="0"/>
          <w:w w:val="100"/>
          <w:position w:val="0"/>
        </w:rPr>
        <w:t>）。</w:t>
      </w:r>
    </w:p>
    <w:p>
      <w:pPr>
        <w:pStyle w:val="Style23"/>
        <w:keepNext w:val="0"/>
        <w:keepLines w:val="0"/>
        <w:widowControl w:val="0"/>
        <w:numPr>
          <w:ilvl w:val="0"/>
          <w:numId w:val="13"/>
        </w:numPr>
        <w:shd w:val="clear" w:color="auto" w:fill="auto"/>
        <w:bidi w:val="0"/>
        <w:spacing w:before="0" w:after="380" w:line="315" w:lineRule="exact"/>
        <w:ind w:left="0" w:right="0" w:firstLine="380"/>
        <w:jc w:val="both"/>
      </w:pPr>
      <w:bookmarkStart w:id="361" w:name="bookmark361"/>
      <w:bookmarkEnd w:id="361"/>
      <w:r>
        <w:rPr>
          <w:rFonts w:ascii="Times New Roman" w:eastAsia="Times New Roman" w:hAnsi="Times New Roman" w:cs="Times New Roman"/>
          <w:color w:val="000000"/>
          <w:spacing w:val="0"/>
          <w:w w:val="100"/>
          <w:position w:val="0"/>
        </w:rPr>
        <w:t xml:space="preserve"> </w:t>
      </w: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日，公司员工持股计划所持的</w:t>
      </w:r>
      <w:r>
        <w:rPr>
          <w:rFonts w:ascii="Times New Roman" w:eastAsia="Times New Roman" w:hAnsi="Times New Roman" w:cs="Times New Roman"/>
          <w:color w:val="000000"/>
          <w:spacing w:val="0"/>
          <w:w w:val="100"/>
          <w:position w:val="0"/>
        </w:rPr>
        <w:t>8,483,500</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1.90%</w:t>
      </w:r>
      <w:r>
        <w:rPr>
          <w:color w:val="000000"/>
          <w:spacing w:val="0"/>
          <w:w w:val="100"/>
          <w:position w:val="0"/>
        </w:rPr>
        <w:t>）公司股份已通过在二级市场出 售的方式全部出售完毕。实施</w:t>
      </w:r>
      <w:r>
        <w:rPr>
          <w:rFonts w:ascii="Times New Roman" w:eastAsia="Times New Roman" w:hAnsi="Times New Roman" w:cs="Times New Roman"/>
          <w:color w:val="000000"/>
          <w:spacing w:val="0"/>
          <w:w w:val="100"/>
          <w:position w:val="0"/>
        </w:rPr>
        <w:t>2020</w:t>
      </w:r>
      <w:r>
        <w:rPr>
          <w:color w:val="000000"/>
          <w:spacing w:val="0"/>
          <w:w w:val="100"/>
          <w:position w:val="0"/>
        </w:rPr>
        <w:t>年第一期员工持股计划期间，公司严格遵守股票市场交易规则及中国证监会关于信息敏感 期不得买卖股票的规定，未利用任何内幕信息进行交易。根据《高伟达软件股份有限公司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年第一期员工持股计划（草案）》 的有关规定，公司</w:t>
      </w:r>
      <w:r>
        <w:rPr>
          <w:rFonts w:ascii="Times New Roman" w:eastAsia="Times New Roman" w:hAnsi="Times New Roman" w:cs="Times New Roman"/>
          <w:color w:val="000000"/>
          <w:spacing w:val="0"/>
          <w:w w:val="100"/>
          <w:position w:val="0"/>
        </w:rPr>
        <w:t>2020</w:t>
      </w:r>
      <w:r>
        <w:rPr>
          <w:color w:val="000000"/>
          <w:spacing w:val="0"/>
          <w:w w:val="100"/>
          <w:position w:val="0"/>
        </w:rPr>
        <w:t>年第一期员工持股计划已实施完毕并提前终止，后续将进行相关资产清算和分配工作。具体内容详见 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年第一期员工持股计划出售完毕暨终</w:t>
      </w:r>
      <w:r>
        <w:rPr>
          <w:color w:val="000000"/>
          <w:spacing w:val="0"/>
          <w:w w:val="100"/>
          <w:position w:val="0"/>
        </w:rPr>
        <w:t xml:space="preserve"> 止的公告》。</w:t>
      </w:r>
    </w:p>
    <w:p>
      <w:pPr>
        <w:pStyle w:val="Style32"/>
        <w:keepNext/>
        <w:keepLines/>
        <w:widowControl w:val="0"/>
        <w:shd w:val="clear" w:color="auto" w:fill="auto"/>
        <w:bidi w:val="0"/>
        <w:spacing w:before="0" w:after="24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、其他员工激励措施</w:t>
      </w:r>
      <w:bookmarkEnd w:id="362"/>
      <w:bookmarkEnd w:id="363"/>
      <w:bookmarkEnd w:id="365"/>
    </w:p>
    <w:p>
      <w:pPr>
        <w:pStyle w:val="Style23"/>
        <w:keepNext w:val="0"/>
        <w:keepLines w:val="0"/>
        <w:widowControl w:val="0"/>
        <w:numPr>
          <w:ilvl w:val="0"/>
          <w:numId w:val="11"/>
        </w:numPr>
        <w:shd w:val="clear" w:color="auto" w:fill="auto"/>
        <w:tabs>
          <w:tab w:pos="282" w:val="left"/>
        </w:tabs>
        <w:bidi w:val="0"/>
        <w:spacing w:before="0" w:after="0" w:line="346" w:lineRule="exact"/>
        <w:ind w:left="0" w:right="0" w:firstLine="0"/>
        <w:jc w:val="left"/>
      </w:pPr>
      <w:bookmarkStart w:id="366" w:name="bookmark366"/>
      <w:bookmarkEnd w:id="36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 不适用</w:t>
      </w:r>
    </w:p>
    <w:p>
      <w:pPr>
        <w:pStyle w:val="Style27"/>
        <w:keepNext/>
        <w:keepLines/>
        <w:widowControl w:val="0"/>
        <w:shd w:val="clear" w:color="auto" w:fill="auto"/>
        <w:bidi w:val="0"/>
        <w:spacing w:before="0" w:after="34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十四、报告期内的内部控制制度建设及实施情况</w:t>
      </w:r>
      <w:bookmarkEnd w:id="367"/>
      <w:bookmarkEnd w:id="368"/>
      <w:bookmarkEnd w:id="369"/>
    </w:p>
    <w:p>
      <w:pPr>
        <w:pStyle w:val="Style32"/>
        <w:keepNext/>
        <w:keepLines/>
        <w:widowControl w:val="0"/>
        <w:shd w:val="clear" w:color="auto" w:fill="auto"/>
        <w:bidi w:val="0"/>
        <w:spacing w:before="0" w:after="24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、内部控制建设及实施情况</w:t>
      </w:r>
      <w:bookmarkEnd w:id="370"/>
      <w:bookmarkEnd w:id="371"/>
      <w:bookmarkEnd w:id="373"/>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公司管理层对内部控制的合理性、有效性进行了合理的评估。公司管理层认为按照财政部于</w:t>
      </w:r>
      <w:r>
        <w:rPr>
          <w:rFonts w:ascii="Times New Roman" w:eastAsia="Times New Roman" w:hAnsi="Times New Roman" w:cs="Times New Roman"/>
          <w:color w:val="000000"/>
          <w:spacing w:val="0"/>
          <w:w w:val="100"/>
          <w:position w:val="0"/>
        </w:rPr>
        <w:t>2008</w:t>
      </w:r>
      <w:r>
        <w:rPr>
          <w:color w:val="000000"/>
          <w:spacing w:val="0"/>
          <w:w w:val="100"/>
          <w:position w:val="0"/>
        </w:rPr>
        <w:t>年颁发的《企业内部控制基 本规范》（财会</w:t>
      </w:r>
      <w:r>
        <w:rPr>
          <w:rFonts w:ascii="Times New Roman" w:eastAsia="Times New Roman" w:hAnsi="Times New Roman" w:cs="Times New Roman"/>
          <w:color w:val="000000"/>
          <w:spacing w:val="0"/>
          <w:w w:val="100"/>
          <w:position w:val="0"/>
        </w:rPr>
        <w:t>[2008]</w:t>
      </w:r>
      <w:r>
        <w:rPr>
          <w:rFonts w:ascii="Times New Roman" w:eastAsia="Times New Roman" w:hAnsi="Times New Roman" w:cs="Times New Roman"/>
          <w:color w:val="000000"/>
          <w:spacing w:val="0"/>
          <w:w w:val="100"/>
          <w:position w:val="0"/>
        </w:rPr>
        <w:t>7</w:t>
      </w:r>
      <w:r>
        <w:rPr>
          <w:color w:val="000000"/>
          <w:spacing w:val="0"/>
          <w:w w:val="100"/>
          <w:position w:val="0"/>
        </w:rPr>
        <w:t>号）的要求，截至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日，公司已结合自身的经营特点，在所有重大方面建立了较为合理、 健全的内部控制制度，并得以良好地贯彻执行。公司内部控制制度设计合理、执行有效，实现了公司内部控制的目标。</w:t>
      </w:r>
      <w:r>
        <w:br w:type="page"/>
      </w:r>
    </w:p>
    <w:p>
      <w:pPr>
        <w:pStyle w:val="Style32"/>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、报告期内发现的内部控制重大缺陷的具体情况</w:t>
      </w:r>
      <w:bookmarkEnd w:id="374"/>
      <w:bookmarkEnd w:id="375"/>
      <w:bookmarkEnd w:id="37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32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十五、公司报告期内对子公司的管理控制情况</w:t>
      </w:r>
      <w:bookmarkEnd w:id="378"/>
      <w:bookmarkEnd w:id="379"/>
      <w:bookmarkEnd w:id="380"/>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十六、内部控制自我评价报告或内部控制审计报告</w:t>
      </w:r>
      <w:bookmarkEnd w:id="381"/>
      <w:bookmarkEnd w:id="382"/>
      <w:bookmarkEnd w:id="383"/>
    </w:p>
    <w:p>
      <w:pPr>
        <w:pStyle w:val="Style32"/>
        <w:keepNext/>
        <w:keepLines/>
        <w:widowControl w:val="0"/>
        <w:shd w:val="clear" w:color="auto" w:fill="auto"/>
        <w:bidi w:val="0"/>
        <w:spacing w:before="0" w:after="32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、内控自我评价报告</w:t>
      </w:r>
      <w:bookmarkEnd w:id="384"/>
      <w:bookmarkEnd w:id="385"/>
      <w:bookmarkEnd w:id="38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www. cninfo .com.cn</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4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2750" w:val="left"/>
              </w:tabs>
              <w:bidi w:val="0"/>
              <w:spacing w:before="0" w:after="0" w:line="318" w:lineRule="exact"/>
              <w:ind w:left="0" w:right="0" w:firstLine="0"/>
              <w:jc w:val="both"/>
            </w:pPr>
            <w:r>
              <w:rPr>
                <w:color w:val="000000"/>
                <w:spacing w:val="0"/>
                <w:w w:val="100"/>
                <w:position w:val="0"/>
              </w:rPr>
              <w:t>公司确定的财务报告内部控制缺陷评价的 定性标准如下：（</w:t>
            </w:r>
            <w:r>
              <w:rPr>
                <w:rFonts w:ascii="Times New Roman" w:eastAsia="Times New Roman" w:hAnsi="Times New Roman" w:cs="Times New Roman"/>
                <w:color w:val="000000"/>
                <w:spacing w:val="0"/>
                <w:w w:val="100"/>
                <w:position w:val="0"/>
              </w:rPr>
              <w:t>1</w:t>
            </w:r>
            <w:r>
              <w:rPr>
                <w:color w:val="000000"/>
                <w:spacing w:val="0"/>
                <w:w w:val="100"/>
                <w:position w:val="0"/>
              </w:rPr>
              <w:t>）公司董事、监事和高 级管理人员的舞弊行为；</w:t>
              <w:tab/>
              <w:t>（</w:t>
            </w:r>
            <w:r>
              <w:rPr>
                <w:rFonts w:ascii="Times New Roman" w:eastAsia="Times New Roman" w:hAnsi="Times New Roman" w:cs="Times New Roman"/>
                <w:color w:val="000000"/>
                <w:spacing w:val="0"/>
                <w:w w:val="100"/>
                <w:position w:val="0"/>
              </w:rPr>
              <w:t>2</w:t>
            </w:r>
            <w:r>
              <w:rPr>
                <w:color w:val="000000"/>
                <w:spacing w:val="0"/>
                <w:w w:val="100"/>
                <w:position w:val="0"/>
              </w:rPr>
              <w:t>）公</w:t>
            </w:r>
          </w:p>
          <w:p>
            <w:pPr>
              <w:pStyle w:val="Style17"/>
              <w:keepNext w:val="0"/>
              <w:keepLines w:val="0"/>
              <w:widowControl w:val="0"/>
              <w:shd w:val="clear" w:color="auto" w:fill="auto"/>
              <w:bidi w:val="0"/>
              <w:spacing w:before="0" w:after="0" w:line="318" w:lineRule="exact"/>
              <w:ind w:left="0" w:right="0" w:firstLine="0"/>
              <w:jc w:val="both"/>
            </w:pPr>
            <w:r>
              <w:rPr>
                <w:color w:val="000000"/>
                <w:spacing w:val="0"/>
                <w:w w:val="100"/>
                <w:position w:val="0"/>
              </w:rPr>
              <w:t>司更正已公布的财务报告；</w:t>
            </w:r>
          </w:p>
          <w:p>
            <w:pPr>
              <w:pStyle w:val="Style17"/>
              <w:keepNext w:val="0"/>
              <w:keepLines w:val="0"/>
              <w:widowControl w:val="0"/>
              <w:shd w:val="clear" w:color="auto" w:fill="auto"/>
              <w:tabs>
                <w:tab w:pos="389" w:val="left"/>
              </w:tabs>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注册会计师发现的却未被公司内部控 制识别的当期财务报告中的重大错报；</w:t>
            </w:r>
          </w:p>
          <w:p>
            <w:pPr>
              <w:pStyle w:val="Style17"/>
              <w:keepNext w:val="0"/>
              <w:keepLines w:val="0"/>
              <w:widowControl w:val="0"/>
              <w:shd w:val="clear" w:color="auto" w:fill="auto"/>
              <w:tabs>
                <w:tab w:pos="394" w:val="left"/>
              </w:tabs>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审计委员会和审计部门对公司的对外 财务报告和财务报告内部控制监督无效。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如果缺陷发生的可能性较小，会降低工 作效率或效果、或加大效果的不确定 性、或使之偏离预期目标为一般缺陷； 如果缺陷发生的可能性较高，会显著降 低工作效率或效果、或显著加大效果的 不确定性、或使之显著偏离预期目标为 重要缺陷；如果缺陷发生的可能性高， 会严重降低工作效率或效果、或严重加 大效果的不确定性、或使之严重偏离预 期目标为重大缺陷。</w:t>
            </w:r>
          </w:p>
        </w:tc>
      </w:tr>
      <w:tr>
        <w:trPr>
          <w:trHeight w:val="224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指标。如果该缺陷单独或连同其他缺陷可 能导致或导致的财务报告错报金额小于营 业收入的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 过营业收入的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，则为重要缺 陷；如果超过营业收入的</w:t>
            </w:r>
            <w:r>
              <w:rPr>
                <w:rFonts w:ascii="Times New Roman" w:eastAsia="Times New Roman" w:hAnsi="Times New Roman" w:cs="Times New Roman"/>
                <w:color w:val="000000"/>
                <w:spacing w:val="0"/>
                <w:w w:val="100"/>
                <w:position w:val="0"/>
              </w:rPr>
              <w:t>2%</w:t>
            </w:r>
            <w:r>
              <w:rPr>
                <w:color w:val="000000"/>
                <w:spacing w:val="0"/>
                <w:w w:val="100"/>
                <w:position w:val="0"/>
              </w:rPr>
              <w:t>，则认定为重 大缺陷。如果该缺陷单独或连同其他缺陷</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定量标准以营业收入、资产总额作为衡 量指标。如果该缺陷单独或连同其他缺 陷可能导致或导致的财务报告错报金 额小于营业收入的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 缺陷；如果超过营业收入的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但小于 </w:t>
            </w:r>
            <w:r>
              <w:rPr>
                <w:rFonts w:ascii="Times New Roman" w:eastAsia="Times New Roman" w:hAnsi="Times New Roman" w:cs="Times New Roman"/>
                <w:color w:val="000000"/>
                <w:spacing w:val="0"/>
                <w:w w:val="100"/>
                <w:position w:val="0"/>
              </w:rPr>
              <w:t>2%</w:t>
            </w:r>
            <w:r>
              <w:rPr>
                <w:color w:val="000000"/>
                <w:spacing w:val="0"/>
                <w:w w:val="100"/>
                <w:position w:val="0"/>
              </w:rPr>
              <w:t>，则为重要缺陷；如果超过营业收 入的</w:t>
            </w:r>
            <w:r>
              <w:rPr>
                <w:rFonts w:ascii="Times New Roman" w:eastAsia="Times New Roman" w:hAnsi="Times New Roman" w:cs="Times New Roman"/>
                <w:color w:val="000000"/>
                <w:spacing w:val="0"/>
                <w:w w:val="100"/>
                <w:position w:val="0"/>
              </w:rPr>
              <w:t>2%</w:t>
            </w:r>
            <w:r>
              <w:rPr>
                <w:color w:val="000000"/>
                <w:spacing w:val="0"/>
                <w:w w:val="100"/>
                <w:position w:val="0"/>
              </w:rPr>
              <w:t>，则认定为重大缺陷。如果该</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可能导致的财务报告错报金额小于资产总 额的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，则认定为一般缺陷；如果超过资 产总额的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认定为重要缺陷； 如果超过资产总额</w:t>
            </w:r>
            <w:r>
              <w:rPr>
                <w:rFonts w:ascii="Times New Roman" w:eastAsia="Times New Roman" w:hAnsi="Times New Roman" w:cs="Times New Roman"/>
                <w:color w:val="000000"/>
                <w:spacing w:val="0"/>
                <w:w w:val="100"/>
                <w:position w:val="0"/>
              </w:rPr>
              <w:t>2%</w:t>
            </w:r>
            <w:r>
              <w:rPr>
                <w:color w:val="000000"/>
                <w:spacing w:val="0"/>
                <w:w w:val="100"/>
                <w:position w:val="0"/>
              </w:rPr>
              <w:t>，则认定为重大缺 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缺陷单独或连同其他缺陷可能导致的 财务报告错报金额小于资产总额的 </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，则认定为一般缺陷；如果超过资 产总额的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认定为重要缺 陷；如果超过资产总额</w:t>
            </w:r>
            <w:r>
              <w:rPr>
                <w:rFonts w:ascii="Times New Roman" w:eastAsia="Times New Roman" w:hAnsi="Times New Roman" w:cs="Times New Roman"/>
                <w:color w:val="000000"/>
                <w:spacing w:val="0"/>
                <w:w w:val="100"/>
                <w:position w:val="0"/>
              </w:rPr>
              <w:t>2%</w:t>
            </w:r>
            <w:r>
              <w:rPr>
                <w:color w:val="000000"/>
                <w:spacing w:val="0"/>
                <w:w w:val="100"/>
                <w:position w:val="0"/>
              </w:rPr>
              <w:t>，则认定为 重大缺陷。</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、内部控制审计报告或鉴证报告</w:t>
      </w:r>
      <w:bookmarkEnd w:id="388"/>
      <w:bookmarkEnd w:id="389"/>
      <w:bookmarkEnd w:id="391"/>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十七、上市公司治理专项行动自查问题整改情况</w:t>
      </w:r>
      <w:bookmarkEnd w:id="392"/>
      <w:bookmarkEnd w:id="393"/>
      <w:bookmarkEnd w:id="394"/>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60" w:bottom="1455" w:left="1062"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820" w:after="520" w:line="240" w:lineRule="auto"/>
        <w:ind w:left="0" w:right="0" w:firstLine="0"/>
        <w:jc w:val="center"/>
      </w:pPr>
      <w:bookmarkStart w:id="395" w:name="bookmark395"/>
      <w:bookmarkStart w:id="396" w:name="bookmark396"/>
      <w:bookmarkStart w:id="397" w:name="bookmark397"/>
      <w:r>
        <w:rPr>
          <w:color w:val="000000"/>
          <w:spacing w:val="0"/>
          <w:w w:val="100"/>
          <w:position w:val="0"/>
        </w:rPr>
        <w:t>第五节环境和社会责任</w:t>
      </w:r>
      <w:bookmarkEnd w:id="395"/>
      <w:bookmarkEnd w:id="396"/>
      <w:bookmarkEnd w:id="397"/>
    </w:p>
    <w:p>
      <w:pPr>
        <w:pStyle w:val="Style27"/>
        <w:keepNext/>
        <w:keepLines/>
        <w:widowControl w:val="0"/>
        <w:shd w:val="clear" w:color="auto" w:fill="auto"/>
        <w:bidi w:val="0"/>
        <w:spacing w:before="0" w:line="240" w:lineRule="auto"/>
        <w:ind w:left="0" w:right="0" w:firstLine="0"/>
        <w:jc w:val="both"/>
      </w:pPr>
      <w:bookmarkStart w:id="398" w:name="bookmark398"/>
      <w:bookmarkStart w:id="399" w:name="bookmark399"/>
      <w:bookmarkStart w:id="400" w:name="bookmark400"/>
      <w:bookmarkStart w:id="401" w:name="bookmark401"/>
      <w:bookmarkStart w:id="402" w:name="bookmark402"/>
      <w:r>
        <w:rPr>
          <w:color w:val="000000"/>
          <w:spacing w:val="0"/>
          <w:w w:val="100"/>
          <w:position w:val="0"/>
          <w:sz w:val="24"/>
          <w:szCs w:val="24"/>
        </w:rPr>
        <w:t>一</w:t>
      </w:r>
      <w:bookmarkEnd w:id="401"/>
      <w:r>
        <w:rPr>
          <w:color w:val="000000"/>
          <w:spacing w:val="0"/>
          <w:w w:val="100"/>
          <w:position w:val="0"/>
          <w:sz w:val="24"/>
          <w:szCs w:val="24"/>
        </w:rPr>
        <w:t>、重大环保问题</w:t>
      </w:r>
      <w:bookmarkEnd w:id="399"/>
      <w:bookmarkEnd w:id="400"/>
      <w:bookmarkEnd w:id="402"/>
      <w:bookmarkEnd w:id="398"/>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bl>
    <w:p>
      <w:pPr>
        <w:pStyle w:val="Style23"/>
        <w:keepNext w:val="0"/>
        <w:keepLines w:val="0"/>
        <w:widowControl w:val="0"/>
        <w:shd w:val="clear" w:color="auto" w:fill="auto"/>
        <w:bidi w:val="0"/>
        <w:spacing w:before="0" w:after="40" w:line="315" w:lineRule="exact"/>
        <w:ind w:left="0" w:right="0" w:firstLine="0"/>
        <w:jc w:val="both"/>
      </w:pPr>
      <w:r>
        <w:rPr>
          <w:color w:val="000000"/>
          <w:spacing w:val="0"/>
          <w:w w:val="100"/>
          <w:position w:val="0"/>
        </w:rPr>
        <w:t>参照重点排污单位披露的其他环境信息</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公司及子公司不属于环境保护部门公布的重点排污单位。公司及子公司在日常生产经营中认真执行《中华人民共和国环境保 护法》《中华人民共和国水污染防治法》《中华人民共和国大气污染防治法》《中华人民共和国固体废物污染防治法》等环 保方面的法律、法规，报告期内未发生重大环保事故，亦不存在因违法违规而受到重大行政处罚的情形。</w:t>
      </w:r>
    </w:p>
    <w:p>
      <w:pPr>
        <w:pStyle w:val="Style23"/>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在报告期内为减少其碳排放所采取的措施及效果</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40" w:line="315" w:lineRule="exact"/>
        <w:ind w:left="0" w:right="0" w:firstLine="0"/>
        <w:jc w:val="both"/>
      </w:pPr>
      <w:r>
        <w:rPr>
          <w:color w:val="000000"/>
          <w:spacing w:val="0"/>
          <w:w w:val="100"/>
          <w:position w:val="0"/>
        </w:rPr>
        <w:t>未披露其他环境信息的原因</w:t>
      </w:r>
    </w:p>
    <w:p>
      <w:pPr>
        <w:pStyle w:val="Style23"/>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无</w:t>
      </w:r>
    </w:p>
    <w:p>
      <w:pPr>
        <w:pStyle w:val="Style27"/>
        <w:keepNext/>
        <w:keepLines/>
        <w:widowControl w:val="0"/>
        <w:shd w:val="clear" w:color="auto" w:fill="auto"/>
        <w:tabs>
          <w:tab w:pos="593" w:val="left"/>
        </w:tabs>
        <w:bidi w:val="0"/>
        <w:spacing w:before="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sz w:val="24"/>
          <w:szCs w:val="24"/>
        </w:rPr>
        <w:t>二</w:t>
      </w:r>
      <w:bookmarkEnd w:id="405"/>
      <w:r>
        <w:rPr>
          <w:color w:val="000000"/>
          <w:spacing w:val="0"/>
          <w:w w:val="100"/>
          <w:position w:val="0"/>
          <w:sz w:val="24"/>
          <w:szCs w:val="24"/>
        </w:rPr>
        <w:t>、</w:t>
        <w:tab/>
        <w:t>社会责任情况</w:t>
      </w:r>
      <w:bookmarkEnd w:id="403"/>
      <w:bookmarkEnd w:id="404"/>
      <w:bookmarkEnd w:id="406"/>
    </w:p>
    <w:p>
      <w:pPr>
        <w:pStyle w:val="Style23"/>
        <w:keepNext w:val="0"/>
        <w:keepLines w:val="0"/>
        <w:widowControl w:val="0"/>
        <w:shd w:val="clear" w:color="auto" w:fill="auto"/>
        <w:tabs>
          <w:tab w:pos="714" w:val="left"/>
        </w:tabs>
        <w:bidi w:val="0"/>
        <w:spacing w:before="0" w:after="0"/>
        <w:ind w:left="0" w:right="0" w:firstLine="380"/>
        <w:jc w:val="both"/>
      </w:pPr>
      <w:bookmarkStart w:id="407" w:name="bookmark407"/>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股东、债权人权益保护情况</w:t>
      </w:r>
    </w:p>
    <w:p>
      <w:pPr>
        <w:pStyle w:val="Style2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在保障投资者合法权益方面，公司严格按照《公司法》《证券法》等国家相关法律法规、部门规章制</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度及《公司章程》等有关规定，不断完善公司法人治理结构和内部控制制度，不断提升公司法人治理水平。</w:t>
      </w:r>
    </w:p>
    <w:p>
      <w:pPr>
        <w:pStyle w:val="Style23"/>
        <w:keepNext w:val="0"/>
        <w:keepLines w:val="0"/>
        <w:widowControl w:val="0"/>
        <w:shd w:val="clear" w:color="auto" w:fill="auto"/>
        <w:tabs>
          <w:tab w:pos="734" w:val="left"/>
        </w:tabs>
        <w:bidi w:val="0"/>
        <w:spacing w:before="0" w:after="0"/>
        <w:ind w:left="0" w:right="0" w:firstLine="380"/>
        <w:jc w:val="both"/>
      </w:pPr>
      <w:bookmarkStart w:id="408" w:name="bookmark408"/>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职工权益保护情况</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公司严格遵守《劳动法》《劳动合同法》等相关法律法规，尊重和维护员工个人权益，切实关注员工健康、安全和满意 度，并向员工提供合理报酬。给员工购买补充医疗保险，关注员工身心健康；年度评选优秀员工奖励，鼓励先进；公司制定 了一系列的福利制度。公司为员工提供年度健康体检项目，保障员工身体健康。</w:t>
      </w:r>
    </w:p>
    <w:p>
      <w:pPr>
        <w:pStyle w:val="Style23"/>
        <w:keepNext w:val="0"/>
        <w:keepLines w:val="0"/>
        <w:widowControl w:val="0"/>
        <w:shd w:val="clear" w:color="auto" w:fill="auto"/>
        <w:tabs>
          <w:tab w:pos="724" w:val="left"/>
        </w:tabs>
        <w:bidi w:val="0"/>
        <w:spacing w:before="0" w:after="0"/>
        <w:ind w:left="0" w:right="0" w:firstLine="380"/>
        <w:jc w:val="both"/>
      </w:pPr>
      <w:bookmarkStart w:id="409" w:name="bookmark409"/>
      <w:r>
        <w:rPr>
          <w:rFonts w:ascii="Times New Roman" w:eastAsia="Times New Roman" w:hAnsi="Times New Roman" w:cs="Times New Roman"/>
          <w:color w:val="000000"/>
          <w:spacing w:val="0"/>
          <w:w w:val="100"/>
          <w:position w:val="0"/>
        </w:rPr>
        <w:t>3</w:t>
      </w:r>
      <w:bookmarkEnd w:id="409"/>
      <w:r>
        <w:rPr>
          <w:color w:val="000000"/>
          <w:spacing w:val="0"/>
          <w:w w:val="100"/>
          <w:position w:val="0"/>
        </w:rPr>
        <w:t>、</w:t>
        <w:tab/>
        <w:t>供应商、客户权益保护情况</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公司在与客户业务中，强调诚实守信，以满足客户需求、帮助客户解决问题为己任，实时了解客户行业政策变动，把握 客户需求，提高研发能力，以优质服务提升客户的满意度和运行效率。</w:t>
      </w:r>
    </w:p>
    <w:p>
      <w:pPr>
        <w:pStyle w:val="Style23"/>
        <w:keepNext w:val="0"/>
        <w:keepLines w:val="0"/>
        <w:widowControl w:val="0"/>
        <w:shd w:val="clear" w:color="auto" w:fill="auto"/>
        <w:tabs>
          <w:tab w:pos="734" w:val="left"/>
        </w:tabs>
        <w:bidi w:val="0"/>
        <w:spacing w:before="0" w:after="0"/>
        <w:ind w:left="0" w:right="0" w:firstLine="380"/>
        <w:jc w:val="both"/>
      </w:pPr>
      <w:bookmarkStart w:id="410" w:name="bookmark410"/>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公共关系、社会公益事业情况</w:t>
      </w:r>
    </w:p>
    <w:p>
      <w:pPr>
        <w:pStyle w:val="Style23"/>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上市以来，公司共向上百所乡村贫困学校捐赠电子设备，供学校师生使用，帮助了乡村教师提高教学水平，拓展山村孩 子们的视野，填补信息鸿沟，缩短城乡教育差距。激励广大贫困学子以一颗感恩的心发奋学习、回报社会。此外，公司携手 公益基金会共同参与</w:t>
      </w:r>
      <w:r>
        <w:rPr>
          <w:rFonts w:ascii="Times New Roman" w:eastAsia="Times New Roman" w:hAnsi="Times New Roman" w:cs="Times New Roman"/>
          <w:color w:val="000000"/>
          <w:spacing w:val="0"/>
          <w:w w:val="100"/>
          <w:position w:val="0"/>
        </w:rPr>
        <w:t>“</w:t>
      </w:r>
      <w:r>
        <w:rPr>
          <w:color w:val="000000"/>
          <w:spacing w:val="0"/>
          <w:w w:val="100"/>
          <w:position w:val="0"/>
        </w:rPr>
        <w:t>童书漂流</w:t>
      </w:r>
      <w:r>
        <w:rPr>
          <w:rFonts w:ascii="Times New Roman" w:eastAsia="Times New Roman" w:hAnsi="Times New Roman" w:cs="Times New Roman"/>
          <w:color w:val="000000"/>
          <w:spacing w:val="0"/>
          <w:w w:val="100"/>
          <w:position w:val="0"/>
        </w:rPr>
        <w:t>”</w:t>
      </w:r>
      <w:r>
        <w:rPr>
          <w:color w:val="000000"/>
          <w:spacing w:val="0"/>
          <w:w w:val="100"/>
          <w:position w:val="0"/>
        </w:rPr>
        <w:t>公益活动，呼吁大家将家中遗忘角落的童书，重新整理和打包，捐献给乡村学校的书屋。</w:t>
      </w:r>
    </w:p>
    <w:p>
      <w:pPr>
        <w:pStyle w:val="Style27"/>
        <w:keepNext/>
        <w:keepLines/>
        <w:widowControl w:val="0"/>
        <w:shd w:val="clear" w:color="auto" w:fill="auto"/>
        <w:tabs>
          <w:tab w:pos="593" w:val="left"/>
        </w:tabs>
        <w:bidi w:val="0"/>
        <w:spacing w:before="0" w:after="24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sz w:val="24"/>
          <w:szCs w:val="24"/>
        </w:rPr>
        <w:t>三</w:t>
      </w:r>
      <w:bookmarkEnd w:id="413"/>
      <w:r>
        <w:rPr>
          <w:color w:val="000000"/>
          <w:spacing w:val="0"/>
          <w:w w:val="100"/>
          <w:position w:val="0"/>
          <w:sz w:val="24"/>
          <w:szCs w:val="24"/>
        </w:rPr>
        <w:t>、</w:t>
        <w:tab/>
        <w:t>巩固拓展脱贫攻坚成果、乡村振兴的情况</w:t>
      </w:r>
      <w:bookmarkEnd w:id="411"/>
      <w:bookmarkEnd w:id="412"/>
      <w:bookmarkEnd w:id="414"/>
    </w:p>
    <w:p>
      <w:pPr>
        <w:pStyle w:val="Style23"/>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公司报告期未开展精准扶贫工作。</w:t>
      </w:r>
      <w:r>
        <w:br w:type="page"/>
      </w:r>
    </w:p>
    <w:p>
      <w:pPr>
        <w:pStyle w:val="Style11"/>
        <w:keepNext/>
        <w:keepLines/>
        <w:widowControl w:val="0"/>
        <w:shd w:val="clear" w:color="auto" w:fill="auto"/>
        <w:bidi w:val="0"/>
        <w:spacing w:before="0" w:after="520" w:line="240" w:lineRule="auto"/>
        <w:ind w:left="0" w:right="0" w:firstLine="0"/>
        <w:jc w:val="center"/>
      </w:pPr>
      <w:bookmarkStart w:id="415" w:name="bookmark415"/>
      <w:bookmarkStart w:id="416" w:name="bookmark416"/>
      <w:bookmarkStart w:id="417" w:name="bookmark417"/>
      <w:r>
        <w:rPr>
          <w:color w:val="000000"/>
          <w:spacing w:val="0"/>
          <w:w w:val="100"/>
          <w:position w:val="0"/>
        </w:rPr>
        <w:t>第六节重要事项</w:t>
      </w:r>
      <w:bookmarkEnd w:id="415"/>
      <w:bookmarkEnd w:id="416"/>
      <w:bookmarkEnd w:id="417"/>
    </w:p>
    <w:p>
      <w:pPr>
        <w:pStyle w:val="Style27"/>
        <w:keepNext/>
        <w:keepLines/>
        <w:widowControl w:val="0"/>
        <w:shd w:val="clear" w:color="auto" w:fill="auto"/>
        <w:bidi w:val="0"/>
        <w:spacing w:before="0" w:after="280" w:line="240" w:lineRule="auto"/>
        <w:ind w:left="0" w:right="0" w:firstLine="0"/>
        <w:jc w:val="both"/>
      </w:pPr>
      <w:bookmarkStart w:id="418" w:name="bookmark418"/>
      <w:bookmarkStart w:id="419" w:name="bookmark419"/>
      <w:bookmarkStart w:id="420" w:name="bookmark420"/>
      <w:bookmarkStart w:id="421" w:name="bookmark421"/>
      <w:bookmarkStart w:id="422" w:name="bookmark422"/>
      <w:r>
        <w:rPr>
          <w:color w:val="000000"/>
          <w:spacing w:val="0"/>
          <w:w w:val="100"/>
          <w:position w:val="0"/>
          <w:sz w:val="24"/>
          <w:szCs w:val="24"/>
        </w:rPr>
        <w:t>一</w:t>
      </w:r>
      <w:bookmarkEnd w:id="421"/>
      <w:r>
        <w:rPr>
          <w:color w:val="000000"/>
          <w:spacing w:val="0"/>
          <w:w w:val="100"/>
          <w:position w:val="0"/>
          <w:sz w:val="24"/>
          <w:szCs w:val="24"/>
        </w:rPr>
        <w:t>、承诺事项履行情况</w:t>
      </w:r>
      <w:bookmarkEnd w:id="419"/>
      <w:bookmarkEnd w:id="420"/>
      <w:bookmarkEnd w:id="422"/>
      <w:bookmarkEnd w:id="418"/>
    </w:p>
    <w:p>
      <w:pPr>
        <w:pStyle w:val="Style32"/>
        <w:keepNext/>
        <w:keepLines/>
        <w:widowControl w:val="0"/>
        <w:shd w:val="clear" w:color="auto" w:fill="auto"/>
        <w:bidi w:val="0"/>
        <w:spacing w:before="0" w:line="317" w:lineRule="exact"/>
        <w:ind w:left="0" w:right="0" w:firstLine="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、公司实际控制人、股东、关联方、收购人以及公司等承诺相关方在报告期内履行完毕及截至报告期末 尚未履行完毕的承诺事项</w:t>
      </w:r>
      <w:bookmarkEnd w:id="423"/>
      <w:bookmarkEnd w:id="424"/>
      <w:bookmarkEnd w:id="42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制人及董事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长于伟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前述锁定期 限届满后，在 任职期间每 年转让的股 份不超过其 间接所持股 份总数的 </w:t>
            </w:r>
            <w:r>
              <w:rPr>
                <w:rFonts w:ascii="Times New Roman" w:eastAsia="Times New Roman" w:hAnsi="Times New Roman" w:cs="Times New Roman"/>
                <w:color w:val="000000"/>
                <w:spacing w:val="0"/>
                <w:w w:val="100"/>
                <w:position w:val="0"/>
              </w:rPr>
              <w:t>25%</w:t>
            </w:r>
            <w:r>
              <w:rPr>
                <w:color w:val="000000"/>
                <w:spacing w:val="0"/>
                <w:w w:val="100"/>
                <w:position w:val="0"/>
              </w:rPr>
              <w:t>，离职后 半年内不转 让其间接所 持有的公司 股份。如果其 在本公司首 次公开发行 股票上市之 日起六个月 内申报离职 的，自申报离 职之日起十 八个月内不 转让其间接 持有的本公 司股份；在首 次公开发行 股票上市之 日起第七个 月至第十二 个月之间申 报离职的，自</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期末，承诺人 严格信守承 诺，未出现违 反承诺的情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申报离职之 日起十二个 月内不转让 其间接持有 的公司股份。 因本公司进 行权益分派 等导致其间 接持有的本 公司股份发 生变化的，仍 遵守上述承 诺。本人所持 公司股票在 锁定期满后 两年内减持 的，减持价格 不低于发行 价。公司上市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rPr>
              <w:t>20</w:t>
            </w:r>
            <w:r>
              <w:rPr>
                <w:color w:val="000000"/>
                <w:spacing w:val="0"/>
                <w:w w:val="100"/>
                <w:position w:val="0"/>
              </w:rPr>
              <w:t>个交易 日的收盘价 均低于发行 价，或者上市 后</w:t>
            </w:r>
            <w:r>
              <w:rPr>
                <w:rFonts w:ascii="Times New Roman" w:eastAsia="Times New Roman" w:hAnsi="Times New Roman" w:cs="Times New Roman"/>
                <w:color w:val="000000"/>
                <w:spacing w:val="0"/>
                <w:w w:val="100"/>
                <w:position w:val="0"/>
              </w:rPr>
              <w:t>6</w:t>
            </w:r>
            <w:r>
              <w:rPr>
                <w:color w:val="000000"/>
                <w:spacing w:val="0"/>
                <w:w w:val="100"/>
                <w:position w:val="0"/>
              </w:rPr>
              <w:t>个月期末 收盘价低于 发行价，本人 持有公司股 票的锁定期 限自动延长</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个月。上述减 持价格和股 份锁定承诺 不因本人职 务变更、离职 等原因放弃 履行承诺。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制人及董事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长于伟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避免关联交</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本人及本人</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实际控制的</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企业将继续</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严格按照《公 司法》等法律 法规以及高</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期末，承诺人 严格信守承 诺，未出现违 反承诺的情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伟达软件股 份有限公司 章程的有关 规定行使股 东权利；在股 东大会对有 关涉及本人 或本人实际 控制的企业 的关联交易 事项进行表 决时，履行回 避表决的义 务；本人承诺 杜绝一切非 法占用上市 公司的资金、 资产的行为； 在任何情况 下，不要求上 市公司向本 人或本人直 接或间接持 股的企业提 供任何形式 的担保；在双 方的关联交 易上，严格遵 循市场原则， 尽量避免不 必要的关联 交易发生，对 持续经营所 发生的必要 的关联交易， 应以双方协 议规定的方 式进行处理， 遵循市场化 的定价原则， 避免损害高 伟达软件股 份有限公司 及广大中小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股东权益的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制人及董事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长于伟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避免同业竞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、如拟出售 本人与公司 生产、经营相 关的任何其 它资产、业务 或权益，公司 均有优先购 买的权利；本 人将尽最大 努力使有关 交易的价格 公平合理，且 该等交易价 格按与独立 第三方进行 正常商业交 易的交易价 格为基础确 定。</w:t>
            </w:r>
            <w:r>
              <w:rPr>
                <w:rFonts w:ascii="Times New Roman" w:eastAsia="Times New Roman" w:hAnsi="Times New Roman" w:cs="Times New Roman"/>
                <w:color w:val="000000"/>
                <w:spacing w:val="0"/>
                <w:w w:val="100"/>
                <w:position w:val="0"/>
              </w:rPr>
              <w:t>2</w:t>
            </w:r>
            <w:r>
              <w:rPr>
                <w:color w:val="000000"/>
                <w:spacing w:val="0"/>
                <w:w w:val="100"/>
                <w:position w:val="0"/>
              </w:rPr>
              <w:t>、本人 目前没有在 中国境内任 何地方或中 国境外，直接 或间接发展、 经营或协助 经营或参与 与公司业务 存在竞争的 任何活动，亦 没有在任何 与公司业务 有直接或间 接竞争的公 司或企业拥 有任何权益 （不论直接 或间接）。</w:t>
            </w:r>
            <w:r>
              <w:rPr>
                <w:rFonts w:ascii="Times New Roman" w:eastAsia="Times New Roman" w:hAnsi="Times New Roman" w:cs="Times New Roman"/>
                <w:color w:val="000000"/>
                <w:spacing w:val="0"/>
                <w:w w:val="100"/>
                <w:position w:val="0"/>
              </w:rPr>
              <w:t>3</w:t>
            </w:r>
            <w:r>
              <w:rPr>
                <w:color w:val="000000"/>
                <w:spacing w:val="0"/>
                <w:w w:val="100"/>
                <w:position w:val="0"/>
              </w:rPr>
              <w:t>、 本人保证及 承诺除非经 公司书面同 意，不会直接 或间接发展、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期末，承诺人 严格信守承 诺，未出现违 反承诺的情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经营或协助 经营或参与 或从事与公 司业务相竞 争的任何活 动。</w:t>
            </w:r>
            <w:r>
              <w:rPr>
                <w:rFonts w:ascii="Times New Roman" w:eastAsia="Times New Roman" w:hAnsi="Times New Roman" w:cs="Times New Roman"/>
                <w:color w:val="000000"/>
                <w:spacing w:val="0"/>
                <w:w w:val="100"/>
                <w:position w:val="0"/>
              </w:rPr>
              <w:t>4</w:t>
            </w:r>
            <w:r>
              <w:rPr>
                <w:color w:val="000000"/>
                <w:spacing w:val="0"/>
                <w:w w:val="100"/>
                <w:position w:val="0"/>
              </w:rPr>
              <w:t>、本人 将依法律、法 规及公司的 规定向公司 及有关机构 或部门及时 披露与公司 业务构成竞 争或可能构 成竞争的任 何业务或权 益的详情，直 至本人不再 作为公司实 际控制人为 止。</w:t>
            </w:r>
            <w:r>
              <w:rPr>
                <w:rFonts w:ascii="Times New Roman" w:eastAsia="Times New Roman" w:hAnsi="Times New Roman" w:cs="Times New Roman"/>
                <w:color w:val="000000"/>
                <w:spacing w:val="0"/>
                <w:w w:val="100"/>
                <w:position w:val="0"/>
              </w:rPr>
              <w:t>5</w:t>
            </w:r>
            <w:r>
              <w:rPr>
                <w:color w:val="000000"/>
                <w:spacing w:val="0"/>
                <w:w w:val="100"/>
                <w:position w:val="0"/>
              </w:rPr>
              <w:t>、本人 将不会利用 公司实际控 制人的身份 进行损害公 司及其它股 东利益的经 营活动。</w:t>
            </w:r>
            <w:r>
              <w:rPr>
                <w:rFonts w:ascii="Times New Roman" w:eastAsia="Times New Roman" w:hAnsi="Times New Roman" w:cs="Times New Roman"/>
                <w:color w:val="000000"/>
                <w:spacing w:val="0"/>
                <w:w w:val="100"/>
                <w:position w:val="0"/>
              </w:rPr>
              <w:t>6</w:t>
            </w:r>
            <w:r>
              <w:rPr>
                <w:color w:val="000000"/>
                <w:spacing w:val="0"/>
                <w:w w:val="100"/>
                <w:position w:val="0"/>
              </w:rPr>
              <w:t>、 本人愿意承 担因违反上 述承诺而给 公司造成的 全部经济损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制人及董事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长于伟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实际控制人</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于伟针对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月无 形资产出资 一事出具如</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下承诺：公司 已于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月对此次无 形资产增资 行为进行了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期末，承诺人 严格信守承 诺，未出现违 反承诺的情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纠正，以截至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月的 未分配利润 补足了该次 出资。如因此 次出资相关 事宜导致高 伟达软件股 份有限公司 及股东利益 遭受损害，相 应责任及损 失将全部由 本人承担，且 在承担相应 损失后不向 高伟达软件 股份有限公 司寻求补偿。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制人及董事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长于伟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于伟针对拟 境外上市架 构事宜出具 了《针对高伟 达控股存续 期间有关事 项的承诺 函》，承诺如 下：在拟境外 上市架构建 立及解除的 整个过程中， 全部事项（包 括但不限于 高伟达控股 设立、历次股 权转让、优先 股发行、股份 回购、对境内 控制公司增 资及注销等） 均符合英属 维尔京群岛 当地及中国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截止本报告 期末，承诺人 严格信守承 诺，未出现违 反承诺的情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国内相关法 律规定，不存 在纠纷或潜 在的纠纷。如 因上述事项 产生纠纷导 致发行人及 其股东利益 遭受损害，所 有损失及开 支均由本人 承担，且不以 任何形式向 发行人寻求 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本公司控股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股东鹰高投</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、本公司将 长期持有公 司股票。</w:t>
            </w:r>
            <w:r>
              <w:rPr>
                <w:rFonts w:ascii="Times New Roman" w:eastAsia="Times New Roman" w:hAnsi="Times New Roman" w:cs="Times New Roman"/>
                <w:color w:val="000000"/>
                <w:spacing w:val="0"/>
                <w:w w:val="100"/>
                <w:position w:val="0"/>
              </w:rPr>
              <w:t>2</w:t>
            </w:r>
            <w:r>
              <w:rPr>
                <w:color w:val="000000"/>
                <w:spacing w:val="0"/>
                <w:w w:val="100"/>
                <w:position w:val="0"/>
              </w:rPr>
              <w:t>、 本公司将严 格根据证券 监管机构、自 律机构及证 券交易所等 有权部门颁 布的相关法 律法规及规 范性文件的 有关规定以 及本公司就 持股锁定事 项出具的相 关承诺执行 有关股份限 售事项，在证 券监管机构、 自律机构及 证券交易所 等有权部门 颁布的相关 法律法规及 规范性文件 的有关规定 以及本公司 股份锁定承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截止本报告 期末，承诺人 严格信守承 诺，未出现违 反承诺的情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诺规定的限 售期内，本公 司不会进行 任何违反相 关规定及股 份锁定承诺 的股份减持 行为。</w:t>
            </w:r>
            <w:r>
              <w:rPr>
                <w:rFonts w:ascii="Times New Roman" w:eastAsia="Times New Roman" w:hAnsi="Times New Roman" w:cs="Times New Roman"/>
                <w:color w:val="000000"/>
                <w:spacing w:val="0"/>
                <w:w w:val="100"/>
                <w:position w:val="0"/>
              </w:rPr>
              <w:t>3</w:t>
            </w:r>
            <w:r>
              <w:rPr>
                <w:color w:val="000000"/>
                <w:spacing w:val="0"/>
                <w:w w:val="100"/>
                <w:position w:val="0"/>
              </w:rPr>
              <w:t>、持 股限售期结 束后，本公司 届时将综合 考虑资金需 求、投资安排 等各方面因 素审慎制定 股票减持计 划，如本公司 确定依法减 持公司股份 的，应提前三 个交易日予 以公告；</w:t>
            </w:r>
            <w:r>
              <w:rPr>
                <w:rFonts w:ascii="Times New Roman" w:eastAsia="Times New Roman" w:hAnsi="Times New Roman" w:cs="Times New Roman"/>
                <w:color w:val="000000"/>
                <w:spacing w:val="0"/>
                <w:w w:val="100"/>
                <w:position w:val="0"/>
              </w:rPr>
              <w:t>4</w:t>
            </w:r>
            <w:r>
              <w:rPr>
                <w:color w:val="000000"/>
                <w:spacing w:val="0"/>
                <w:w w:val="100"/>
                <w:position w:val="0"/>
              </w:rPr>
              <w:t>、 持股限售期 结束后，如本 公司确定依 法减持公司 股份的，将在 满足以下条 件后减持：</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）公司股 价不低于最 近一期经审 计的每股净 资产</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 司运营正常、 减持对公司 二级市场不 构成重大干 扰。（</w:t>
            </w:r>
            <w:r>
              <w:rPr>
                <w:rFonts w:ascii="Times New Roman" w:eastAsia="Times New Roman" w:hAnsi="Times New Roman" w:cs="Times New Roman"/>
                <w:color w:val="000000"/>
                <w:spacing w:val="0"/>
                <w:w w:val="100"/>
                <w:position w:val="0"/>
              </w:rPr>
              <w:t>3</w:t>
            </w:r>
            <w:r>
              <w:rPr>
                <w:color w:val="000000"/>
                <w:spacing w:val="0"/>
                <w:w w:val="100"/>
                <w:position w:val="0"/>
              </w:rPr>
              <w:t>）本公 司减持价格 不低于公司 首次公开发 行股票的发 行价格，如自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公司首次公 开发行股票 至上述减持 公告之日公 司发生过除 权除息等事 项的，发行价 格应相应调 整。</w:t>
            </w:r>
            <w:r>
              <w:rPr>
                <w:rFonts w:ascii="Times New Roman" w:eastAsia="Times New Roman" w:hAnsi="Times New Roman" w:cs="Times New Roman"/>
                <w:color w:val="000000"/>
                <w:spacing w:val="0"/>
                <w:w w:val="100"/>
                <w:position w:val="0"/>
              </w:rPr>
              <w:t>5</w:t>
            </w:r>
            <w:r>
              <w:rPr>
                <w:color w:val="000000"/>
                <w:spacing w:val="0"/>
                <w:w w:val="100"/>
                <w:position w:val="0"/>
              </w:rPr>
              <w:t>、在遵 守股份转让 相关法律法 规及证券交 易所相关规 定的条件下， 本公司将在 公告中明确 减持的具体 数量或区间、 减持的执行 期限等信息； 本公司将在 公告的减持 期限内以证 券监管机构、 自律机构及 证券交易所 等有权部门 允许的方式</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进行减持，具 体方式包括 但不限于交 易所集中竞 价交易方式、 大宗交易方 式、协议转让 方式等。</w:t>
            </w:r>
            <w:r>
              <w:rPr>
                <w:rFonts w:ascii="Times New Roman" w:eastAsia="Times New Roman" w:hAnsi="Times New Roman" w:cs="Times New Roman"/>
                <w:color w:val="000000"/>
                <w:spacing w:val="0"/>
                <w:w w:val="100"/>
                <w:position w:val="0"/>
              </w:rPr>
              <w:t>6</w:t>
            </w:r>
            <w:r>
              <w:rPr>
                <w:color w:val="000000"/>
                <w:spacing w:val="0"/>
                <w:w w:val="100"/>
                <w:position w:val="0"/>
              </w:rPr>
              <w:t>、 如本公司未 来依法发生 任何增持或 减持公司股 份情形的，本 公司将严格 按照证券监 管机构、自律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机构及证券 交易所等有 权部门颁布 的相关法律 法规及规范 性文件的规 定进行相应 增持或减持 操作，并及时 履行有关信 息披露义务。 本公司持有 公司股份低 于</w:t>
            </w:r>
            <w:r>
              <w:rPr>
                <w:rFonts w:ascii="Times New Roman" w:eastAsia="Times New Roman" w:hAnsi="Times New Roman" w:cs="Times New Roman"/>
                <w:color w:val="000000"/>
                <w:spacing w:val="0"/>
                <w:w w:val="100"/>
                <w:position w:val="0"/>
              </w:rPr>
              <w:t>5%</w:t>
            </w:r>
            <w:r>
              <w:rPr>
                <w:color w:val="000000"/>
                <w:spacing w:val="0"/>
                <w:w w:val="100"/>
                <w:position w:val="0"/>
              </w:rPr>
              <w:t>以下时 除外。</w:t>
            </w:r>
            <w:r>
              <w:rPr>
                <w:rFonts w:ascii="Times New Roman" w:eastAsia="Times New Roman" w:hAnsi="Times New Roman" w:cs="Times New Roman"/>
                <w:color w:val="000000"/>
                <w:spacing w:val="0"/>
                <w:w w:val="100"/>
                <w:position w:val="0"/>
              </w:rPr>
              <w:t>7</w:t>
            </w:r>
            <w:r>
              <w:rPr>
                <w:color w:val="000000"/>
                <w:spacing w:val="0"/>
                <w:w w:val="100"/>
                <w:position w:val="0"/>
              </w:rPr>
              <w:t>、如 果本公司未 履行上述减 持意向，本公 司将在股东 大会及中国 证监会指定 的披露媒体 上公开说明 未履行承诺 的具体原因 并向公司股 东和社会公 众投资者道 歉。</w:t>
            </w:r>
            <w:r>
              <w:rPr>
                <w:rFonts w:ascii="Times New Roman" w:eastAsia="Times New Roman" w:hAnsi="Times New Roman" w:cs="Times New Roman"/>
                <w:color w:val="000000"/>
                <w:spacing w:val="0"/>
                <w:w w:val="100"/>
                <w:position w:val="0"/>
              </w:rPr>
              <w:t>8</w:t>
            </w:r>
            <w:r>
              <w:rPr>
                <w:color w:val="000000"/>
                <w:spacing w:val="0"/>
                <w:w w:val="100"/>
                <w:position w:val="0"/>
              </w:rPr>
              <w:t>、如果 本公司未履 行上述减持 意向，本公司 持有的公司 股份自本公 司未履行上 述减持意向 之日起</w:t>
            </w:r>
            <w:r>
              <w:rPr>
                <w:rFonts w:ascii="Times New Roman" w:eastAsia="Times New Roman" w:hAnsi="Times New Roman" w:cs="Times New Roman"/>
                <w:i/>
                <w:iCs/>
                <w:color w:val="000000"/>
                <w:spacing w:val="0"/>
                <w:w w:val="100"/>
                <w:position w:val="0"/>
              </w:rPr>
              <w:t>6</w:t>
            </w:r>
            <w:r>
              <w:rPr>
                <w:color w:val="000000"/>
                <w:spacing w:val="0"/>
                <w:w w:val="100"/>
                <w:position w:val="0"/>
              </w:rPr>
              <w:t>个 月内不得减 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本公司控股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股东鹰高投</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避免关联交</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本人及本人</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实际控制的</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企业将继续</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严格按照《公</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司法》等法律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期末，承诺人 严格信守承 诺，未出现违 反承诺的情</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法规以及高 伟达软件股 份有限公司 章程的有关 规定行使股 东权利；在股 东大会对有 关涉及本人 或本人实际 控制的企业 的关联交易 事项进行表 决时，履行回 避表决的义 务；本人承诺 杜绝一切非 法占用上市 公司的资金、 资产的行为； 在任何情况 下，不要求上 市公司向本 人或本人直 接或间接持 股的企业提 供任何形式 的担保；在双 方的关联交 易上，严格遵 循市场原则， 尽量避免不 必要的关联 交易发生，对 持续经营所 发生的必要 的关联交易， 应以双方协 议规定的方 式进行处理， 遵循市场化 的定价原则， 避免损害高 伟达软件股 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及广大中小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股东权益的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本公司控股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股东鹰高投</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避免同业竞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、如拟出售 本企业与公 司生产、经营 相关的任何 其它资产、业 务或权益，公 司均有优先 购买的权利； 本企业将尽 最大努力使 有关交易的 价格公平合 理，且该等交 易价格按与 独立第三方 进行正常商 业交易的交 易价格为基 础确定。</w:t>
            </w:r>
            <w:r>
              <w:rPr>
                <w:rFonts w:ascii="Times New Roman" w:eastAsia="Times New Roman" w:hAnsi="Times New Roman" w:cs="Times New Roman"/>
                <w:color w:val="000000"/>
                <w:spacing w:val="0"/>
                <w:w w:val="100"/>
                <w:position w:val="0"/>
              </w:rPr>
              <w:t>2</w:t>
            </w:r>
            <w:r>
              <w:rPr>
                <w:color w:val="000000"/>
                <w:spacing w:val="0"/>
                <w:w w:val="100"/>
                <w:position w:val="0"/>
              </w:rPr>
              <w:t>、 本企业目前 没有在中国 境内任何地 方或中国境 外，直接或间 接发展、经营 或协助经营 或参与与公 司业务存在 竞争的任何 活动，亦没有 在任何与公 司业务有直 接或间接竞 争的公司或 企业拥有任 何权益（不论 直接或间 接）。</w:t>
            </w:r>
            <w:r>
              <w:rPr>
                <w:rFonts w:ascii="Times New Roman" w:eastAsia="Times New Roman" w:hAnsi="Times New Roman" w:cs="Times New Roman"/>
                <w:color w:val="000000"/>
                <w:spacing w:val="0"/>
                <w:w w:val="100"/>
                <w:position w:val="0"/>
              </w:rPr>
              <w:t>3</w:t>
            </w:r>
            <w:r>
              <w:rPr>
                <w:color w:val="000000"/>
                <w:spacing w:val="0"/>
                <w:w w:val="100"/>
                <w:position w:val="0"/>
              </w:rPr>
              <w:t>、本企 业保证及承 诺除非经公 司书面同意，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截止本报告 期末，承诺人 严格信守承 诺，未出现违 反承诺的情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不会直接或 间接发展、经 营或协助经 营或参与或 从事与公司 业务相竞争 的任何活动。 </w:t>
            </w:r>
            <w:r>
              <w:rPr>
                <w:rFonts w:ascii="Times New Roman" w:eastAsia="Times New Roman" w:hAnsi="Times New Roman" w:cs="Times New Roman"/>
                <w:color w:val="000000"/>
                <w:spacing w:val="0"/>
                <w:w w:val="100"/>
                <w:position w:val="0"/>
              </w:rPr>
              <w:t>4</w:t>
            </w:r>
            <w:r>
              <w:rPr>
                <w:color w:val="000000"/>
                <w:spacing w:val="0"/>
                <w:w w:val="100"/>
                <w:position w:val="0"/>
              </w:rPr>
              <w:t>、本企业将 依法律、法规 及公司的规 定向公司及 有关机构或 部门及时披 露与公司业 务构成竞争 或可能构成 竞争的任何 业务或权益 的详情，直至 本企业不再 作为公司股 东为止。</w:t>
            </w:r>
            <w:r>
              <w:rPr>
                <w:rFonts w:ascii="Times New Roman" w:eastAsia="Times New Roman" w:hAnsi="Times New Roman" w:cs="Times New Roman"/>
                <w:color w:val="000000"/>
                <w:spacing w:val="0"/>
                <w:w w:val="100"/>
                <w:position w:val="0"/>
              </w:rPr>
              <w:t>5</w:t>
            </w:r>
            <w:r>
              <w:rPr>
                <w:color w:val="000000"/>
                <w:spacing w:val="0"/>
                <w:w w:val="100"/>
                <w:position w:val="0"/>
              </w:rPr>
              <w:t>、 本企业将不 会利用公司 股东的身份 进行损害公 司及其它股 东利益的经 营活动。</w:t>
            </w:r>
            <w:r>
              <w:rPr>
                <w:rFonts w:ascii="Times New Roman" w:eastAsia="Times New Roman" w:hAnsi="Times New Roman" w:cs="Times New Roman"/>
                <w:color w:val="000000"/>
                <w:spacing w:val="0"/>
                <w:w w:val="100"/>
                <w:position w:val="0"/>
              </w:rPr>
              <w:t>6</w:t>
            </w:r>
            <w:r>
              <w:rPr>
                <w:color w:val="000000"/>
                <w:spacing w:val="0"/>
                <w:w w:val="100"/>
                <w:position w:val="0"/>
              </w:rPr>
              <w:t>、 本企业愿意 承担因违反 上述承诺而 给公司造成 的全部经济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 的股东银联 科技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、本机构所 持有的公司 股份具体减 持计划为：</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）在所持 有公司股份 锁定期满后 </w:t>
            </w:r>
            <w:r>
              <w:rPr>
                <w:rFonts w:ascii="Times New Roman" w:eastAsia="Times New Roman" w:hAnsi="Times New Roman" w:cs="Times New Roman"/>
                <w:color w:val="000000"/>
                <w:spacing w:val="0"/>
                <w:w w:val="100"/>
                <w:position w:val="0"/>
              </w:rPr>
              <w:t>12</w:t>
            </w:r>
            <w:r>
              <w:rPr>
                <w:color w:val="000000"/>
                <w:spacing w:val="0"/>
                <w:w w:val="100"/>
                <w:position w:val="0"/>
              </w:rPr>
              <w:t>个月内，累 计减持股份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期末，银联科 技严格信守 承诺，未出现 违反承诺的 情况；贵昌有 限已履行完 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总数不超过 本机构持股 数量的</w:t>
            </w:r>
            <w:r>
              <w:rPr>
                <w:rFonts w:ascii="Times New Roman" w:eastAsia="Times New Roman" w:hAnsi="Times New Roman" w:cs="Times New Roman"/>
                <w:color w:val="000000"/>
                <w:spacing w:val="0"/>
                <w:w w:val="100"/>
                <w:position w:val="0"/>
              </w:rPr>
              <w:t>90%</w:t>
            </w:r>
            <w:r>
              <w:rPr>
                <w:color w:val="000000"/>
                <w:spacing w:val="0"/>
                <w:w w:val="100"/>
                <w:position w:val="0"/>
              </w:rPr>
              <w:t>， 减持价格不 低于最近一 期经审计的 每股净资产；</w:t>
            </w:r>
          </w:p>
          <w:p>
            <w:pPr>
              <w:pStyle w:val="Style17"/>
              <w:keepNext w:val="0"/>
              <w:keepLines w:val="0"/>
              <w:widowControl w:val="0"/>
              <w:shd w:val="clear" w:color="auto" w:fill="auto"/>
              <w:tabs>
                <w:tab w:pos="451"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在所持 公司股份锁 定期满</w:t>
            </w:r>
            <w:r>
              <w:rPr>
                <w:rFonts w:ascii="Times New Roman" w:eastAsia="Times New Roman" w:hAnsi="Times New Roman" w:cs="Times New Roman"/>
                <w:color w:val="000000"/>
                <w:spacing w:val="0"/>
                <w:w w:val="100"/>
                <w:position w:val="0"/>
              </w:rPr>
              <w:t xml:space="preserve">13-24 </w:t>
            </w:r>
            <w:r>
              <w:rPr>
                <w:color w:val="000000"/>
                <w:spacing w:val="0"/>
                <w:w w:val="100"/>
                <w:position w:val="0"/>
              </w:rPr>
              <w:t>个月内，本机 构减持数量 不受限制，减 持价格不低 于最近一期 经审计的每 股净资产；</w:t>
            </w:r>
          </w:p>
          <w:p>
            <w:pPr>
              <w:pStyle w:val="Style17"/>
              <w:keepNext w:val="0"/>
              <w:keepLines w:val="0"/>
              <w:widowControl w:val="0"/>
              <w:shd w:val="clear" w:color="auto" w:fill="auto"/>
              <w:tabs>
                <w:tab w:pos="456"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在所持 公司股份锁 定期满</w:t>
            </w:r>
            <w:r>
              <w:rPr>
                <w:rFonts w:ascii="Times New Roman" w:eastAsia="Times New Roman" w:hAnsi="Times New Roman" w:cs="Times New Roman"/>
                <w:color w:val="000000"/>
                <w:spacing w:val="0"/>
                <w:w w:val="100"/>
                <w:position w:val="0"/>
              </w:rPr>
              <w:t>24</w:t>
            </w:r>
            <w:r>
              <w:rPr>
                <w:color w:val="000000"/>
                <w:spacing w:val="0"/>
                <w:w w:val="100"/>
                <w:position w:val="0"/>
              </w:rPr>
              <w:t>个 月后，本机构 减持数量和 价格均不受 限制。</w:t>
            </w:r>
            <w:r>
              <w:rPr>
                <w:rFonts w:ascii="Times New Roman" w:eastAsia="Times New Roman" w:hAnsi="Times New Roman" w:cs="Times New Roman"/>
                <w:color w:val="000000"/>
                <w:spacing w:val="0"/>
                <w:w w:val="100"/>
                <w:position w:val="0"/>
              </w:rPr>
              <w:t>2</w:t>
            </w:r>
            <w:r>
              <w:rPr>
                <w:color w:val="000000"/>
                <w:spacing w:val="0"/>
                <w:w w:val="100"/>
                <w:position w:val="0"/>
              </w:rPr>
              <w:t>、本 机构减持公 司股份应符 合相关法律、 法规、规章的 规定，具体方 式包括但不 限于交易所 集中竞价交 易方式、大宗 交易方式、协 议转让方式 等。</w:t>
            </w:r>
            <w:r>
              <w:rPr>
                <w:rFonts w:ascii="Times New Roman" w:eastAsia="Times New Roman" w:hAnsi="Times New Roman" w:cs="Times New Roman"/>
                <w:color w:val="000000"/>
                <w:spacing w:val="0"/>
                <w:w w:val="100"/>
                <w:position w:val="0"/>
              </w:rPr>
              <w:t>3</w:t>
            </w:r>
            <w:r>
              <w:rPr>
                <w:color w:val="000000"/>
                <w:spacing w:val="0"/>
                <w:w w:val="100"/>
                <w:position w:val="0"/>
              </w:rPr>
              <w:t>、本机 构减持公司 股份前，应提 前三个交易 日予以公告， 并按照证券 交易所的规 则及时、准确 地履行信息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披露义务；本 机构持有公 司股份低于 </w:t>
            </w:r>
            <w:r>
              <w:rPr>
                <w:rFonts w:ascii="Times New Roman" w:eastAsia="Times New Roman" w:hAnsi="Times New Roman" w:cs="Times New Roman"/>
                <w:color w:val="000000"/>
                <w:spacing w:val="0"/>
                <w:w w:val="100"/>
                <w:position w:val="0"/>
              </w:rPr>
              <w:t>5%</w:t>
            </w:r>
            <w:r>
              <w:rPr>
                <w:color w:val="000000"/>
                <w:spacing w:val="0"/>
                <w:w w:val="100"/>
                <w:position w:val="0"/>
              </w:rPr>
              <w:t>以下时除 外。</w:t>
            </w:r>
            <w:r>
              <w:rPr>
                <w:rFonts w:ascii="Times New Roman" w:eastAsia="Times New Roman" w:hAnsi="Times New Roman" w:cs="Times New Roman"/>
                <w:color w:val="000000"/>
                <w:spacing w:val="0"/>
                <w:w w:val="100"/>
                <w:position w:val="0"/>
              </w:rPr>
              <w:t>4</w:t>
            </w:r>
            <w:r>
              <w:rPr>
                <w:color w:val="000000"/>
                <w:spacing w:val="0"/>
                <w:w w:val="100"/>
                <w:position w:val="0"/>
              </w:rPr>
              <w:t xml:space="preserve">、如果 本机构未履 行上述减持 意向，本机构 将在股东大 会及中国证 监会指定的 披露媒体上 公开说明未 履行承诺的 具体原因并 向公司股东 和社会公众 投资者道歉。 </w:t>
            </w:r>
            <w:r>
              <w:rPr>
                <w:rFonts w:ascii="Times New Roman" w:eastAsia="Times New Roman" w:hAnsi="Times New Roman" w:cs="Times New Roman"/>
                <w:color w:val="000000"/>
                <w:spacing w:val="0"/>
                <w:w w:val="100"/>
                <w:position w:val="0"/>
              </w:rPr>
              <w:t>5</w:t>
            </w:r>
            <w:r>
              <w:rPr>
                <w:color w:val="000000"/>
                <w:spacing w:val="0"/>
                <w:w w:val="100"/>
                <w:position w:val="0"/>
              </w:rPr>
              <w:t>、如果本机 构未履行上 述减持意向， 本机构持有 的公司股份 自本机构未 履行上述减 持意向之日 起</w:t>
            </w:r>
            <w:r>
              <w:rPr>
                <w:rFonts w:ascii="Times New Roman" w:eastAsia="Times New Roman" w:hAnsi="Times New Roman" w:cs="Times New Roman"/>
                <w:color w:val="000000"/>
                <w:spacing w:val="0"/>
                <w:w w:val="100"/>
                <w:position w:val="0"/>
              </w:rPr>
              <w:t>6</w:t>
            </w:r>
            <w:r>
              <w:rPr>
                <w:color w:val="000000"/>
                <w:spacing w:val="0"/>
                <w:w w:val="100"/>
                <w:position w:val="0"/>
              </w:rPr>
              <w:t>个月内 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 的股东银联 科技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避免同业竞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、如拟出售 本企业与公 司生产、经营 相关的任何 其它资产、业 务或权益，公 司均有优先 购买的权利； 本企业将尽 最大努力使 有关交易的 价格公平合 理，且该等交 易价格按与 独立第三方 进行正常商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期末，银联科 技严格信守 承诺，未出现 违反承诺的 情况；贵昌有 限已履行完 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业交易的交 易价格为基 础确定。</w:t>
            </w:r>
            <w:r>
              <w:rPr>
                <w:rFonts w:ascii="Times New Roman" w:eastAsia="Times New Roman" w:hAnsi="Times New Roman" w:cs="Times New Roman"/>
                <w:color w:val="000000"/>
                <w:spacing w:val="0"/>
                <w:w w:val="100"/>
                <w:position w:val="0"/>
              </w:rPr>
              <w:t>2</w:t>
            </w:r>
            <w:r>
              <w:rPr>
                <w:color w:val="000000"/>
                <w:spacing w:val="0"/>
                <w:w w:val="100"/>
                <w:position w:val="0"/>
              </w:rPr>
              <w:t>、 本企业目前 没有在中国 境内任何地 方或中国境 外，直接或间 接发展、经营 或协助经营 或参与与公 司业务存在 竞争的任何 活动，亦没有 在任何与公 司业务有直 接或间接竞 争的公司或 企业拥有任 何权益（不论 直接或间 接）。</w:t>
            </w:r>
            <w:r>
              <w:rPr>
                <w:rFonts w:ascii="Times New Roman" w:eastAsia="Times New Roman" w:hAnsi="Times New Roman" w:cs="Times New Roman"/>
                <w:color w:val="000000"/>
                <w:spacing w:val="0"/>
                <w:w w:val="100"/>
                <w:position w:val="0"/>
              </w:rPr>
              <w:t>3</w:t>
            </w:r>
            <w:r>
              <w:rPr>
                <w:color w:val="000000"/>
                <w:spacing w:val="0"/>
                <w:w w:val="100"/>
                <w:position w:val="0"/>
              </w:rPr>
              <w:t xml:space="preserve">、本企 业保证及承 诺除非经公 司书面同意， 不会直接或 间接发展、经 营或协助经 营或参与或 从事与公司 业务相竞争 的任何活动。 </w:t>
            </w:r>
            <w:r>
              <w:rPr>
                <w:rFonts w:ascii="Times New Roman" w:eastAsia="Times New Roman" w:hAnsi="Times New Roman" w:cs="Times New Roman"/>
                <w:color w:val="000000"/>
                <w:spacing w:val="0"/>
                <w:w w:val="100"/>
                <w:position w:val="0"/>
              </w:rPr>
              <w:t>4</w:t>
            </w:r>
            <w:r>
              <w:rPr>
                <w:color w:val="000000"/>
                <w:spacing w:val="0"/>
                <w:w w:val="100"/>
                <w:position w:val="0"/>
              </w:rPr>
              <w:t>、本企业将 依法律、法规 及公司的规 定向公司及 有关机构或 部门及时披 露与公司业 务构成竞争 或可能构成 竞争的任何 业务或权益 的详情，直至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本企业不再 作为公司股 东为止。</w:t>
            </w:r>
            <w:r>
              <w:rPr>
                <w:rFonts w:ascii="Times New Roman" w:eastAsia="Times New Roman" w:hAnsi="Times New Roman" w:cs="Times New Roman"/>
                <w:color w:val="000000"/>
                <w:spacing w:val="0"/>
                <w:w w:val="100"/>
                <w:position w:val="0"/>
              </w:rPr>
              <w:t>5</w:t>
            </w:r>
            <w:r>
              <w:rPr>
                <w:color w:val="000000"/>
                <w:spacing w:val="0"/>
                <w:w w:val="100"/>
                <w:position w:val="0"/>
              </w:rPr>
              <w:t>、 本企业将不 会利用公司 股东的身份 进行损害公 司及其它股 东利益的经 营活动。</w:t>
            </w:r>
            <w:r>
              <w:rPr>
                <w:rFonts w:ascii="Times New Roman" w:eastAsia="Times New Roman" w:hAnsi="Times New Roman" w:cs="Times New Roman"/>
                <w:color w:val="000000"/>
                <w:spacing w:val="0"/>
                <w:w w:val="100"/>
                <w:position w:val="0"/>
              </w:rPr>
              <w:t>6</w:t>
            </w:r>
            <w:r>
              <w:rPr>
                <w:color w:val="000000"/>
                <w:spacing w:val="0"/>
                <w:w w:val="100"/>
                <w:position w:val="0"/>
              </w:rPr>
              <w:t>、 本企业愿意 承担因违反 上述承诺而 给公司造成 的全部经济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本公司上市 时时任董事、 监事、高级管 理人员</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前述锁定期 限届满后，在 任职期间每 年转让的股 份不超过其 间接所持股 份总数的 </w:t>
            </w:r>
            <w:r>
              <w:rPr>
                <w:rFonts w:ascii="Times New Roman" w:eastAsia="Times New Roman" w:hAnsi="Times New Roman" w:cs="Times New Roman"/>
                <w:color w:val="000000"/>
                <w:spacing w:val="0"/>
                <w:w w:val="100"/>
                <w:position w:val="0"/>
              </w:rPr>
              <w:t>25%</w:t>
            </w:r>
            <w:r>
              <w:rPr>
                <w:color w:val="000000"/>
                <w:spacing w:val="0"/>
                <w:w w:val="100"/>
                <w:position w:val="0"/>
              </w:rPr>
              <w:t>，离职后 半年内不转 让其间接所 持有的公司 股份。如果其 在本公司首 次公开发行 股票上市之 日起六个月 内申报离职 的，自申报离 职之日起十 八个月内不 转让其间接 持有的本公 司股份；在首 次公开发行 股票上市之 日起第七个 月至第十二 个月之间申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期末，所有承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22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报离职的，自 申报离职之 日起十二个 月内不转让 其间接持有 的公司股份。 因本公司进 行权益分派 等导致其间 接持有的本 公司股份发 生变化的，仍 遵守上述承 诺。本人所持 公司股票在 锁定期满后 两年内减持 的，减持价格 不低于发行 价。公司上市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rPr>
              <w:t>20</w:t>
            </w:r>
            <w:r>
              <w:rPr>
                <w:color w:val="000000"/>
                <w:spacing w:val="0"/>
                <w:w w:val="100"/>
                <w:position w:val="0"/>
              </w:rPr>
              <w:t>个交易 日的收盘价 均低于发行 价，或者上市 后</w:t>
            </w:r>
            <w:r>
              <w:rPr>
                <w:rFonts w:ascii="Times New Roman" w:eastAsia="Times New Roman" w:hAnsi="Times New Roman" w:cs="Times New Roman"/>
                <w:color w:val="000000"/>
                <w:spacing w:val="0"/>
                <w:w w:val="100"/>
                <w:position w:val="0"/>
              </w:rPr>
              <w:t>6</w:t>
            </w:r>
            <w:r>
              <w:rPr>
                <w:color w:val="000000"/>
                <w:spacing w:val="0"/>
                <w:w w:val="100"/>
                <w:position w:val="0"/>
              </w:rPr>
              <w:t>个月期末 收盘价低于 发行价，本人 持有公司股 票的锁定期 限自动延长</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个月。上述减 持价格和股 份锁定承诺 不因本人职 务变更、离职 等原因放弃 履行承诺。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w:t>
            </w:r>
          </w:p>
        </w:tc>
        <w:tc>
          <w:tcPr>
            <w:gridSpan w:val="6"/>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tbl>
      <w:tblPr>
        <w:tblOverlap w:val="never"/>
        <w:jc w:val="center"/>
        <w:tblLayout w:type="fixed"/>
      </w:tblPr>
      <w:tblGrid>
        <w:gridCol w:w="2870"/>
        <w:gridCol w:w="683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细说明未完成履行的具体原因及下 一步的工作计划</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、公司资产或项目存在盈利预测，且报告期仍处在盈利预测期间，公司就资产或项目达到原盈利预测及 其原因做出说明</w:t>
      </w:r>
      <w:bookmarkEnd w:id="427"/>
      <w:bookmarkEnd w:id="428"/>
      <w:bookmarkEnd w:id="430"/>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sz w:val="24"/>
          <w:szCs w:val="24"/>
        </w:rPr>
        <w:t>二</w:t>
      </w:r>
      <w:bookmarkEnd w:id="433"/>
      <w:r>
        <w:rPr>
          <w:color w:val="000000"/>
          <w:spacing w:val="0"/>
          <w:w w:val="100"/>
          <w:position w:val="0"/>
          <w:sz w:val="24"/>
          <w:szCs w:val="24"/>
        </w:rPr>
        <w:t>、</w:t>
        <w:tab/>
        <w:t>控股股东及其他关联方对上市公司的非经营性占用资金情况</w:t>
      </w:r>
      <w:bookmarkEnd w:id="431"/>
      <w:bookmarkEnd w:id="432"/>
      <w:bookmarkEnd w:id="434"/>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17" w:val="left"/>
        </w:tabs>
        <w:bidi w:val="0"/>
        <w:spacing w:before="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三</w:t>
      </w:r>
      <w:bookmarkEnd w:id="437"/>
      <w:r>
        <w:rPr>
          <w:color w:val="000000"/>
          <w:spacing w:val="0"/>
          <w:w w:val="100"/>
          <w:position w:val="0"/>
          <w:sz w:val="24"/>
          <w:szCs w:val="24"/>
        </w:rPr>
        <w:t>、</w:t>
        <w:tab/>
        <w:t>违规对外担保情况</w:t>
      </w:r>
      <w:bookmarkEnd w:id="435"/>
      <w:bookmarkEnd w:id="436"/>
      <w:bookmarkEnd w:id="438"/>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tabs>
          <w:tab w:pos="517" w:val="left"/>
        </w:tabs>
        <w:bidi w:val="0"/>
        <w:spacing w:before="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sz w:val="24"/>
          <w:szCs w:val="24"/>
        </w:rPr>
        <w:t>四</w:t>
      </w:r>
      <w:bookmarkEnd w:id="44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39"/>
      <w:bookmarkEnd w:id="440"/>
      <w:bookmarkEnd w:id="442"/>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both"/>
      </w:pPr>
      <w:bookmarkStart w:id="443" w:name="bookmark443"/>
      <w:bookmarkStart w:id="444" w:name="bookmark444"/>
      <w:bookmarkStart w:id="445" w:name="bookmark445"/>
      <w:bookmarkStart w:id="446" w:name="bookmark446"/>
      <w:r>
        <w:rPr>
          <w:color w:val="000000"/>
          <w:spacing w:val="0"/>
          <w:w w:val="100"/>
          <w:position w:val="0"/>
          <w:sz w:val="24"/>
          <w:szCs w:val="24"/>
        </w:rPr>
        <w:t>五</w:t>
      </w:r>
      <w:bookmarkEnd w:id="44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43"/>
      <w:bookmarkEnd w:id="444"/>
      <w:bookmarkEnd w:id="446"/>
    </w:p>
    <w:p>
      <w:pPr>
        <w:pStyle w:val="Style23"/>
        <w:keepNext w:val="0"/>
        <w:keepLines w:val="0"/>
        <w:widowControl w:val="0"/>
        <w:numPr>
          <w:ilvl w:val="0"/>
          <w:numId w:val="15"/>
        </w:numPr>
        <w:shd w:val="clear" w:color="auto" w:fill="auto"/>
        <w:tabs>
          <w:tab w:pos="282" w:val="left"/>
        </w:tabs>
        <w:bidi w:val="0"/>
        <w:spacing w:before="0" w:after="360" w:line="240" w:lineRule="auto"/>
        <w:ind w:left="0" w:right="0" w:firstLine="0"/>
        <w:jc w:val="both"/>
      </w:pPr>
      <w:bookmarkStart w:id="447" w:name="bookmark447"/>
      <w:bookmarkEnd w:id="44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both"/>
      </w:pPr>
      <w:bookmarkStart w:id="448" w:name="bookmark448"/>
      <w:bookmarkStart w:id="449" w:name="bookmark449"/>
      <w:bookmarkStart w:id="450" w:name="bookmark450"/>
      <w:bookmarkStart w:id="451" w:name="bookmark451"/>
      <w:r>
        <w:rPr>
          <w:color w:val="000000"/>
          <w:spacing w:val="0"/>
          <w:w w:val="100"/>
          <w:position w:val="0"/>
          <w:sz w:val="24"/>
          <w:szCs w:val="24"/>
        </w:rPr>
        <w:t>六</w:t>
      </w:r>
      <w:bookmarkEnd w:id="450"/>
      <w:r>
        <w:rPr>
          <w:color w:val="000000"/>
          <w:spacing w:val="0"/>
          <w:w w:val="100"/>
          <w:position w:val="0"/>
          <w:sz w:val="24"/>
          <w:szCs w:val="24"/>
        </w:rPr>
        <w:t>、</w:t>
        <w:tab/>
        <w:t>董事会关于报告期会计政策、会计估计变更或重大会计差错更正的说明</w:t>
      </w:r>
      <w:bookmarkEnd w:id="448"/>
      <w:bookmarkEnd w:id="449"/>
      <w:bookmarkEnd w:id="451"/>
    </w:p>
    <w:p>
      <w:pPr>
        <w:pStyle w:val="Style23"/>
        <w:keepNext w:val="0"/>
        <w:keepLines w:val="0"/>
        <w:widowControl w:val="0"/>
        <w:numPr>
          <w:ilvl w:val="0"/>
          <w:numId w:val="15"/>
        </w:numPr>
        <w:shd w:val="clear" w:color="auto" w:fill="auto"/>
        <w:tabs>
          <w:tab w:pos="282" w:val="left"/>
        </w:tabs>
        <w:bidi w:val="0"/>
        <w:spacing w:before="0" w:after="360" w:line="240" w:lineRule="auto"/>
        <w:ind w:left="0" w:right="0" w:firstLine="0"/>
        <w:jc w:val="both"/>
      </w:pPr>
      <w:bookmarkStart w:id="452" w:name="bookmark452"/>
      <w:bookmarkEnd w:id="45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七</w:t>
      </w:r>
      <w:bookmarkEnd w:id="455"/>
      <w:r>
        <w:rPr>
          <w:color w:val="000000"/>
          <w:spacing w:val="0"/>
          <w:w w:val="100"/>
          <w:position w:val="0"/>
          <w:sz w:val="24"/>
          <w:szCs w:val="24"/>
        </w:rPr>
        <w:t>、</w:t>
        <w:tab/>
        <w:t>与上年度财务报告相比，合并报表范围发生变化的情况说明</w:t>
      </w:r>
      <w:bookmarkEnd w:id="453"/>
      <w:bookmarkEnd w:id="454"/>
      <w:bookmarkEnd w:id="456"/>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见</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四、主营业务分析</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收入与成本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r>
        <w:rPr>
          <w:rFonts w:ascii="Times New Roman" w:eastAsia="Times New Roman" w:hAnsi="Times New Roman" w:cs="Times New Roman"/>
          <w:color w:val="000000"/>
          <w:spacing w:val="0"/>
          <w:w w:val="100"/>
          <w:position w:val="0"/>
        </w:rPr>
        <w:t>"</w:t>
      </w:r>
    </w:p>
    <w:p>
      <w:pPr>
        <w:pStyle w:val="Style27"/>
        <w:keepNext/>
        <w:keepLines/>
        <w:widowControl w:val="0"/>
        <w:shd w:val="clear" w:color="auto" w:fill="auto"/>
        <w:tabs>
          <w:tab w:pos="522" w:val="left"/>
        </w:tabs>
        <w:bidi w:val="0"/>
        <w:spacing w:before="0" w:line="240" w:lineRule="auto"/>
        <w:ind w:left="0" w:right="0" w:firstLine="0"/>
        <w:jc w:val="both"/>
      </w:pPr>
      <w:bookmarkStart w:id="457" w:name="bookmark457"/>
      <w:bookmarkStart w:id="458" w:name="bookmark458"/>
      <w:bookmarkStart w:id="459" w:name="bookmark459"/>
      <w:bookmarkStart w:id="460" w:name="bookmark460"/>
      <w:r>
        <w:rPr>
          <w:color w:val="000000"/>
          <w:spacing w:val="0"/>
          <w:w w:val="100"/>
          <w:position w:val="0"/>
          <w:sz w:val="24"/>
          <w:szCs w:val="24"/>
        </w:rPr>
        <w:t>八</w:t>
      </w:r>
      <w:bookmarkEnd w:id="459"/>
      <w:r>
        <w:rPr>
          <w:color w:val="000000"/>
          <w:spacing w:val="0"/>
          <w:w w:val="100"/>
          <w:position w:val="0"/>
          <w:sz w:val="24"/>
          <w:szCs w:val="24"/>
        </w:rPr>
        <w:t>、</w:t>
        <w:tab/>
        <w:t>聘任、解聘会计师事务所情况</w:t>
      </w:r>
      <w:bookmarkEnd w:id="457"/>
      <w:bookmarkEnd w:id="458"/>
      <w:bookmarkEnd w:id="46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胡健、秦妍、李振</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注册会计师胡健、李振为第</w:t>
            </w:r>
            <w:r>
              <w:rPr>
                <w:rFonts w:ascii="Times New Roman" w:eastAsia="Times New Roman" w:hAnsi="Times New Roman" w:cs="Times New Roman"/>
                <w:color w:val="000000"/>
                <w:spacing w:val="0"/>
                <w:w w:val="100"/>
                <w:position w:val="0"/>
              </w:rPr>
              <w:t>1</w:t>
            </w:r>
            <w:r>
              <w:rPr>
                <w:color w:val="000000"/>
                <w:spacing w:val="0"/>
                <w:w w:val="100"/>
                <w:position w:val="0"/>
              </w:rPr>
              <w:t>年为公司提供审计服务、注册</w:t>
            </w:r>
          </w:p>
        </w:tc>
      </w:tr>
    </w:tbl>
    <w:tbl>
      <w:tblPr>
        <w:tblOverlap w:val="never"/>
        <w:jc w:val="center"/>
        <w:tblLayout w:type="fixed"/>
      </w:tblPr>
      <w:tblGrid>
        <w:gridCol w:w="4800"/>
        <w:gridCol w:w="47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会计师秦妍为连续第</w:t>
            </w:r>
            <w:r>
              <w:rPr>
                <w:rFonts w:ascii="Times New Roman" w:eastAsia="Times New Roman" w:hAnsi="Times New Roman" w:cs="Times New Roman"/>
                <w:color w:val="000000"/>
                <w:spacing w:val="0"/>
                <w:w w:val="100"/>
                <w:position w:val="0"/>
              </w:rPr>
              <w:t>3</w:t>
            </w:r>
            <w:r>
              <w:rPr>
                <w:color w:val="000000"/>
                <w:spacing w:val="0"/>
                <w:w w:val="100"/>
                <w:position w:val="0"/>
              </w:rPr>
              <w:t>年为公司提供审计服务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九</w:t>
      </w:r>
      <w:bookmarkEnd w:id="463"/>
      <w:r>
        <w:rPr>
          <w:color w:val="000000"/>
          <w:spacing w:val="0"/>
          <w:w w:val="100"/>
          <w:position w:val="0"/>
          <w:sz w:val="24"/>
          <w:szCs w:val="24"/>
        </w:rPr>
        <w:t>、年度报告披露后面临退市情况</w:t>
      </w:r>
      <w:bookmarkEnd w:id="461"/>
      <w:bookmarkEnd w:id="462"/>
      <w:bookmarkEnd w:id="46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r>
        <w:rPr>
          <w:color w:val="000000"/>
          <w:spacing w:val="0"/>
          <w:w w:val="100"/>
          <w:position w:val="0"/>
          <w:sz w:val="24"/>
          <w:szCs w:val="24"/>
        </w:rPr>
        <w:t>十、破产重整相关事项</w:t>
      </w:r>
      <w:bookmarkEnd w:id="465"/>
      <w:bookmarkEnd w:id="466"/>
      <w:bookmarkEnd w:id="46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十一、重大诉讼、仲裁事项</w:t>
      </w:r>
      <w:bookmarkEnd w:id="468"/>
      <w:bookmarkEnd w:id="469"/>
      <w:bookmarkEnd w:id="470"/>
    </w:p>
    <w:p>
      <w:pPr>
        <w:pStyle w:val="Style23"/>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471" w:name="bookmark471"/>
      <w:bookmarkEnd w:id="47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line="240" w:lineRule="auto"/>
        <w:ind w:left="0" w:right="0" w:firstLine="0"/>
        <w:jc w:val="left"/>
      </w:pPr>
      <w:bookmarkStart w:id="472" w:name="bookmark472"/>
      <w:bookmarkStart w:id="473" w:name="bookmark473"/>
      <w:bookmarkStart w:id="474" w:name="bookmark474"/>
      <w:r>
        <w:rPr>
          <w:color w:val="000000"/>
          <w:spacing w:val="0"/>
          <w:w w:val="100"/>
          <w:position w:val="0"/>
          <w:sz w:val="24"/>
          <w:szCs w:val="24"/>
        </w:rPr>
        <w:t>十二、处罚及整改情况</w:t>
      </w:r>
      <w:bookmarkEnd w:id="472"/>
      <w:bookmarkEnd w:id="473"/>
      <w:bookmarkEnd w:id="474"/>
    </w:p>
    <w:p>
      <w:pPr>
        <w:pStyle w:val="Style23"/>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475" w:name="bookmark475"/>
      <w:bookmarkEnd w:id="47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十三、公司及其控股股东、实际控制人的诚信状况</w:t>
      </w:r>
      <w:bookmarkEnd w:id="476"/>
      <w:bookmarkEnd w:id="477"/>
      <w:bookmarkEnd w:id="478"/>
    </w:p>
    <w:p>
      <w:pPr>
        <w:pStyle w:val="Style23"/>
        <w:keepNext w:val="0"/>
        <w:keepLines w:val="0"/>
        <w:widowControl w:val="0"/>
        <w:numPr>
          <w:ilvl w:val="0"/>
          <w:numId w:val="15"/>
        </w:numPr>
        <w:shd w:val="clear" w:color="auto" w:fill="auto"/>
        <w:tabs>
          <w:tab w:pos="282" w:val="left"/>
        </w:tabs>
        <w:bidi w:val="0"/>
        <w:spacing w:before="0" w:after="360" w:line="240" w:lineRule="auto"/>
        <w:ind w:left="0" w:right="0" w:firstLine="0"/>
        <w:jc w:val="left"/>
      </w:pPr>
      <w:bookmarkStart w:id="479" w:name="bookmark479"/>
      <w:bookmarkEnd w:id="47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十四、重大关联交易</w:t>
      </w:r>
      <w:bookmarkEnd w:id="480"/>
      <w:bookmarkEnd w:id="481"/>
      <w:bookmarkEnd w:id="482"/>
    </w:p>
    <w:p>
      <w:pPr>
        <w:pStyle w:val="Style32"/>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、与日常经营相关的关联交易</w:t>
      </w:r>
      <w:bookmarkEnd w:id="483"/>
      <w:bookmarkEnd w:id="484"/>
      <w:bookmarkEnd w:id="486"/>
    </w:p>
    <w:p>
      <w:pPr>
        <w:pStyle w:val="Style23"/>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487" w:name="bookmark487"/>
      <w:bookmarkEnd w:id="48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t>资产或股权收购、出售发生的关联交易</w:t>
      </w:r>
      <w:bookmarkEnd w:id="488"/>
      <w:bookmarkEnd w:id="489"/>
      <w:bookmarkEnd w:id="491"/>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3</w:t>
      </w:r>
      <w:bookmarkEnd w:id="494"/>
      <w:r>
        <w:rPr>
          <w:color w:val="000000"/>
          <w:spacing w:val="0"/>
          <w:w w:val="100"/>
          <w:position w:val="0"/>
        </w:rPr>
        <w:t>、</w:t>
        <w:tab/>
        <w:t>共同对外投资的关联交易</w:t>
      </w:r>
      <w:bookmarkEnd w:id="492"/>
      <w:bookmarkEnd w:id="493"/>
      <w:bookmarkEnd w:id="495"/>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4</w:t>
      </w:r>
      <w:bookmarkEnd w:id="498"/>
      <w:r>
        <w:rPr>
          <w:color w:val="000000"/>
          <w:spacing w:val="0"/>
          <w:w w:val="100"/>
          <w:position w:val="0"/>
        </w:rPr>
        <w:t>、</w:t>
        <w:tab/>
        <w:t>关联债权债务往来</w:t>
      </w:r>
      <w:bookmarkEnd w:id="496"/>
      <w:bookmarkEnd w:id="497"/>
      <w:bookmarkEnd w:id="499"/>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5</w:t>
      </w:r>
      <w:bookmarkEnd w:id="502"/>
      <w:r>
        <w:rPr>
          <w:color w:val="000000"/>
          <w:spacing w:val="0"/>
          <w:w w:val="100"/>
          <w:position w:val="0"/>
        </w:rPr>
        <w:t>、</w:t>
        <w:tab/>
        <w:t>与存在关联关系的财务公司的往来情况</w:t>
      </w:r>
      <w:bookmarkEnd w:id="500"/>
      <w:bookmarkEnd w:id="501"/>
      <w:bookmarkEnd w:id="50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6</w:t>
      </w:r>
      <w:bookmarkEnd w:id="506"/>
      <w:r>
        <w:rPr>
          <w:color w:val="000000"/>
          <w:spacing w:val="0"/>
          <w:w w:val="100"/>
          <w:position w:val="0"/>
        </w:rPr>
        <w:t>、</w:t>
        <w:tab/>
        <w:t>公司控股的财务公司与关联方的往来情况</w:t>
      </w:r>
      <w:bookmarkEnd w:id="504"/>
      <w:bookmarkEnd w:id="505"/>
      <w:bookmarkEnd w:id="507"/>
    </w:p>
    <w:p>
      <w:pPr>
        <w:pStyle w:val="Style23"/>
        <w:keepNext w:val="0"/>
        <w:keepLines w:val="0"/>
        <w:widowControl w:val="0"/>
        <w:numPr>
          <w:ilvl w:val="0"/>
          <w:numId w:val="15"/>
        </w:numPr>
        <w:shd w:val="clear" w:color="auto" w:fill="auto"/>
        <w:tabs>
          <w:tab w:pos="286" w:val="left"/>
        </w:tabs>
        <w:bidi w:val="0"/>
        <w:spacing w:before="0" w:after="140" w:line="240" w:lineRule="auto"/>
        <w:ind w:left="0" w:right="0" w:firstLine="0"/>
        <w:jc w:val="left"/>
      </w:pPr>
      <w:bookmarkStart w:id="508" w:name="bookmark508"/>
      <w:bookmarkEnd w:id="50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after="38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7</w:t>
      </w:r>
      <w:bookmarkEnd w:id="511"/>
      <w:r>
        <w:rPr>
          <w:color w:val="000000"/>
          <w:spacing w:val="0"/>
          <w:w w:val="100"/>
          <w:position w:val="0"/>
        </w:rPr>
        <w:t>、</w:t>
        <w:tab/>
        <w:t>其他重大关联交易</w:t>
      </w:r>
      <w:bookmarkEnd w:id="509"/>
      <w:bookmarkEnd w:id="510"/>
      <w:bookmarkEnd w:id="512"/>
    </w:p>
    <w:p>
      <w:pPr>
        <w:pStyle w:val="Style23"/>
        <w:keepNext w:val="0"/>
        <w:keepLines w:val="0"/>
        <w:widowControl w:val="0"/>
        <w:numPr>
          <w:ilvl w:val="0"/>
          <w:numId w:val="15"/>
        </w:numPr>
        <w:shd w:val="clear" w:color="auto" w:fill="auto"/>
        <w:tabs>
          <w:tab w:pos="286" w:val="left"/>
        </w:tabs>
        <w:bidi w:val="0"/>
        <w:spacing w:before="0" w:after="140" w:line="240" w:lineRule="auto"/>
        <w:ind w:left="0" w:right="0" w:firstLine="0"/>
        <w:jc w:val="left"/>
      </w:pPr>
      <w:bookmarkStart w:id="513" w:name="bookmark513"/>
      <w:bookmarkEnd w:id="51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r>
        <w:rPr>
          <w:color w:val="000000"/>
          <w:spacing w:val="0"/>
          <w:w w:val="100"/>
          <w:position w:val="0"/>
          <w:sz w:val="24"/>
          <w:szCs w:val="24"/>
        </w:rPr>
        <w:t>十五、重大合同及其履行情况</w:t>
      </w:r>
      <w:bookmarkEnd w:id="514"/>
      <w:bookmarkEnd w:id="515"/>
      <w:bookmarkEnd w:id="516"/>
    </w:p>
    <w:p>
      <w:pPr>
        <w:pStyle w:val="Style32"/>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、托管、承包、租赁事项情况</w:t>
      </w:r>
      <w:bookmarkEnd w:id="517"/>
      <w:bookmarkEnd w:id="518"/>
      <w:bookmarkEnd w:id="520"/>
    </w:p>
    <w:p>
      <w:pPr>
        <w:pStyle w:val="Style32"/>
        <w:keepNext/>
        <w:keepLines/>
        <w:widowControl w:val="0"/>
        <w:shd w:val="clear" w:color="auto" w:fill="auto"/>
        <w:tabs>
          <w:tab w:pos="493" w:val="left"/>
        </w:tabs>
        <w:bidi w:val="0"/>
        <w:spacing w:before="0" w:after="380" w:line="240" w:lineRule="auto"/>
        <w:ind w:left="0" w:right="0" w:firstLine="0"/>
        <w:jc w:val="left"/>
      </w:pPr>
      <w:bookmarkStart w:id="517" w:name="bookmark517"/>
      <w:bookmarkStart w:id="518" w:name="bookmark518"/>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7"/>
      <w:bookmarkEnd w:id="518"/>
      <w:bookmarkEnd w:id="522"/>
    </w:p>
    <w:p>
      <w:pPr>
        <w:pStyle w:val="Style23"/>
        <w:keepNext w:val="0"/>
        <w:keepLines w:val="0"/>
        <w:widowControl w:val="0"/>
        <w:numPr>
          <w:ilvl w:val="0"/>
          <w:numId w:val="15"/>
        </w:numPr>
        <w:shd w:val="clear" w:color="auto" w:fill="auto"/>
        <w:tabs>
          <w:tab w:pos="286" w:val="left"/>
        </w:tabs>
        <w:bidi w:val="0"/>
        <w:spacing w:before="0" w:after="140" w:line="240" w:lineRule="auto"/>
        <w:ind w:left="0" w:right="0" w:firstLine="0"/>
        <w:jc w:val="left"/>
      </w:pPr>
      <w:bookmarkStart w:id="523" w:name="bookmark523"/>
      <w:bookmarkEnd w:id="52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4"/>
      <w:bookmarkEnd w:id="525"/>
      <w:bookmarkEnd w:id="527"/>
    </w:p>
    <w:p>
      <w:pPr>
        <w:pStyle w:val="Style23"/>
        <w:keepNext w:val="0"/>
        <w:keepLines w:val="0"/>
        <w:widowControl w:val="0"/>
        <w:numPr>
          <w:ilvl w:val="0"/>
          <w:numId w:val="15"/>
        </w:numPr>
        <w:shd w:val="clear" w:color="auto" w:fill="auto"/>
        <w:tabs>
          <w:tab w:pos="286" w:val="left"/>
        </w:tabs>
        <w:bidi w:val="0"/>
        <w:spacing w:before="0" w:after="140" w:line="240" w:lineRule="auto"/>
        <w:ind w:left="0" w:right="0" w:firstLine="0"/>
        <w:jc w:val="left"/>
      </w:pPr>
      <w:bookmarkStart w:id="528" w:name="bookmark528"/>
      <w:bookmarkEnd w:id="52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shd w:val="clear" w:color="auto" w:fill="auto"/>
        <w:bidi w:val="0"/>
        <w:spacing w:before="0" w:after="380" w:line="240" w:lineRule="auto"/>
        <w:ind w:left="0" w:right="0" w:firstLine="0"/>
        <w:jc w:val="both"/>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29"/>
      <w:bookmarkEnd w:id="530"/>
      <w:bookmarkEnd w:id="532"/>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w:t>
        <w:tab/>
        <w:t>重大担保</w:t>
      </w:r>
      <w:bookmarkEnd w:id="533"/>
      <w:bookmarkEnd w:id="534"/>
      <w:bookmarkEnd w:id="536"/>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w:t>
        <w:tab/>
        <w:t>委托他人进行现金资产管理情况</w:t>
      </w:r>
      <w:bookmarkEnd w:id="537"/>
      <w:bookmarkEnd w:id="538"/>
      <w:bookmarkEnd w:id="540"/>
    </w:p>
    <w:p>
      <w:pPr>
        <w:pStyle w:val="Style32"/>
        <w:keepNext/>
        <w:keepLines/>
        <w:widowControl w:val="0"/>
        <w:shd w:val="clear" w:color="auto" w:fill="auto"/>
        <w:bidi w:val="0"/>
        <w:spacing w:before="0" w:after="380" w:line="240" w:lineRule="auto"/>
        <w:ind w:left="0" w:right="0" w:firstLine="0"/>
        <w:jc w:val="both"/>
      </w:pPr>
      <w:bookmarkStart w:id="537" w:name="bookmark537"/>
      <w:bookmarkStart w:id="538" w:name="bookmark538"/>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7"/>
      <w:bookmarkEnd w:id="538"/>
      <w:bookmarkEnd w:id="542"/>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40,700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单项金额重大或安全性较低、流动性较差的高风险委托理财具体情况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委托理财出现预期无法收回本金或存在其他可能导致减值的情形</w:t>
      </w:r>
    </w:p>
    <w:p>
      <w:pPr>
        <w:pStyle w:val="Style23"/>
        <w:keepNext w:val="0"/>
        <w:keepLines w:val="0"/>
        <w:widowControl w:val="0"/>
        <w:numPr>
          <w:ilvl w:val="0"/>
          <w:numId w:val="15"/>
        </w:numPr>
        <w:shd w:val="clear" w:color="auto" w:fill="auto"/>
        <w:tabs>
          <w:tab w:pos="282" w:val="left"/>
        </w:tabs>
        <w:bidi w:val="0"/>
        <w:spacing w:before="0" w:after="260"/>
        <w:ind w:left="0" w:right="0" w:firstLine="0"/>
        <w:jc w:val="both"/>
      </w:pPr>
      <w:bookmarkStart w:id="543" w:name="bookmark543"/>
      <w:bookmarkEnd w:id="54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4"/>
      <w:bookmarkEnd w:id="545"/>
      <w:bookmarkEnd w:id="547"/>
    </w:p>
    <w:p>
      <w:pPr>
        <w:pStyle w:val="Style23"/>
        <w:keepNext w:val="0"/>
        <w:keepLines w:val="0"/>
        <w:widowControl w:val="0"/>
        <w:numPr>
          <w:ilvl w:val="0"/>
          <w:numId w:val="15"/>
        </w:numPr>
        <w:shd w:val="clear" w:color="auto" w:fill="auto"/>
        <w:tabs>
          <w:tab w:pos="282" w:val="left"/>
        </w:tabs>
        <w:bidi w:val="0"/>
        <w:spacing w:before="0" w:after="0"/>
        <w:ind w:left="0" w:right="0" w:firstLine="0"/>
        <w:jc w:val="both"/>
      </w:pPr>
      <w:bookmarkStart w:id="548" w:name="bookmark548"/>
      <w:bookmarkEnd w:id="54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4</w:t>
      </w:r>
      <w:bookmarkEnd w:id="551"/>
      <w:r>
        <w:rPr>
          <w:color w:val="000000"/>
          <w:spacing w:val="0"/>
          <w:w w:val="100"/>
          <w:position w:val="0"/>
        </w:rPr>
        <w:t>、其他重大合同</w:t>
      </w:r>
      <w:bookmarkEnd w:id="549"/>
      <w:bookmarkEnd w:id="550"/>
      <w:bookmarkEnd w:id="552"/>
    </w:p>
    <w:p>
      <w:pPr>
        <w:pStyle w:val="Style23"/>
        <w:keepNext w:val="0"/>
        <w:keepLines w:val="0"/>
        <w:widowControl w:val="0"/>
        <w:numPr>
          <w:ilvl w:val="0"/>
          <w:numId w:val="15"/>
        </w:numPr>
        <w:shd w:val="clear" w:color="auto" w:fill="auto"/>
        <w:tabs>
          <w:tab w:pos="282" w:val="left"/>
        </w:tabs>
        <w:bidi w:val="0"/>
        <w:spacing w:before="0" w:after="0"/>
        <w:ind w:left="0" w:right="0" w:firstLine="0"/>
        <w:jc w:val="both"/>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both"/>
      </w:pPr>
      <w:bookmarkStart w:id="554" w:name="bookmark554"/>
      <w:bookmarkStart w:id="555" w:name="bookmark555"/>
      <w:bookmarkStart w:id="556" w:name="bookmark556"/>
      <w:r>
        <w:rPr>
          <w:color w:val="000000"/>
          <w:spacing w:val="0"/>
          <w:w w:val="100"/>
          <w:position w:val="0"/>
          <w:sz w:val="24"/>
          <w:szCs w:val="24"/>
        </w:rPr>
        <w:t>十六、其他重大事项的说明</w:t>
      </w:r>
      <w:bookmarkEnd w:id="554"/>
      <w:bookmarkEnd w:id="555"/>
      <w:bookmarkEnd w:id="556"/>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360" w:line="317"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日，公司召开第四届董事会第十三次会议，审议通过《关于以自有资金认购私募股权投资基金份额的议案》， 详见巨潮资讯网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相关公告。截至目前，公司参与认购的上海金融科技股权投资基金（有限合伙）</w:t>
      </w:r>
      <w:r>
        <w:rPr>
          <w:color w:val="000000"/>
          <w:spacing w:val="0"/>
          <w:w w:val="100"/>
          <w:position w:val="0"/>
        </w:rPr>
        <w:t xml:space="preserve"> </w:t>
      </w:r>
      <w:r>
        <w:rPr>
          <w:color w:val="000000"/>
          <w:spacing w:val="0"/>
          <w:w w:val="100"/>
          <w:position w:val="0"/>
        </w:rPr>
        <w:t>已经完成首次募集，并于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日完成私募投资基金备案。</w:t>
      </w:r>
    </w:p>
    <w:p>
      <w:pPr>
        <w:pStyle w:val="Style27"/>
        <w:keepNext/>
        <w:keepLines/>
        <w:widowControl w:val="0"/>
        <w:shd w:val="clear" w:color="auto" w:fill="auto"/>
        <w:bidi w:val="0"/>
        <w:spacing w:before="0" w:line="240" w:lineRule="auto"/>
        <w:ind w:left="0" w:right="0" w:firstLine="0"/>
        <w:jc w:val="left"/>
      </w:pPr>
      <w:bookmarkStart w:id="557" w:name="bookmark557"/>
      <w:bookmarkStart w:id="558" w:name="bookmark558"/>
      <w:bookmarkStart w:id="559" w:name="bookmark559"/>
      <w:r>
        <w:rPr>
          <w:color w:val="000000"/>
          <w:spacing w:val="0"/>
          <w:w w:val="100"/>
          <w:position w:val="0"/>
          <w:sz w:val="24"/>
          <w:szCs w:val="24"/>
        </w:rPr>
        <w:t>十七、公司子公司重大事项</w:t>
      </w:r>
      <w:bookmarkEnd w:id="557"/>
      <w:bookmarkEnd w:id="558"/>
      <w:bookmarkEnd w:id="559"/>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55" w:right="1091" w:bottom="1405" w:left="103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480" w:after="560" w:line="240" w:lineRule="auto"/>
        <w:ind w:left="0" w:right="0" w:firstLine="0"/>
        <w:jc w:val="center"/>
      </w:pPr>
      <w:bookmarkStart w:id="560" w:name="bookmark560"/>
      <w:bookmarkStart w:id="561" w:name="bookmark561"/>
      <w:bookmarkStart w:id="562" w:name="bookmark562"/>
      <w:r>
        <w:rPr>
          <w:color w:val="000000"/>
          <w:spacing w:val="0"/>
          <w:w w:val="100"/>
          <w:position w:val="0"/>
        </w:rPr>
        <w:t>第七节股份变动及股东情况</w:t>
      </w:r>
      <w:bookmarkEnd w:id="560"/>
      <w:bookmarkEnd w:id="561"/>
      <w:bookmarkEnd w:id="562"/>
    </w:p>
    <w:p>
      <w:pPr>
        <w:pStyle w:val="Style27"/>
        <w:keepNext/>
        <w:keepLines/>
        <w:widowControl w:val="0"/>
        <w:shd w:val="clear" w:color="auto" w:fill="auto"/>
        <w:bidi w:val="0"/>
        <w:spacing w:before="0" w:line="240" w:lineRule="auto"/>
        <w:ind w:left="0" w:right="0" w:firstLine="0"/>
        <w:jc w:val="left"/>
      </w:pPr>
      <w:bookmarkStart w:id="563" w:name="bookmark563"/>
      <w:bookmarkStart w:id="564" w:name="bookmark564"/>
      <w:bookmarkStart w:id="565" w:name="bookmark565"/>
      <w:bookmarkStart w:id="566" w:name="bookmark566"/>
      <w:bookmarkStart w:id="567" w:name="bookmark567"/>
      <w:r>
        <w:rPr>
          <w:color w:val="000000"/>
          <w:spacing w:val="0"/>
          <w:w w:val="100"/>
          <w:position w:val="0"/>
          <w:sz w:val="24"/>
          <w:szCs w:val="24"/>
        </w:rPr>
        <w:t>一</w:t>
      </w:r>
      <w:bookmarkEnd w:id="566"/>
      <w:r>
        <w:rPr>
          <w:color w:val="000000"/>
          <w:spacing w:val="0"/>
          <w:w w:val="100"/>
          <w:position w:val="0"/>
          <w:sz w:val="24"/>
          <w:szCs w:val="24"/>
        </w:rPr>
        <w:t>、股份变动情况</w:t>
      </w:r>
      <w:bookmarkEnd w:id="564"/>
      <w:bookmarkEnd w:id="565"/>
      <w:bookmarkEnd w:id="567"/>
      <w:bookmarkEnd w:id="563"/>
    </w:p>
    <w:p>
      <w:pPr>
        <w:pStyle w:val="Style32"/>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、股份变动情况</w:t>
      </w:r>
      <w:bookmarkEnd w:id="568"/>
      <w:bookmarkEnd w:id="569"/>
      <w:bookmarkEnd w:id="5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725"/>
        <w:gridCol w:w="821"/>
        <w:gridCol w:w="826"/>
        <w:gridCol w:w="821"/>
        <w:gridCol w:w="63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、限售股份变动情况</w:t>
      </w:r>
      <w:bookmarkEnd w:id="572"/>
      <w:bookmarkEnd w:id="573"/>
      <w:bookmarkEnd w:id="57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二</w:t>
      </w:r>
      <w:bookmarkEnd w:id="578"/>
      <w:r>
        <w:rPr>
          <w:color w:val="000000"/>
          <w:spacing w:val="0"/>
          <w:w w:val="100"/>
          <w:position w:val="0"/>
          <w:sz w:val="24"/>
          <w:szCs w:val="24"/>
        </w:rPr>
        <w:t>、</w:t>
        <w:tab/>
        <w:t>证券发行与上市情况</w:t>
      </w:r>
      <w:bookmarkEnd w:id="576"/>
      <w:bookmarkEnd w:id="577"/>
      <w:bookmarkEnd w:id="579"/>
    </w:p>
    <w:p>
      <w:pPr>
        <w:pStyle w:val="Style32"/>
        <w:keepNext/>
        <w:keepLines/>
        <w:widowControl w:val="0"/>
        <w:shd w:val="clear" w:color="auto" w:fill="auto"/>
        <w:tabs>
          <w:tab w:pos="368"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w:t>
        <w:tab/>
        <w:t>报告期内证券发行（不含优先股）情况</w:t>
      </w:r>
      <w:bookmarkEnd w:id="580"/>
      <w:bookmarkEnd w:id="581"/>
      <w:bookmarkEnd w:id="58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公司股份总数及股东结构的变动、公司资产和负债结构的变动情况说明</w:t>
      </w:r>
      <w:bookmarkEnd w:id="584"/>
      <w:bookmarkEnd w:id="585"/>
      <w:bookmarkEnd w:id="587"/>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w:t>
        <w:tab/>
        <w:t>现存的内部职工股情况</w:t>
      </w:r>
      <w:bookmarkEnd w:id="588"/>
      <w:bookmarkEnd w:id="589"/>
      <w:bookmarkEnd w:id="591"/>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三</w:t>
      </w:r>
      <w:bookmarkEnd w:id="594"/>
      <w:r>
        <w:rPr>
          <w:color w:val="000000"/>
          <w:spacing w:val="0"/>
          <w:w w:val="100"/>
          <w:position w:val="0"/>
          <w:sz w:val="24"/>
          <w:szCs w:val="24"/>
        </w:rPr>
        <w:t>、</w:t>
        <w:tab/>
        <w:t>股东和实际控制人情况</w:t>
      </w:r>
      <w:bookmarkEnd w:id="592"/>
      <w:bookmarkEnd w:id="593"/>
      <w:bookmarkEnd w:id="595"/>
    </w:p>
    <w:p>
      <w:pPr>
        <w:pStyle w:val="Style32"/>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、公司股东数量及持股情况</w:t>
      </w:r>
      <w:bookmarkEnd w:id="596"/>
      <w:bookmarkEnd w:id="597"/>
      <w:bookmarkEnd w:id="59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859"/>
        <w:gridCol w:w="706"/>
        <w:gridCol w:w="1046"/>
        <w:gridCol w:w="869"/>
        <w:gridCol w:w="869"/>
        <w:gridCol w:w="1186"/>
        <w:gridCol w:w="446"/>
        <w:gridCol w:w="869"/>
        <w:gridCol w:w="864"/>
        <w:gridCol w:w="878"/>
      </w:tblGrid>
      <w:tr>
        <w:trPr>
          <w:trHeight w:val="228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53,047</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59,779</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6" w:lineRule="exact"/>
              <w:ind w:left="0" w:right="0" w:firstLine="0"/>
              <w:jc w:val="left"/>
            </w:pPr>
            <w:r>
              <w:rPr>
                <w:color w:val="000000"/>
                <w:spacing w:val="0"/>
                <w:w w:val="100"/>
                <w:position w:val="0"/>
              </w:rPr>
              <w:t>报告期末 表决权恢</w:t>
            </w:r>
          </w:p>
          <w:p>
            <w:pPr>
              <w:pStyle w:val="Style17"/>
              <w:keepNext w:val="0"/>
              <w:keepLines w:val="0"/>
              <w:widowControl w:val="0"/>
              <w:shd w:val="clear" w:color="auto" w:fill="auto"/>
              <w:bidi w:val="0"/>
              <w:spacing w:before="0" w:after="0" w:line="306" w:lineRule="exact"/>
              <w:ind w:left="0" w:right="0" w:firstLine="0"/>
              <w:jc w:val="left"/>
            </w:pPr>
            <w:r>
              <w:rPr>
                <w:color w:val="000000"/>
                <w:spacing w:val="0"/>
                <w:w w:val="100"/>
                <w:position w:val="0"/>
              </w:rPr>
              <w:t>复的优先 股股东总</w:t>
            </w:r>
          </w:p>
          <w:p>
            <w:pPr>
              <w:pStyle w:val="Style17"/>
              <w:keepNext w:val="0"/>
              <w:keepLines w:val="0"/>
              <w:widowControl w:val="0"/>
              <w:shd w:val="clear" w:color="auto" w:fill="auto"/>
              <w:bidi w:val="0"/>
              <w:spacing w:before="0" w:after="120" w:line="306" w:lineRule="exact"/>
              <w:ind w:left="0" w:right="0" w:firstLine="0"/>
              <w:jc w:val="left"/>
            </w:pPr>
            <w:r>
              <w:rPr>
                <w:color w:val="000000"/>
                <w:spacing w:val="0"/>
                <w:w w:val="100"/>
                <w:position w:val="0"/>
              </w:rPr>
              <w:t>数（如有） （参见注</w:t>
            </w:r>
          </w:p>
          <w:p>
            <w:pPr>
              <w:pStyle w:val="Style17"/>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持有无限售条</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鹰潭市鹰高</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投资咨询有</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101,886,476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-2,263,300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101,886,476</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24,677,000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银联科技有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37,101,580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陕西省国际 信托股份有 限公司一陕 国投</w:t>
            </w:r>
            <w:r>
              <w:rPr>
                <w:rFonts w:ascii="Times New Roman" w:eastAsia="Times New Roman" w:hAnsi="Times New Roman" w:cs="Times New Roman"/>
                <w:color w:val="000000"/>
                <w:spacing w:val="0"/>
                <w:w w:val="100"/>
                <w:position w:val="0"/>
              </w:rPr>
              <w:t>•</w:t>
            </w:r>
            <w:r>
              <w:rPr>
                <w:color w:val="000000"/>
                <w:spacing w:val="0"/>
                <w:w w:val="100"/>
                <w:position w:val="0"/>
              </w:rPr>
              <w:t>高伟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8,483,500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8,483,500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8,483,500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859"/>
        <w:gridCol w:w="706"/>
        <w:gridCol w:w="1046"/>
        <w:gridCol w:w="869"/>
        <w:gridCol w:w="869"/>
        <w:gridCol w:w="1186"/>
        <w:gridCol w:w="1315"/>
        <w:gridCol w:w="1742"/>
      </w:tblGrid>
      <w:tr>
        <w:trPr>
          <w:trHeight w:val="130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达第一期员 工持股集合 资金信托计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易方达基金 —中央汇金 资产管理有 限责任公司 一易方达基 金一汇金资 管单一资产 管理计划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-2,521,920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北京睿韬科</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技有限责任</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4,427,265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2,387,220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孙光英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1,628,800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1,628,800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吴东魁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陈传兴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1,212,900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104,200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蒋辉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1,073,800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名股东是否为一致行动人。</w:t>
            </w: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 购专户的特别说明（如 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20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853"/>
        <w:gridCol w:w="4675"/>
        <w:gridCol w:w="1315"/>
        <w:gridCol w:w="1742"/>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鹰潭市鹰高投资咨询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101,886,476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101,886,476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陕西省国际信托股份 有限公司一陕国投</w:t>
            </w:r>
            <w:r>
              <w:rPr>
                <w:rFonts w:ascii="Times New Roman" w:eastAsia="Times New Roman" w:hAnsi="Times New Roman" w:cs="Times New Roman"/>
                <w:color w:val="000000"/>
                <w:spacing w:val="0"/>
                <w:w w:val="100"/>
                <w:position w:val="0"/>
              </w:rPr>
              <w:t>•</w:t>
            </w:r>
            <w:r>
              <w:rPr>
                <w:color w:val="000000"/>
                <w:spacing w:val="0"/>
                <w:w w:val="100"/>
                <w:position w:val="0"/>
              </w:rPr>
              <w:t>高 伟达第一期员工持股 集合资金信托计划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8,483,500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8,483,500</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易方达基金一中央汇 金资产管理有限责任 公司一易方达基金一 汇金资管单一资产管 理计划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北京睿韬科技有限责 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4,427,265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4,427,265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2,387,220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2,387,220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孙光英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1,628,800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1,628,800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吴东魁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1,358,500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1,358,500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陈传兴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1,212,900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1,212,900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蒋辉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1,073,800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1,073,800</w:t>
            </w:r>
          </w:p>
        </w:tc>
      </w:tr>
      <w:tr>
        <w:trPr>
          <w:trHeight w:val="196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名无限售股股东是否为一致行动人。</w:t>
            </w:r>
          </w:p>
        </w:tc>
      </w:tr>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东情况说明（如有）（参</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股东孙光英通过投资者信用账户持有公司</w:t>
            </w:r>
            <w:r>
              <w:rPr>
                <w:rFonts w:ascii="Times New Roman" w:eastAsia="Times New Roman" w:hAnsi="Times New Roman" w:cs="Times New Roman"/>
                <w:color w:val="000000"/>
                <w:spacing w:val="0"/>
                <w:w w:val="100"/>
                <w:position w:val="0"/>
              </w:rPr>
              <w:t>1,609,500</w:t>
            </w:r>
            <w:r>
              <w:rPr>
                <w:color w:val="000000"/>
                <w:spacing w:val="0"/>
                <w:w w:val="100"/>
                <w:position w:val="0"/>
              </w:rPr>
              <w:t>股，通过普通账户持有公司</w:t>
            </w:r>
            <w:r>
              <w:rPr>
                <w:rFonts w:ascii="Times New Roman" w:eastAsia="Times New Roman" w:hAnsi="Times New Roman" w:cs="Times New Roman"/>
                <w:color w:val="000000"/>
                <w:spacing w:val="0"/>
                <w:w w:val="100"/>
                <w:position w:val="0"/>
              </w:rPr>
              <w:t>19,300</w:t>
            </w:r>
            <w:r>
              <w:rPr>
                <w:color w:val="000000"/>
                <w:spacing w:val="0"/>
                <w:w w:val="100"/>
                <w:position w:val="0"/>
              </w:rPr>
              <w:t>股；股东陈 传兴通过投资者信用账户持有公司</w:t>
            </w:r>
            <w:r>
              <w:rPr>
                <w:rFonts w:ascii="Times New Roman" w:eastAsia="Times New Roman" w:hAnsi="Times New Roman" w:cs="Times New Roman"/>
                <w:color w:val="000000"/>
                <w:spacing w:val="0"/>
                <w:w w:val="100"/>
                <w:position w:val="0"/>
              </w:rPr>
              <w:t>100,000</w:t>
            </w:r>
            <w:r>
              <w:rPr>
                <w:color w:val="000000"/>
                <w:spacing w:val="0"/>
                <w:w w:val="100"/>
                <w:position w:val="0"/>
              </w:rPr>
              <w:t>股，通过普通账户持有公司</w:t>
            </w:r>
            <w:r>
              <w:rPr>
                <w:rFonts w:ascii="Times New Roman" w:eastAsia="Times New Roman" w:hAnsi="Times New Roman" w:cs="Times New Roman"/>
                <w:color w:val="000000"/>
                <w:spacing w:val="0"/>
                <w:w w:val="100"/>
                <w:position w:val="0"/>
              </w:rPr>
              <w:t>1,112,900</w:t>
            </w:r>
            <w:r>
              <w:rPr>
                <w:color w:val="000000"/>
                <w:spacing w:val="0"/>
                <w:w w:val="100"/>
                <w:position w:val="0"/>
              </w:rPr>
              <w:t>股；股东蒋辉通 过投资者信用账户持有公司</w:t>
            </w:r>
            <w:r>
              <w:rPr>
                <w:rFonts w:ascii="Times New Roman" w:eastAsia="Times New Roman" w:hAnsi="Times New Roman" w:cs="Times New Roman"/>
                <w:color w:val="000000"/>
                <w:spacing w:val="0"/>
                <w:w w:val="100"/>
                <w:position w:val="0"/>
              </w:rPr>
              <w:t>720,000</w:t>
            </w:r>
            <w:r>
              <w:rPr>
                <w:color w:val="000000"/>
                <w:spacing w:val="0"/>
                <w:w w:val="100"/>
                <w:position w:val="0"/>
              </w:rPr>
              <w:t>股，通过普通账户持有公司</w:t>
            </w:r>
            <w:r>
              <w:rPr>
                <w:rFonts w:ascii="Times New Roman" w:eastAsia="Times New Roman" w:hAnsi="Times New Roman" w:cs="Times New Roman"/>
                <w:color w:val="000000"/>
                <w:spacing w:val="0"/>
                <w:w w:val="100"/>
                <w:position w:val="0"/>
              </w:rPr>
              <w:t>353,800</w:t>
            </w:r>
            <w:r>
              <w:rPr>
                <w:color w:val="000000"/>
                <w:spacing w:val="0"/>
                <w:w w:val="100"/>
                <w:position w:val="0"/>
              </w:rPr>
              <w:t>股</w:t>
            </w:r>
          </w:p>
        </w:tc>
      </w:tr>
    </w:tbl>
    <w:p>
      <w:pPr>
        <w:pStyle w:val="Style23"/>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公司是否具有表决权差异安排</w:t>
      </w:r>
    </w:p>
    <w:p>
      <w:pPr>
        <w:pStyle w:val="Style23"/>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24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、公司控股股东情况</w:t>
      </w:r>
      <w:bookmarkEnd w:id="600"/>
      <w:bookmarkEnd w:id="601"/>
      <w:bookmarkEnd w:id="603"/>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控股股东性质：自然人控股</w:t>
      </w:r>
    </w:p>
    <w:p>
      <w:pPr>
        <w:pStyle w:val="Style23"/>
        <w:keepNext w:val="0"/>
        <w:keepLines w:val="0"/>
        <w:widowControl w:val="0"/>
        <w:shd w:val="clear" w:color="auto" w:fill="auto"/>
        <w:bidi w:val="0"/>
        <w:spacing w:before="0" w:after="80" w:line="350" w:lineRule="exact"/>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208"/>
        <w:gridCol w:w="1790"/>
        <w:gridCol w:w="1594"/>
        <w:gridCol w:w="1752"/>
        <w:gridCol w:w="2242"/>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鹰潭市鹰高投资咨询有限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913606005686551309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投资，企业管理咨询；营销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w:t>
            </w:r>
          </w:p>
        </w:tc>
      </w:tr>
      <w:tr>
        <w:trPr>
          <w:trHeight w:val="36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控股股东报告期内控股和</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参股的其他境内外上市公</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司的股权情况</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、公司实际控制人及其一致行动人</w:t>
      </w:r>
      <w:bookmarkEnd w:id="604"/>
      <w:bookmarkEnd w:id="605"/>
      <w:bookmarkEnd w:id="60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任公司董事长</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34321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676015" cy="3432175"/>
                    </a:xfrm>
                    <a:prstGeom prst="rect"/>
                  </pic:spPr>
                </pic:pic>
              </a:graphicData>
            </a:graphic>
          </wp:inline>
        </w:drawing>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4</w:t>
      </w:r>
      <w:bookmarkEnd w:id="61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8"/>
      <w:bookmarkEnd w:id="609"/>
      <w:bookmarkEnd w:id="611"/>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5</w:t>
      </w:r>
      <w:bookmarkEnd w:id="61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2"/>
      <w:bookmarkEnd w:id="613"/>
      <w:bookmarkEnd w:id="615"/>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6</w:t>
      </w:r>
      <w:bookmarkEnd w:id="618"/>
      <w:r>
        <w:rPr>
          <w:color w:val="000000"/>
          <w:spacing w:val="0"/>
          <w:w w:val="100"/>
          <w:position w:val="0"/>
        </w:rPr>
        <w:t>、</w:t>
        <w:tab/>
        <w:t>控股股东、实际控制人、重组方及其他承诺主体股份限制减持情况</w:t>
      </w:r>
      <w:bookmarkEnd w:id="616"/>
      <w:bookmarkEnd w:id="617"/>
      <w:bookmarkEnd w:id="619"/>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四</w:t>
      </w:r>
      <w:bookmarkEnd w:id="622"/>
      <w:r>
        <w:rPr>
          <w:color w:val="000000"/>
          <w:spacing w:val="0"/>
          <w:w w:val="100"/>
          <w:position w:val="0"/>
          <w:sz w:val="24"/>
          <w:szCs w:val="24"/>
        </w:rPr>
        <w:t>、股份回购在报告期的具体实施情况</w:t>
      </w:r>
      <w:bookmarkEnd w:id="620"/>
      <w:bookmarkEnd w:id="621"/>
      <w:bookmarkEnd w:id="62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3"/>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624" w:name="bookmark624"/>
      <w:bookmarkEnd w:id="62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3"/>
        <w:keepNext w:val="0"/>
        <w:keepLines w:val="0"/>
        <w:widowControl w:val="0"/>
        <w:numPr>
          <w:ilvl w:val="0"/>
          <w:numId w:val="15"/>
        </w:numPr>
        <w:shd w:val="clear" w:color="auto" w:fill="auto"/>
        <w:tabs>
          <w:tab w:pos="282" w:val="left"/>
        </w:tabs>
        <w:bidi w:val="0"/>
        <w:spacing w:before="0" w:after="380" w:line="240" w:lineRule="auto"/>
        <w:ind w:left="0" w:right="0" w:firstLine="0"/>
        <w:jc w:val="left"/>
        <w:sectPr>
          <w:footnotePr>
            <w:pos w:val="pageBottom"/>
            <w:numFmt w:val="decimal"/>
            <w:numRestart w:val="continuous"/>
          </w:footnotePr>
          <w:pgSz w:w="11900" w:h="16840"/>
          <w:pgMar w:top="1441" w:right="1154" w:bottom="1470" w:left="1060" w:header="0" w:footer="3" w:gutter="0"/>
          <w:cols w:space="720"/>
          <w:noEndnote/>
          <w:rtlGutter w:val="0"/>
          <w:docGrid w:linePitch="360"/>
        </w:sectPr>
      </w:pPr>
      <w:bookmarkStart w:id="625" w:name="bookmark625"/>
      <w:bookmarkEnd w:id="62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1"/>
        <w:keepNext/>
        <w:keepLines/>
        <w:widowControl w:val="0"/>
        <w:shd w:val="clear" w:color="auto" w:fill="auto"/>
        <w:bidi w:val="0"/>
        <w:spacing w:before="0" w:after="560" w:line="240" w:lineRule="auto"/>
        <w:ind w:left="0" w:right="0" w:firstLine="0"/>
        <w:jc w:val="center"/>
      </w:pPr>
      <w:bookmarkStart w:id="626" w:name="bookmark626"/>
      <w:bookmarkStart w:id="627" w:name="bookmark627"/>
      <w:bookmarkStart w:id="628" w:name="bookmark628"/>
      <w:r>
        <w:rPr>
          <w:color w:val="000000"/>
          <w:spacing w:val="0"/>
          <w:w w:val="100"/>
          <w:position w:val="0"/>
        </w:rPr>
        <w:t>第八节优先股相关情况</w:t>
      </w:r>
      <w:bookmarkEnd w:id="626"/>
      <w:bookmarkEnd w:id="627"/>
      <w:bookmarkEnd w:id="628"/>
    </w:p>
    <w:p>
      <w:pPr>
        <w:pStyle w:val="Style23"/>
        <w:keepNext w:val="0"/>
        <w:keepLines w:val="0"/>
        <w:widowControl w:val="0"/>
        <w:shd w:val="clear" w:color="auto" w:fill="auto"/>
        <w:bidi w:val="0"/>
        <w:spacing w:before="0" w:after="120" w:line="240" w:lineRule="auto"/>
        <w:ind w:left="0" w:right="0" w:firstLine="0"/>
        <w:jc w:val="left"/>
      </w:pPr>
      <w:bookmarkStart w:id="629" w:name="bookmark62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29"/>
    </w:p>
    <w:p>
      <w:pPr>
        <w:pStyle w:val="Style2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60" w:line="240" w:lineRule="auto"/>
        <w:ind w:left="0" w:right="0" w:firstLine="0"/>
        <w:jc w:val="center"/>
      </w:pPr>
      <w:bookmarkStart w:id="630" w:name="bookmark630"/>
      <w:bookmarkStart w:id="631" w:name="bookmark631"/>
      <w:bookmarkStart w:id="632" w:name="bookmark632"/>
      <w:r>
        <w:rPr>
          <w:color w:val="000000"/>
          <w:spacing w:val="0"/>
          <w:w w:val="100"/>
          <w:position w:val="0"/>
        </w:rPr>
        <w:t>第九节债券相关情况</w:t>
      </w:r>
      <w:bookmarkEnd w:id="630"/>
      <w:bookmarkEnd w:id="631"/>
      <w:bookmarkEnd w:id="632"/>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bookmarkStart w:id="633" w:name="bookmark633"/>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33"/>
    </w:p>
    <w:p>
      <w:pPr>
        <w:pStyle w:val="Style11"/>
        <w:keepNext/>
        <w:keepLines/>
        <w:widowControl w:val="0"/>
        <w:shd w:val="clear" w:color="auto" w:fill="auto"/>
        <w:bidi w:val="0"/>
        <w:spacing w:before="780" w:after="520" w:line="240" w:lineRule="auto"/>
        <w:ind w:left="0" w:right="0" w:firstLine="0"/>
        <w:jc w:val="center"/>
      </w:pPr>
      <w:bookmarkStart w:id="634" w:name="bookmark634"/>
      <w:bookmarkStart w:id="635" w:name="bookmark635"/>
      <w:bookmarkStart w:id="636" w:name="bookmark636"/>
      <w:r>
        <w:rPr>
          <w:color w:val="000000"/>
          <w:spacing w:val="0"/>
          <w:w w:val="100"/>
          <w:position w:val="0"/>
        </w:rPr>
        <w:t>第十节财务报告</w:t>
      </w:r>
      <w:bookmarkEnd w:id="634"/>
      <w:bookmarkEnd w:id="635"/>
      <w:bookmarkEnd w:id="636"/>
    </w:p>
    <w:p>
      <w:pPr>
        <w:pStyle w:val="Style27"/>
        <w:keepNext/>
        <w:keepLines/>
        <w:widowControl w:val="0"/>
        <w:shd w:val="clear" w:color="auto" w:fill="auto"/>
        <w:bidi w:val="0"/>
        <w:spacing w:before="0" w:after="300" w:line="240" w:lineRule="auto"/>
        <w:ind w:left="0" w:right="0" w:firstLine="0"/>
        <w:jc w:val="left"/>
      </w:pPr>
      <w:bookmarkStart w:id="637" w:name="bookmark637"/>
      <w:bookmarkStart w:id="638" w:name="bookmark638"/>
      <w:bookmarkStart w:id="639" w:name="bookmark639"/>
      <w:bookmarkStart w:id="640" w:name="bookmark640"/>
      <w:bookmarkStart w:id="641" w:name="bookmark641"/>
      <w:r>
        <w:rPr>
          <w:color w:val="000000"/>
          <w:spacing w:val="0"/>
          <w:w w:val="100"/>
          <w:position w:val="0"/>
          <w:sz w:val="24"/>
          <w:szCs w:val="24"/>
        </w:rPr>
        <w:t>一</w:t>
      </w:r>
      <w:bookmarkEnd w:id="640"/>
      <w:r>
        <w:rPr>
          <w:color w:val="000000"/>
          <w:spacing w:val="0"/>
          <w:w w:val="100"/>
          <w:position w:val="0"/>
          <w:sz w:val="24"/>
          <w:szCs w:val="24"/>
        </w:rPr>
        <w:t>、审计报告</w:t>
      </w:r>
      <w:bookmarkEnd w:id="638"/>
      <w:bookmarkEnd w:id="639"/>
      <w:bookmarkEnd w:id="641"/>
      <w:bookmarkEnd w:id="63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中汇会计师事务所（特殊普通合伙）</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中汇会审</w:t>
            </w:r>
            <w:r>
              <w:rPr>
                <w:rFonts w:ascii="Times New Roman" w:eastAsia="Times New Roman" w:hAnsi="Times New Roman" w:cs="Times New Roman"/>
                <w:color w:val="000000"/>
                <w:spacing w:val="0"/>
                <w:w w:val="100"/>
                <w:position w:val="0"/>
              </w:rPr>
              <w:t>[2022]1666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胡健、秦妍、李振</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99" w:line="1" w:lineRule="exact"/>
      </w:pPr>
    </w:p>
    <w:p>
      <w:pPr>
        <w:pStyle w:val="Style23"/>
        <w:keepNext w:val="0"/>
        <w:keepLines w:val="0"/>
        <w:widowControl w:val="0"/>
        <w:shd w:val="clear" w:color="auto" w:fill="auto"/>
        <w:bidi w:val="0"/>
        <w:spacing w:before="0" w:after="300" w:line="326" w:lineRule="exact"/>
        <w:ind w:left="0" w:right="0" w:firstLine="7920"/>
        <w:jc w:val="both"/>
      </w:pPr>
      <w:r>
        <w:rPr>
          <w:color w:val="000000"/>
          <w:spacing w:val="0"/>
          <w:w w:val="100"/>
          <w:position w:val="0"/>
        </w:rPr>
        <w:t>中汇会审</w:t>
      </w:r>
      <w:r>
        <w:rPr>
          <w:rFonts w:ascii="Times New Roman" w:eastAsia="Times New Roman" w:hAnsi="Times New Roman" w:cs="Times New Roman"/>
          <w:color w:val="000000"/>
          <w:spacing w:val="0"/>
          <w:w w:val="100"/>
          <w:position w:val="0"/>
        </w:rPr>
        <w:t>[2022]1666</w:t>
      </w:r>
      <w:r>
        <w:rPr>
          <w:color w:val="000000"/>
          <w:spacing w:val="0"/>
          <w:w w:val="100"/>
          <w:position w:val="0"/>
        </w:rPr>
        <w:t>号 高伟达软件股份有限公司全体股东：</w:t>
      </w:r>
    </w:p>
    <w:p>
      <w:pPr>
        <w:pStyle w:val="Style23"/>
        <w:keepNext w:val="0"/>
        <w:keepLines w:val="0"/>
        <w:widowControl w:val="0"/>
        <w:shd w:val="clear" w:color="auto" w:fill="auto"/>
        <w:tabs>
          <w:tab w:pos="926" w:val="left"/>
        </w:tabs>
        <w:bidi w:val="0"/>
        <w:spacing w:before="0" w:after="0" w:line="310" w:lineRule="exact"/>
        <w:ind w:left="0" w:right="0" w:firstLine="500"/>
        <w:jc w:val="both"/>
      </w:pPr>
      <w:bookmarkStart w:id="642" w:name="bookmark642"/>
      <w:r>
        <w:rPr>
          <w:color w:val="000000"/>
          <w:spacing w:val="0"/>
          <w:w w:val="100"/>
          <w:position w:val="0"/>
        </w:rPr>
        <w:t>一</w:t>
      </w:r>
      <w:bookmarkEnd w:id="642"/>
      <w:r>
        <w:rPr>
          <w:color w:val="000000"/>
          <w:spacing w:val="0"/>
          <w:w w:val="100"/>
          <w:position w:val="0"/>
        </w:rPr>
        <w:t>、</w:t>
        <w:tab/>
        <w:t>审计意见</w:t>
      </w:r>
    </w:p>
    <w:p>
      <w:pPr>
        <w:pStyle w:val="Style23"/>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我们审计了高伟达软件股份有限公司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以下简称高伟达公司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年度的合并及母公司利润表、合并及母公司现金流量表、合并及母公司所有者权益变动表以及财务报表附注。</w:t>
      </w:r>
    </w:p>
    <w:p>
      <w:pPr>
        <w:pStyle w:val="Style23"/>
        <w:keepNext w:val="0"/>
        <w:keepLines w:val="0"/>
        <w:widowControl w:val="0"/>
        <w:shd w:val="clear" w:color="auto" w:fill="auto"/>
        <w:bidi w:val="0"/>
        <w:spacing w:before="0" w:after="300" w:line="310" w:lineRule="exact"/>
        <w:ind w:left="0" w:right="0" w:firstLine="500"/>
        <w:jc w:val="both"/>
      </w:pPr>
      <w:r>
        <w:rPr>
          <w:color w:val="000000"/>
          <w:spacing w:val="0"/>
          <w:w w:val="100"/>
          <w:position w:val="0"/>
        </w:rPr>
        <w:t>我们认为，后附的财务报表在所有重大方面按照企业会计准则的规定编制，公允反映了高伟达公司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3"/>
        <w:keepNext w:val="0"/>
        <w:keepLines w:val="0"/>
        <w:widowControl w:val="0"/>
        <w:shd w:val="clear" w:color="auto" w:fill="auto"/>
        <w:tabs>
          <w:tab w:pos="926" w:val="left"/>
        </w:tabs>
        <w:bidi w:val="0"/>
        <w:spacing w:before="0" w:after="0" w:line="312" w:lineRule="exact"/>
        <w:ind w:left="0" w:right="0" w:firstLine="500"/>
        <w:jc w:val="both"/>
      </w:pPr>
      <w:bookmarkStart w:id="643" w:name="bookmark643"/>
      <w:r>
        <w:rPr>
          <w:color w:val="000000"/>
          <w:spacing w:val="0"/>
          <w:w w:val="100"/>
          <w:position w:val="0"/>
        </w:rPr>
        <w:t>二</w:t>
      </w:r>
      <w:bookmarkEnd w:id="643"/>
      <w:r>
        <w:rPr>
          <w:color w:val="000000"/>
          <w:spacing w:val="0"/>
          <w:w w:val="100"/>
          <w:position w:val="0"/>
        </w:rPr>
        <w:t>、</w:t>
        <w:tab/>
        <w:t>形成审计意见的基础</w:t>
      </w:r>
    </w:p>
    <w:p>
      <w:pPr>
        <w:pStyle w:val="Style23"/>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 步阐述了我们在这些准则下的责任。按照中国注册会计师职业道德守则，我们独立于高伟达公司，并履行了职业道德方面的 其他责任。我们相信，我们获取的审计证据是充分、适当的，为发表审计意见提供了基础。</w:t>
      </w:r>
    </w:p>
    <w:p>
      <w:pPr>
        <w:pStyle w:val="Style23"/>
        <w:keepNext w:val="0"/>
        <w:keepLines w:val="0"/>
        <w:widowControl w:val="0"/>
        <w:shd w:val="clear" w:color="auto" w:fill="auto"/>
        <w:tabs>
          <w:tab w:pos="926" w:val="left"/>
        </w:tabs>
        <w:bidi w:val="0"/>
        <w:spacing w:before="0" w:after="0" w:line="314" w:lineRule="exact"/>
        <w:ind w:left="0" w:right="0" w:firstLine="500"/>
        <w:jc w:val="both"/>
      </w:pPr>
      <w:bookmarkStart w:id="644" w:name="bookmark644"/>
      <w:r>
        <w:rPr>
          <w:color w:val="000000"/>
          <w:spacing w:val="0"/>
          <w:w w:val="100"/>
          <w:position w:val="0"/>
        </w:rPr>
        <w:t>三</w:t>
      </w:r>
      <w:bookmarkEnd w:id="644"/>
      <w:r>
        <w:rPr>
          <w:color w:val="000000"/>
          <w:spacing w:val="0"/>
          <w:w w:val="100"/>
          <w:position w:val="0"/>
        </w:rPr>
        <w:t>、</w:t>
        <w:tab/>
        <w:t>关键审计事项</w:t>
      </w:r>
    </w:p>
    <w:p>
      <w:pPr>
        <w:pStyle w:val="Style2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3"/>
        <w:keepNext w:val="0"/>
        <w:keepLines w:val="0"/>
        <w:widowControl w:val="0"/>
        <w:shd w:val="clear" w:color="auto" w:fill="auto"/>
        <w:bidi w:val="0"/>
        <w:spacing w:before="0" w:after="0" w:line="314" w:lineRule="exact"/>
        <w:ind w:left="0" w:right="0" w:firstLine="500"/>
        <w:jc w:val="both"/>
      </w:pPr>
      <w:bookmarkStart w:id="645" w:name="bookmark645"/>
      <w:r>
        <w:rPr>
          <w:rFonts w:ascii="Times New Roman" w:eastAsia="Times New Roman" w:hAnsi="Times New Roman" w:cs="Times New Roman"/>
          <w:color w:val="000000"/>
          <w:spacing w:val="0"/>
          <w:w w:val="100"/>
          <w:position w:val="0"/>
        </w:rPr>
        <w:t>（</w:t>
      </w:r>
      <w:bookmarkEnd w:id="645"/>
      <w:r>
        <w:rPr>
          <w:color w:val="000000"/>
          <w:spacing w:val="0"/>
          <w:w w:val="100"/>
          <w:position w:val="0"/>
        </w:rPr>
        <w:t>一</w:t>
      </w:r>
      <w:r>
        <w:rPr>
          <w:color w:val="000000"/>
          <w:spacing w:val="0"/>
          <w:w w:val="100"/>
          <w:position w:val="0"/>
        </w:rPr>
        <w:t>）</w:t>
      </w:r>
      <w:r>
        <w:rPr>
          <w:color w:val="000000"/>
          <w:spacing w:val="0"/>
          <w:w w:val="100"/>
          <w:position w:val="0"/>
        </w:rPr>
        <w:t>商誉减值测试</w:t>
      </w:r>
    </w:p>
    <w:p>
      <w:pPr>
        <w:pStyle w:val="Style23"/>
        <w:keepNext w:val="0"/>
        <w:keepLines w:val="0"/>
        <w:widowControl w:val="0"/>
        <w:numPr>
          <w:ilvl w:val="0"/>
          <w:numId w:val="17"/>
        </w:numPr>
        <w:shd w:val="clear" w:color="auto" w:fill="auto"/>
        <w:tabs>
          <w:tab w:pos="827" w:val="left"/>
        </w:tabs>
        <w:bidi w:val="0"/>
        <w:spacing w:before="0" w:after="0" w:line="314" w:lineRule="exact"/>
        <w:ind w:left="0" w:right="0" w:firstLine="500"/>
        <w:jc w:val="both"/>
      </w:pPr>
      <w:bookmarkStart w:id="646" w:name="bookmark646"/>
      <w:bookmarkEnd w:id="646"/>
      <w:r>
        <w:rPr>
          <w:color w:val="000000"/>
          <w:spacing w:val="0"/>
          <w:w w:val="100"/>
          <w:position w:val="0"/>
        </w:rPr>
        <w:t>事项描述</w:t>
      </w:r>
    </w:p>
    <w:p>
      <w:pPr>
        <w:pStyle w:val="Style2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日，高伟达公司因收购子公司而产生的商誉账面原值</w:t>
      </w:r>
      <w:r>
        <w:rPr>
          <w:rFonts w:ascii="Times New Roman" w:eastAsia="Times New Roman" w:hAnsi="Times New Roman" w:cs="Times New Roman"/>
          <w:color w:val="000000"/>
          <w:spacing w:val="0"/>
          <w:w w:val="100"/>
          <w:position w:val="0"/>
        </w:rPr>
        <w:t>91,902.22</w:t>
      </w:r>
      <w:r>
        <w:rPr>
          <w:color w:val="000000"/>
          <w:spacing w:val="0"/>
          <w:w w:val="100"/>
          <w:position w:val="0"/>
        </w:rPr>
        <w:t>万元，已计提商誉减值准备</w:t>
      </w:r>
      <w:r>
        <w:rPr>
          <w:rFonts w:ascii="Times New Roman" w:eastAsia="Times New Roman" w:hAnsi="Times New Roman" w:cs="Times New Roman"/>
          <w:color w:val="000000"/>
          <w:spacing w:val="0"/>
          <w:w w:val="100"/>
          <w:position w:val="0"/>
        </w:rPr>
        <w:t xml:space="preserve">78,682.57 </w:t>
      </w:r>
      <w:r>
        <w:rPr>
          <w:color w:val="000000"/>
          <w:spacing w:val="0"/>
          <w:w w:val="100"/>
          <w:position w:val="0"/>
        </w:rPr>
        <w:t>万元。管理层在每年年度终了对商誉进行减值测试，并依据减值测试的结果调整商誉的账面价值。为评估商誉的可收回金额， 管理层委聘外部估值专家基于管理层编制的现金流量预测采用预计未来现金流量折现的模型计算各相关资产及资产组的预 计未来现金流量现值。商誉减值测试的结果很大程度上依赖于管理层所做的估计和采用的假设，例如对资产组或资产组组合 预计未来可产生现金流量和折现率的估计。该等估计受到管理层对未来市场以及对经济环境判断的影响，采用不同的估计和 假设会对评估的商誉之可收回价值有很大的影响。由于商誉金额重大，且管理层需要作出重大判断，因此我们将商誉的减值 测试确定为关键审计事项。</w:t>
      </w:r>
    </w:p>
    <w:p>
      <w:pPr>
        <w:pStyle w:val="Style23"/>
        <w:keepNext w:val="0"/>
        <w:keepLines w:val="0"/>
        <w:widowControl w:val="0"/>
        <w:numPr>
          <w:ilvl w:val="0"/>
          <w:numId w:val="17"/>
        </w:numPr>
        <w:shd w:val="clear" w:color="auto" w:fill="auto"/>
        <w:tabs>
          <w:tab w:pos="830" w:val="left"/>
        </w:tabs>
        <w:bidi w:val="0"/>
        <w:spacing w:before="0" w:after="0" w:line="314" w:lineRule="exact"/>
        <w:ind w:left="0" w:right="0" w:firstLine="500"/>
        <w:jc w:val="both"/>
      </w:pPr>
      <w:bookmarkStart w:id="647" w:name="bookmark647"/>
      <w:bookmarkEnd w:id="647"/>
      <w:r>
        <w:rPr>
          <w:color w:val="000000"/>
          <w:spacing w:val="0"/>
          <w:w w:val="100"/>
          <w:position w:val="0"/>
        </w:rPr>
        <w:t>审计应对</w:t>
      </w:r>
    </w:p>
    <w:p>
      <w:pPr>
        <w:pStyle w:val="Style23"/>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我们对商誉减值测试实施的审计程序主要包括：</w:t>
      </w:r>
    </w:p>
    <w:p>
      <w:pPr>
        <w:pStyle w:val="Style23"/>
        <w:keepNext w:val="0"/>
        <w:keepLines w:val="0"/>
        <w:widowControl w:val="0"/>
        <w:numPr>
          <w:ilvl w:val="0"/>
          <w:numId w:val="19"/>
        </w:numPr>
        <w:shd w:val="clear" w:color="auto" w:fill="auto"/>
        <w:tabs>
          <w:tab w:pos="886" w:val="left"/>
        </w:tabs>
        <w:bidi w:val="0"/>
        <w:spacing w:before="0" w:after="0" w:line="318" w:lineRule="exact"/>
        <w:ind w:left="0" w:right="0" w:firstLine="480"/>
        <w:jc w:val="both"/>
      </w:pPr>
      <w:bookmarkStart w:id="648" w:name="bookmark648"/>
      <w:bookmarkEnd w:id="648"/>
      <w:r>
        <w:rPr>
          <w:color w:val="000000"/>
          <w:spacing w:val="0"/>
          <w:w w:val="100"/>
          <w:position w:val="0"/>
        </w:rPr>
        <w:t>了解并测试公司与商誉减值相关的关键内部控制；</w:t>
      </w:r>
    </w:p>
    <w:p>
      <w:pPr>
        <w:pStyle w:val="Style23"/>
        <w:keepNext w:val="0"/>
        <w:keepLines w:val="0"/>
        <w:widowControl w:val="0"/>
        <w:numPr>
          <w:ilvl w:val="0"/>
          <w:numId w:val="19"/>
        </w:numPr>
        <w:shd w:val="clear" w:color="auto" w:fill="auto"/>
        <w:tabs>
          <w:tab w:pos="886" w:val="left"/>
        </w:tabs>
        <w:bidi w:val="0"/>
        <w:spacing w:before="0" w:after="0" w:line="318" w:lineRule="exact"/>
        <w:ind w:left="0" w:right="0" w:firstLine="480"/>
        <w:jc w:val="both"/>
      </w:pPr>
      <w:bookmarkStart w:id="649" w:name="bookmark649"/>
      <w:bookmarkEnd w:id="649"/>
      <w:r>
        <w:rPr>
          <w:color w:val="000000"/>
          <w:spacing w:val="0"/>
          <w:w w:val="100"/>
          <w:position w:val="0"/>
        </w:rPr>
        <w:t>评价商誉是否按照合理的方法分摊至相关资产组或资产组组合；</w:t>
      </w:r>
    </w:p>
    <w:p>
      <w:pPr>
        <w:pStyle w:val="Style23"/>
        <w:keepNext w:val="0"/>
        <w:keepLines w:val="0"/>
        <w:widowControl w:val="0"/>
        <w:numPr>
          <w:ilvl w:val="0"/>
          <w:numId w:val="19"/>
        </w:numPr>
        <w:shd w:val="clear" w:color="auto" w:fill="auto"/>
        <w:tabs>
          <w:tab w:pos="886" w:val="left"/>
        </w:tabs>
        <w:bidi w:val="0"/>
        <w:spacing w:before="0" w:after="0" w:line="318" w:lineRule="exact"/>
        <w:ind w:left="0" w:right="0" w:firstLine="480"/>
        <w:jc w:val="both"/>
      </w:pPr>
      <w:bookmarkStart w:id="650" w:name="bookmark650"/>
      <w:bookmarkEnd w:id="650"/>
      <w:r>
        <w:rPr>
          <w:color w:val="000000"/>
          <w:spacing w:val="0"/>
          <w:w w:val="100"/>
          <w:position w:val="0"/>
        </w:rPr>
        <w:t>了解和评价管理层委聘的外部估值专家的工作；</w:t>
      </w:r>
    </w:p>
    <w:p>
      <w:pPr>
        <w:pStyle w:val="Style23"/>
        <w:keepNext w:val="0"/>
        <w:keepLines w:val="0"/>
        <w:widowControl w:val="0"/>
        <w:numPr>
          <w:ilvl w:val="0"/>
          <w:numId w:val="19"/>
        </w:numPr>
        <w:shd w:val="clear" w:color="auto" w:fill="auto"/>
        <w:tabs>
          <w:tab w:pos="886" w:val="left"/>
        </w:tabs>
        <w:bidi w:val="0"/>
        <w:spacing w:before="0" w:after="0" w:line="318" w:lineRule="exact"/>
        <w:ind w:left="0" w:right="0" w:firstLine="480"/>
        <w:jc w:val="both"/>
      </w:pPr>
      <w:bookmarkStart w:id="651" w:name="bookmark651"/>
      <w:bookmarkEnd w:id="651"/>
      <w:r>
        <w:rPr>
          <w:color w:val="000000"/>
          <w:spacing w:val="0"/>
          <w:w w:val="100"/>
          <w:position w:val="0"/>
        </w:rPr>
        <w:t>分析和检查管理层进行商誉减值测试所依据的基础数据、所采用关键假设及判断的合理性；</w:t>
      </w:r>
    </w:p>
    <w:p>
      <w:pPr>
        <w:pStyle w:val="Style23"/>
        <w:keepNext w:val="0"/>
        <w:keepLines w:val="0"/>
        <w:widowControl w:val="0"/>
        <w:numPr>
          <w:ilvl w:val="0"/>
          <w:numId w:val="19"/>
        </w:numPr>
        <w:shd w:val="clear" w:color="auto" w:fill="auto"/>
        <w:tabs>
          <w:tab w:pos="886" w:val="left"/>
        </w:tabs>
        <w:bidi w:val="0"/>
        <w:spacing w:before="0" w:after="0" w:line="318" w:lineRule="exact"/>
        <w:ind w:left="0" w:right="0" w:firstLine="480"/>
        <w:jc w:val="both"/>
      </w:pPr>
      <w:bookmarkStart w:id="652" w:name="bookmark652"/>
      <w:bookmarkEnd w:id="652"/>
      <w:r>
        <w:rPr>
          <w:color w:val="000000"/>
          <w:spacing w:val="0"/>
          <w:w w:val="100"/>
          <w:position w:val="0"/>
        </w:rPr>
        <w:t>评价在财务报表中有关商誉减值测试的披露是否符合企业会计准则的要求。</w:t>
      </w:r>
    </w:p>
    <w:p>
      <w:pPr>
        <w:pStyle w:val="Style23"/>
        <w:keepNext w:val="0"/>
        <w:keepLines w:val="0"/>
        <w:widowControl w:val="0"/>
        <w:numPr>
          <w:ilvl w:val="0"/>
          <w:numId w:val="21"/>
        </w:numPr>
        <w:shd w:val="clear" w:color="auto" w:fill="auto"/>
        <w:bidi w:val="0"/>
        <w:spacing w:before="0" w:after="0" w:line="318" w:lineRule="exact"/>
        <w:ind w:left="0" w:right="0" w:firstLine="480"/>
        <w:jc w:val="both"/>
      </w:pPr>
      <w:bookmarkStart w:id="653" w:name="bookmark653"/>
      <w:bookmarkEnd w:id="653"/>
      <w:r>
        <w:rPr>
          <w:color w:val="000000"/>
          <w:spacing w:val="0"/>
          <w:w w:val="100"/>
          <w:position w:val="0"/>
        </w:rPr>
        <w:t>应收账款坏账准备的计提</w:t>
      </w:r>
    </w:p>
    <w:p>
      <w:pPr>
        <w:pStyle w:val="Style23"/>
        <w:keepNext w:val="0"/>
        <w:keepLines w:val="0"/>
        <w:widowControl w:val="0"/>
        <w:numPr>
          <w:ilvl w:val="0"/>
          <w:numId w:val="23"/>
        </w:numPr>
        <w:shd w:val="clear" w:color="auto" w:fill="auto"/>
        <w:tabs>
          <w:tab w:pos="800" w:val="left"/>
        </w:tabs>
        <w:bidi w:val="0"/>
        <w:spacing w:before="0" w:after="0" w:line="318" w:lineRule="exact"/>
        <w:ind w:left="0" w:right="0" w:firstLine="480"/>
        <w:jc w:val="both"/>
      </w:pPr>
      <w:bookmarkStart w:id="654" w:name="bookmark654"/>
      <w:bookmarkEnd w:id="654"/>
      <w:r>
        <w:rPr>
          <w:color w:val="000000"/>
          <w:spacing w:val="0"/>
          <w:w w:val="100"/>
          <w:position w:val="0"/>
        </w:rPr>
        <w:t>事项描述</w:t>
      </w:r>
    </w:p>
    <w:p>
      <w:pPr>
        <w:pStyle w:val="Style2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日，高伟达公司应收账款账面价值</w:t>
      </w:r>
      <w:r>
        <w:rPr>
          <w:rFonts w:ascii="Times New Roman" w:eastAsia="Times New Roman" w:hAnsi="Times New Roman" w:cs="Times New Roman"/>
          <w:color w:val="000000"/>
          <w:spacing w:val="0"/>
          <w:w w:val="100"/>
          <w:position w:val="0"/>
        </w:rPr>
        <w:t>39,177.9</w:t>
      </w:r>
      <w:r>
        <w:rPr>
          <w:rFonts w:ascii="Times New Roman" w:eastAsia="Times New Roman" w:hAnsi="Times New Roman" w:cs="Times New Roman"/>
          <w:color w:val="000000"/>
          <w:spacing w:val="0"/>
          <w:w w:val="100"/>
          <w:position w:val="0"/>
        </w:rPr>
        <w:t>1</w:t>
      </w:r>
      <w:r>
        <w:rPr>
          <w:color w:val="000000"/>
          <w:spacing w:val="0"/>
          <w:w w:val="100"/>
          <w:position w:val="0"/>
        </w:rPr>
        <w:t>万元，占合并财务报表资产总额的</w:t>
      </w:r>
      <w:r>
        <w:rPr>
          <w:rFonts w:ascii="Times New Roman" w:eastAsia="Times New Roman" w:hAnsi="Times New Roman" w:cs="Times New Roman"/>
          <w:color w:val="000000"/>
          <w:spacing w:val="0"/>
          <w:w w:val="100"/>
          <w:position w:val="0"/>
        </w:rPr>
        <w:t>26.03%</w:t>
      </w:r>
      <w:r>
        <w:rPr>
          <w:color w:val="000000"/>
          <w:spacing w:val="0"/>
          <w:w w:val="100"/>
          <w:position w:val="0"/>
        </w:rPr>
        <w:t>。管理层依据 信用风险特征将应收账款划分为若干组合，在组合的基础上参考历史信用损失经验，结合当前状况以及前瞻性信息的预测， 通过违约风险敞口和预期信用损失率计算预期信用损失，确认坏账准备。上述应收账款的余额重大，并且坏账准备的计提涉 及重大会计估计与判断，尤其是预期信用损失率的估计，因此，我们将应收账款坏账准备的计提识别为关键审计事项。</w:t>
      </w:r>
    </w:p>
    <w:p>
      <w:pPr>
        <w:pStyle w:val="Style23"/>
        <w:keepNext w:val="0"/>
        <w:keepLines w:val="0"/>
        <w:widowControl w:val="0"/>
        <w:numPr>
          <w:ilvl w:val="0"/>
          <w:numId w:val="23"/>
        </w:numPr>
        <w:shd w:val="clear" w:color="auto" w:fill="auto"/>
        <w:tabs>
          <w:tab w:pos="819" w:val="left"/>
        </w:tabs>
        <w:bidi w:val="0"/>
        <w:spacing w:before="0" w:after="0" w:line="318" w:lineRule="exact"/>
        <w:ind w:left="0" w:right="0" w:firstLine="480"/>
        <w:jc w:val="both"/>
      </w:pPr>
      <w:bookmarkStart w:id="655" w:name="bookmark655"/>
      <w:bookmarkEnd w:id="655"/>
      <w:r>
        <w:rPr>
          <w:color w:val="000000"/>
          <w:spacing w:val="0"/>
          <w:w w:val="100"/>
          <w:position w:val="0"/>
        </w:rPr>
        <w:t>审计应对</w:t>
      </w:r>
    </w:p>
    <w:p>
      <w:pPr>
        <w:pStyle w:val="Style2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我们针对应收账款坏账准备的计提执行的审计程序主要包括：</w:t>
      </w:r>
    </w:p>
    <w:p>
      <w:pPr>
        <w:pStyle w:val="Style23"/>
        <w:keepNext w:val="0"/>
        <w:keepLines w:val="0"/>
        <w:widowControl w:val="0"/>
        <w:numPr>
          <w:ilvl w:val="0"/>
          <w:numId w:val="25"/>
        </w:numPr>
        <w:shd w:val="clear" w:color="auto" w:fill="auto"/>
        <w:tabs>
          <w:tab w:pos="886" w:val="left"/>
        </w:tabs>
        <w:bidi w:val="0"/>
        <w:spacing w:before="0" w:after="0" w:line="318" w:lineRule="exact"/>
        <w:ind w:left="0" w:right="0" w:firstLine="480"/>
        <w:jc w:val="both"/>
      </w:pPr>
      <w:bookmarkStart w:id="656" w:name="bookmark656"/>
      <w:bookmarkEnd w:id="656"/>
      <w:r>
        <w:rPr>
          <w:color w:val="000000"/>
          <w:spacing w:val="0"/>
          <w:w w:val="100"/>
          <w:position w:val="0"/>
        </w:rPr>
        <w:t>了解、评估及测试公司与应收账款组合划分以及预期信用损失估计相关的内部控制；</w:t>
      </w:r>
    </w:p>
    <w:p>
      <w:pPr>
        <w:pStyle w:val="Style23"/>
        <w:keepNext w:val="0"/>
        <w:keepLines w:val="0"/>
        <w:widowControl w:val="0"/>
        <w:numPr>
          <w:ilvl w:val="0"/>
          <w:numId w:val="25"/>
        </w:numPr>
        <w:shd w:val="clear" w:color="auto" w:fill="auto"/>
        <w:tabs>
          <w:tab w:pos="882" w:val="left"/>
        </w:tabs>
        <w:bidi w:val="0"/>
        <w:spacing w:before="0" w:after="0" w:line="318" w:lineRule="exact"/>
        <w:ind w:left="0" w:right="0" w:firstLine="480"/>
        <w:jc w:val="both"/>
      </w:pPr>
      <w:bookmarkStart w:id="657" w:name="bookmark657"/>
      <w:bookmarkEnd w:id="657"/>
      <w:r>
        <w:rPr>
          <w:color w:val="000000"/>
          <w:spacing w:val="0"/>
          <w:w w:val="100"/>
          <w:position w:val="0"/>
        </w:rPr>
        <w:t>对于按照组合计提的应收账款，复核管理层对于信用风险特征组合的划分标准是否适当，抽样复核各组合的账期天 数、历史还款情况、违约记录、逾期账龄等关键信息。同时，以信用风险特征组合为基础复核管理层评估信用风险以及预期 信用损失金额的依据；</w:t>
      </w:r>
    </w:p>
    <w:p>
      <w:pPr>
        <w:pStyle w:val="Style23"/>
        <w:keepNext w:val="0"/>
        <w:keepLines w:val="0"/>
        <w:widowControl w:val="0"/>
        <w:numPr>
          <w:ilvl w:val="0"/>
          <w:numId w:val="25"/>
        </w:numPr>
        <w:shd w:val="clear" w:color="auto" w:fill="auto"/>
        <w:tabs>
          <w:tab w:pos="886" w:val="left"/>
        </w:tabs>
        <w:bidi w:val="0"/>
        <w:spacing w:before="0" w:after="0" w:line="318" w:lineRule="exact"/>
        <w:ind w:left="0" w:right="0" w:firstLine="480"/>
        <w:jc w:val="both"/>
      </w:pPr>
      <w:bookmarkStart w:id="658" w:name="bookmark658"/>
      <w:bookmarkEnd w:id="658"/>
      <w:r>
        <w:rPr>
          <w:color w:val="000000"/>
          <w:spacing w:val="0"/>
          <w:w w:val="100"/>
          <w:position w:val="0"/>
        </w:rPr>
        <w:t>对管理层的应收账款坏账准备计算执行重新计算；</w:t>
      </w:r>
    </w:p>
    <w:p>
      <w:pPr>
        <w:pStyle w:val="Style23"/>
        <w:keepNext w:val="0"/>
        <w:keepLines w:val="0"/>
        <w:widowControl w:val="0"/>
        <w:numPr>
          <w:ilvl w:val="0"/>
          <w:numId w:val="25"/>
        </w:numPr>
        <w:shd w:val="clear" w:color="auto" w:fill="auto"/>
        <w:tabs>
          <w:tab w:pos="886" w:val="left"/>
        </w:tabs>
        <w:bidi w:val="0"/>
        <w:spacing w:before="0" w:after="0" w:line="318" w:lineRule="exact"/>
        <w:ind w:left="0" w:right="0" w:firstLine="480"/>
        <w:jc w:val="both"/>
      </w:pPr>
      <w:bookmarkStart w:id="659" w:name="bookmark659"/>
      <w:bookmarkEnd w:id="659"/>
      <w:r>
        <w:rPr>
          <w:color w:val="000000"/>
          <w:spacing w:val="0"/>
          <w:w w:val="100"/>
          <w:position w:val="0"/>
        </w:rPr>
        <w:t>评估于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日管理层对应收账款坏账准备的会计处理及披露是否准确。</w:t>
      </w:r>
    </w:p>
    <w:p>
      <w:pPr>
        <w:pStyle w:val="Style23"/>
        <w:keepNext w:val="0"/>
        <w:keepLines w:val="0"/>
        <w:widowControl w:val="0"/>
        <w:shd w:val="clear" w:color="auto" w:fill="auto"/>
        <w:tabs>
          <w:tab w:pos="901" w:val="left"/>
        </w:tabs>
        <w:bidi w:val="0"/>
        <w:spacing w:before="0" w:after="0" w:line="318" w:lineRule="exact"/>
        <w:ind w:left="0" w:right="0" w:firstLine="480"/>
        <w:jc w:val="both"/>
      </w:pPr>
      <w:bookmarkStart w:id="660" w:name="bookmark660"/>
      <w:r>
        <w:rPr>
          <w:color w:val="000000"/>
          <w:spacing w:val="0"/>
          <w:w w:val="100"/>
          <w:position w:val="0"/>
        </w:rPr>
        <w:t>四</w:t>
      </w:r>
      <w:bookmarkEnd w:id="660"/>
      <w:r>
        <w:rPr>
          <w:color w:val="000000"/>
          <w:spacing w:val="0"/>
          <w:w w:val="100"/>
          <w:position w:val="0"/>
        </w:rPr>
        <w:t>、</w:t>
        <w:tab/>
        <w:t>其他信息</w:t>
      </w:r>
    </w:p>
    <w:p>
      <w:pPr>
        <w:pStyle w:val="Style2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高伟达公司管理层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年度报告中涵盖的信息，但不包括财务报表 和我们的审计报告。</w:t>
      </w:r>
    </w:p>
    <w:p>
      <w:pPr>
        <w:pStyle w:val="Style2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我们对财务报表发表的审计意见不涵盖其他信息，我们也不对其他信息发表任何形式的鉴证结论。</w:t>
      </w:r>
    </w:p>
    <w:p>
      <w:pPr>
        <w:pStyle w:val="Style2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3"/>
        <w:keepNext w:val="0"/>
        <w:keepLines w:val="0"/>
        <w:widowControl w:val="0"/>
        <w:shd w:val="clear" w:color="auto" w:fill="auto"/>
        <w:bidi w:val="0"/>
        <w:spacing w:before="0" w:after="300" w:line="318" w:lineRule="exact"/>
        <w:ind w:left="0" w:right="0" w:firstLine="48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3"/>
        <w:keepNext w:val="0"/>
        <w:keepLines w:val="0"/>
        <w:widowControl w:val="0"/>
        <w:shd w:val="clear" w:color="auto" w:fill="auto"/>
        <w:tabs>
          <w:tab w:pos="915" w:val="left"/>
        </w:tabs>
        <w:bidi w:val="0"/>
        <w:spacing w:before="0" w:after="0" w:line="312" w:lineRule="exact"/>
        <w:ind w:left="0" w:right="0" w:firstLine="480"/>
        <w:jc w:val="both"/>
      </w:pPr>
      <w:bookmarkStart w:id="661" w:name="bookmark661"/>
      <w:r>
        <w:rPr>
          <w:color w:val="000000"/>
          <w:spacing w:val="0"/>
          <w:w w:val="100"/>
          <w:position w:val="0"/>
        </w:rPr>
        <w:t>五</w:t>
      </w:r>
      <w:bookmarkEnd w:id="661"/>
      <w:r>
        <w:rPr>
          <w:color w:val="000000"/>
          <w:spacing w:val="0"/>
          <w:w w:val="100"/>
          <w:position w:val="0"/>
        </w:rPr>
        <w:t>、</w:t>
        <w:tab/>
        <w:t>管理层和治理层对财务报表的责任</w:t>
      </w:r>
    </w:p>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在编制财务报表时，管理层负责评估高伟达公司的持续经营能力，披露与持续经营相关的事项</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，并运用持续 经营假设，除非管理层计划清算高伟达公司、终止运营或别无其他现实的选择。</w:t>
      </w:r>
    </w:p>
    <w:p>
      <w:pPr>
        <w:pStyle w:val="Style23"/>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高伟达公司治理层</w:t>
      </w:r>
      <w:r>
        <w:rPr>
          <w:rFonts w:ascii="Times New Roman" w:eastAsia="Times New Roman" w:hAnsi="Times New Roman" w:cs="Times New Roman"/>
          <w:color w:val="000000"/>
          <w:spacing w:val="0"/>
          <w:w w:val="100"/>
          <w:position w:val="0"/>
        </w:rPr>
        <w:t>(</w:t>
      </w:r>
      <w:r>
        <w:rPr>
          <w:color w:val="000000"/>
          <w:spacing w:val="0"/>
          <w:w w:val="100"/>
          <w:position w:val="0"/>
        </w:rPr>
        <w:t>以下简称治理层</w:t>
      </w:r>
      <w:r>
        <w:rPr>
          <w:rFonts w:ascii="Times New Roman" w:eastAsia="Times New Roman" w:hAnsi="Times New Roman" w:cs="Times New Roman"/>
          <w:color w:val="000000"/>
          <w:spacing w:val="0"/>
          <w:w w:val="100"/>
          <w:position w:val="0"/>
        </w:rPr>
        <w:t>)</w:t>
      </w:r>
      <w:r>
        <w:rPr>
          <w:color w:val="000000"/>
          <w:spacing w:val="0"/>
          <w:w w:val="100"/>
          <w:position w:val="0"/>
        </w:rPr>
        <w:t>负责监督高伟达公司的财务报告过程。</w:t>
      </w:r>
    </w:p>
    <w:p>
      <w:pPr>
        <w:pStyle w:val="Style23"/>
        <w:keepNext w:val="0"/>
        <w:keepLines w:val="0"/>
        <w:widowControl w:val="0"/>
        <w:shd w:val="clear" w:color="auto" w:fill="auto"/>
        <w:tabs>
          <w:tab w:pos="915" w:val="left"/>
        </w:tabs>
        <w:bidi w:val="0"/>
        <w:spacing w:before="0" w:after="0" w:line="313" w:lineRule="exact"/>
        <w:ind w:left="0" w:right="0" w:firstLine="480"/>
        <w:jc w:val="both"/>
      </w:pPr>
      <w:bookmarkStart w:id="662" w:name="bookmark662"/>
      <w:r>
        <w:rPr>
          <w:color w:val="000000"/>
          <w:spacing w:val="0"/>
          <w:w w:val="100"/>
          <w:position w:val="0"/>
        </w:rPr>
        <w:t>六</w:t>
      </w:r>
      <w:bookmarkEnd w:id="662"/>
      <w:r>
        <w:rPr>
          <w:color w:val="000000"/>
          <w:spacing w:val="0"/>
          <w:w w:val="100"/>
          <w:position w:val="0"/>
        </w:rPr>
        <w:t>、</w:t>
        <w:tab/>
        <w:t>注册会计师对财务报表审计的责任</w:t>
      </w:r>
    </w:p>
    <w:p>
      <w:pPr>
        <w:pStyle w:val="Style2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在按照审计准则执行审计工作的过程中，我们运用职业判断，并保持职业怀疑。同时，我们也执行以下工作：</w:t>
      </w:r>
    </w:p>
    <w:p>
      <w:pPr>
        <w:pStyle w:val="Style23"/>
        <w:keepNext w:val="0"/>
        <w:keepLines w:val="0"/>
        <w:widowControl w:val="0"/>
        <w:shd w:val="clear" w:color="auto" w:fill="auto"/>
        <w:bidi w:val="0"/>
        <w:spacing w:before="0" w:after="160" w:line="313" w:lineRule="exact"/>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3"/>
        <w:keepNext w:val="0"/>
        <w:keepLines w:val="0"/>
        <w:widowControl w:val="0"/>
        <w:shd w:val="clear" w:color="auto" w:fill="auto"/>
        <w:tabs>
          <w:tab w:pos="993" w:val="left"/>
        </w:tabs>
        <w:bidi w:val="0"/>
        <w:spacing w:before="0" w:after="0" w:line="312" w:lineRule="exact"/>
        <w:ind w:left="0" w:right="0" w:firstLine="500"/>
        <w:jc w:val="both"/>
      </w:pPr>
      <w:bookmarkStart w:id="663" w:name="bookmark663"/>
      <w:r>
        <w:rPr>
          <w:rFonts w:ascii="Times New Roman" w:eastAsia="Times New Roman" w:hAnsi="Times New Roman" w:cs="Times New Roman"/>
          <w:color w:val="000000"/>
          <w:spacing w:val="0"/>
          <w:w w:val="100"/>
          <w:position w:val="0"/>
        </w:rPr>
        <w:t>（</w:t>
      </w:r>
      <w:bookmarkEnd w:id="66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了解与审计相关的内部控制，以设计恰当的审计程序，但目的并非对内部控制的有效性发表意见。</w:t>
      </w:r>
    </w:p>
    <w:p>
      <w:pPr>
        <w:pStyle w:val="Style23"/>
        <w:keepNext w:val="0"/>
        <w:keepLines w:val="0"/>
        <w:widowControl w:val="0"/>
        <w:shd w:val="clear" w:color="auto" w:fill="auto"/>
        <w:tabs>
          <w:tab w:pos="993" w:val="left"/>
        </w:tabs>
        <w:bidi w:val="0"/>
        <w:spacing w:before="0" w:after="0" w:line="312" w:lineRule="exact"/>
        <w:ind w:left="0" w:right="0" w:firstLine="500"/>
        <w:jc w:val="both"/>
      </w:pPr>
      <w:bookmarkStart w:id="664" w:name="bookmark664"/>
      <w:r>
        <w:rPr>
          <w:rFonts w:ascii="Times New Roman" w:eastAsia="Times New Roman" w:hAnsi="Times New Roman" w:cs="Times New Roman"/>
          <w:color w:val="000000"/>
          <w:spacing w:val="0"/>
          <w:w w:val="100"/>
          <w:position w:val="0"/>
        </w:rPr>
        <w:t>（</w:t>
      </w:r>
      <w:bookmarkEnd w:id="66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23"/>
        <w:keepNext w:val="0"/>
        <w:keepLines w:val="0"/>
        <w:widowControl w:val="0"/>
        <w:shd w:val="clear" w:color="auto" w:fill="auto"/>
        <w:tabs>
          <w:tab w:pos="968" w:val="left"/>
        </w:tabs>
        <w:bidi w:val="0"/>
        <w:spacing w:before="0" w:after="0" w:line="312" w:lineRule="exact"/>
        <w:ind w:left="0" w:right="0" w:firstLine="500"/>
        <w:jc w:val="both"/>
      </w:pPr>
      <w:bookmarkStart w:id="665" w:name="bookmark665"/>
      <w:r>
        <w:rPr>
          <w:rFonts w:ascii="Times New Roman" w:eastAsia="Times New Roman" w:hAnsi="Times New Roman" w:cs="Times New Roman"/>
          <w:color w:val="000000"/>
          <w:spacing w:val="0"/>
          <w:w w:val="100"/>
          <w:position w:val="0"/>
        </w:rPr>
        <w:t>（</w:t>
      </w:r>
      <w:bookmarkEnd w:id="665"/>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对管理层使用持续经营假设的恰当性得出结论。同时，根据获取的审计证据，就可能导致对高伟达公司持续经营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基于截至审计报告日可获得的信息。然而，未来的事项或情况可能导致高伟达公司不能持续经营。</w:t>
      </w:r>
    </w:p>
    <w:p>
      <w:pPr>
        <w:pStyle w:val="Style23"/>
        <w:keepNext w:val="0"/>
        <w:keepLines w:val="0"/>
        <w:widowControl w:val="0"/>
        <w:shd w:val="clear" w:color="auto" w:fill="auto"/>
        <w:tabs>
          <w:tab w:pos="993" w:val="left"/>
        </w:tabs>
        <w:bidi w:val="0"/>
        <w:spacing w:before="0" w:after="0" w:line="312" w:lineRule="exact"/>
        <w:ind w:left="0" w:right="0" w:firstLine="500"/>
        <w:jc w:val="both"/>
      </w:pPr>
      <w:bookmarkStart w:id="666" w:name="bookmark666"/>
      <w:r>
        <w:rPr>
          <w:rFonts w:ascii="Times New Roman" w:eastAsia="Times New Roman" w:hAnsi="Times New Roman" w:cs="Times New Roman"/>
          <w:color w:val="000000"/>
          <w:spacing w:val="0"/>
          <w:w w:val="100"/>
          <w:position w:val="0"/>
        </w:rPr>
        <w:t>（</w:t>
      </w:r>
      <w:bookmarkEnd w:id="666"/>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23"/>
        <w:keepNext w:val="0"/>
        <w:keepLines w:val="0"/>
        <w:widowControl w:val="0"/>
        <w:shd w:val="clear" w:color="auto" w:fill="auto"/>
        <w:bidi w:val="0"/>
        <w:spacing w:before="0" w:after="0" w:line="312" w:lineRule="exact"/>
        <w:ind w:left="0" w:right="0" w:firstLine="500"/>
        <w:jc w:val="both"/>
      </w:pPr>
      <w:bookmarkStart w:id="667" w:name="bookmark667"/>
      <w:r>
        <w:rPr>
          <w:rFonts w:ascii="Times New Roman" w:eastAsia="Times New Roman" w:hAnsi="Times New Roman" w:cs="Times New Roman"/>
          <w:color w:val="000000"/>
          <w:spacing w:val="0"/>
          <w:w w:val="100"/>
          <w:position w:val="0"/>
        </w:rPr>
        <w:t>（</w:t>
      </w:r>
      <w:bookmarkEnd w:id="667"/>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就高伟达公司中实体或业务活动的财务信息获取充分、适当的审计证据，以对财务报表发表审计意见。我们负责 指导、监督和执行集团审计，并对审计意见承担全部责任。</w:t>
      </w:r>
    </w:p>
    <w:p>
      <w:pPr>
        <w:pStyle w:val="Style2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bidi w:val="0"/>
        <w:spacing w:before="0" w:after="720" w:line="312"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3"/>
        <w:keepNext w:val="0"/>
        <w:keepLines w:val="0"/>
        <w:widowControl w:val="0"/>
        <w:shd w:val="clear" w:color="auto" w:fill="auto"/>
        <w:tabs>
          <w:tab w:pos="6159" w:val="left"/>
        </w:tabs>
        <w:bidi w:val="0"/>
        <w:spacing w:before="0" w:after="80" w:line="240" w:lineRule="auto"/>
        <w:ind w:left="0" w:right="0" w:firstLine="500"/>
        <w:jc w:val="both"/>
      </w:pPr>
      <w:r>
        <w:rPr>
          <w:color w:val="000000"/>
          <w:spacing w:val="0"/>
          <w:w w:val="100"/>
          <w:position w:val="0"/>
        </w:rPr>
        <w:t>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中国注册会计师：胡健</w:t>
      </w:r>
    </w:p>
    <w:p>
      <w:pPr>
        <w:pStyle w:val="Style23"/>
        <w:keepNext w:val="0"/>
        <w:keepLines w:val="0"/>
        <w:widowControl w:val="0"/>
        <w:shd w:val="clear" w:color="auto" w:fill="auto"/>
        <w:bidi w:val="0"/>
        <w:spacing w:before="0" w:after="420" w:line="240" w:lineRule="auto"/>
        <w:ind w:left="6220" w:right="0" w:firstLine="0"/>
        <w:jc w:val="both"/>
      </w:pPr>
      <w:r>
        <w:rPr>
          <w:color w:val="000000"/>
          <w:spacing w:val="0"/>
          <w:w w:val="100"/>
          <w:position w:val="0"/>
        </w:rPr>
        <w:t>（项目合伙人）</w:t>
      </w:r>
    </w:p>
    <w:p>
      <w:pPr>
        <w:pStyle w:val="Style23"/>
        <w:keepNext w:val="0"/>
        <w:keepLines w:val="0"/>
        <w:widowControl w:val="0"/>
        <w:shd w:val="clear" w:color="auto" w:fill="auto"/>
        <w:tabs>
          <w:tab w:pos="4776" w:val="left"/>
        </w:tabs>
        <w:bidi w:val="0"/>
        <w:spacing w:before="0" w:after="42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tab/>
        <w:t>中国注册会计师：秦妍</w:t>
      </w:r>
    </w:p>
    <w:p>
      <w:pPr>
        <w:pStyle w:val="Style23"/>
        <w:keepNext w:val="0"/>
        <w:keepLines w:val="0"/>
        <w:widowControl w:val="0"/>
        <w:shd w:val="clear" w:color="auto" w:fill="auto"/>
        <w:bidi w:val="0"/>
        <w:spacing w:before="0" w:after="320" w:line="240" w:lineRule="auto"/>
        <w:ind w:left="6320" w:right="0" w:firstLine="0"/>
        <w:jc w:val="both"/>
      </w:pPr>
      <w:r>
        <w:rPr>
          <w:color w:val="000000"/>
          <w:spacing w:val="0"/>
          <w:w w:val="100"/>
          <w:position w:val="0"/>
        </w:rPr>
        <w:t>中国注册会计师：李振</w:t>
      </w:r>
    </w:p>
    <w:p>
      <w:pPr>
        <w:pStyle w:val="Style23"/>
        <w:keepNext w:val="0"/>
        <w:keepLines w:val="0"/>
        <w:widowControl w:val="0"/>
        <w:shd w:val="clear" w:color="auto" w:fill="auto"/>
        <w:bidi w:val="0"/>
        <w:spacing w:before="0" w:after="360" w:line="240" w:lineRule="auto"/>
        <w:ind w:left="6220" w:right="0" w:firstLine="0"/>
        <w:jc w:val="both"/>
      </w:pPr>
      <w:r>
        <w:rPr>
          <w:color w:val="000000"/>
          <w:spacing w:val="0"/>
          <w:w w:val="100"/>
          <w:position w:val="0"/>
        </w:rPr>
        <w:t>报告日期：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br w:type="page"/>
      </w:r>
    </w:p>
    <w:p>
      <w:pPr>
        <w:pStyle w:val="Style27"/>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二</w:t>
      </w:r>
      <w:bookmarkEnd w:id="670"/>
      <w:r>
        <w:rPr>
          <w:color w:val="000000"/>
          <w:spacing w:val="0"/>
          <w:w w:val="100"/>
          <w:position w:val="0"/>
          <w:sz w:val="24"/>
          <w:szCs w:val="24"/>
        </w:rPr>
        <w:t>、财务报表</w:t>
      </w:r>
      <w:bookmarkEnd w:id="668"/>
      <w:bookmarkEnd w:id="669"/>
      <w:bookmarkEnd w:id="67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color w:val="000000"/>
          <w:spacing w:val="0"/>
          <w:w w:val="100"/>
          <w:position w:val="0"/>
        </w:rPr>
        <w:t>、合并资产负债表</w:t>
      </w:r>
      <w:bookmarkEnd w:id="672"/>
      <w:bookmarkEnd w:id="673"/>
      <w:bookmarkEnd w:id="675"/>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编制单位：高伟达软件股份有限公司</w:t>
      </w:r>
    </w:p>
    <w:p>
      <w:pPr>
        <w:pStyle w:val="Style17"/>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373,878,639.80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577,368,063.80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391,779,062.82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363,796,975.46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37,571,864.27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134,900,278.52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14,679,600.63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16,401,003.30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444,914,314.52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436,614,107.98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24,058,618.57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21,857,434.30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9,932,171.43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138,230,863.38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1,318,671,706.34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1,667,311,292.44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12,575,981.52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8,503,245.42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64,356,403.06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10,335,634.87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8,815,606.36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25,742,862.99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132,196,435.65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141,193,756.54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3,594,807.26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6,274,000.14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22,149,520.86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21,151,832.40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186,565,250.42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271,964,836.65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1,505,236,956.76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1,939,276,129.09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226,040,585.70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269,483,670.00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1,571,979.20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16,072,461.00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214,987,261.00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91,888,106.99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330,421,615.68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25,188,385.00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202,140,235.06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188,824,094.46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65,369,567.69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38,936,008.74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30,229,681.21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28,293,585.78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4,447,787.34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3,174,111.72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88,991,706.46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187,943,615.66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26,041,001.53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15,752,899.51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777,981,497.18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1,280,284,405.80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6,206,315.52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8,333,333.37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41,666,666.69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3,721,062.61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4,242,683.86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18,260,711.50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77,309,350.55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796,242,208.68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1,357,593,756.35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446,762,257.00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446,762,257.00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346,660,841.48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346,660,841.48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-7,402,040.13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-7,391,735.11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23,896,061.79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23,896,061.79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-116,116,451.90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-240,103,577.42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693,800,668.24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569,823,847.74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15,194,079.84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11,858,525.00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708,994,748.08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581,682,372.74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1,505,236,956.76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1,939,276,129.09</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378" behindDoc="0" locked="0" layoutInCell="1" allowOverlap="1">
                <wp:simplePos x="0" y="0"/>
                <wp:positionH relativeFrom="page">
                  <wp:posOffset>705485</wp:posOffset>
                </wp:positionH>
                <wp:positionV relativeFrom="margin">
                  <wp:posOffset>2192020</wp:posOffset>
                </wp:positionV>
                <wp:extent cx="938530" cy="149225"/>
                <wp:wrapTopAndBottom/>
                <wp:docPr id="2" name="Shape 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法定代表人：于伟</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5.550000000000004pt;margin-top:172.59999999999999pt;width:73.900000000000006pt;height:11.75pt;z-index:-125829375;mso-wrap-distance-left:9.pt;mso-wrap-distance-top:12.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法定代表人：于伟</w:t>
                      </w:r>
                    </w:p>
                  </w:txbxContent>
                </v:textbox>
                <w10:wrap type="topAndBottom" anchorx="page" anchory="margin"/>
              </v:shape>
            </w:pict>
          </mc:Fallback>
        </mc:AlternateContent>
      </w:r>
      <w:r>
        <mc:AlternateContent>
          <mc:Choice Requires="wps">
            <w:drawing>
              <wp:anchor distT="152400" distB="3175" distL="2290445" distR="2629535" simplePos="0" relativeHeight="125829380" behindDoc="0" locked="0" layoutInCell="1" allowOverlap="1">
                <wp:simplePos x="0" y="0"/>
                <wp:positionH relativeFrom="page">
                  <wp:posOffset>2881630</wp:posOffset>
                </wp:positionH>
                <wp:positionV relativeFrom="margin">
                  <wp:posOffset>2192020</wp:posOffset>
                </wp:positionV>
                <wp:extent cx="1395730" cy="146050"/>
                <wp:wrapTopAndBottom/>
                <wp:docPr id="4" name="Shape 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主管会计工作负责人：高源</w:t>
                            </w:r>
                          </w:p>
                        </w:txbxContent>
                      </wps:txbx>
                      <wps:bodyPr wrap="none" lIns="0" tIns="0" rIns="0" bIns="0">
                        <a:noAutoFit/>
                      </wps:bodyPr>
                    </wps:wsp>
                  </a:graphicData>
                </a:graphic>
              </wp:anchor>
            </w:drawing>
          </mc:Choice>
          <mc:Fallback>
            <w:pict>
              <v:shape id="_x0000_s1030" type="#_x0000_t202" style="position:absolute;margin-left:226.90000000000001pt;margin-top:172.59999999999999pt;width:109.90000000000001pt;height:11.5pt;z-index:-125829373;mso-wrap-distance-left:180.34999999999999pt;mso-wrap-distance-top:12.pt;mso-wrap-distance-right:207.05000000000001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主管会计工作负责人：高源</w:t>
                      </w:r>
                    </w:p>
                  </w:txbxContent>
                </v:textbox>
                <w10:wrap type="topAndBottom" anchorx="page" anchory="margin"/>
              </v:shape>
            </w:pict>
          </mc:Fallback>
        </mc:AlternateContent>
      </w:r>
      <w:r>
        <mc:AlternateContent>
          <mc:Choice Requires="wps">
            <w:drawing>
              <wp:anchor distT="152400" distB="0" distL="4921250" distR="114300" simplePos="0" relativeHeight="125829382" behindDoc="0" locked="0" layoutInCell="1" allowOverlap="1">
                <wp:simplePos x="0" y="0"/>
                <wp:positionH relativeFrom="page">
                  <wp:posOffset>5512435</wp:posOffset>
                </wp:positionH>
                <wp:positionV relativeFrom="margin">
                  <wp:posOffset>2192020</wp:posOffset>
                </wp:positionV>
                <wp:extent cx="1280160" cy="149225"/>
                <wp:wrapTopAndBottom/>
                <wp:docPr id="6" name="Shape 6"/>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会计机构负责人：贾银肖</w:t>
                            </w:r>
                          </w:p>
                        </w:txbxContent>
                      </wps:txbx>
                      <wps:bodyPr wrap="none" lIns="0" tIns="0" rIns="0" bIns="0">
                        <a:noAutoFit/>
                      </wps:bodyPr>
                    </wps:wsp>
                  </a:graphicData>
                </a:graphic>
              </wp:anchor>
            </w:drawing>
          </mc:Choice>
          <mc:Fallback>
            <w:pict>
              <v:shape id="_x0000_s1032" type="#_x0000_t202" style="position:absolute;margin-left:434.05000000000001pt;margin-top:172.59999999999999pt;width:100.8pt;height:11.75pt;z-index:-125829371;mso-wrap-distance-left:387.5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会计机构负责人：贾银肖</w:t>
                      </w:r>
                    </w:p>
                  </w:txbxContent>
                </v:textbox>
                <w10:wrap type="topAndBottom" anchorx="page" anchory="margin"/>
              </v:shape>
            </w:pict>
          </mc:Fallback>
        </mc:AlternateContent>
      </w: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bookmarkEnd w:id="678"/>
      <w:r>
        <w:rPr>
          <w:color w:val="000000"/>
          <w:spacing w:val="0"/>
          <w:w w:val="100"/>
          <w:position w:val="0"/>
        </w:rPr>
        <w:t>、母公司资产负债表</w:t>
      </w:r>
      <w:bookmarkEnd w:id="676"/>
      <w:bookmarkEnd w:id="677"/>
      <w:bookmarkEnd w:id="67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200,881,479.86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421,050,892.99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224,150,078.73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149,940,012.91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61,538,214.54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138,643,417.72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19,591,011.55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22,562,222.31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263,400,796.33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262,004,176.94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19,868,498.17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21,857,434.30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2,221,486.08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131,706,676.42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813,508,999.56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1,125,907,399.29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566,085,442.63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655,481,683.17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970,000.00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4,840,361.46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61,851,818.14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847,124.79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6,484,554.62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18,588,952.99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2,285,007.11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5,420,297.81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20,233,330.43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20,052,488.11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601,745,821.04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762,065,240.22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1,415,254,820.60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1,887,972,639.51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203,690,585.70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251,013,670.00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1,571,979.20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2,467,543.25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16,072,461.00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214,987,261.00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127,659,660.16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349,690,067.56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25,188,385.00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167,265,611.30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146,669,602.53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32,001,020.20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21,634,991.57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5,125,211.46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1,393,105.75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93,831,202.94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96,686,032.83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85,468,886.57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187,943,615.66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17,601,018.88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9,321,195.66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775,476,022.41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1,281,807,085.81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264,096.38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8,333,333.37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41,666,666.69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3,661,812.61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3,661,812.61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12,259,242.36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76,128,479.30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787,735,264.77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1,357,935,565.11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446,762,257.00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446,762,257.00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338,489,645.20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338,489,645.20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-7,654,194.75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-7,654,194.75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22,951,552.16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22,951,552.16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-173,029,703.78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-270,512,185.21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627,519,555.83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530,037,074.40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1,415,254,820.60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1,887,972,639.51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、合并利润表</w:t>
      </w:r>
      <w:bookmarkEnd w:id="680"/>
      <w:bookmarkEnd w:id="681"/>
      <w:bookmarkEnd w:id="68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2,278,964,568.88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1,893,658,496.29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2,278,964,568.88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1,893,658,496.29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2,147,541,481.63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1,785,695,696.25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1,891,811,396.39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1,532,269,208.80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7,634,885.30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5,288,952.74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63,335,983.05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66,013,326.34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78,013,391.05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72,272,546.59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89,201,692.53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78,497,779.09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17,544,133.31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31,353,882.69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17,403,548.37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23,050,737.86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2,498,827.10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1,596,796.31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11,363,894.42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8,711,201.87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-2,126,969.67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-6,363,684.32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-5,616,166.70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-4,594,701.43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-22,562,472.82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-9,741,401.87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-777,828,401.93</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1,960,663.03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128,284,571.73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-665,668,200.92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3,688,541.47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4,005,180.66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293,445.08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236,468.24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131,679,668.12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-661,899,488.50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4,356,987.76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-653,542.57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127,322,680.36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-661,245,945.93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127,322,680.36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-661,245,945.93</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123,987,125.52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-671,247,584.07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3,335,554.84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10,001,638.14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-10,305.02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167,748.01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-10,305.02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167,748.01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-10,305.02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167,748.01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-10,305.02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167,748.01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127,312,375.34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-661,078,197.92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123,976,820.50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-671,079,836.06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3,335,554.84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10,001,638.14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22" w:val="left"/>
          <w:tab w:pos="7565" w:val="left"/>
        </w:tabs>
        <w:bidi w:val="0"/>
        <w:spacing w:before="0" w:after="380" w:line="240" w:lineRule="auto"/>
        <w:ind w:left="0" w:right="0" w:firstLine="0"/>
        <w:jc w:val="left"/>
      </w:pPr>
      <w:r>
        <w:rPr>
          <w:color w:val="000000"/>
          <w:spacing w:val="0"/>
          <w:w w:val="100"/>
          <w:position w:val="0"/>
        </w:rPr>
        <w:t>法定代表人：于伟</w:t>
        <w:tab/>
        <w:t>主管会计工作负责人：高源</w:t>
        <w:tab/>
        <w:t>会计机构负责人：贾银肖</w:t>
      </w:r>
    </w:p>
    <w:p>
      <w:pPr>
        <w:pStyle w:val="Style32"/>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4</w:t>
      </w:r>
      <w:bookmarkEnd w:id="686"/>
      <w:r>
        <w:rPr>
          <w:color w:val="000000"/>
          <w:spacing w:val="0"/>
          <w:w w:val="100"/>
          <w:position w:val="0"/>
        </w:rPr>
        <w:t>、母公司利润表</w:t>
      </w:r>
      <w:bookmarkEnd w:id="684"/>
      <w:bookmarkEnd w:id="685"/>
      <w:bookmarkEnd w:id="68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1,879,571,898.31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1,274,622,951.34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1,676,880,108.34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1,128,415,829.50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3,967,939.54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1,398,291.38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29,729,173.88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28,782,945.63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47,313,470.33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41,632,320.02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43,205,838.18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41,318,059.14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16,203,225.92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28,926,352.34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16,561,468.31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21,617,911.94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2,140,656.59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1,146,705.78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8,881,137.84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5,679,424.57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104,873,030.33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120,878,059.51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r>
      <w:tr>
        <w:trPr>
          <w:trHeight w:val="68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998,619.54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-20,690,412.50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-77,973,778.15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-530,289,058.49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1,960,105.46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11,359.01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101,011,257.14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-395,849,390.47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246,992.69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13,243.53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64,035.97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80,941.15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101,194,213.86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-395,917,088.09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3,711,732.43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-1,258,390.40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97,482,481.43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-394,658,697.69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97,482,481.43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-394,658,697.69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97,482,481.43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-394,658,697.69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5</w:t>
      </w:r>
      <w:bookmarkEnd w:id="690"/>
      <w:r>
        <w:rPr>
          <w:color w:val="000000"/>
          <w:spacing w:val="0"/>
          <w:w w:val="100"/>
          <w:position w:val="0"/>
        </w:rPr>
        <w:t>、合并现金流量表</w:t>
      </w:r>
      <w:bookmarkEnd w:id="688"/>
      <w:bookmarkEnd w:id="689"/>
      <w:bookmarkEnd w:id="69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2,480,237,764.66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2,151,377,338.12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397,446.61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74,578,588.23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29,339,459.90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2,554,816,352.89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2,181,114,244.63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1,680,930,135.36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1,221,591,219.48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774,493,015.92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603,389,648.34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62,266,382.71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39,859,808.66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121,996,813.74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83,912,919.66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2,639,686,347.73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1,948,753,596.14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-84,869,994.84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232,360,648.49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1,044,095.63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2,084,424.67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64,887,321.33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128,564.00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9,404,916.22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487,000,000.00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725,500,000.00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562,336,333.18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727,712,988.67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购建固定资产、无形资产和其他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7,169,856.75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6,189,336.29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96,772,064.05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116,665,500.00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838,800,000.00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461,241,920.80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962,264,836.29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101,094,412.38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-234,551,847.62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339,040,585.70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461,068,370.00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9,864,295.56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339,040,585.70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471,522,665.56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455,872,703.32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376,215,736.04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15,903,548.37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39,932,817.21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4,804,260.67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63,764,030.37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476,580,512.36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479,912,583.62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-137,539,926.66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-8,389,918.06</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-19,587.58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150,271.45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-121,335,096.70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-10,430,845.74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459,004,442.18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469,435,287.92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337,669,345.48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459,004,442.18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、母公司现金流量表</w:t>
      </w:r>
      <w:bookmarkEnd w:id="692"/>
      <w:bookmarkEnd w:id="693"/>
      <w:bookmarkEnd w:id="69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1,988,418,514.47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1,454,417,624.26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113,897.70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191,724,669.16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202,613,728.98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2,180,143,183.63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1,657,145,250.94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1,805,084,166.93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1,076,557,859.71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338,831,315.58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230,102,242.69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25,541,461.85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6,004,004.70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214,037,102.23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258,728,222.45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2,383,494,046.59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1,571,392,329.55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-203,350,862.96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85,752,921.39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9,404,916.22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108,044,095.63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156,326,168.50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64,886,471.33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127,764.00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547,000,000.00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675,335,483.18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703,953,932.50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3,836,845.16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3,186,856.28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106,554,594.34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143,677,454.92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363,000,000.00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671,000,000.00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473,391,439.50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817,864,311.20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201,944,043.68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-113,910,378.70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316,690,585.70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415,098,370.00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9,864,295.56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316,690,585.70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424,962,665.56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437,402,703.32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310,715,736.04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15,061,468.31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38,499,991.29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1,275,430.22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43,684,030.37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453,739,601.85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392,899,757.70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-137,049,016.15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32,062,907.86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-138,455,835.43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3,905,450.55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327,375,761.24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323,470,310.69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188,919,925.81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327,375,761.24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7</w:t>
      </w:r>
      <w:bookmarkEnd w:id="698"/>
      <w:r>
        <w:rPr>
          <w:color w:val="000000"/>
          <w:spacing w:val="0"/>
          <w:w w:val="100"/>
          <w:position w:val="0"/>
        </w:rPr>
        <w:t>、合并所有者权益变动表</w:t>
      </w:r>
      <w:bookmarkEnd w:id="696"/>
      <w:bookmarkEnd w:id="697"/>
      <w:bookmarkEnd w:id="69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者权</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益合</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62,25</w:t>
            </w:r>
          </w:p>
          <w:p>
            <w:pPr>
              <w:pStyle w:val="Style1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346,66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-7,391, 735.11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23,896 </w:t>
            </w:r>
            <w:r>
              <w:rPr>
                <w:rFonts w:ascii="Times New Roman" w:eastAsia="Times New Roman" w:hAnsi="Times New Roman" w:cs="Times New Roman"/>
                <w:color w:val="000000"/>
                <w:spacing w:val="0"/>
                <w:w w:val="100"/>
                <w:position w:val="0"/>
              </w:rPr>
              <w:t xml:space="preserve">,061.7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03,577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569,82</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3,847.</w:t>
            </w:r>
          </w:p>
          <w:p>
            <w:pPr>
              <w:pStyle w:val="Style1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11,858</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,525.0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581,68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2,372.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62,25</w:t>
            </w:r>
          </w:p>
          <w:p>
            <w:pPr>
              <w:pStyle w:val="Style1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346,66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-7,391, 735.11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23,896 </w:t>
            </w:r>
            <w:r>
              <w:rPr>
                <w:rFonts w:ascii="Times New Roman" w:eastAsia="Times New Roman" w:hAnsi="Times New Roman" w:cs="Times New Roman"/>
                <w:color w:val="000000"/>
                <w:spacing w:val="0"/>
                <w:w w:val="100"/>
                <w:position w:val="0"/>
              </w:rPr>
              <w:t xml:space="preserve">,061.7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03,577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569,82</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3,847.</w:t>
            </w:r>
          </w:p>
          <w:p>
            <w:pPr>
              <w:pStyle w:val="Style1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11,858</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,525.0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581,68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2,372.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-10,30</w:t>
            </w:r>
          </w:p>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123,98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7,125.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123,97</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6,820.</w:t>
            </w:r>
          </w:p>
          <w:p>
            <w:pPr>
              <w:pStyle w:val="Style1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3,335,</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127,31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2,375.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-10,30</w:t>
            </w:r>
          </w:p>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123,98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7,125.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123,97</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6,820.</w:t>
            </w:r>
          </w:p>
          <w:p>
            <w:pPr>
              <w:pStyle w:val="Style1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3,335,</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127,31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2,375.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62,25</w:t>
            </w:r>
          </w:p>
          <w:p>
            <w:pPr>
              <w:pStyle w:val="Style1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346,66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-7,402, 040.13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23,896 </w:t>
            </w:r>
            <w:r>
              <w:rPr>
                <w:rFonts w:ascii="Times New Roman" w:eastAsia="Times New Roman" w:hAnsi="Times New Roman" w:cs="Times New Roman"/>
                <w:color w:val="000000"/>
                <w:spacing w:val="0"/>
                <w:w w:val="100"/>
                <w:position w:val="0"/>
              </w:rPr>
              <w:t xml:space="preserve">,061.7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16,451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693,80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0,668.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15,194 </w:t>
            </w:r>
            <w:r>
              <w:rPr>
                <w:rFonts w:ascii="Times New Roman" w:eastAsia="Times New Roman" w:hAnsi="Times New Roman" w:cs="Times New Roman"/>
                <w:color w:val="000000"/>
                <w:spacing w:val="0"/>
                <w:w w:val="100"/>
                <w:position w:val="0"/>
              </w:rPr>
              <w:t xml:space="preserve">,079.8 </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708,99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4,748.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62,25</w:t>
            </w:r>
          </w:p>
          <w:p>
            <w:pPr>
              <w:pStyle w:val="Style1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338,87</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8,685.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-7,559,</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26,301 </w:t>
            </w:r>
            <w:r>
              <w:rPr>
                <w:rFonts w:ascii="Times New Roman" w:eastAsia="Times New Roman" w:hAnsi="Times New Roman" w:cs="Times New Roman"/>
                <w:color w:val="000000"/>
                <w:spacing w:val="0"/>
                <w:w w:val="100"/>
                <w:position w:val="0"/>
              </w:rPr>
              <w:t xml:space="preserve">,702.4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509,23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7,335.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620,49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39,112, </w:t>
            </w:r>
            <w:r>
              <w:rPr>
                <w:rFonts w:ascii="Times New Roman" w:eastAsia="Times New Roman" w:hAnsi="Times New Roman" w:cs="Times New Roman"/>
                <w:color w:val="000000"/>
                <w:spacing w:val="0"/>
                <w:w w:val="100"/>
                <w:position w:val="0"/>
              </w:rPr>
              <w:t>675.02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1,352,7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33,172.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9,027.</w:t>
            </w:r>
          </w:p>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4,668.</w:t>
            </w:r>
          </w:p>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632.26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62,25</w:t>
            </w:r>
          </w:p>
          <w:p>
            <w:pPr>
              <w:pStyle w:val="Style1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338,87</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8,685.</w:t>
            </w:r>
          </w:p>
          <w:p>
            <w:pPr>
              <w:pStyle w:val="Style1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-7,559,</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23,896 </w:t>
            </w:r>
            <w:r>
              <w:rPr>
                <w:rFonts w:ascii="Times New Roman" w:eastAsia="Times New Roman" w:hAnsi="Times New Roman" w:cs="Times New Roman"/>
                <w:color w:val="000000"/>
                <w:spacing w:val="0"/>
                <w:w w:val="100"/>
                <w:position w:val="0"/>
              </w:rPr>
              <w:t xml:space="preserve">,061.7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451,24</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8,308.</w:t>
            </w:r>
          </w:p>
          <w:p>
            <w:pPr>
              <w:pStyle w:val="Style17"/>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1,253,</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225,82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30,319, </w:t>
            </w:r>
            <w:r>
              <w:rPr>
                <w:rFonts w:ascii="Times New Roman" w:eastAsia="Times New Roman" w:hAnsi="Times New Roman" w:cs="Times New Roman"/>
                <w:color w:val="000000"/>
                <w:spacing w:val="0"/>
                <w:w w:val="100"/>
                <w:position w:val="0"/>
              </w:rPr>
              <w:t>042.76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1,283,5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44,872.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7,782,</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167,74</w:t>
            </w:r>
          </w:p>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-691,3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51,885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-683,4</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01,981</w:t>
            </w:r>
          </w:p>
          <w:p>
            <w:pPr>
              <w:pStyle w:val="Style17"/>
              <w:keepNext w:val="0"/>
              <w:keepLines w:val="0"/>
              <w:widowControl w:val="0"/>
              <w:shd w:val="clear" w:color="auto" w:fill="auto"/>
              <w:bidi w:val="0"/>
              <w:spacing w:before="0" w:after="100" w:line="240" w:lineRule="auto"/>
              <w:ind w:left="0" w:right="0" w:firstLine="30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-18,460</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,517.76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-701,86</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2,499.4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167,74</w:t>
            </w:r>
          </w:p>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-671,2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47,584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-671,0</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79,836</w:t>
            </w:r>
          </w:p>
          <w:p>
            <w:pPr>
              <w:pStyle w:val="Style17"/>
              <w:keepNext w:val="0"/>
              <w:keepLines w:val="0"/>
              <w:widowControl w:val="0"/>
              <w:shd w:val="clear" w:color="auto" w:fill="auto"/>
              <w:bidi w:val="0"/>
              <w:spacing w:before="0" w:after="100" w:line="240" w:lineRule="auto"/>
              <w:ind w:left="0" w:right="0" w:firstLine="300"/>
              <w:jc w:val="both"/>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10,001,</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638.14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-661,07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8,197.9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7,782,</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7,782,</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-28,462</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-20,679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7,782,</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-29,052</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-29,052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-20,10</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4,301.</w:t>
            </w:r>
          </w:p>
          <w:p>
            <w:pPr>
              <w:pStyle w:val="Style17"/>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4,301.</w:t>
            </w:r>
          </w:p>
          <w:p>
            <w:pPr>
              <w:pStyle w:val="Style1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-20,104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-20,10</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-20,104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62,25</w:t>
            </w:r>
          </w:p>
          <w:p>
            <w:pPr>
              <w:pStyle w:val="Style1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346,66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-7,391, 735.11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23,896 </w:t>
            </w:r>
            <w:r>
              <w:rPr>
                <w:rFonts w:ascii="Times New Roman" w:eastAsia="Times New Roman" w:hAnsi="Times New Roman" w:cs="Times New Roman"/>
                <w:color w:val="000000"/>
                <w:spacing w:val="0"/>
                <w:w w:val="100"/>
                <w:position w:val="0"/>
              </w:rPr>
              <w:t xml:space="preserve">,061.7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03,577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569,82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3,847.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11,858, </w:t>
            </w:r>
            <w:r>
              <w:rPr>
                <w:rFonts w:ascii="Times New Roman" w:eastAsia="Times New Roman" w:hAnsi="Times New Roman" w:cs="Times New Roman"/>
                <w:color w:val="000000"/>
                <w:spacing w:val="0"/>
                <w:w w:val="100"/>
                <w:position w:val="0"/>
              </w:rPr>
              <w:t>525.00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581,682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,372.74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8</w:t>
      </w:r>
      <w:bookmarkEnd w:id="702"/>
      <w:r>
        <w:rPr>
          <w:color w:val="000000"/>
          <w:spacing w:val="0"/>
          <w:w w:val="100"/>
          <w:position w:val="0"/>
        </w:rPr>
        <w:t>、母公司所有者权益变动表</w:t>
      </w:r>
      <w:bookmarkEnd w:id="700"/>
      <w:bookmarkEnd w:id="701"/>
      <w:bookmarkEnd w:id="70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446,76</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2,257.0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338,489,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22,951,5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-270,51</w:t>
            </w:r>
          </w:p>
          <w:p>
            <w:pPr>
              <w:pStyle w:val="Style17"/>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2,185.2</w:t>
            </w:r>
          </w:p>
          <w:p>
            <w:pPr>
              <w:pStyle w:val="Style17"/>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530,037,0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2,257.0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338,489,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22,951,5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-270,51</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2,185.2</w:t>
            </w:r>
          </w:p>
          <w:p>
            <w:pPr>
              <w:pStyle w:val="Style17"/>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530,037,0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97,482,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97,482,48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97,482,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97,482,48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2,257.0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338,489,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22,951,5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-173,02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9,703.7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627,519,5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其他综</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2,257.</w:t>
            </w:r>
          </w:p>
          <w:p>
            <w:pPr>
              <w:pStyle w:val="Style17"/>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338,489</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-7,654,1</w:t>
            </w:r>
          </w:p>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25,357,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165,901,5</w:t>
            </w:r>
          </w:p>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968,856,48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-2,405,6</w:t>
            </w:r>
          </w:p>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-21,650,7</w:t>
            </w:r>
          </w:p>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-24,056,406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2,257.</w:t>
            </w:r>
          </w:p>
          <w:p>
            <w:pPr>
              <w:pStyle w:val="Style17"/>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338,489</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-7,654,1</w:t>
            </w:r>
          </w:p>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22,951,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144,250,8</w:t>
            </w:r>
          </w:p>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944,800,07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-414,762,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-414,762,99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-394,658,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-394,658,69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-20,104,3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-20,104,301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-20,104,3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-20,104,301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530,037,07</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7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both"/>
      </w:pPr>
      <w:bookmarkStart w:id="704" w:name="bookmark704"/>
      <w:bookmarkStart w:id="705" w:name="bookmark705"/>
      <w:bookmarkStart w:id="706" w:name="bookmark706"/>
      <w:bookmarkStart w:id="707" w:name="bookmark707"/>
      <w:r>
        <w:rPr>
          <w:color w:val="000000"/>
          <w:spacing w:val="0"/>
          <w:w w:val="100"/>
          <w:position w:val="0"/>
          <w:sz w:val="24"/>
          <w:szCs w:val="24"/>
        </w:rPr>
        <w:t>三</w:t>
      </w:r>
      <w:bookmarkEnd w:id="706"/>
      <w:r>
        <w:rPr>
          <w:color w:val="000000"/>
          <w:spacing w:val="0"/>
          <w:w w:val="100"/>
          <w:position w:val="0"/>
          <w:sz w:val="24"/>
          <w:szCs w:val="24"/>
        </w:rPr>
        <w:t>、公司基本情况</w:t>
      </w:r>
      <w:bookmarkEnd w:id="704"/>
      <w:bookmarkEnd w:id="705"/>
      <w:bookmarkEnd w:id="707"/>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高伟达软件股份有限公司</w:t>
      </w:r>
      <w:r>
        <w:rPr>
          <w:color w:val="000000"/>
          <w:spacing w:val="0"/>
          <w:w w:val="100"/>
          <w:position w:val="0"/>
        </w:rPr>
        <w:t>（</w:t>
      </w:r>
      <w:r>
        <w:rPr>
          <w:color w:val="000000"/>
          <w:spacing w:val="0"/>
          <w:w w:val="100"/>
          <w:position w:val="0"/>
        </w:rPr>
        <w:t>以下简称公司或本公司</w:t>
      </w:r>
      <w:r>
        <w:rPr>
          <w:color w:val="000000"/>
          <w:spacing w:val="0"/>
          <w:w w:val="100"/>
          <w:position w:val="0"/>
        </w:rPr>
        <w:t>）</w:t>
      </w:r>
      <w:r>
        <w:rPr>
          <w:color w:val="000000"/>
          <w:spacing w:val="0"/>
          <w:w w:val="100"/>
          <w:position w:val="0"/>
        </w:rPr>
        <w:t>系在北京高伟达系统集成有限公司的基础上整体变更设立，于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日在北京市工商行政管理局登记注册，现持有统一社会信用代码为</w:t>
      </w:r>
      <w:r>
        <w:rPr>
          <w:rFonts w:ascii="Times New Roman" w:eastAsia="Times New Roman" w:hAnsi="Times New Roman" w:cs="Times New Roman"/>
          <w:color w:val="000000"/>
          <w:spacing w:val="0"/>
          <w:w w:val="100"/>
          <w:position w:val="0"/>
        </w:rPr>
        <w:t>91110000633713369X</w:t>
      </w:r>
      <w:r>
        <w:rPr>
          <w:color w:val="000000"/>
          <w:spacing w:val="0"/>
          <w:w w:val="100"/>
          <w:position w:val="0"/>
        </w:rPr>
        <w:t>的营业执照。公司注册地： 北京市海淀区大慧寺</w:t>
      </w:r>
      <w:r>
        <w:rPr>
          <w:rFonts w:ascii="Times New Roman" w:eastAsia="Times New Roman" w:hAnsi="Times New Roman" w:cs="Times New Roman"/>
          <w:color w:val="000000"/>
          <w:spacing w:val="0"/>
          <w:w w:val="100"/>
          <w:position w:val="0"/>
        </w:rPr>
        <w:t>8</w:t>
      </w:r>
      <w:r>
        <w:rPr>
          <w:color w:val="000000"/>
          <w:spacing w:val="0"/>
          <w:w w:val="100"/>
          <w:position w:val="0"/>
        </w:rPr>
        <w:t>号北区</w:t>
      </w:r>
      <w:r>
        <w:rPr>
          <w:rFonts w:ascii="Times New Roman" w:eastAsia="Times New Roman" w:hAnsi="Times New Roman" w:cs="Times New Roman"/>
          <w:color w:val="000000"/>
          <w:spacing w:val="0"/>
          <w:w w:val="100"/>
          <w:position w:val="0"/>
        </w:rPr>
        <w:t>20</w:t>
      </w:r>
      <w:r>
        <w:rPr>
          <w:color w:val="000000"/>
          <w:spacing w:val="0"/>
          <w:w w:val="100"/>
          <w:position w:val="0"/>
        </w:rPr>
        <w:t>栋</w:t>
      </w:r>
      <w:r>
        <w:rPr>
          <w:rFonts w:ascii="Times New Roman" w:eastAsia="Times New Roman" w:hAnsi="Times New Roman" w:cs="Times New Roman"/>
          <w:color w:val="000000"/>
          <w:spacing w:val="0"/>
          <w:w w:val="100"/>
          <w:position w:val="0"/>
        </w:rPr>
        <w:t>604</w:t>
      </w:r>
      <w:r>
        <w:rPr>
          <w:color w:val="000000"/>
          <w:spacing w:val="0"/>
          <w:w w:val="100"/>
          <w:position w:val="0"/>
        </w:rPr>
        <w:t>房间。法定代表人：于伟。公司现有注册资本为人民币</w:t>
      </w:r>
      <w:r>
        <w:rPr>
          <w:rFonts w:ascii="Times New Roman" w:eastAsia="Times New Roman" w:hAnsi="Times New Roman" w:cs="Times New Roman"/>
          <w:color w:val="000000"/>
          <w:spacing w:val="0"/>
          <w:w w:val="100"/>
          <w:position w:val="0"/>
        </w:rPr>
        <w:t>446,762,257.00</w:t>
      </w:r>
      <w:r>
        <w:rPr>
          <w:color w:val="000000"/>
          <w:spacing w:val="0"/>
          <w:w w:val="100"/>
          <w:position w:val="0"/>
        </w:rPr>
        <w:t xml:space="preserve">元，总股本为 </w:t>
      </w:r>
      <w:r>
        <w:rPr>
          <w:rFonts w:ascii="Times New Roman" w:eastAsia="Times New Roman" w:hAnsi="Times New Roman" w:cs="Times New Roman"/>
          <w:color w:val="000000"/>
          <w:spacing w:val="0"/>
          <w:w w:val="100"/>
          <w:position w:val="0"/>
        </w:rPr>
        <w:t>446,762,257</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元。其中：无限售条件的流通股份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446,762,257</w:t>
      </w:r>
      <w:r>
        <w:rPr>
          <w:color w:val="000000"/>
          <w:spacing w:val="0"/>
          <w:w w:val="100"/>
          <w:position w:val="0"/>
        </w:rPr>
        <w:t>股。公司股票于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 证券交易所挂牌交易。</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公司成立时注册资本为人民币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万元，折股份总数</w:t>
      </w:r>
      <w:r>
        <w:rPr>
          <w:rFonts w:ascii="Times New Roman" w:eastAsia="Times New Roman" w:hAnsi="Times New Roman" w:cs="Times New Roman"/>
          <w:color w:val="000000"/>
          <w:spacing w:val="0"/>
          <w:w w:val="100"/>
          <w:position w:val="0"/>
        </w:rPr>
        <w:t>10,000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日，经中国证券监 督管理委员会《关于核准高伟达软件股份有限公司首次公开发行股票的批复》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[2015]833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核准，本公司公开发行 人民币普通股股票</w:t>
      </w:r>
      <w:r>
        <w:rPr>
          <w:rFonts w:ascii="Times New Roman" w:eastAsia="Times New Roman" w:hAnsi="Times New Roman" w:cs="Times New Roman"/>
          <w:color w:val="000000"/>
          <w:spacing w:val="0"/>
          <w:w w:val="100"/>
          <w:position w:val="0"/>
        </w:rPr>
        <w:t>33,340,000</w:t>
      </w:r>
      <w:r>
        <w:rPr>
          <w:color w:val="000000"/>
          <w:spacing w:val="0"/>
          <w:w w:val="100"/>
          <w:position w:val="0"/>
        </w:rPr>
        <w:t>股，公开发行后股份总额为</w:t>
      </w:r>
      <w:r>
        <w:rPr>
          <w:rFonts w:ascii="Times New Roman" w:eastAsia="Times New Roman" w:hAnsi="Times New Roman" w:cs="Times New Roman"/>
          <w:color w:val="000000"/>
          <w:spacing w:val="0"/>
          <w:w w:val="100"/>
          <w:position w:val="0"/>
        </w:rPr>
        <w:t>133,340,000</w:t>
      </w:r>
      <w:r>
        <w:rPr>
          <w:color w:val="000000"/>
          <w:spacing w:val="0"/>
          <w:w w:val="100"/>
          <w:position w:val="0"/>
        </w:rPr>
        <w:t>股。</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年第一次临时股东大会审议通过的《关于</w:t>
      </w:r>
      <w:r>
        <w:rPr>
          <w:color w:val="000000"/>
          <w:spacing w:val="0"/>
          <w:w w:val="100"/>
          <w:position w:val="0"/>
        </w:rPr>
        <w:t>〈</w:t>
      </w:r>
      <w:r>
        <w:rPr>
          <w:color w:val="000000"/>
          <w:spacing w:val="0"/>
          <w:w w:val="100"/>
          <w:position w:val="0"/>
        </w:rPr>
        <w:t>高伟达软件股份有限公司限制性股票激励 计划</w:t>
      </w:r>
      <w:r>
        <w:rPr>
          <w:rFonts w:ascii="Times New Roman" w:eastAsia="Times New Roman" w:hAnsi="Times New Roman" w:cs="Times New Roman"/>
          <w:color w:val="000000"/>
          <w:spacing w:val="0"/>
          <w:w w:val="100"/>
          <w:position w:val="0"/>
        </w:rPr>
        <w:t>（</w:t>
      </w:r>
      <w:r>
        <w:rPr>
          <w:color w:val="000000"/>
          <w:spacing w:val="0"/>
          <w:w w:val="100"/>
          <w:position w:val="0"/>
        </w:rPr>
        <w:t>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及其摘要的议案》，本公司定向增发股份</w:t>
      </w:r>
      <w:r>
        <w:rPr>
          <w:rFonts w:ascii="Times New Roman" w:eastAsia="Times New Roman" w:hAnsi="Times New Roman" w:cs="Times New Roman"/>
          <w:color w:val="000000"/>
          <w:spacing w:val="0"/>
          <w:w w:val="100"/>
          <w:position w:val="0"/>
        </w:rPr>
        <w:t>1,600,000</w:t>
      </w:r>
      <w:r>
        <w:rPr>
          <w:color w:val="000000"/>
          <w:spacing w:val="0"/>
          <w:w w:val="100"/>
          <w:position w:val="0"/>
        </w:rPr>
        <w:t>股，由</w:t>
      </w:r>
      <w:r>
        <w:rPr>
          <w:rFonts w:ascii="Times New Roman" w:eastAsia="Times New Roman" w:hAnsi="Times New Roman" w:cs="Times New Roman"/>
          <w:color w:val="000000"/>
          <w:spacing w:val="0"/>
          <w:w w:val="100"/>
          <w:position w:val="0"/>
        </w:rPr>
        <w:t>100</w:t>
      </w:r>
      <w:r>
        <w:rPr>
          <w:color w:val="000000"/>
          <w:spacing w:val="0"/>
          <w:w w:val="100"/>
          <w:position w:val="0"/>
        </w:rPr>
        <w:t>名核心管理、业务与技术人员以货币资金认 购，每股认购价格</w:t>
      </w:r>
      <w:r>
        <w:rPr>
          <w:rFonts w:ascii="Times New Roman" w:eastAsia="Times New Roman" w:hAnsi="Times New Roman" w:cs="Times New Roman"/>
          <w:color w:val="000000"/>
          <w:spacing w:val="0"/>
          <w:w w:val="100"/>
          <w:position w:val="0"/>
        </w:rPr>
        <w:t>20.89</w:t>
      </w:r>
      <w:r>
        <w:rPr>
          <w:color w:val="000000"/>
          <w:spacing w:val="0"/>
          <w:w w:val="100"/>
          <w:position w:val="0"/>
        </w:rPr>
        <w:t>元。</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日，本公司已收到授予股权激励股份的</w:t>
      </w:r>
      <w:r>
        <w:rPr>
          <w:rFonts w:ascii="Times New Roman" w:eastAsia="Times New Roman" w:hAnsi="Times New Roman" w:cs="Times New Roman"/>
          <w:color w:val="000000"/>
          <w:spacing w:val="0"/>
          <w:w w:val="100"/>
          <w:position w:val="0"/>
        </w:rPr>
        <w:t>100</w:t>
      </w:r>
      <w:r>
        <w:rPr>
          <w:color w:val="000000"/>
          <w:spacing w:val="0"/>
          <w:w w:val="100"/>
          <w:position w:val="0"/>
        </w:rPr>
        <w:t>名人员缴纳的股份认购款合计人民币</w:t>
      </w:r>
      <w:r>
        <w:rPr>
          <w:rFonts w:ascii="Times New Roman" w:eastAsia="Times New Roman" w:hAnsi="Times New Roman" w:cs="Times New Roman"/>
          <w:color w:val="000000"/>
          <w:spacing w:val="0"/>
          <w:w w:val="100"/>
          <w:position w:val="0"/>
        </w:rPr>
        <w:t>33,424,000.00</w:t>
      </w:r>
      <w:r>
        <w:rPr>
          <w:color w:val="000000"/>
          <w:spacing w:val="0"/>
          <w:w w:val="100"/>
          <w:position w:val="0"/>
        </w:rPr>
        <w:t>元，业 经信永中和会计师事务所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审验并出具</w:t>
      </w:r>
      <w:r>
        <w:rPr>
          <w:rFonts w:ascii="Times New Roman" w:eastAsia="Times New Roman" w:hAnsi="Times New Roman" w:cs="Times New Roman"/>
          <w:color w:val="000000"/>
          <w:spacing w:val="0"/>
          <w:w w:val="100"/>
          <w:position w:val="0"/>
        </w:rPr>
        <w:t>XYZH/2016BJA80009</w:t>
      </w:r>
      <w:r>
        <w:rPr>
          <w:color w:val="000000"/>
          <w:spacing w:val="0"/>
          <w:w w:val="100"/>
          <w:position w:val="0"/>
        </w:rPr>
        <w:t>号验资报告。公司本次授予股权激励对象的</w:t>
      </w:r>
      <w:r>
        <w:rPr>
          <w:rFonts w:ascii="Times New Roman" w:eastAsia="Times New Roman" w:hAnsi="Times New Roman" w:cs="Times New Roman"/>
          <w:color w:val="000000"/>
          <w:spacing w:val="0"/>
          <w:w w:val="100"/>
          <w:position w:val="0"/>
        </w:rPr>
        <w:t>160</w:t>
      </w:r>
      <w:r>
        <w:rPr>
          <w:color w:val="000000"/>
          <w:spacing w:val="0"/>
          <w:w w:val="100"/>
          <w:position w:val="0"/>
        </w:rPr>
        <w:t>万 股限制性股票已于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日上市，本公司总股本变更为</w:t>
      </w:r>
      <w:r>
        <w:rPr>
          <w:rFonts w:ascii="Times New Roman" w:eastAsia="Times New Roman" w:hAnsi="Times New Roman" w:cs="Times New Roman"/>
          <w:color w:val="000000"/>
          <w:spacing w:val="0"/>
          <w:w w:val="100"/>
          <w:position w:val="0"/>
        </w:rPr>
        <w:t>134,940,000</w:t>
      </w:r>
      <w:r>
        <w:rPr>
          <w:color w:val="000000"/>
          <w:spacing w:val="0"/>
          <w:w w:val="100"/>
          <w:position w:val="0"/>
        </w:rPr>
        <w:t>股。</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年第三次临时股东大会决议，本公司以</w:t>
      </w:r>
      <w:r>
        <w:rPr>
          <w:rFonts w:ascii="Times New Roman" w:eastAsia="Times New Roman" w:hAnsi="Times New Roman" w:cs="Times New Roman"/>
          <w:color w:val="000000"/>
          <w:spacing w:val="0"/>
          <w:w w:val="100"/>
          <w:position w:val="0"/>
        </w:rPr>
        <w:t>134,940,000</w:t>
      </w:r>
      <w:r>
        <w:rPr>
          <w:color w:val="000000"/>
          <w:spacing w:val="0"/>
          <w:w w:val="100"/>
          <w:position w:val="0"/>
        </w:rPr>
        <w:t>股为基数进行资本公积金转增股 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股，共计转增</w:t>
      </w:r>
      <w:r>
        <w:rPr>
          <w:rFonts w:ascii="Times New Roman" w:eastAsia="Times New Roman" w:hAnsi="Times New Roman" w:cs="Times New Roman"/>
          <w:color w:val="000000"/>
          <w:spacing w:val="0"/>
          <w:w w:val="100"/>
          <w:position w:val="0"/>
        </w:rPr>
        <w:t>296,868,000</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431,808,000</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年半年度利润分配实施完成。</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日第四届临时股东大会审议通过《关于</w:t>
      </w:r>
      <w:r>
        <w:rPr>
          <w:color w:val="000000"/>
          <w:spacing w:val="0"/>
          <w:w w:val="100"/>
          <w:position w:val="0"/>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 案户及摘要的议案》、第二届董事会第二十八次会议通过的《关于调整</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年限制性股票激励计划相关事项的议案》，公司 进行股权激励，向</w:t>
      </w:r>
      <w:r>
        <w:rPr>
          <w:rFonts w:ascii="Times New Roman" w:eastAsia="Times New Roman" w:hAnsi="Times New Roman" w:cs="Times New Roman"/>
          <w:color w:val="000000"/>
          <w:spacing w:val="0"/>
          <w:w w:val="100"/>
          <w:position w:val="0"/>
        </w:rPr>
        <w:t>48</w:t>
      </w:r>
      <w:r>
        <w:rPr>
          <w:color w:val="000000"/>
          <w:spacing w:val="0"/>
          <w:w w:val="100"/>
          <w:position w:val="0"/>
        </w:rPr>
        <w:t>名核心管理、业务与技术人员授予限制性股票数量</w:t>
      </w:r>
      <w:r>
        <w:rPr>
          <w:rFonts w:ascii="Times New Roman" w:eastAsia="Times New Roman" w:hAnsi="Times New Roman" w:cs="Times New Roman"/>
          <w:color w:val="000000"/>
          <w:spacing w:val="0"/>
          <w:w w:val="100"/>
          <w:position w:val="0"/>
        </w:rPr>
        <w:t>278.40</w:t>
      </w:r>
      <w:r>
        <w:rPr>
          <w:color w:val="000000"/>
          <w:spacing w:val="0"/>
          <w:w w:val="100"/>
          <w:position w:val="0"/>
        </w:rPr>
        <w:t>万股，限制性股票价格为每股</w:t>
      </w:r>
      <w:r>
        <w:rPr>
          <w:rFonts w:ascii="Times New Roman" w:eastAsia="Times New Roman" w:hAnsi="Times New Roman" w:cs="Times New Roman"/>
          <w:color w:val="000000"/>
          <w:spacing w:val="0"/>
          <w:w w:val="100"/>
          <w:position w:val="0"/>
        </w:rPr>
        <w:t>7.66</w:t>
      </w:r>
      <w:r>
        <w:rPr>
          <w:color w:val="000000"/>
          <w:spacing w:val="0"/>
          <w:w w:val="100"/>
          <w:position w:val="0"/>
        </w:rPr>
        <w:t xml:space="preserve">元，共 </w:t>
      </w:r>
      <w:r>
        <w:rPr>
          <w:rFonts w:ascii="Times New Roman" w:eastAsia="Times New Roman" w:hAnsi="Times New Roman" w:cs="Times New Roman"/>
          <w:color w:val="000000"/>
          <w:spacing w:val="0"/>
          <w:w w:val="100"/>
          <w:position w:val="0"/>
        </w:rPr>
        <w:t>21,325,440.00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日，公司已收到被授予股权激励限制性股票的</w:t>
      </w:r>
      <w:r>
        <w:rPr>
          <w:rFonts w:ascii="Times New Roman" w:eastAsia="Times New Roman" w:hAnsi="Times New Roman" w:cs="Times New Roman"/>
          <w:color w:val="000000"/>
          <w:spacing w:val="0"/>
          <w:w w:val="100"/>
          <w:position w:val="0"/>
        </w:rPr>
        <w:t>48</w:t>
      </w:r>
      <w:r>
        <w:rPr>
          <w:color w:val="000000"/>
          <w:spacing w:val="0"/>
          <w:w w:val="100"/>
          <w:position w:val="0"/>
        </w:rPr>
        <w:t>名核心管理、业务与技术人员缴纳的股 份认购款共计人民币</w:t>
      </w:r>
      <w:r>
        <w:rPr>
          <w:rFonts w:ascii="Times New Roman" w:eastAsia="Times New Roman" w:hAnsi="Times New Roman" w:cs="Times New Roman"/>
          <w:color w:val="000000"/>
          <w:spacing w:val="0"/>
          <w:w w:val="100"/>
          <w:position w:val="0"/>
        </w:rPr>
        <w:t>21,325,440.00</w:t>
      </w:r>
      <w:r>
        <w:rPr>
          <w:color w:val="000000"/>
          <w:spacing w:val="0"/>
          <w:w w:val="100"/>
          <w:position w:val="0"/>
        </w:rPr>
        <w:t>元，均为货币资金缴纳，股本变更后累计股本达</w:t>
      </w:r>
      <w:r>
        <w:rPr>
          <w:rFonts w:ascii="Times New Roman" w:eastAsia="Times New Roman" w:hAnsi="Times New Roman" w:cs="Times New Roman"/>
          <w:color w:val="000000"/>
          <w:spacing w:val="0"/>
          <w:w w:val="100"/>
          <w:position w:val="0"/>
        </w:rPr>
        <w:t>434,592,000.00</w:t>
      </w:r>
      <w:r>
        <w:rPr>
          <w:color w:val="000000"/>
          <w:spacing w:val="0"/>
          <w:w w:val="100"/>
          <w:position w:val="0"/>
        </w:rPr>
        <w:t>元，业经信永中和会计师事 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审验并出具</w:t>
      </w:r>
      <w:r>
        <w:rPr>
          <w:rFonts w:ascii="Times New Roman" w:eastAsia="Times New Roman" w:hAnsi="Times New Roman" w:cs="Times New Roman"/>
          <w:color w:val="000000"/>
          <w:spacing w:val="0"/>
          <w:w w:val="100"/>
          <w:position w:val="0"/>
        </w:rPr>
        <w:t>XYZH/2016BJA80316</w:t>
      </w:r>
      <w:r>
        <w:rPr>
          <w:color w:val="000000"/>
          <w:spacing w:val="0"/>
          <w:w w:val="100"/>
          <w:position w:val="0"/>
        </w:rPr>
        <w:t>号验资报告。</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日召开的第二届董事会第二十一次会议和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 并经中国证券监督管理委员会《关于核准高伟达软件股份有限公司向北京睿韬科技有限责任公司等发行股份购买资产并募集 配套资金的批复》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[2016]2562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核准，本公司向北京睿韬科技有限责任公司、宁波镇海翔易融联投资管理合伙企 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合计发行股份</w:t>
      </w:r>
      <w:r>
        <w:rPr>
          <w:rFonts w:ascii="Times New Roman" w:eastAsia="Times New Roman" w:hAnsi="Times New Roman" w:cs="Times New Roman"/>
          <w:color w:val="000000"/>
          <w:spacing w:val="0"/>
          <w:w w:val="100"/>
          <w:position w:val="0"/>
        </w:rPr>
        <w:t>14,745,442</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其中北京睿韬科技有限责任公司</w:t>
      </w:r>
      <w:r>
        <w:rPr>
          <w:rFonts w:ascii="Times New Roman" w:eastAsia="Times New Roman" w:hAnsi="Times New Roman" w:cs="Times New Roman"/>
          <w:color w:val="000000"/>
          <w:spacing w:val="0"/>
          <w:w w:val="100"/>
          <w:position w:val="0"/>
        </w:rPr>
        <w:t>8,847,265</w:t>
      </w:r>
      <w:r>
        <w:rPr>
          <w:color w:val="000000"/>
          <w:spacing w:val="0"/>
          <w:w w:val="100"/>
          <w:position w:val="0"/>
        </w:rPr>
        <w:t xml:space="preserve">股、宁波镇海翔易融联投资管理合伙企业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）5,898,177</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并支付现金</w:t>
      </w:r>
      <w:r>
        <w:rPr>
          <w:rFonts w:ascii="Times New Roman" w:eastAsia="Times New Roman" w:hAnsi="Times New Roman" w:cs="Times New Roman"/>
          <w:color w:val="000000"/>
          <w:spacing w:val="0"/>
          <w:w w:val="100"/>
          <w:position w:val="0"/>
        </w:rPr>
        <w:t>6,540.00</w:t>
      </w:r>
      <w:r>
        <w:rPr>
          <w:color w:val="000000"/>
          <w:spacing w:val="0"/>
          <w:w w:val="100"/>
          <w:position w:val="0"/>
        </w:rPr>
        <w:t>万元购买其合计持有的上海睿民互联网科技有限公司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以下简称上海睿 民</w:t>
      </w:r>
      <w:r>
        <w:rPr>
          <w:rFonts w:ascii="Times New Roman" w:eastAsia="Times New Roman" w:hAnsi="Times New Roman" w:cs="Times New Roman"/>
          <w:color w:val="000000"/>
          <w:spacing w:val="0"/>
          <w:w w:val="100"/>
          <w:position w:val="0"/>
        </w:rPr>
        <w:t>）100.00%</w:t>
      </w:r>
      <w:r>
        <w:rPr>
          <w:color w:val="000000"/>
          <w:spacing w:val="0"/>
          <w:w w:val="100"/>
          <w:position w:val="0"/>
        </w:rPr>
        <w:t>股权；同时本公司分别向鹰潭市鹰高投资咨询有限公司、余江县泰和睿思技术服务中心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发行股份 </w:t>
      </w:r>
      <w:r>
        <w:rPr>
          <w:rFonts w:ascii="Times New Roman" w:eastAsia="Times New Roman" w:hAnsi="Times New Roman" w:cs="Times New Roman"/>
          <w:color w:val="000000"/>
          <w:spacing w:val="0"/>
          <w:w w:val="100"/>
          <w:position w:val="0"/>
        </w:rPr>
        <w:t>2,514,140</w:t>
      </w:r>
      <w:r>
        <w:rPr>
          <w:color w:val="000000"/>
          <w:spacing w:val="0"/>
          <w:w w:val="100"/>
          <w:position w:val="0"/>
        </w:rPr>
        <w:t>股和</w:t>
      </w:r>
      <w:r>
        <w:rPr>
          <w:rFonts w:ascii="Times New Roman" w:eastAsia="Times New Roman" w:hAnsi="Times New Roman" w:cs="Times New Roman"/>
          <w:color w:val="000000"/>
          <w:spacing w:val="0"/>
          <w:w w:val="100"/>
          <w:position w:val="0"/>
        </w:rPr>
        <w:t>1,125,075</w:t>
      </w:r>
      <w:r>
        <w:rPr>
          <w:color w:val="000000"/>
          <w:spacing w:val="0"/>
          <w:w w:val="100"/>
          <w:position w:val="0"/>
        </w:rPr>
        <w:t>股配套募集资金</w:t>
      </w:r>
      <w:r>
        <w:rPr>
          <w:rFonts w:ascii="Times New Roman" w:eastAsia="Times New Roman" w:hAnsi="Times New Roman" w:cs="Times New Roman"/>
          <w:color w:val="000000"/>
          <w:spacing w:val="0"/>
          <w:w w:val="100"/>
          <w:position w:val="0"/>
        </w:rPr>
        <w:t>57,899,910.65</w:t>
      </w:r>
      <w:r>
        <w:rPr>
          <w:color w:val="000000"/>
          <w:spacing w:val="0"/>
          <w:w w:val="100"/>
          <w:position w:val="0"/>
        </w:rPr>
        <w:t>元。发行后公司股本</w:t>
      </w:r>
      <w:r>
        <w:rPr>
          <w:rFonts w:ascii="Times New Roman" w:eastAsia="Times New Roman" w:hAnsi="Times New Roman" w:cs="Times New Roman"/>
          <w:color w:val="000000"/>
          <w:spacing w:val="0"/>
          <w:w w:val="100"/>
          <w:position w:val="0"/>
        </w:rPr>
        <w:t>452,976,657</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元，其中有限售条件 的流通股份为</w:t>
      </w:r>
      <w:r>
        <w:rPr>
          <w:rFonts w:ascii="Times New Roman" w:eastAsia="Times New Roman" w:hAnsi="Times New Roman" w:cs="Times New Roman"/>
          <w:color w:val="000000"/>
          <w:spacing w:val="0"/>
          <w:w w:val="100"/>
          <w:position w:val="0"/>
        </w:rPr>
        <w:t>197,280,657</w:t>
      </w:r>
      <w:r>
        <w:rPr>
          <w:color w:val="000000"/>
          <w:spacing w:val="0"/>
          <w:w w:val="100"/>
          <w:position w:val="0"/>
        </w:rPr>
        <w:t>股，占股份总数的</w:t>
      </w:r>
      <w:r>
        <w:rPr>
          <w:rFonts w:ascii="Times New Roman" w:eastAsia="Times New Roman" w:hAnsi="Times New Roman" w:cs="Times New Roman"/>
          <w:color w:val="000000"/>
          <w:spacing w:val="0"/>
          <w:w w:val="100"/>
          <w:position w:val="0"/>
        </w:rPr>
        <w:t>43.55%</w:t>
      </w:r>
      <w:r>
        <w:rPr>
          <w:color w:val="000000"/>
          <w:spacing w:val="0"/>
          <w:w w:val="100"/>
          <w:position w:val="0"/>
        </w:rPr>
        <w:t>；无限售条件的流通股份为</w:t>
      </w:r>
      <w:r>
        <w:rPr>
          <w:rFonts w:ascii="Times New Roman" w:eastAsia="Times New Roman" w:hAnsi="Times New Roman" w:cs="Times New Roman"/>
          <w:color w:val="000000"/>
          <w:spacing w:val="0"/>
          <w:w w:val="100"/>
          <w:position w:val="0"/>
        </w:rPr>
        <w:t>255,696,000</w:t>
      </w:r>
      <w:r>
        <w:rPr>
          <w:color w:val="000000"/>
          <w:spacing w:val="0"/>
          <w:w w:val="100"/>
          <w:position w:val="0"/>
        </w:rPr>
        <w:t>股，占股份总数的</w:t>
      </w:r>
      <w:r>
        <w:rPr>
          <w:rFonts w:ascii="Times New Roman" w:eastAsia="Times New Roman" w:hAnsi="Times New Roman" w:cs="Times New Roman"/>
          <w:color w:val="000000"/>
          <w:spacing w:val="0"/>
          <w:w w:val="100"/>
          <w:position w:val="0"/>
        </w:rPr>
        <w:t>56.45%</w:t>
      </w:r>
      <w:r>
        <w:rPr>
          <w:color w:val="000000"/>
          <w:spacing w:val="0"/>
          <w:w w:val="100"/>
          <w:position w:val="0"/>
        </w:rPr>
        <w:t>。本次 增资业经中汇会计师事务所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日出具中汇会验</w:t>
      </w:r>
      <w:r>
        <w:rPr>
          <w:rFonts w:ascii="Times New Roman" w:eastAsia="Times New Roman" w:hAnsi="Times New Roman" w:cs="Times New Roman"/>
          <w:color w:val="000000"/>
          <w:spacing w:val="0"/>
          <w:w w:val="100"/>
          <w:position w:val="0"/>
        </w:rPr>
        <w:t>[2016]4648</w:t>
      </w:r>
      <w:r>
        <w:rPr>
          <w:color w:val="000000"/>
          <w:spacing w:val="0"/>
          <w:w w:val="100"/>
          <w:position w:val="0"/>
        </w:rPr>
        <w:t>号验资报告。</w:t>
      </w:r>
    </w:p>
    <w:p>
      <w:pPr>
        <w:pStyle w:val="Style23"/>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根据公司《关于回购注销部分限制性股票及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年股权激励计划已获授但未达到第一个解锁期解锁条件的限 制性股票的议案》、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日第二届董事会第三十四次会议和第二届监事会第三十次会议决议、《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 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》和修改后的章程规定，本公司决定回购注销因离职已不符合激励 条件的原</w:t>
      </w:r>
      <w:r>
        <w:rPr>
          <w:rFonts w:ascii="Times New Roman" w:eastAsia="Times New Roman" w:hAnsi="Times New Roman" w:cs="Times New Roman"/>
          <w:color w:val="000000"/>
          <w:spacing w:val="0"/>
          <w:w w:val="100"/>
          <w:position w:val="0"/>
        </w:rPr>
        <w:t>7</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年限制性股票股权激励对象及原</w:t>
      </w:r>
      <w:r>
        <w:rPr>
          <w:rFonts w:ascii="Times New Roman" w:eastAsia="Times New Roman" w:hAnsi="Times New Roman" w:cs="Times New Roman"/>
          <w:color w:val="000000"/>
          <w:spacing w:val="0"/>
          <w:w w:val="100"/>
          <w:position w:val="0"/>
        </w:rPr>
        <w:t>2</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年限制性股票股权激励对象的已获授的全部限制性股票共计 </w:t>
      </w:r>
      <w:r>
        <w:rPr>
          <w:rFonts w:ascii="Times New Roman" w:eastAsia="Times New Roman" w:hAnsi="Times New Roman" w:cs="Times New Roman"/>
          <w:color w:val="000000"/>
          <w:spacing w:val="0"/>
          <w:w w:val="100"/>
          <w:position w:val="0"/>
        </w:rPr>
        <w:t>320,000</w:t>
      </w:r>
      <w:r>
        <w:rPr>
          <w:color w:val="000000"/>
          <w:spacing w:val="0"/>
          <w:w w:val="100"/>
          <w:position w:val="0"/>
        </w:rPr>
        <w:t>股；回购注销由于</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年限制性股票第一个解锁期解锁条件及</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年限制性股票第一个解锁期解锁条件未达成的已 获授限制性股票共计</w:t>
      </w:r>
      <w:r>
        <w:rPr>
          <w:rFonts w:ascii="Times New Roman" w:eastAsia="Times New Roman" w:hAnsi="Times New Roman" w:cs="Times New Roman"/>
          <w:color w:val="000000"/>
          <w:spacing w:val="0"/>
          <w:w w:val="100"/>
          <w:position w:val="0"/>
        </w:rPr>
        <w:t>2,275,200</w:t>
      </w:r>
      <w:r>
        <w:rPr>
          <w:color w:val="000000"/>
          <w:spacing w:val="0"/>
          <w:w w:val="100"/>
          <w:position w:val="0"/>
        </w:rPr>
        <w:t>股，本公司本次将回购注销限制性股票合计</w:t>
      </w:r>
      <w:r>
        <w:rPr>
          <w:rFonts w:ascii="Times New Roman" w:eastAsia="Times New Roman" w:hAnsi="Times New Roman" w:cs="Times New Roman"/>
          <w:color w:val="000000"/>
          <w:spacing w:val="0"/>
          <w:w w:val="100"/>
          <w:position w:val="0"/>
        </w:rPr>
        <w:t>2,595,200</w:t>
      </w:r>
      <w:r>
        <w:rPr>
          <w:color w:val="000000"/>
          <w:spacing w:val="0"/>
          <w:w w:val="100"/>
          <w:position w:val="0"/>
        </w:rPr>
        <w:t>股。根据回购注销情况，本次回购注销股 票数量为</w:t>
      </w:r>
      <w:r>
        <w:rPr>
          <w:rFonts w:ascii="Times New Roman" w:eastAsia="Times New Roman" w:hAnsi="Times New Roman" w:cs="Times New Roman"/>
          <w:color w:val="000000"/>
          <w:spacing w:val="0"/>
          <w:w w:val="100"/>
          <w:position w:val="0"/>
        </w:rPr>
        <w:t>2,595,200</w:t>
      </w:r>
      <w:r>
        <w:rPr>
          <w:color w:val="000000"/>
          <w:spacing w:val="0"/>
          <w:w w:val="100"/>
          <w:position w:val="0"/>
        </w:rPr>
        <w:t>股，减少注册资本人民币</w:t>
      </w:r>
      <w:r>
        <w:rPr>
          <w:rFonts w:ascii="Times New Roman" w:eastAsia="Times New Roman" w:hAnsi="Times New Roman" w:cs="Times New Roman"/>
          <w:color w:val="000000"/>
          <w:spacing w:val="0"/>
          <w:w w:val="100"/>
          <w:position w:val="0"/>
        </w:rPr>
        <w:t>2,595,200.00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450,381,457.00</w:t>
      </w:r>
      <w:r>
        <w:rPr>
          <w:color w:val="000000"/>
          <w:spacing w:val="0"/>
          <w:w w:val="100"/>
          <w:position w:val="0"/>
        </w:rPr>
        <w:t>元。本次减资业经中 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日出具中汇会验</w:t>
      </w:r>
      <w:r>
        <w:rPr>
          <w:rFonts w:ascii="Times New Roman" w:eastAsia="Times New Roman" w:hAnsi="Times New Roman" w:cs="Times New Roman"/>
          <w:color w:val="000000"/>
          <w:spacing w:val="0"/>
          <w:w w:val="100"/>
          <w:position w:val="0"/>
        </w:rPr>
        <w:t>[2017]3988</w:t>
      </w:r>
      <w:r>
        <w:rPr>
          <w:color w:val="000000"/>
          <w:spacing w:val="0"/>
          <w:w w:val="100"/>
          <w:position w:val="0"/>
        </w:rPr>
        <w:t>号验资报告。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根据公司《关于回购注销部分限制性股票的议案》、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日第三届董事会第四次临时会议决议和第三届监事会 第四次会议决议、《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》和修改后的章程规定，本 公司决定回购注销因离职已不符合激励条件的原</w:t>
      </w:r>
      <w:r>
        <w:rPr>
          <w:rFonts w:ascii="Times New Roman" w:eastAsia="Times New Roman" w:hAnsi="Times New Roman" w:cs="Times New Roman"/>
          <w:color w:val="000000"/>
          <w:spacing w:val="0"/>
          <w:w w:val="100"/>
          <w:position w:val="0"/>
        </w:rPr>
        <w:t>5</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年限制性股票股权激励对象及原</w:t>
      </w:r>
      <w:r>
        <w:rPr>
          <w:rFonts w:ascii="Times New Roman" w:eastAsia="Times New Roman" w:hAnsi="Times New Roman" w:cs="Times New Roman"/>
          <w:color w:val="000000"/>
          <w:spacing w:val="0"/>
          <w:w w:val="100"/>
          <w:position w:val="0"/>
        </w:rPr>
        <w:t>8</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 象的已获授的全部限制性股票共计</w:t>
      </w:r>
      <w:r>
        <w:rPr>
          <w:rFonts w:ascii="Times New Roman" w:eastAsia="Times New Roman" w:hAnsi="Times New Roman" w:cs="Times New Roman"/>
          <w:color w:val="000000"/>
          <w:spacing w:val="0"/>
          <w:w w:val="100"/>
          <w:position w:val="0"/>
        </w:rPr>
        <w:t>515,200</w:t>
      </w:r>
      <w:r>
        <w:rPr>
          <w:color w:val="000000"/>
          <w:spacing w:val="0"/>
          <w:w w:val="100"/>
          <w:position w:val="0"/>
        </w:rPr>
        <w:t>股。根据回购注销情况，本次回购注销股票数量为</w:t>
      </w:r>
      <w:r>
        <w:rPr>
          <w:rFonts w:ascii="Times New Roman" w:eastAsia="Times New Roman" w:hAnsi="Times New Roman" w:cs="Times New Roman"/>
          <w:color w:val="000000"/>
          <w:spacing w:val="0"/>
          <w:w w:val="100"/>
          <w:position w:val="0"/>
        </w:rPr>
        <w:t>515,200</w:t>
      </w:r>
      <w:r>
        <w:rPr>
          <w:color w:val="000000"/>
          <w:spacing w:val="0"/>
          <w:w w:val="100"/>
          <w:position w:val="0"/>
        </w:rPr>
        <w:t>股，减少注册资本人民 币</w:t>
      </w:r>
      <w:r>
        <w:rPr>
          <w:rFonts w:ascii="Times New Roman" w:eastAsia="Times New Roman" w:hAnsi="Times New Roman" w:cs="Times New Roman"/>
          <w:color w:val="000000"/>
          <w:spacing w:val="0"/>
          <w:w w:val="100"/>
          <w:position w:val="0"/>
        </w:rPr>
        <w:t>515,200.00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449,866,257.00</w:t>
      </w:r>
      <w:r>
        <w:rPr>
          <w:color w:val="000000"/>
          <w:spacing w:val="0"/>
          <w:w w:val="100"/>
          <w:position w:val="0"/>
        </w:rPr>
        <w:t>元。本次减资业经中汇会计师事务所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审验，并于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日出具中汇会验</w:t>
      </w:r>
      <w:r>
        <w:rPr>
          <w:rFonts w:ascii="Times New Roman" w:eastAsia="Times New Roman" w:hAnsi="Times New Roman" w:cs="Times New Roman"/>
          <w:color w:val="000000"/>
          <w:spacing w:val="0"/>
          <w:w w:val="100"/>
          <w:position w:val="0"/>
        </w:rPr>
        <w:t>[2017]4988</w:t>
      </w:r>
      <w:r>
        <w:rPr>
          <w:color w:val="000000"/>
          <w:spacing w:val="0"/>
          <w:w w:val="100"/>
          <w:position w:val="0"/>
        </w:rPr>
        <w:t>号验资报告。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根据公司《关于回购注销部分限制性股票及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年股权激励计划已获授但未达到第二个解锁期条件的限制性 股票的议案》、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日召开的第三届董事会第十四次会议决议、《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 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》和修改后的章程规定，决定回购注销因离职已不符合激励条件的原</w:t>
      </w:r>
      <w:r>
        <w:rPr>
          <w:rFonts w:ascii="Times New Roman" w:eastAsia="Times New Roman" w:hAnsi="Times New Roman" w:cs="Times New Roman"/>
          <w:color w:val="000000"/>
          <w:spacing w:val="0"/>
          <w:w w:val="100"/>
          <w:position w:val="0"/>
        </w:rPr>
        <w:t>15</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 激励对象及原</w:t>
      </w:r>
      <w:r>
        <w:rPr>
          <w:rFonts w:ascii="Times New Roman" w:eastAsia="Times New Roman" w:hAnsi="Times New Roman" w:cs="Times New Roman"/>
          <w:color w:val="000000"/>
          <w:spacing w:val="0"/>
          <w:w w:val="100"/>
          <w:position w:val="0"/>
        </w:rPr>
        <w:t>10</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年限制性股票股权激励对象已获授的全部限制性股票，共计</w:t>
      </w:r>
      <w:r>
        <w:rPr>
          <w:rFonts w:ascii="Times New Roman" w:eastAsia="Times New Roman" w:hAnsi="Times New Roman" w:cs="Times New Roman"/>
          <w:color w:val="000000"/>
          <w:spacing w:val="0"/>
          <w:w w:val="100"/>
          <w:position w:val="0"/>
        </w:rPr>
        <w:t>985,600</w:t>
      </w:r>
      <w:r>
        <w:rPr>
          <w:color w:val="000000"/>
          <w:spacing w:val="0"/>
          <w:w w:val="100"/>
          <w:position w:val="0"/>
        </w:rPr>
        <w:t>股；回购注销由于</w:t>
      </w:r>
      <w:r>
        <w:rPr>
          <w:rFonts w:ascii="Times New Roman" w:eastAsia="Times New Roman" w:hAnsi="Times New Roman" w:cs="Times New Roman"/>
          <w:color w:val="000000"/>
          <w:spacing w:val="0"/>
          <w:w w:val="100"/>
          <w:position w:val="0"/>
        </w:rPr>
        <w:t>2015</w:t>
      </w:r>
      <w:r>
        <w:rPr>
          <w:color w:val="000000"/>
          <w:spacing w:val="0"/>
          <w:w w:val="100"/>
          <w:position w:val="0"/>
        </w:rPr>
        <w:t>年限制性 股票第二个解锁期解锁条件及</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年限制性股票第二个解锁期解锁条件未达成的已获授限制性股票，共计</w:t>
      </w:r>
      <w:r>
        <w:rPr>
          <w:rFonts w:ascii="Times New Roman" w:eastAsia="Times New Roman" w:hAnsi="Times New Roman" w:cs="Times New Roman"/>
          <w:color w:val="000000"/>
          <w:spacing w:val="0"/>
          <w:w w:val="100"/>
          <w:position w:val="0"/>
        </w:rPr>
        <w:t>1,632,000</w:t>
      </w:r>
      <w:r>
        <w:rPr>
          <w:color w:val="000000"/>
          <w:spacing w:val="0"/>
          <w:w w:val="100"/>
          <w:position w:val="0"/>
        </w:rPr>
        <w:t>股，本公 司本次将回购注销限制性股票合计</w:t>
      </w:r>
      <w:r>
        <w:rPr>
          <w:rFonts w:ascii="Times New Roman" w:eastAsia="Times New Roman" w:hAnsi="Times New Roman" w:cs="Times New Roman"/>
          <w:color w:val="000000"/>
          <w:spacing w:val="0"/>
          <w:w w:val="100"/>
          <w:position w:val="0"/>
        </w:rPr>
        <w:t>2,617,600</w:t>
      </w:r>
      <w:r>
        <w:rPr>
          <w:color w:val="000000"/>
          <w:spacing w:val="0"/>
          <w:w w:val="100"/>
          <w:position w:val="0"/>
        </w:rPr>
        <w:t>股，根据回购注销情况，本次回购注销股票数量为</w:t>
      </w:r>
      <w:r>
        <w:rPr>
          <w:rFonts w:ascii="Times New Roman" w:eastAsia="Times New Roman" w:hAnsi="Times New Roman" w:cs="Times New Roman"/>
          <w:color w:val="000000"/>
          <w:spacing w:val="0"/>
          <w:w w:val="100"/>
          <w:position w:val="0"/>
        </w:rPr>
        <w:t>2,617,600</w:t>
      </w:r>
      <w:r>
        <w:rPr>
          <w:color w:val="000000"/>
          <w:spacing w:val="0"/>
          <w:w w:val="100"/>
          <w:position w:val="0"/>
        </w:rPr>
        <w:t>股，减少注册资本人 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,617,600.00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447,248,657.00</w:t>
      </w:r>
      <w:r>
        <w:rPr>
          <w:color w:val="000000"/>
          <w:spacing w:val="0"/>
          <w:w w:val="100"/>
          <w:position w:val="0"/>
        </w:rPr>
        <w:t>元。本次减资业经中汇会计师事务所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 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日出具中汇会验</w:t>
      </w:r>
      <w:r>
        <w:rPr>
          <w:rFonts w:ascii="Times New Roman" w:eastAsia="Times New Roman" w:hAnsi="Times New Roman" w:cs="Times New Roman"/>
          <w:color w:val="000000"/>
          <w:spacing w:val="0"/>
          <w:w w:val="100"/>
          <w:position w:val="0"/>
        </w:rPr>
        <w:t>[2018]3791</w:t>
      </w:r>
      <w:r>
        <w:rPr>
          <w:color w:val="000000"/>
          <w:spacing w:val="0"/>
          <w:w w:val="100"/>
          <w:position w:val="0"/>
        </w:rPr>
        <w:t>号验资报告。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根据本公司《关于回购注销部分限制性股票的议案》、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日召开的第三届董事会第十七次会议决议、《</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》和修改后的章程规定，决定回购注销因离职已不符 合激励条件的原</w:t>
      </w:r>
      <w:r>
        <w:rPr>
          <w:rFonts w:ascii="Times New Roman" w:eastAsia="Times New Roman" w:hAnsi="Times New Roman" w:cs="Times New Roman"/>
          <w:color w:val="000000"/>
          <w:spacing w:val="0"/>
          <w:w w:val="100"/>
          <w:position w:val="0"/>
        </w:rPr>
        <w:t>7</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年限制性股票股权激励对象及原</w:t>
      </w:r>
      <w:r>
        <w:rPr>
          <w:rFonts w:ascii="Times New Roman" w:eastAsia="Times New Roman" w:hAnsi="Times New Roman" w:cs="Times New Roman"/>
          <w:color w:val="000000"/>
          <w:spacing w:val="0"/>
          <w:w w:val="100"/>
          <w:position w:val="0"/>
        </w:rPr>
        <w:t>1</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年限制性股票股权激励对象已获授的全部限制性股票，共计 </w:t>
      </w:r>
      <w:r>
        <w:rPr>
          <w:rFonts w:ascii="Times New Roman" w:eastAsia="Times New Roman" w:hAnsi="Times New Roman" w:cs="Times New Roman"/>
          <w:color w:val="000000"/>
          <w:spacing w:val="0"/>
          <w:w w:val="100"/>
          <w:position w:val="0"/>
        </w:rPr>
        <w:t>192,000</w:t>
      </w:r>
      <w:r>
        <w:rPr>
          <w:color w:val="000000"/>
          <w:spacing w:val="0"/>
          <w:w w:val="100"/>
          <w:position w:val="0"/>
        </w:rPr>
        <w:t>股。根据回购注销情况，本次回购注销股票数量为</w:t>
      </w:r>
      <w:r>
        <w:rPr>
          <w:rFonts w:ascii="Times New Roman" w:eastAsia="Times New Roman" w:hAnsi="Times New Roman" w:cs="Times New Roman"/>
          <w:color w:val="000000"/>
          <w:spacing w:val="0"/>
          <w:w w:val="100"/>
          <w:position w:val="0"/>
        </w:rPr>
        <w:t>192,000</w:t>
      </w:r>
      <w:r>
        <w:rPr>
          <w:color w:val="000000"/>
          <w:spacing w:val="0"/>
          <w:w w:val="100"/>
          <w:position w:val="0"/>
        </w:rPr>
        <w:t>股，减少注册资本人民币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92,000.00</w:t>
      </w:r>
      <w:r>
        <w:rPr>
          <w:color w:val="000000"/>
          <w:spacing w:val="0"/>
          <w:w w:val="100"/>
          <w:position w:val="0"/>
        </w:rPr>
        <w:t>元，变更后的注册资本 为人民币</w:t>
      </w:r>
      <w:r>
        <w:rPr>
          <w:rFonts w:ascii="Times New Roman" w:eastAsia="Times New Roman" w:hAnsi="Times New Roman" w:cs="Times New Roman"/>
          <w:color w:val="000000"/>
          <w:spacing w:val="0"/>
          <w:w w:val="100"/>
          <w:position w:val="0"/>
        </w:rPr>
        <w:t>447,056,657.00</w:t>
      </w:r>
      <w:r>
        <w:rPr>
          <w:color w:val="000000"/>
          <w:spacing w:val="0"/>
          <w:w w:val="100"/>
          <w:position w:val="0"/>
        </w:rPr>
        <w:t>元。本次减资业经中汇会计师事务所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日出具中汇会验 </w:t>
      </w:r>
      <w:r>
        <w:rPr>
          <w:rFonts w:ascii="Times New Roman" w:eastAsia="Times New Roman" w:hAnsi="Times New Roman" w:cs="Times New Roman"/>
          <w:color w:val="000000"/>
          <w:spacing w:val="0"/>
          <w:w w:val="100"/>
          <w:position w:val="0"/>
        </w:rPr>
        <w:t>[2018]4452</w:t>
      </w:r>
      <w:r>
        <w:rPr>
          <w:color w:val="000000"/>
          <w:spacing w:val="0"/>
          <w:w w:val="100"/>
          <w:position w:val="0"/>
        </w:rPr>
        <w:t>号验资报告。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公司的控股股东鹰潭市鹰高投资咨询有限公司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鹰高投资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年发行了</w:t>
      </w:r>
      <w:r>
        <w:rPr>
          <w:rFonts w:ascii="Times New Roman" w:eastAsia="Times New Roman" w:hAnsi="Times New Roman" w:cs="Times New Roman"/>
          <w:color w:val="000000"/>
          <w:spacing w:val="0"/>
          <w:w w:val="100"/>
          <w:position w:val="0"/>
        </w:rPr>
        <w:t>“</w:t>
      </w:r>
      <w:r>
        <w:rPr>
          <w:color w:val="000000"/>
          <w:spacing w:val="0"/>
          <w:w w:val="100"/>
          <w:position w:val="0"/>
        </w:rPr>
        <w:t xml:space="preserve">鹰潭市鹰高投资咨询有限公司 </w:t>
      </w:r>
      <w:r>
        <w:rPr>
          <w:rFonts w:ascii="Times New Roman" w:eastAsia="Times New Roman" w:hAnsi="Times New Roman" w:cs="Times New Roman"/>
          <w:color w:val="000000"/>
          <w:spacing w:val="0"/>
          <w:w w:val="100"/>
          <w:position w:val="0"/>
        </w:rPr>
        <w:t>2017</w:t>
      </w:r>
      <w:r>
        <w:rPr>
          <w:color w:val="000000"/>
          <w:spacing w:val="0"/>
          <w:w w:val="100"/>
          <w:position w:val="0"/>
        </w:rPr>
        <w:t>年非公开发行可交换公司债券</w:t>
      </w:r>
      <w:r>
        <w:rPr>
          <w:rFonts w:ascii="Times New Roman" w:eastAsia="Times New Roman" w:hAnsi="Times New Roman" w:cs="Times New Roman"/>
          <w:color w:val="000000"/>
          <w:spacing w:val="0"/>
          <w:w w:val="100"/>
          <w:position w:val="0"/>
        </w:rPr>
        <w:t>”</w:t>
      </w:r>
      <w:r>
        <w:rPr>
          <w:color w:val="000000"/>
          <w:spacing w:val="0"/>
          <w:w w:val="100"/>
          <w:position w:val="0"/>
        </w:rPr>
        <w:t>，根据有关规定和《鹰潭市鹰高投资咨询有限公司</w:t>
      </w:r>
      <w:r>
        <w:rPr>
          <w:rFonts w:ascii="Times New Roman" w:eastAsia="Times New Roman" w:hAnsi="Times New Roman" w:cs="Times New Roman"/>
          <w:color w:val="000000"/>
          <w:spacing w:val="0"/>
          <w:w w:val="100"/>
          <w:position w:val="0"/>
        </w:rPr>
        <w:t>2017</w:t>
      </w:r>
      <w:r>
        <w:rPr>
          <w:color w:val="000000"/>
          <w:spacing w:val="0"/>
          <w:w w:val="100"/>
          <w:position w:val="0"/>
        </w:rPr>
        <w:t>年非公开发行可交换公司债券募 集说明书》的约定，</w:t>
      </w:r>
      <w:r>
        <w:rPr>
          <w:rFonts w:ascii="Times New Roman" w:eastAsia="Times New Roman" w:hAnsi="Times New Roman" w:cs="Times New Roman"/>
          <w:color w:val="000000"/>
          <w:spacing w:val="0"/>
          <w:w w:val="100"/>
          <w:position w:val="0"/>
        </w:rPr>
        <w:t>“17</w:t>
      </w:r>
      <w:r>
        <w:rPr>
          <w:color w:val="000000"/>
          <w:spacing w:val="0"/>
          <w:w w:val="100"/>
          <w:position w:val="0"/>
        </w:rPr>
        <w:t>鹰高</w:t>
      </w:r>
      <w:r>
        <w:rPr>
          <w:rFonts w:ascii="Times New Roman" w:eastAsia="Times New Roman" w:hAnsi="Times New Roman" w:cs="Times New Roman"/>
          <w:color w:val="000000"/>
          <w:spacing w:val="0"/>
          <w:w w:val="100"/>
          <w:position w:val="0"/>
        </w:rPr>
        <w:t>E1”</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日起可交换为鹰高投资持有的本公司</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日，鹰高投资披 露了《鹰潭市鹰高投资咨询有限公司关于</w:t>
      </w:r>
      <w:r>
        <w:rPr>
          <w:rFonts w:ascii="Times New Roman" w:eastAsia="Times New Roman" w:hAnsi="Times New Roman" w:cs="Times New Roman"/>
          <w:color w:val="000000"/>
          <w:spacing w:val="0"/>
          <w:w w:val="100"/>
          <w:position w:val="0"/>
        </w:rPr>
        <w:t>“17</w:t>
      </w:r>
      <w:r>
        <w:rPr>
          <w:color w:val="000000"/>
          <w:spacing w:val="0"/>
          <w:w w:val="100"/>
          <w:position w:val="0"/>
        </w:rPr>
        <w:t>鹰高</w:t>
      </w:r>
      <w:r>
        <w:rPr>
          <w:rFonts w:ascii="Times New Roman" w:eastAsia="Times New Roman" w:hAnsi="Times New Roman" w:cs="Times New Roman"/>
          <w:color w:val="000000"/>
          <w:spacing w:val="0"/>
          <w:w w:val="100"/>
          <w:position w:val="0"/>
        </w:rPr>
        <w:t>E1”</w:t>
      </w:r>
      <w:r>
        <w:rPr>
          <w:color w:val="000000"/>
          <w:spacing w:val="0"/>
          <w:w w:val="100"/>
          <w:position w:val="0"/>
        </w:rPr>
        <w:t>开始实施换股的公告》，本次债券换股期限自可交换债券发行结束日 满</w:t>
      </w:r>
      <w:r>
        <w:rPr>
          <w:rFonts w:ascii="Times New Roman" w:eastAsia="Times New Roman" w:hAnsi="Times New Roman" w:cs="Times New Roman"/>
          <w:color w:val="000000"/>
          <w:spacing w:val="0"/>
          <w:w w:val="100"/>
          <w:position w:val="0"/>
        </w:rPr>
        <w:t>18</w:t>
      </w:r>
      <w:r>
        <w:rPr>
          <w:color w:val="000000"/>
          <w:spacing w:val="0"/>
          <w:w w:val="100"/>
          <w:position w:val="0"/>
        </w:rPr>
        <w:t>个月后的第一个交易日起至本次债券摘牌日前一交易日止，即自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日，本次可交换债券已完成全部换股</w:t>
      </w:r>
      <w:r>
        <w:rPr>
          <w:rFonts w:ascii="Times New Roman" w:eastAsia="Times New Roman" w:hAnsi="Times New Roman" w:cs="Times New Roman"/>
          <w:color w:val="000000"/>
          <w:spacing w:val="0"/>
          <w:w w:val="100"/>
          <w:position w:val="0"/>
        </w:rPr>
        <w:t>34,489,564</w:t>
      </w:r>
      <w:r>
        <w:rPr>
          <w:color w:val="000000"/>
          <w:spacing w:val="0"/>
          <w:w w:val="100"/>
          <w:position w:val="0"/>
        </w:rPr>
        <w:t>股。</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根据本公司《关于回购注销部分限制性股票的议案》、《</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 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日第三届董事会第二十一次会议和第三届监事会第十七次会议决议、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年股东大会决议和修改后章程的规定，决定回购注销因离职已不符合激励条件的原</w:t>
      </w:r>
      <w:r>
        <w:rPr>
          <w:rFonts w:ascii="Times New Roman" w:eastAsia="Times New Roman" w:hAnsi="Times New Roman" w:cs="Times New Roman"/>
          <w:color w:val="000000"/>
          <w:spacing w:val="0"/>
          <w:w w:val="100"/>
          <w:position w:val="0"/>
        </w:rPr>
        <w:t>8</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年限制性股票股权激励对象及原</w:t>
      </w:r>
      <w:r>
        <w:rPr>
          <w:rFonts w:ascii="Times New Roman" w:eastAsia="Times New Roman" w:hAnsi="Times New Roman" w:cs="Times New Roman"/>
          <w:color w:val="000000"/>
          <w:spacing w:val="0"/>
          <w:w w:val="100"/>
          <w:position w:val="0"/>
        </w:rPr>
        <w:t xml:space="preserve">6 </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年限制性股票股权激励对象已获授但尚未解锁的限制性股票共计</w:t>
      </w:r>
      <w:r>
        <w:rPr>
          <w:rFonts w:ascii="Times New Roman" w:eastAsia="Times New Roman" w:hAnsi="Times New Roman" w:cs="Times New Roman"/>
          <w:color w:val="000000"/>
          <w:spacing w:val="0"/>
          <w:w w:val="100"/>
          <w:position w:val="0"/>
        </w:rPr>
        <w:t>26.88</w:t>
      </w:r>
      <w:r>
        <w:rPr>
          <w:color w:val="000000"/>
          <w:spacing w:val="0"/>
          <w:w w:val="100"/>
          <w:position w:val="0"/>
        </w:rPr>
        <w:t>万股。根据回购注销情况，本次回购注销股票 数量为</w:t>
      </w:r>
      <w:r>
        <w:rPr>
          <w:rFonts w:ascii="Times New Roman" w:eastAsia="Times New Roman" w:hAnsi="Times New Roman" w:cs="Times New Roman"/>
          <w:color w:val="000000"/>
          <w:spacing w:val="0"/>
          <w:w w:val="100"/>
          <w:position w:val="0"/>
        </w:rPr>
        <w:t>268,800</w:t>
      </w:r>
      <w:r>
        <w:rPr>
          <w:color w:val="000000"/>
          <w:spacing w:val="0"/>
          <w:w w:val="100"/>
          <w:position w:val="0"/>
        </w:rPr>
        <w:t>股，减少注册资本人民币</w:t>
      </w:r>
      <w:r>
        <w:rPr>
          <w:rFonts w:ascii="Times New Roman" w:eastAsia="Times New Roman" w:hAnsi="Times New Roman" w:cs="Times New Roman"/>
          <w:color w:val="000000"/>
          <w:spacing w:val="0"/>
          <w:w w:val="100"/>
          <w:position w:val="0"/>
        </w:rPr>
        <w:t>268,800.00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446,787,857.00</w:t>
      </w:r>
      <w:r>
        <w:rPr>
          <w:color w:val="000000"/>
          <w:spacing w:val="0"/>
          <w:w w:val="100"/>
          <w:position w:val="0"/>
        </w:rPr>
        <w:t>元。本次减资业经中汇会计 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日出具中汇会验</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3948</w:t>
      </w:r>
      <w:r>
        <w:rPr>
          <w:color w:val="000000"/>
          <w:spacing w:val="0"/>
          <w:w w:val="100"/>
          <w:position w:val="0"/>
        </w:rPr>
        <w:t>号验资报告。</w:t>
      </w:r>
    </w:p>
    <w:p>
      <w:pPr>
        <w:pStyle w:val="Style2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根据本公司《关于回购注销部分限制性股票的议案》、《</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日第三届 董事会第二十四次会议和第三届监事会第十九次会议决议、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日第三届董事会第二十六次会议和第三届监事会第 二十一次会议决议、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年第一次临时股东大会决议和修改后章程的规定，决定回购注销因离职已不 符合激励条件的原</w:t>
      </w:r>
      <w:r>
        <w:rPr>
          <w:rFonts w:ascii="Times New Roman" w:eastAsia="Times New Roman" w:hAnsi="Times New Roman" w:cs="Times New Roman"/>
          <w:color w:val="000000"/>
          <w:spacing w:val="0"/>
          <w:w w:val="100"/>
          <w:position w:val="0"/>
        </w:rPr>
        <w:t>2</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年限制性股票股权激励对象已获授的全部限制性股票共计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.56</w:t>
      </w:r>
      <w:r>
        <w:rPr>
          <w:color w:val="000000"/>
          <w:spacing w:val="0"/>
          <w:w w:val="100"/>
          <w:position w:val="0"/>
        </w:rPr>
        <w:t>万股。根据回购注销情况，本次回 购注销股票数量为</w:t>
      </w:r>
      <w:r>
        <w:rPr>
          <w:rFonts w:ascii="Times New Roman" w:eastAsia="Times New Roman" w:hAnsi="Times New Roman" w:cs="Times New Roman"/>
          <w:color w:val="000000"/>
          <w:spacing w:val="0"/>
          <w:w w:val="100"/>
          <w:position w:val="0"/>
        </w:rPr>
        <w:t>2.56</w:t>
      </w:r>
      <w:r>
        <w:rPr>
          <w:color w:val="000000"/>
          <w:spacing w:val="0"/>
          <w:w w:val="100"/>
          <w:position w:val="0"/>
        </w:rPr>
        <w:t>万股，减少注册资本人民币</w:t>
      </w:r>
      <w:r>
        <w:rPr>
          <w:rFonts w:ascii="Times New Roman" w:eastAsia="Times New Roman" w:hAnsi="Times New Roman" w:cs="Times New Roman"/>
          <w:color w:val="000000"/>
          <w:spacing w:val="0"/>
          <w:w w:val="100"/>
          <w:position w:val="0"/>
        </w:rPr>
        <w:t>25,600.00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446,762,257.00</w:t>
      </w:r>
      <w:r>
        <w:rPr>
          <w:color w:val="000000"/>
          <w:spacing w:val="0"/>
          <w:w w:val="100"/>
          <w:position w:val="0"/>
        </w:rPr>
        <w:t>元。本次减资业经 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日出具中汇会验</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5173</w:t>
      </w:r>
      <w:r>
        <w:rPr>
          <w:color w:val="000000"/>
          <w:spacing w:val="0"/>
          <w:w w:val="100"/>
          <w:position w:val="0"/>
        </w:rPr>
        <w:t>号验资报告。公司于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 中国证券登记结算有限责任公司深圳分公司完成本次回购注销。</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日，公司股本结构如下:</w:t>
      </w:r>
    </w:p>
    <w:tbl>
      <w:tblPr>
        <w:tblOverlap w:val="never"/>
        <w:jc w:val="center"/>
        <w:tblLayout w:type="fixed"/>
      </w:tblPr>
      <w:tblGrid>
        <w:gridCol w:w="5366"/>
        <w:gridCol w:w="1699"/>
        <w:gridCol w:w="1488"/>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所持股份</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101,886,476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银联科技有限公司</w:t>
            </w:r>
            <w:r>
              <w:rPr>
                <w:rFonts w:ascii="Times New Roman" w:eastAsia="Times New Roman" w:hAnsi="Times New Roman" w:cs="Times New Roman"/>
                <w:color w:val="000000"/>
                <w:spacing w:val="0"/>
                <w:w w:val="100"/>
                <w:position w:val="0"/>
              </w:rPr>
              <w:t>(Silver Team Technology Limited)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307,774,201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68.89</w:t>
            </w:r>
          </w:p>
        </w:tc>
      </w:tr>
    </w:tbl>
    <w:p>
      <w:pPr>
        <w:widowControl w:val="0"/>
        <w:spacing w:line="1" w:lineRule="exact"/>
      </w:pPr>
    </w:p>
    <w:tbl>
      <w:tblPr>
        <w:tblOverlap w:val="never"/>
        <w:jc w:val="center"/>
        <w:tblLayout w:type="fixed"/>
      </w:tblPr>
      <w:tblGrid>
        <w:gridCol w:w="5366"/>
        <w:gridCol w:w="1699"/>
        <w:gridCol w:w="1488"/>
      </w:tblGrid>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本公司的基本组织架构：根据国家法律法规和公司章程的规定，建立了由股东大会、董事会、监事会及经营管理层组 成的规范的多层次治理结构；董事会下设战略委员会、薪酬与考核委员会、提名委员会、审计与风险控制委员会等四个专门 委员会和董事会办公室。公司下设软件金融事业群、系统集成事业部、保险软件中心、战略投资部、运营管理部、财务部、 人力资源部、市场部、行管部等主要职能部门。</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本公司属软件和信息技术服务业。经营范围为：开发计算机软件及配套硬件、系统集成；销售自产产品、批发机电设 备产品；售后技术服务、技术咨询；承接计算机网络工程安装。</w:t>
      </w:r>
      <w:r>
        <w:rPr>
          <w:color w:val="000000"/>
          <w:spacing w:val="0"/>
          <w:w w:val="100"/>
          <w:position w:val="0"/>
        </w:rPr>
        <w:t>（</w:t>
      </w:r>
      <w:r>
        <w:rPr>
          <w:color w:val="000000"/>
          <w:spacing w:val="0"/>
          <w:w w:val="100"/>
          <w:position w:val="0"/>
        </w:rPr>
        <w:t>上述经营范围不涉及国营贸易管理商品；涉及配额、许可 证管理商品的按照国家有关规定办理申请。</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依法须经批准的项目，经相关部门批准后依批准的内容开展经营活动。</w:t>
      </w:r>
      <w:r>
        <w:rPr>
          <w:color w:val="000000"/>
          <w:spacing w:val="0"/>
          <w:w w:val="100"/>
          <w:position w:val="0"/>
        </w:rPr>
        <w:t>）</w:t>
      </w:r>
      <w:r>
        <w:rPr>
          <w:color w:val="000000"/>
          <w:spacing w:val="0"/>
          <w:w w:val="100"/>
          <w:position w:val="0"/>
        </w:rPr>
        <w:t>主营业 务为</w:t>
      </w:r>
      <w:r>
        <w:rPr>
          <w:rFonts w:ascii="Times New Roman" w:eastAsia="Times New Roman" w:hAnsi="Times New Roman" w:cs="Times New Roman"/>
          <w:color w:val="000000"/>
          <w:spacing w:val="0"/>
          <w:w w:val="100"/>
          <w:position w:val="0"/>
        </w:rPr>
        <w:t>IT</w:t>
      </w:r>
      <w:r>
        <w:rPr>
          <w:color w:val="000000"/>
          <w:spacing w:val="0"/>
          <w:w w:val="100"/>
          <w:position w:val="0"/>
        </w:rPr>
        <w:t>服务，包括软件开发及服务和系统集成及服务；移动广告营销，包括移动数据推广、专有品牌推广、自有平台广告、 电商推广、第三方平台广告、小说代理业务。</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本财务报表及财务报表附注已于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日经公司第四届董事会第十八次会议批准对外报出。</w:t>
      </w:r>
    </w:p>
    <w:p>
      <w:pPr>
        <w:pStyle w:val="Style23"/>
        <w:keepNext w:val="0"/>
        <w:keepLines w:val="0"/>
        <w:widowControl w:val="0"/>
        <w:shd w:val="clear" w:color="auto" w:fill="auto"/>
        <w:bidi w:val="0"/>
        <w:spacing w:before="0" w:after="360" w:line="313" w:lineRule="exact"/>
        <w:ind w:left="200" w:right="0" w:firstLine="14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22</w:t>
      </w:r>
      <w:r>
        <w:rPr>
          <w:color w:val="000000"/>
          <w:spacing w:val="0"/>
          <w:w w:val="100"/>
          <w:position w:val="0"/>
        </w:rPr>
        <w:t>家，详见附注九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。与上年度相比，本公司本年度合并 范围增加</w:t>
      </w:r>
      <w:r>
        <w:rPr>
          <w:rFonts w:ascii="Times New Roman" w:eastAsia="Times New Roman" w:hAnsi="Times New Roman" w:cs="Times New Roman"/>
          <w:color w:val="000000"/>
          <w:spacing w:val="0"/>
          <w:w w:val="100"/>
          <w:position w:val="0"/>
        </w:rPr>
        <w:t>3</w:t>
      </w:r>
      <w:r>
        <w:rPr>
          <w:color w:val="000000"/>
          <w:spacing w:val="0"/>
          <w:w w:val="100"/>
          <w:position w:val="0"/>
        </w:rPr>
        <w:t>家，注销和转让</w:t>
      </w:r>
      <w:r>
        <w:rPr>
          <w:rFonts w:ascii="Times New Roman" w:eastAsia="Times New Roman" w:hAnsi="Times New Roman" w:cs="Times New Roman"/>
          <w:color w:val="000000"/>
          <w:spacing w:val="0"/>
          <w:w w:val="100"/>
          <w:position w:val="0"/>
        </w:rPr>
        <w:t>4</w:t>
      </w:r>
      <w:r>
        <w:rPr>
          <w:color w:val="000000"/>
          <w:spacing w:val="0"/>
          <w:w w:val="100"/>
          <w:position w:val="0"/>
        </w:rPr>
        <w:t>家，详见附注六</w:t>
      </w:r>
      <w:r>
        <w:rPr>
          <w:rFonts w:ascii="Times New Roman" w:eastAsia="Times New Roman" w:hAnsi="Times New Roman" w:cs="Times New Roman"/>
          <w:color w:val="000000"/>
          <w:spacing w:val="0"/>
          <w:w w:val="100"/>
          <w:position w:val="0"/>
        </w:rPr>
        <w:t>“</w:t>
      </w:r>
      <w:r>
        <w:rPr>
          <w:color w:val="000000"/>
          <w:spacing w:val="0"/>
          <w:w w:val="100"/>
          <w:position w:val="0"/>
        </w:rPr>
        <w:t>合并范围的变更七</w:t>
      </w:r>
    </w:p>
    <w:p>
      <w:pPr>
        <w:pStyle w:val="Style27"/>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sz w:val="24"/>
          <w:szCs w:val="24"/>
        </w:rPr>
        <w:t>四</w:t>
      </w:r>
      <w:bookmarkEnd w:id="710"/>
      <w:r>
        <w:rPr>
          <w:color w:val="000000"/>
          <w:spacing w:val="0"/>
          <w:w w:val="100"/>
          <w:position w:val="0"/>
          <w:sz w:val="24"/>
          <w:szCs w:val="24"/>
        </w:rPr>
        <w:t>、财务报表的编制基础</w:t>
      </w:r>
      <w:bookmarkEnd w:id="708"/>
      <w:bookmarkEnd w:id="709"/>
      <w:bookmarkEnd w:id="711"/>
    </w:p>
    <w:p>
      <w:pPr>
        <w:pStyle w:val="Style32"/>
        <w:keepNext/>
        <w:keepLines/>
        <w:widowControl w:val="0"/>
        <w:shd w:val="clear" w:color="auto" w:fill="auto"/>
        <w:bidi w:val="0"/>
        <w:spacing w:before="0" w:after="200" w:line="326"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、编制基础</w:t>
      </w:r>
      <w:bookmarkEnd w:id="712"/>
      <w:bookmarkEnd w:id="713"/>
      <w:bookmarkEnd w:id="715"/>
    </w:p>
    <w:p>
      <w:pPr>
        <w:pStyle w:val="Style41"/>
        <w:keepNext w:val="0"/>
        <w:keepLines w:val="0"/>
        <w:widowControl w:val="0"/>
        <w:shd w:val="clear" w:color="auto" w:fill="auto"/>
        <w:bidi w:val="0"/>
        <w:spacing w:before="0" w:after="600" w:line="313" w:lineRule="exact"/>
        <w:ind w:left="0" w:right="0" w:firstLine="440"/>
        <w:jc w:val="both"/>
        <w:rPr>
          <w:sz w:val="20"/>
          <w:szCs w:val="20"/>
        </w:rPr>
      </w:pPr>
      <w:r>
        <w:rPr>
          <w:color w:val="000000"/>
          <w:spacing w:val="0"/>
          <w:w w:val="100"/>
          <w:position w:val="0"/>
          <w:sz w:val="20"/>
          <w:szCs w:val="20"/>
        </w:rPr>
        <w:t>本公司以持续经营为基础，根据实际发生的交易和事项，按照财政部颁布的《企业会计准则一基本 准则》和各项具体会计准则、企业会计准则应用指南、企业会计准则解释及其他相关规定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 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号——财务报告的一 般规定》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年修订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，以及深圳证券交易所《深圳证券交易所行业信息披露指引第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号一上市公司从 事软件与信息技术服务业务》的披露规定编制财务报表。</w:t>
      </w:r>
    </w:p>
    <w:p>
      <w:pPr>
        <w:pStyle w:val="Style32"/>
        <w:keepNext/>
        <w:keepLines/>
        <w:widowControl w:val="0"/>
        <w:shd w:val="clear" w:color="auto" w:fill="auto"/>
        <w:bidi w:val="0"/>
        <w:spacing w:before="0" w:after="280" w:line="309" w:lineRule="exact"/>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、持续经营</w:t>
      </w:r>
      <w:bookmarkEnd w:id="716"/>
      <w:bookmarkEnd w:id="717"/>
      <w:bookmarkEnd w:id="719"/>
    </w:p>
    <w:p>
      <w:pPr>
        <w:pStyle w:val="Style41"/>
        <w:keepNext w:val="0"/>
        <w:keepLines w:val="0"/>
        <w:widowControl w:val="0"/>
        <w:shd w:val="clear" w:color="auto" w:fill="auto"/>
        <w:bidi w:val="0"/>
        <w:spacing w:before="0" w:line="309" w:lineRule="exact"/>
        <w:ind w:left="0" w:right="0" w:firstLine="440"/>
        <w:jc w:val="left"/>
        <w:rPr>
          <w:sz w:val="20"/>
          <w:szCs w:val="20"/>
        </w:rPr>
      </w:pPr>
      <w:r>
        <w:rPr>
          <w:color w:val="000000"/>
          <w:spacing w:val="0"/>
          <w:w w:val="100"/>
          <w:position w:val="0"/>
          <w:sz w:val="20"/>
          <w:szCs w:val="20"/>
        </w:rPr>
        <w:t>本公司不存在导致对报告期末起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个月内的持续经营假设产生重大疑虑的事项或情况。</w:t>
      </w:r>
    </w:p>
    <w:p>
      <w:pPr>
        <w:pStyle w:val="Style27"/>
        <w:keepNext/>
        <w:keepLines/>
        <w:widowControl w:val="0"/>
        <w:shd w:val="clear" w:color="auto" w:fill="auto"/>
        <w:bidi w:val="0"/>
        <w:spacing w:before="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sz w:val="24"/>
          <w:szCs w:val="24"/>
        </w:rPr>
        <w:t>五</w:t>
      </w:r>
      <w:bookmarkEnd w:id="722"/>
      <w:r>
        <w:rPr>
          <w:color w:val="000000"/>
          <w:spacing w:val="0"/>
          <w:w w:val="100"/>
          <w:position w:val="0"/>
          <w:sz w:val="24"/>
          <w:szCs w:val="24"/>
        </w:rPr>
        <w:t>、重要会计政策及会计估计</w:t>
      </w:r>
      <w:bookmarkEnd w:id="720"/>
      <w:bookmarkEnd w:id="721"/>
      <w:bookmarkEnd w:id="723"/>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41"/>
        <w:keepNext w:val="0"/>
        <w:keepLines w:val="0"/>
        <w:widowControl w:val="0"/>
        <w:shd w:val="clear" w:color="auto" w:fill="auto"/>
        <w:bidi w:val="0"/>
        <w:spacing w:before="0" w:after="280" w:line="309" w:lineRule="exact"/>
        <w:ind w:left="0" w:right="0" w:firstLine="440"/>
        <w:jc w:val="both"/>
      </w:pPr>
      <w:r>
        <w:rPr>
          <w:color w:val="000000"/>
          <w:spacing w:val="0"/>
          <w:w w:val="100"/>
          <w:position w:val="0"/>
          <w:sz w:val="20"/>
          <w:szCs w:val="20"/>
        </w:rPr>
        <w:t>本公司及各子公司根据实际生产经营特点，依据相关企业会计准则的规定，对应收款项预期信用减值 的确定方法及会计处理方法、固定资产折旧政策、无形资产摊销政策、研发费用资本化条件、长期待摊费 用摊销政策和收入确认原则等交易和事项指定了若干具体会计政策和会计估计，具体会计政策参见</w:t>
      </w:r>
      <w:r>
        <w:rPr>
          <w:color w:val="000000"/>
          <w:spacing w:val="0"/>
          <w:w w:val="100"/>
          <w:position w:val="0"/>
        </w:rPr>
        <w:t xml:space="preserve">附注五 </w:t>
      </w:r>
      <w:r>
        <w:rPr>
          <w:rFonts w:ascii="Times New Roman" w:eastAsia="Times New Roman" w:hAnsi="Times New Roman" w:cs="Times New Roman"/>
          <w:color w:val="000000"/>
          <w:spacing w:val="0"/>
          <w:w w:val="100"/>
          <w:position w:val="0"/>
        </w:rPr>
        <w:t>11</w:t>
      </w:r>
      <w:r>
        <w:rPr>
          <w:color w:val="000000"/>
          <w:spacing w:val="0"/>
          <w:w w:val="100"/>
          <w:position w:val="0"/>
        </w:rPr>
        <w:t>、附注五</w:t>
      </w:r>
      <w:r>
        <w:rPr>
          <w:rFonts w:ascii="Times New Roman" w:eastAsia="Times New Roman" w:hAnsi="Times New Roman" w:cs="Times New Roman"/>
          <w:color w:val="000000"/>
          <w:spacing w:val="0"/>
          <w:w w:val="100"/>
          <w:position w:val="0"/>
        </w:rPr>
        <w:t>12</w:t>
      </w:r>
      <w:r>
        <w:rPr>
          <w:color w:val="000000"/>
          <w:spacing w:val="0"/>
          <w:w w:val="100"/>
          <w:position w:val="0"/>
        </w:rPr>
        <w:t>、附注五</w:t>
      </w:r>
      <w:r>
        <w:rPr>
          <w:rFonts w:ascii="Times New Roman" w:eastAsia="Times New Roman" w:hAnsi="Times New Roman" w:cs="Times New Roman"/>
          <w:color w:val="000000"/>
          <w:spacing w:val="0"/>
          <w:w w:val="100"/>
          <w:position w:val="0"/>
        </w:rPr>
        <w:t>13</w:t>
      </w:r>
      <w:r>
        <w:rPr>
          <w:color w:val="000000"/>
          <w:spacing w:val="0"/>
          <w:w w:val="100"/>
          <w:position w:val="0"/>
        </w:rPr>
        <w:t>、附注五</w:t>
      </w:r>
      <w:r>
        <w:rPr>
          <w:rFonts w:ascii="Times New Roman" w:eastAsia="Times New Roman" w:hAnsi="Times New Roman" w:cs="Times New Roman"/>
          <w:color w:val="000000"/>
          <w:spacing w:val="0"/>
          <w:w w:val="100"/>
          <w:position w:val="0"/>
        </w:rPr>
        <w:t>24</w:t>
      </w:r>
      <w:r>
        <w:rPr>
          <w:color w:val="000000"/>
          <w:spacing w:val="0"/>
          <w:w w:val="100"/>
          <w:position w:val="0"/>
        </w:rPr>
        <w:t>、注五</w:t>
      </w:r>
      <w:r>
        <w:rPr>
          <w:rFonts w:ascii="Times New Roman" w:eastAsia="Times New Roman" w:hAnsi="Times New Roman" w:cs="Times New Roman"/>
          <w:color w:val="000000"/>
          <w:spacing w:val="0"/>
          <w:w w:val="100"/>
          <w:position w:val="0"/>
        </w:rPr>
        <w:t>32</w:t>
      </w:r>
      <w:r>
        <w:rPr>
          <w:color w:val="000000"/>
          <w:spacing w:val="0"/>
          <w:w w:val="100"/>
          <w:position w:val="0"/>
        </w:rPr>
        <w:t>、附注五</w:t>
      </w:r>
      <w:r>
        <w:rPr>
          <w:rFonts w:ascii="Times New Roman" w:eastAsia="Times New Roman" w:hAnsi="Times New Roman" w:cs="Times New Roman"/>
          <w:color w:val="000000"/>
          <w:spacing w:val="0"/>
          <w:w w:val="100"/>
          <w:position w:val="0"/>
        </w:rPr>
        <w:t>39</w:t>
      </w:r>
      <w:r>
        <w:rPr>
          <w:color w:val="000000"/>
          <w:spacing w:val="0"/>
          <w:w w:val="100"/>
          <w:position w:val="0"/>
        </w:rPr>
        <w:t>等相关说明。</w:t>
      </w:r>
    </w:p>
    <w:p>
      <w:pPr>
        <w:pStyle w:val="Style32"/>
        <w:keepNext/>
        <w:keepLines/>
        <w:widowControl w:val="0"/>
        <w:shd w:val="clear" w:color="auto" w:fill="auto"/>
        <w:bidi w:val="0"/>
        <w:spacing w:before="0" w:after="280" w:line="309" w:lineRule="exact"/>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color w:val="000000"/>
          <w:spacing w:val="0"/>
          <w:w w:val="100"/>
          <w:position w:val="0"/>
        </w:rPr>
        <w:t>、遵循企业会计准则的声明</w:t>
      </w:r>
      <w:bookmarkEnd w:id="724"/>
      <w:bookmarkEnd w:id="725"/>
      <w:bookmarkEnd w:id="727"/>
    </w:p>
    <w:p>
      <w:pPr>
        <w:pStyle w:val="Style41"/>
        <w:keepNext w:val="0"/>
        <w:keepLines w:val="0"/>
        <w:widowControl w:val="0"/>
        <w:shd w:val="clear" w:color="auto" w:fill="auto"/>
        <w:bidi w:val="0"/>
        <w:spacing w:before="0" w:after="320" w:line="312" w:lineRule="exact"/>
        <w:ind w:left="0" w:right="0" w:firstLine="440"/>
        <w:jc w:val="both"/>
        <w:rPr>
          <w:sz w:val="20"/>
          <w:szCs w:val="20"/>
        </w:rPr>
      </w:pPr>
      <w:r>
        <w:rPr>
          <w:color w:val="000000"/>
          <w:spacing w:val="0"/>
          <w:w w:val="100"/>
          <w:position w:val="0"/>
          <w:sz w:val="20"/>
          <w:szCs w:val="20"/>
        </w:rPr>
        <w:t>本公司编制的财务报表符合企业会计准则的要求，真实、完整地反映了公司的财务状况、经营成果和 现金流量等有关信息。</w:t>
      </w:r>
    </w:p>
    <w:p>
      <w:pPr>
        <w:pStyle w:val="Style32"/>
        <w:keepNext/>
        <w:keepLines/>
        <w:widowControl w:val="0"/>
        <w:shd w:val="clear" w:color="auto" w:fill="auto"/>
        <w:bidi w:val="0"/>
        <w:spacing w:before="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color w:val="000000"/>
          <w:spacing w:val="0"/>
          <w:w w:val="100"/>
          <w:position w:val="0"/>
        </w:rPr>
        <w:t>、会计期间</w:t>
      </w:r>
      <w:bookmarkEnd w:id="728"/>
      <w:bookmarkEnd w:id="729"/>
      <w:bookmarkEnd w:id="731"/>
    </w:p>
    <w:p>
      <w:pPr>
        <w:pStyle w:val="Style41"/>
        <w:keepNext w:val="0"/>
        <w:keepLines w:val="0"/>
        <w:widowControl w:val="0"/>
        <w:shd w:val="clear" w:color="auto" w:fill="auto"/>
        <w:bidi w:val="0"/>
        <w:spacing w:before="0" w:after="600" w:line="240" w:lineRule="auto"/>
        <w:ind w:left="0" w:right="0" w:firstLine="440"/>
        <w:jc w:val="both"/>
        <w:rPr>
          <w:sz w:val="20"/>
          <w:szCs w:val="20"/>
        </w:rPr>
      </w:pPr>
      <w:r>
        <w:rPr>
          <w:color w:val="000000"/>
          <w:spacing w:val="0"/>
          <w:w w:val="100"/>
          <w:position w:val="0"/>
          <w:sz w:val="20"/>
          <w:szCs w:val="20"/>
        </w:rPr>
        <w:t>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32"/>
        <w:keepNext/>
        <w:keepLines/>
        <w:widowControl w:val="0"/>
        <w:shd w:val="clear" w:color="auto" w:fill="auto"/>
        <w:bidi w:val="0"/>
        <w:spacing w:before="0" w:after="280" w:line="326" w:lineRule="exact"/>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3</w:t>
      </w:r>
      <w:bookmarkEnd w:id="734"/>
      <w:r>
        <w:rPr>
          <w:color w:val="000000"/>
          <w:spacing w:val="0"/>
          <w:w w:val="100"/>
          <w:position w:val="0"/>
        </w:rPr>
        <w:t>、营业周期</w:t>
      </w:r>
      <w:bookmarkEnd w:id="732"/>
      <w:bookmarkEnd w:id="733"/>
      <w:bookmarkEnd w:id="735"/>
    </w:p>
    <w:p>
      <w:pPr>
        <w:pStyle w:val="Style41"/>
        <w:keepNext w:val="0"/>
        <w:keepLines w:val="0"/>
        <w:widowControl w:val="0"/>
        <w:shd w:val="clear" w:color="auto" w:fill="auto"/>
        <w:bidi w:val="0"/>
        <w:spacing w:before="0" w:after="600" w:line="326" w:lineRule="exact"/>
        <w:ind w:left="0" w:right="0" w:firstLine="440"/>
        <w:jc w:val="both"/>
        <w:rPr>
          <w:sz w:val="20"/>
          <w:szCs w:val="20"/>
        </w:rPr>
      </w:pPr>
      <w:r>
        <w:rPr>
          <w:color w:val="000000"/>
          <w:spacing w:val="0"/>
          <w:w w:val="100"/>
          <w:position w:val="0"/>
          <w:sz w:val="20"/>
          <w:szCs w:val="2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作为一个营业周期，并以其作为资产和负债的流动性划分标准。</w:t>
      </w:r>
    </w:p>
    <w:p>
      <w:pPr>
        <w:pStyle w:val="Style32"/>
        <w:keepNext/>
        <w:keepLines/>
        <w:widowControl w:val="0"/>
        <w:shd w:val="clear" w:color="auto" w:fill="auto"/>
        <w:bidi w:val="0"/>
        <w:spacing w:before="0" w:after="280" w:line="317" w:lineRule="exact"/>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4</w:t>
      </w:r>
      <w:bookmarkEnd w:id="738"/>
      <w:r>
        <w:rPr>
          <w:color w:val="000000"/>
          <w:spacing w:val="0"/>
          <w:w w:val="100"/>
          <w:position w:val="0"/>
        </w:rPr>
        <w:t>、记账本位币</w:t>
      </w:r>
      <w:bookmarkEnd w:id="736"/>
      <w:bookmarkEnd w:id="737"/>
      <w:bookmarkEnd w:id="739"/>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本公司及境内子公司采用人民币为记账本位币。本公司境外子公司根据其经营所处的主要经济环境中 的货币确定美元、港币为其记账本位币，编制财务报表时折算为人民币。</w:t>
      </w:r>
    </w:p>
    <w:p>
      <w:pPr>
        <w:pStyle w:val="Style41"/>
        <w:keepNext w:val="0"/>
        <w:keepLines w:val="0"/>
        <w:widowControl w:val="0"/>
        <w:shd w:val="clear" w:color="auto" w:fill="auto"/>
        <w:bidi w:val="0"/>
        <w:spacing w:before="0" w:after="600"/>
        <w:ind w:left="0" w:right="0" w:firstLine="440"/>
        <w:jc w:val="both"/>
        <w:rPr>
          <w:sz w:val="20"/>
          <w:szCs w:val="20"/>
        </w:rPr>
      </w:pPr>
      <w:r>
        <w:rPr>
          <w:color w:val="000000"/>
          <w:spacing w:val="0"/>
          <w:w w:val="100"/>
          <w:position w:val="0"/>
          <w:sz w:val="20"/>
          <w:szCs w:val="20"/>
        </w:rPr>
        <w:t>本公司编制本财务报表时所采用的货币为人民币。</w:t>
      </w:r>
    </w:p>
    <w:p>
      <w:pPr>
        <w:pStyle w:val="Style32"/>
        <w:keepNext/>
        <w:keepLines/>
        <w:widowControl w:val="0"/>
        <w:shd w:val="clear" w:color="auto" w:fill="auto"/>
        <w:bidi w:val="0"/>
        <w:spacing w:before="0" w:after="280" w:line="313" w:lineRule="exact"/>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5</w:t>
      </w:r>
      <w:bookmarkEnd w:id="742"/>
      <w:r>
        <w:rPr>
          <w:color w:val="000000"/>
          <w:spacing w:val="0"/>
          <w:w w:val="100"/>
          <w:position w:val="0"/>
        </w:rPr>
        <w:t>、同一控制下和非同一控制下企业合并的会计处理方法</w:t>
      </w:r>
      <w:bookmarkEnd w:id="740"/>
      <w:bookmarkEnd w:id="741"/>
      <w:bookmarkEnd w:id="743"/>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企业合并，是指将两个或两个以上单独的企业合并形成一个报告主体的交易或事项。企业合并分为同 一控制下企业合并和非同一控制下企业合并。</w:t>
      </w:r>
    </w:p>
    <w:p>
      <w:pPr>
        <w:pStyle w:val="Style41"/>
        <w:keepNext w:val="0"/>
        <w:keepLines w:val="0"/>
        <w:widowControl w:val="0"/>
        <w:numPr>
          <w:ilvl w:val="0"/>
          <w:numId w:val="27"/>
        </w:numPr>
        <w:shd w:val="clear" w:color="auto" w:fill="auto"/>
        <w:tabs>
          <w:tab w:pos="683" w:val="left"/>
        </w:tabs>
        <w:bidi w:val="0"/>
        <w:spacing w:before="0" w:after="0" w:line="326" w:lineRule="auto"/>
        <w:ind w:left="0" w:right="0" w:firstLine="440"/>
        <w:jc w:val="both"/>
        <w:rPr>
          <w:sz w:val="20"/>
          <w:szCs w:val="20"/>
        </w:rPr>
      </w:pPr>
      <w:bookmarkStart w:id="744" w:name="bookmark744"/>
      <w:bookmarkEnd w:id="744"/>
      <w:r>
        <w:rPr>
          <w:color w:val="000000"/>
          <w:spacing w:val="0"/>
          <w:w w:val="100"/>
          <w:position w:val="0"/>
          <w:sz w:val="20"/>
          <w:szCs w:val="20"/>
        </w:rPr>
        <w:t>.同一控制下企业合并的会计处理</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参与合并的企业在合并前后均受同一方或相同的多方最终控制，且该控制并非暂时性的，为同一控制 下的企业合并。</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公司在企业合并中取得的被合并方的资产、负债，除因会计政策不同而进行的调整以外，按照合并日 被合并方在最终控制方合并财务报表中的账面价值计量。公司取得的被合并方所有者权益在最终控制方合 并财务报表中的账面价值的份额与支付的合并对价账面价值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或发行股份面值总额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的差额，调整资本公积; 资本公积不足冲减的，调整留存收益。</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通过多次交易分步实现同一控制下的企业合并，合并前持有投资的账面价值加上合并日新支付对价的 账面价值之和，与合并中取得的净资产账面价值的差额，调整资本公积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，资本公积不足冲减的， 调整留存收益。合并方在取得被合并方控制权之前持有的长期股权投资，在取得原股权之日与合并方与被 合并方同处于同一方最终控制之日孰晚日起至合并日之间已确认有关损益、其他综合收益和其他所有者权 益变动，应分别冲减比较报表期间的期初留存收益或当期损益，由于被投资方重新计量设定受益计划净负 债或净资产变动而产生的其他综合收益除外。</w:t>
      </w:r>
    </w:p>
    <w:p>
      <w:pPr>
        <w:pStyle w:val="Style41"/>
        <w:keepNext w:val="0"/>
        <w:keepLines w:val="0"/>
        <w:widowControl w:val="0"/>
        <w:numPr>
          <w:ilvl w:val="0"/>
          <w:numId w:val="29"/>
        </w:numPr>
        <w:shd w:val="clear" w:color="auto" w:fill="auto"/>
        <w:bidi w:val="0"/>
        <w:spacing w:before="0" w:after="0" w:line="313" w:lineRule="exact"/>
        <w:ind w:left="0" w:right="0" w:firstLine="440"/>
        <w:jc w:val="both"/>
        <w:rPr>
          <w:sz w:val="20"/>
          <w:szCs w:val="20"/>
        </w:rPr>
      </w:pPr>
      <w:bookmarkStart w:id="745" w:name="bookmark745"/>
      <w:bookmarkEnd w:id="745"/>
      <w:r>
        <w:rPr>
          <w:color w:val="000000"/>
          <w:spacing w:val="0"/>
          <w:w w:val="100"/>
          <w:position w:val="0"/>
          <w:sz w:val="20"/>
          <w:szCs w:val="20"/>
        </w:rPr>
        <w:t>非同一控制下企业合并的会计处理</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参与合并的企业在合并前后不受同一方或相同的多方最终控制的，为非同一控制下的企业合并。</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公司在购买日对合并成本大于合并中取得的被购买方可辨认净资产公允价值份额的差额，确认为商 誉；对于合并成本小于合并中取得的被购买方可辨认净资产公允价值份额，首先对取得的被购买方各项可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如果在购买日或合并当期期末，因各种因素影响无法合理确定作为合并对价付出的各项资产的公允价 值，或合并中取得被购买方各项可辨认资产、负债的公允价值，合并当期期末，公司以暂时确定的价值为 基础对企业合并进行核算。自购买日算起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个月内取得进一步的信息表明需对原暂时确定的价值进行调整 的，则视同在购买日发生，进行追溯调整，同时对以暂时性价值为基础提供的比较报表信息进行相关的调 </w:t>
      </w:r>
      <w:r>
        <w:rPr>
          <w:color w:val="000000"/>
          <w:spacing w:val="0"/>
          <w:w w:val="100"/>
          <w:position w:val="0"/>
          <w:sz w:val="20"/>
          <w:szCs w:val="20"/>
        </w:rPr>
        <w:t>整；自购买日算起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个月以后对企业合并成本或合并中取得的可辨认资产、负债价值的调整，按照《企业 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号——会计政策、会计估计变更和会计差错更正》的原则进行处理。</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 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。多次交易的条款、条件以及经济影响符合以下一种或多种情况，通常表明应将多次交易事项作 为一揽子交易进行会计处理：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这些交易是同时或者在考虑了彼此影响的情况下订立的；</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这些交易整体 才能达成一项完整的商业结果；</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一项交易的发生取决于其他至少一项交易的发生；</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一项交易单独看是 不经济的，但是和其他交易一并考虑时是经济的。</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 在合并财务报表中，对于购买日之前持有的被购买方的股权，按照该股权在购买日的公允价值进行重新计 量，公允价值与其账面价值的差额计入当期投资收益；购买日之前已经持有的被购买方的股权涉及其他综 合收益、其他所有者权益变动转为购买日当期收益，由于被投资方重新计量设定受益计划净负债或净资产 变动而产生的其他综合收益除外。</w:t>
      </w:r>
    </w:p>
    <w:p>
      <w:pPr>
        <w:pStyle w:val="Style41"/>
        <w:keepNext w:val="0"/>
        <w:keepLines w:val="0"/>
        <w:widowControl w:val="0"/>
        <w:numPr>
          <w:ilvl w:val="0"/>
          <w:numId w:val="29"/>
        </w:numPr>
        <w:shd w:val="clear" w:color="auto" w:fill="auto"/>
        <w:bidi w:val="0"/>
        <w:spacing w:before="0" w:after="0" w:line="312" w:lineRule="exact"/>
        <w:ind w:left="0" w:right="0" w:firstLine="440"/>
        <w:jc w:val="both"/>
        <w:rPr>
          <w:sz w:val="20"/>
          <w:szCs w:val="20"/>
        </w:rPr>
      </w:pPr>
      <w:bookmarkStart w:id="746" w:name="bookmark746"/>
      <w:bookmarkEnd w:id="746"/>
      <w:r>
        <w:rPr>
          <w:color w:val="000000"/>
          <w:spacing w:val="0"/>
          <w:w w:val="100"/>
          <w:position w:val="0"/>
          <w:sz w:val="20"/>
          <w:szCs w:val="20"/>
        </w:rPr>
        <w:t>企业合并中有关交易费用的处理</w:t>
      </w:r>
    </w:p>
    <w:p>
      <w:pPr>
        <w:pStyle w:val="Style41"/>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2"/>
        <w:keepNext/>
        <w:keepLines/>
        <w:widowControl w:val="0"/>
        <w:shd w:val="clear" w:color="auto" w:fill="auto"/>
        <w:bidi w:val="0"/>
        <w:spacing w:before="0" w:after="300" w:line="312" w:lineRule="exact"/>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、合并财务报表的编制方法</w:t>
      </w:r>
      <w:bookmarkEnd w:id="747"/>
      <w:bookmarkEnd w:id="748"/>
      <w:bookmarkEnd w:id="750"/>
    </w:p>
    <w:p>
      <w:pPr>
        <w:pStyle w:val="Style41"/>
        <w:keepNext w:val="0"/>
        <w:keepLines w:val="0"/>
        <w:widowControl w:val="0"/>
        <w:numPr>
          <w:ilvl w:val="0"/>
          <w:numId w:val="31"/>
        </w:numPr>
        <w:shd w:val="clear" w:color="auto" w:fill="auto"/>
        <w:tabs>
          <w:tab w:pos="752" w:val="left"/>
        </w:tabs>
        <w:bidi w:val="0"/>
        <w:spacing w:before="0" w:after="0" w:line="312" w:lineRule="exact"/>
        <w:ind w:left="0" w:right="0" w:firstLine="440"/>
        <w:jc w:val="both"/>
        <w:rPr>
          <w:sz w:val="20"/>
          <w:szCs w:val="20"/>
        </w:rPr>
      </w:pPr>
      <w:bookmarkStart w:id="751" w:name="bookmark751"/>
      <w:bookmarkEnd w:id="751"/>
      <w:r>
        <w:rPr>
          <w:color w:val="000000"/>
          <w:spacing w:val="0"/>
          <w:w w:val="100"/>
          <w:position w:val="0"/>
          <w:sz w:val="20"/>
          <w:szCs w:val="20"/>
        </w:rPr>
        <w:t>合并范围</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合并财务报表的合并范围以控制为基础确定。控制是指本公司拥有对被投资方的权力，通过参与被投 资方的相关活动而享有可变回报，并且有能力运用对被投资方的权力影响该回报金额。合并范围包括本公 司及全部子公司。子公司，是指被本公司控制的主体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含企业、被投资单位中可分割的部分、结构化主体等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41"/>
        <w:keepNext w:val="0"/>
        <w:keepLines w:val="0"/>
        <w:widowControl w:val="0"/>
        <w:numPr>
          <w:ilvl w:val="0"/>
          <w:numId w:val="31"/>
        </w:numPr>
        <w:shd w:val="clear" w:color="auto" w:fill="auto"/>
        <w:tabs>
          <w:tab w:pos="752" w:val="left"/>
        </w:tabs>
        <w:bidi w:val="0"/>
        <w:spacing w:before="0" w:after="0" w:line="312" w:lineRule="exact"/>
        <w:ind w:left="0" w:right="0" w:firstLine="440"/>
        <w:jc w:val="both"/>
        <w:rPr>
          <w:sz w:val="20"/>
          <w:szCs w:val="20"/>
        </w:rPr>
      </w:pPr>
      <w:bookmarkStart w:id="752" w:name="bookmark752"/>
      <w:bookmarkEnd w:id="752"/>
      <w:r>
        <w:rPr>
          <w:color w:val="000000"/>
          <w:spacing w:val="0"/>
          <w:w w:val="100"/>
          <w:position w:val="0"/>
          <w:sz w:val="20"/>
          <w:szCs w:val="20"/>
        </w:rPr>
        <w:t>合并报表的编制方法</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本公司以自身和各子公司的财务报表为基础，根据其他有关资料，编制合并报表。本公司编制合并财 务报表，将整个企业集团视为一个会计主体，依据相关企业会计准则的确定、计量和列报要求，按照统一 的会计政策，反映本公司整体财务状况、经营成果和现金流量。</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合并财务报表时抵销本公司与各子公司、各子公司相互之间发生的内部交易和往来对合并资产负债 表、合并利润表、合并现金流量表、合并所有者权益变动表的影响。</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并利润表、合并现金流量表中。在报告期内，同时调整合并资产负债表的期初数，同时对比较报表的相关 项目进行调整，视同合并后的报表主体自最终控制方开始控制时点起一直存在。</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本期若因非同一控制下企业合并增加子公司的，则不调整合并资产负债表期初数；以购买日可辨认净 资产公允价值为基础对其财务报表进行调整。将子公司自购买日至期末的收入、费用、利润纳入合并利润 表；该子公司自购买日至期末的现金流量纳入合并现金流量表。</w:t>
      </w:r>
    </w:p>
    <w:p>
      <w:pPr>
        <w:pStyle w:val="Style41"/>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 xml:space="preserve">子公司少数股东应占的权益、损益和当期综合收益中分别在合并资产负债表中所有者权益项目下、合 并利润表中净利润项目和综合收益总额项下单独列示。子公司少数股东分担的当期亏损超过了少数股东在 </w:t>
      </w:r>
      <w:r>
        <w:rPr>
          <w:color w:val="000000"/>
          <w:spacing w:val="0"/>
          <w:w w:val="100"/>
          <w:position w:val="0"/>
          <w:sz w:val="20"/>
          <w:szCs w:val="20"/>
        </w:rPr>
        <w:t>该子公司期初所有者权益中所享有份额而形成的余额，冲减少数股东权益。</w:t>
      </w:r>
    </w:p>
    <w:p>
      <w:pPr>
        <w:pStyle w:val="Style41"/>
        <w:keepNext w:val="0"/>
        <w:keepLines w:val="0"/>
        <w:widowControl w:val="0"/>
        <w:numPr>
          <w:ilvl w:val="0"/>
          <w:numId w:val="31"/>
        </w:numPr>
        <w:shd w:val="clear" w:color="auto" w:fill="auto"/>
        <w:tabs>
          <w:tab w:pos="785" w:val="left"/>
        </w:tabs>
        <w:bidi w:val="0"/>
        <w:spacing w:before="0" w:after="0" w:line="326" w:lineRule="auto"/>
        <w:ind w:left="0" w:right="0" w:firstLine="460"/>
        <w:jc w:val="both"/>
        <w:rPr>
          <w:sz w:val="20"/>
          <w:szCs w:val="20"/>
        </w:rPr>
      </w:pPr>
      <w:bookmarkStart w:id="753" w:name="bookmark753"/>
      <w:bookmarkEnd w:id="753"/>
      <w:r>
        <w:rPr>
          <w:color w:val="000000"/>
          <w:spacing w:val="0"/>
          <w:w w:val="100"/>
          <w:position w:val="0"/>
          <w:sz w:val="20"/>
          <w:szCs w:val="20"/>
        </w:rPr>
        <w:t>购买少数股东股权及不丧失控制权的部分处置子公司股权</w:t>
      </w:r>
    </w:p>
    <w:p>
      <w:pPr>
        <w:pStyle w:val="Style41"/>
        <w:keepNext w:val="0"/>
        <w:keepLines w:val="0"/>
        <w:widowControl w:val="0"/>
        <w:shd w:val="clear" w:color="auto" w:fill="auto"/>
        <w:bidi w:val="0"/>
        <w:spacing w:before="0" w:after="80" w:line="312" w:lineRule="exact"/>
        <w:ind w:left="0" w:right="0" w:firstLine="460"/>
        <w:jc w:val="both"/>
        <w:rPr>
          <w:sz w:val="20"/>
          <w:szCs w:val="20"/>
        </w:rPr>
      </w:pPr>
      <w:r>
        <w:rPr>
          <w:color w:val="000000"/>
          <w:spacing w:val="0"/>
          <w:w w:val="100"/>
          <w:position w:val="0"/>
          <w:sz w:val="20"/>
          <w:szCs w:val="20"/>
        </w:rPr>
        <w:t>本公司因购买少数股权新取得的长期股权投资成本与按照新增持股比例计算应享有子公司自购买日 或合并日开始持续计算的净资产份额之间的差额，以及在不丧失控制权的情况下因部分处置对子公司的股 权投资而取得的处置价款与处置长期股权投资相对应享有子公司自购买日或合并日开始持续计算的净资 产份额之间的差额，均调整合并资产负债表中的资本公积中的股本溢价，资本公积中的股本溢价不足冲减 的，调整留存收益。</w:t>
      </w:r>
    </w:p>
    <w:p>
      <w:pPr>
        <w:pStyle w:val="Style41"/>
        <w:keepNext w:val="0"/>
        <w:keepLines w:val="0"/>
        <w:widowControl w:val="0"/>
        <w:numPr>
          <w:ilvl w:val="0"/>
          <w:numId w:val="31"/>
        </w:numPr>
        <w:shd w:val="clear" w:color="auto" w:fill="auto"/>
        <w:tabs>
          <w:tab w:pos="785" w:val="left"/>
        </w:tabs>
        <w:bidi w:val="0"/>
        <w:spacing w:before="0" w:after="0" w:line="326" w:lineRule="auto"/>
        <w:ind w:left="0" w:right="0" w:firstLine="460"/>
        <w:jc w:val="both"/>
        <w:rPr>
          <w:sz w:val="20"/>
          <w:szCs w:val="20"/>
        </w:rPr>
      </w:pPr>
      <w:bookmarkStart w:id="754" w:name="bookmark754"/>
      <w:bookmarkEnd w:id="754"/>
      <w:r>
        <w:rPr>
          <w:color w:val="000000"/>
          <w:spacing w:val="0"/>
          <w:w w:val="100"/>
          <w:position w:val="0"/>
          <w:sz w:val="20"/>
          <w:szCs w:val="20"/>
        </w:rPr>
        <w:t>丧失控制权的处置子公司股权</w:t>
      </w:r>
    </w:p>
    <w:p>
      <w:pPr>
        <w:pStyle w:val="Style41"/>
        <w:keepNext w:val="0"/>
        <w:keepLines w:val="0"/>
        <w:widowControl w:val="0"/>
        <w:shd w:val="clear" w:color="auto" w:fill="auto"/>
        <w:bidi w:val="0"/>
        <w:spacing w:before="0" w:after="80" w:line="312" w:lineRule="exact"/>
        <w:ind w:left="0" w:right="0" w:firstLine="460"/>
        <w:jc w:val="both"/>
        <w:rPr>
          <w:sz w:val="20"/>
          <w:szCs w:val="20"/>
        </w:rPr>
      </w:pPr>
      <w:r>
        <w:rPr>
          <w:color w:val="000000"/>
          <w:spacing w:val="0"/>
          <w:w w:val="100"/>
          <w:position w:val="0"/>
          <w:sz w:val="20"/>
          <w:szCs w:val="20"/>
        </w:rPr>
        <w:t>本期本公司处置子公司，则该子公司期初至处置日的收入、费用、利润纳入合并利润表；该子公司期 初至处置日的现金流量纳入合并现金流量表。因处置部分股权投资或其他原因丧失了对原有子公司控制权 时，对于处置后的剩余股权投资，本公司按照其在丧失控制权日的公允价值进行重新计量。处置股权取得 的对价与剩余股权公允价值之和，减去按原持股比例计算应享有原有子公司自购买日开始持续计算的净资 产的份额与商誉之和，形成的差额计入丧失控制权当期的投资收益。与原有子公司股权投资相关的其他综 合收益，在丧失控制权时采用被购买方直接处置相关资产和负债相同的基础进行会计处理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即除了在该原有 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。其后， 对该部分剩余股权按照《企业会计准则第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号一长期股权投资》或《企业会计准则第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 确认和计量》等相关规定进行后续计量，详见本附注三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十九广长期股权投资''或本附注三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十广金融工具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41"/>
        <w:keepNext w:val="0"/>
        <w:keepLines w:val="0"/>
        <w:widowControl w:val="0"/>
        <w:numPr>
          <w:ilvl w:val="0"/>
          <w:numId w:val="31"/>
        </w:numPr>
        <w:shd w:val="clear" w:color="auto" w:fill="auto"/>
        <w:tabs>
          <w:tab w:pos="785" w:val="left"/>
        </w:tabs>
        <w:bidi w:val="0"/>
        <w:spacing w:before="0" w:after="0" w:line="326" w:lineRule="auto"/>
        <w:ind w:left="0" w:right="0" w:firstLine="460"/>
        <w:jc w:val="both"/>
        <w:rPr>
          <w:sz w:val="20"/>
          <w:szCs w:val="20"/>
        </w:rPr>
      </w:pPr>
      <w:bookmarkStart w:id="755" w:name="bookmark755"/>
      <w:bookmarkEnd w:id="755"/>
      <w:r>
        <w:rPr>
          <w:color w:val="000000"/>
          <w:spacing w:val="0"/>
          <w:w w:val="100"/>
          <w:position w:val="0"/>
          <w:sz w:val="20"/>
          <w:szCs w:val="20"/>
        </w:rPr>
        <w:t>分步处置对子公司股权投资至丧失控制权的处理</w:t>
      </w:r>
    </w:p>
    <w:p>
      <w:pPr>
        <w:pStyle w:val="Style41"/>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本公司通过多次交易分步处置对子公司股权投资直至丧失控制权的，需区分处置对子公司股权投资直 至丧失控制权的各项交易是否属于一揽子交易。</w:t>
      </w:r>
    </w:p>
    <w:p>
      <w:pPr>
        <w:pStyle w:val="Style41"/>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处置对子公司股权投资直至丧失控制权的各项交易属于一揽子交易的，将各项交易作为一项处置子公 司并丧失控制权的交易进行会计处理；但是，在丧失控制权之前每一次处置价款与处置投资对应的享有该 子公司净资产份额的差额，在合并财务报表中确认为其他综合收益，在丧失控制权时一并转入丧失控制权 当期的损益。</w:t>
      </w:r>
    </w:p>
    <w:p>
      <w:pPr>
        <w:pStyle w:val="Style41"/>
        <w:keepNext w:val="0"/>
        <w:keepLines w:val="0"/>
        <w:widowControl w:val="0"/>
        <w:shd w:val="clear" w:color="auto" w:fill="auto"/>
        <w:bidi w:val="0"/>
        <w:spacing w:before="0" w:after="600" w:line="312" w:lineRule="exact"/>
        <w:ind w:left="0" w:right="0" w:firstLine="460"/>
        <w:jc w:val="both"/>
        <w:rPr>
          <w:sz w:val="20"/>
          <w:szCs w:val="20"/>
        </w:rPr>
      </w:pPr>
      <w:r>
        <w:rPr>
          <w:color w:val="000000"/>
          <w:spacing w:val="0"/>
          <w:w w:val="100"/>
          <w:position w:val="0"/>
          <w:sz w:val="20"/>
          <w:szCs w:val="20"/>
        </w:rPr>
        <w:t>不属于一揽子交易的，对其中的每一项交易视情况分别按照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不丧失控制权的情况下部分处置对子公 司的长期股权投资''和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因处置部分股权投资或其他原因丧失了对原有子公司的控制权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详见前段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适用的 原则进行会计处理。即在丧失控制权之前每一次处置价款与处置投资对应的享有该子公司自购买日开始持 续计算的净资产账面价值份额之间的差额，作为权益性交易计入资本公积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。在丧失控制权时不 得转入丧失控制权当期的损益。</w:t>
      </w:r>
    </w:p>
    <w:p>
      <w:pPr>
        <w:pStyle w:val="Style32"/>
        <w:keepNext/>
        <w:keepLines/>
        <w:widowControl w:val="0"/>
        <w:shd w:val="clear" w:color="auto" w:fill="auto"/>
        <w:bidi w:val="0"/>
        <w:spacing w:before="0" w:after="280" w:line="310" w:lineRule="exact"/>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7</w:t>
      </w:r>
      <w:bookmarkEnd w:id="758"/>
      <w:r>
        <w:rPr>
          <w:color w:val="000000"/>
          <w:spacing w:val="0"/>
          <w:w w:val="100"/>
          <w:position w:val="0"/>
        </w:rPr>
        <w:t>、合营安排分类及共同经营会计处理方法</w:t>
      </w:r>
      <w:bookmarkEnd w:id="756"/>
      <w:bookmarkEnd w:id="757"/>
      <w:bookmarkEnd w:id="759"/>
    </w:p>
    <w:p>
      <w:pPr>
        <w:pStyle w:val="Style41"/>
        <w:keepNext w:val="0"/>
        <w:keepLines w:val="0"/>
        <w:widowControl w:val="0"/>
        <w:shd w:val="clear" w:color="auto" w:fill="auto"/>
        <w:bidi w:val="0"/>
        <w:spacing w:before="0" w:after="0" w:line="310" w:lineRule="exact"/>
        <w:ind w:left="0" w:right="0" w:firstLine="460"/>
        <w:jc w:val="both"/>
        <w:rPr>
          <w:sz w:val="20"/>
          <w:szCs w:val="20"/>
        </w:rPr>
      </w:pPr>
      <w:r>
        <w:rPr>
          <w:color w:val="000000"/>
          <w:spacing w:val="0"/>
          <w:w w:val="100"/>
          <w:position w:val="0"/>
          <w:sz w:val="20"/>
          <w:szCs w:val="20"/>
        </w:rPr>
        <w:t>合营安排，是指一项由两个或两个以上的参与方共同控制的安排。本公司根据在合营安排中享有的权 利和承担的义务，将合营安排分为共同经营和合营企业。</w:t>
      </w:r>
    </w:p>
    <w:p>
      <w:pPr>
        <w:pStyle w:val="Style41"/>
        <w:keepNext w:val="0"/>
        <w:keepLines w:val="0"/>
        <w:widowControl w:val="0"/>
        <w:shd w:val="clear" w:color="auto" w:fill="auto"/>
        <w:bidi w:val="0"/>
        <w:spacing w:before="0" w:after="0" w:line="310" w:lineRule="exact"/>
        <w:ind w:left="0" w:right="0" w:firstLine="460"/>
        <w:jc w:val="both"/>
        <w:rPr>
          <w:sz w:val="20"/>
          <w:szCs w:val="20"/>
        </w:rPr>
      </w:pPr>
      <w:r>
        <w:rPr>
          <w:color w:val="000000"/>
          <w:spacing w:val="0"/>
          <w:w w:val="100"/>
          <w:position w:val="0"/>
          <w:sz w:val="20"/>
          <w:szCs w:val="20"/>
        </w:rPr>
        <w:t>合营企业，是指本公司仅对该安排的净资产享有权利的合营安排。本公司对合营企业的投资采用权益 法核算，按照本附注三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十九</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权益法核算的长期股权投资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中所述的会计政策处理。</w:t>
      </w:r>
    </w:p>
    <w:p>
      <w:pPr>
        <w:pStyle w:val="Style41"/>
        <w:keepNext w:val="0"/>
        <w:keepLines w:val="0"/>
        <w:widowControl w:val="0"/>
        <w:shd w:val="clear" w:color="auto" w:fill="auto"/>
        <w:bidi w:val="0"/>
        <w:spacing w:before="0" w:after="0" w:line="310" w:lineRule="exact"/>
        <w:ind w:left="0" w:right="0" w:firstLine="460"/>
        <w:jc w:val="both"/>
        <w:rPr>
          <w:sz w:val="20"/>
          <w:szCs w:val="20"/>
        </w:rPr>
      </w:pPr>
      <w:r>
        <w:rPr>
          <w:color w:val="000000"/>
          <w:spacing w:val="0"/>
          <w:w w:val="100"/>
          <w:position w:val="0"/>
          <w:sz w:val="20"/>
          <w:szCs w:val="20"/>
        </w:rPr>
        <w:t>共同经营，是指本公司享有该安排相关资产且承担该安排相关负债的合营安排。本公司确认与共同经 营中利益份额相关的下列项目，并按照相关企业会计准则的规定进行会计处理：</w:t>
      </w:r>
    </w:p>
    <w:p>
      <w:pPr>
        <w:pStyle w:val="Style41"/>
        <w:keepNext w:val="0"/>
        <w:keepLines w:val="0"/>
        <w:widowControl w:val="0"/>
        <w:numPr>
          <w:ilvl w:val="0"/>
          <w:numId w:val="33"/>
        </w:numPr>
        <w:shd w:val="clear" w:color="auto" w:fill="auto"/>
        <w:tabs>
          <w:tab w:pos="684" w:val="left"/>
        </w:tabs>
        <w:bidi w:val="0"/>
        <w:spacing w:before="0" w:after="0" w:line="310" w:lineRule="exact"/>
        <w:ind w:left="0" w:right="0" w:firstLine="460"/>
        <w:jc w:val="both"/>
        <w:rPr>
          <w:sz w:val="20"/>
          <w:szCs w:val="20"/>
        </w:rPr>
      </w:pPr>
      <w:bookmarkStart w:id="760" w:name="bookmark760"/>
      <w:bookmarkEnd w:id="760"/>
      <w:r>
        <w:rPr>
          <w:color w:val="000000"/>
          <w:spacing w:val="0"/>
          <w:w w:val="100"/>
          <w:position w:val="0"/>
          <w:sz w:val="20"/>
          <w:szCs w:val="20"/>
        </w:rPr>
        <w:t>.确认本公司单独所持有的资产，以及按本公司份额确认共同持有的资产；</w:t>
      </w:r>
    </w:p>
    <w:p>
      <w:pPr>
        <w:pStyle w:val="Style41"/>
        <w:keepNext w:val="0"/>
        <w:keepLines w:val="0"/>
        <w:widowControl w:val="0"/>
        <w:numPr>
          <w:ilvl w:val="0"/>
          <w:numId w:val="35"/>
        </w:numPr>
        <w:shd w:val="clear" w:color="auto" w:fill="auto"/>
        <w:tabs>
          <w:tab w:pos="785" w:val="left"/>
        </w:tabs>
        <w:bidi w:val="0"/>
        <w:spacing w:before="0" w:after="0" w:line="310" w:lineRule="exact"/>
        <w:ind w:left="0" w:right="0" w:firstLine="460"/>
        <w:jc w:val="both"/>
        <w:rPr>
          <w:sz w:val="20"/>
          <w:szCs w:val="20"/>
        </w:rPr>
      </w:pPr>
      <w:bookmarkStart w:id="761" w:name="bookmark761"/>
      <w:bookmarkEnd w:id="761"/>
      <w:r>
        <w:rPr>
          <w:color w:val="000000"/>
          <w:spacing w:val="0"/>
          <w:w w:val="100"/>
          <w:position w:val="0"/>
          <w:sz w:val="20"/>
          <w:szCs w:val="20"/>
        </w:rPr>
        <w:t>确认本公司单独所承担的负债，以及按本公司份额确认共同承担的负债；</w:t>
      </w:r>
    </w:p>
    <w:p>
      <w:pPr>
        <w:pStyle w:val="Style41"/>
        <w:keepNext w:val="0"/>
        <w:keepLines w:val="0"/>
        <w:widowControl w:val="0"/>
        <w:numPr>
          <w:ilvl w:val="0"/>
          <w:numId w:val="35"/>
        </w:numPr>
        <w:shd w:val="clear" w:color="auto" w:fill="auto"/>
        <w:tabs>
          <w:tab w:pos="785" w:val="left"/>
        </w:tabs>
        <w:bidi w:val="0"/>
        <w:spacing w:before="0" w:after="0" w:line="310" w:lineRule="exact"/>
        <w:ind w:left="0" w:right="0" w:firstLine="460"/>
        <w:jc w:val="both"/>
        <w:rPr>
          <w:sz w:val="20"/>
          <w:szCs w:val="20"/>
        </w:rPr>
      </w:pPr>
      <w:bookmarkStart w:id="762" w:name="bookmark762"/>
      <w:bookmarkEnd w:id="762"/>
      <w:r>
        <w:rPr>
          <w:color w:val="000000"/>
          <w:spacing w:val="0"/>
          <w:w w:val="100"/>
          <w:position w:val="0"/>
          <w:sz w:val="20"/>
          <w:szCs w:val="20"/>
        </w:rPr>
        <w:t>确认出售本公司享有的共同经营产出份额所产生的收入；</w:t>
      </w:r>
    </w:p>
    <w:p>
      <w:pPr>
        <w:pStyle w:val="Style41"/>
        <w:keepNext w:val="0"/>
        <w:keepLines w:val="0"/>
        <w:widowControl w:val="0"/>
        <w:numPr>
          <w:ilvl w:val="0"/>
          <w:numId w:val="35"/>
        </w:numPr>
        <w:shd w:val="clear" w:color="auto" w:fill="auto"/>
        <w:tabs>
          <w:tab w:pos="785" w:val="left"/>
        </w:tabs>
        <w:bidi w:val="0"/>
        <w:spacing w:before="0" w:after="0" w:line="310" w:lineRule="exact"/>
        <w:ind w:left="0" w:right="0" w:firstLine="460"/>
        <w:jc w:val="both"/>
        <w:rPr>
          <w:sz w:val="20"/>
          <w:szCs w:val="20"/>
        </w:rPr>
      </w:pPr>
      <w:bookmarkStart w:id="763" w:name="bookmark763"/>
      <w:bookmarkEnd w:id="763"/>
      <w:r>
        <w:rPr>
          <w:color w:val="000000"/>
          <w:spacing w:val="0"/>
          <w:w w:val="100"/>
          <w:position w:val="0"/>
          <w:sz w:val="20"/>
          <w:szCs w:val="20"/>
        </w:rPr>
        <w:t>按本公司份额确认共同经营因出售产出所产生的收入；</w:t>
      </w:r>
    </w:p>
    <w:p>
      <w:pPr>
        <w:pStyle w:val="Style41"/>
        <w:keepNext w:val="0"/>
        <w:keepLines w:val="0"/>
        <w:widowControl w:val="0"/>
        <w:shd w:val="clear" w:color="auto" w:fill="auto"/>
        <w:bidi w:val="0"/>
        <w:spacing w:before="0" w:after="40" w:line="310" w:lineRule="exact"/>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.确认单独所发生的费用，以及按本公司份额确认共同经营发生的费用。</w:t>
      </w:r>
    </w:p>
    <w:p>
      <w:pPr>
        <w:pStyle w:val="Style41"/>
        <w:keepNext w:val="0"/>
        <w:keepLines w:val="0"/>
        <w:widowControl w:val="0"/>
        <w:shd w:val="clear" w:color="auto" w:fill="auto"/>
        <w:bidi w:val="0"/>
        <w:spacing w:before="0" w:after="600" w:line="322" w:lineRule="exact"/>
        <w:ind w:left="0" w:right="0" w:firstLine="440"/>
        <w:jc w:val="both"/>
        <w:rPr>
          <w:sz w:val="20"/>
          <w:szCs w:val="20"/>
        </w:rPr>
      </w:pPr>
      <w:r>
        <w:rPr>
          <w:color w:val="000000"/>
          <w:spacing w:val="0"/>
          <w:w w:val="100"/>
          <w:position w:val="0"/>
          <w:sz w:val="20"/>
          <w:szCs w:val="20"/>
        </w:rPr>
        <w:t>当本公司作为合营方向共同经营投出或出售资产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该资产不构成业务，下同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或者自共同经营购买资产 时，在该等资产出售给第三方之前，本公司仅确认因该项交易产生的损益中属于共同经营其他参与方的部 分。该等资产发生符合《企业会计准则第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号一资产减值》等规定的资产减值损失的，对于由本公司向 共同经营投出或者出售资产的情况，本公司全额确认损失；对于本公司自共同经营购买资产的情况，本公 司按承担的份额确认该损失。</w:t>
      </w:r>
    </w:p>
    <w:p>
      <w:pPr>
        <w:pStyle w:val="Style32"/>
        <w:keepNext/>
        <w:keepLines/>
        <w:widowControl w:val="0"/>
        <w:shd w:val="clear" w:color="auto" w:fill="auto"/>
        <w:bidi w:val="0"/>
        <w:spacing w:before="0" w:after="300" w:line="312" w:lineRule="exact"/>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8</w:t>
      </w:r>
      <w:bookmarkEnd w:id="766"/>
      <w:r>
        <w:rPr>
          <w:color w:val="000000"/>
          <w:spacing w:val="0"/>
          <w:w w:val="100"/>
          <w:position w:val="0"/>
        </w:rPr>
        <w:t>、现金及现金等价物的确定标准</w:t>
      </w:r>
      <w:bookmarkEnd w:id="764"/>
      <w:bookmarkEnd w:id="765"/>
      <w:bookmarkEnd w:id="767"/>
    </w:p>
    <w:p>
      <w:pPr>
        <w:pStyle w:val="Style41"/>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在编制现金流量表时，将本公司库存现金及可以随时用于支付的存款确认为现金。现金等价物是指企 业持有的期限短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一般是指从购买日起</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个月内到期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、流动性强、易于转换为已知金额现金、价值变动风险 很小的投资。</w:t>
      </w:r>
    </w:p>
    <w:p>
      <w:pPr>
        <w:pStyle w:val="Style32"/>
        <w:keepNext/>
        <w:keepLines/>
        <w:widowControl w:val="0"/>
        <w:shd w:val="clear" w:color="auto" w:fill="auto"/>
        <w:bidi w:val="0"/>
        <w:spacing w:before="0" w:after="300" w:line="312" w:lineRule="exact"/>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9</w:t>
      </w:r>
      <w:bookmarkEnd w:id="770"/>
      <w:r>
        <w:rPr>
          <w:color w:val="000000"/>
          <w:spacing w:val="0"/>
          <w:w w:val="100"/>
          <w:position w:val="0"/>
        </w:rPr>
        <w:t>、外币业务和外币报表折算</w:t>
      </w:r>
      <w:bookmarkEnd w:id="768"/>
      <w:bookmarkEnd w:id="769"/>
      <w:bookmarkEnd w:id="771"/>
    </w:p>
    <w:p>
      <w:pPr>
        <w:pStyle w:val="Style41"/>
        <w:keepNext w:val="0"/>
        <w:keepLines w:val="0"/>
        <w:widowControl w:val="0"/>
        <w:numPr>
          <w:ilvl w:val="0"/>
          <w:numId w:val="37"/>
        </w:numPr>
        <w:shd w:val="clear" w:color="auto" w:fill="auto"/>
        <w:tabs>
          <w:tab w:pos="757" w:val="left"/>
        </w:tabs>
        <w:bidi w:val="0"/>
        <w:spacing w:before="0" w:after="0" w:line="312" w:lineRule="exact"/>
        <w:ind w:left="0" w:right="0" w:firstLine="440"/>
        <w:jc w:val="both"/>
        <w:rPr>
          <w:sz w:val="20"/>
          <w:szCs w:val="20"/>
        </w:rPr>
      </w:pPr>
      <w:bookmarkStart w:id="772" w:name="bookmark772"/>
      <w:bookmarkEnd w:id="772"/>
      <w:r>
        <w:rPr>
          <w:color w:val="000000"/>
          <w:spacing w:val="0"/>
          <w:w w:val="100"/>
          <w:position w:val="0"/>
          <w:sz w:val="20"/>
          <w:szCs w:val="20"/>
        </w:rPr>
        <w:t>外币交易业务</w:t>
      </w:r>
    </w:p>
    <w:p>
      <w:pPr>
        <w:pStyle w:val="Style41"/>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对发生的外币业务，采用交易发生日的即期汇率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通常指中国人民银行公布的当日外汇牌价的中间价， 下同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折合记账本位币记账。但公司发生的外币兑换业务或涉及外币兑换的交易事项，按照实际采用的汇率 折算为记账本位币金额。</w:t>
      </w:r>
    </w:p>
    <w:p>
      <w:pPr>
        <w:pStyle w:val="Style41"/>
        <w:keepNext w:val="0"/>
        <w:keepLines w:val="0"/>
        <w:widowControl w:val="0"/>
        <w:numPr>
          <w:ilvl w:val="0"/>
          <w:numId w:val="37"/>
        </w:numPr>
        <w:shd w:val="clear" w:color="auto" w:fill="auto"/>
        <w:tabs>
          <w:tab w:pos="758" w:val="left"/>
        </w:tabs>
        <w:bidi w:val="0"/>
        <w:spacing w:before="0" w:after="0" w:line="312" w:lineRule="exact"/>
        <w:ind w:left="0" w:right="0" w:firstLine="440"/>
        <w:jc w:val="both"/>
        <w:rPr>
          <w:sz w:val="20"/>
          <w:szCs w:val="20"/>
        </w:rPr>
      </w:pPr>
      <w:bookmarkStart w:id="773" w:name="bookmark773"/>
      <w:bookmarkEnd w:id="773"/>
      <w:r>
        <w:rPr>
          <w:color w:val="000000"/>
          <w:spacing w:val="0"/>
          <w:w w:val="100"/>
          <w:position w:val="0"/>
          <w:sz w:val="20"/>
          <w:szCs w:val="20"/>
        </w:rPr>
        <w:t>夕卜币货币性项目和非货币性项目的折算方法</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shd w:val="clear" w:color="auto" w:fill="FFFFFF"/>
        </w:rPr>
        <w:t>资产负债表日，对于外币货币性项目采用资产负债表日即期汇率折算，由此产生的汇兑差额，除：</w:t>
      </w:r>
      <w:r>
        <w:rPr>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shd w:val="clear" w:color="auto" w:fill="FFFFFF"/>
        </w:rPr>
        <w:t xml:space="preserve">1） </w:t>
      </w:r>
      <w:r>
        <w:rPr>
          <w:color w:val="000000"/>
          <w:spacing w:val="0"/>
          <w:w w:val="100"/>
          <w:position w:val="0"/>
          <w:sz w:val="20"/>
          <w:szCs w:val="20"/>
          <w:shd w:val="clear" w:color="auto" w:fill="FFFFFF"/>
        </w:rPr>
        <w:t>属于与购建符合资本化条件的资产相关的外币专门借款产生的汇兑差额按照借款费用资本化的原则处理；</w:t>
      </w:r>
    </w:p>
    <w:p>
      <w:pPr>
        <w:pStyle w:val="Style41"/>
        <w:keepNext w:val="0"/>
        <w:keepLines w:val="0"/>
        <w:widowControl w:val="0"/>
        <w:shd w:val="clear" w:color="auto" w:fill="auto"/>
        <w:bidi w:val="0"/>
        <w:spacing w:before="0" w:after="0" w:line="312" w:lineRule="exact"/>
        <w:ind w:left="0" w:right="0" w:firstLine="0"/>
        <w:jc w:val="both"/>
        <w:rPr>
          <w:sz w:val="20"/>
          <w:szCs w:val="20"/>
        </w:rPr>
      </w:pPr>
      <w:bookmarkStart w:id="774" w:name="bookmark774"/>
      <w:r>
        <w:rPr>
          <w:rFonts w:ascii="Times New Roman" w:eastAsia="Times New Roman" w:hAnsi="Times New Roman" w:cs="Times New Roman"/>
          <w:color w:val="000000"/>
          <w:spacing w:val="0"/>
          <w:w w:val="100"/>
          <w:position w:val="0"/>
          <w:sz w:val="20"/>
          <w:szCs w:val="20"/>
        </w:rPr>
        <w:t>（</w:t>
      </w:r>
      <w:bookmarkEnd w:id="77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用于境外经营净投资有效套期的套期工具的汇兑差额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该差额计入其他综合收益，直至净投资被处置才 被确认为当期损益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以公允价值计量且其变动计入其他综合收益的外币货币性项目除摊余成本之 外的其他账面余额变动产生的汇兑差额计入其他综合收益之外，均计入当期损益。</w:t>
      </w:r>
    </w:p>
    <w:p>
      <w:pPr>
        <w:pStyle w:val="Style41"/>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记账本位币金额的差额，计入当期损益或其他综合收益。</w:t>
      </w:r>
    </w:p>
    <w:p>
      <w:pPr>
        <w:pStyle w:val="Style41"/>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.外币报表折算</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 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项目外，其他项目采用发生时的即期汇率折算；利润表中的收入和费用项目，采用交易发生日的当期 平均汇率折算；年初未分配利润为上一年折算后的年末未分配利润；年末未分配利润按折算后的利润分配 各项目计算列示；按照上述折算产生的外币财务报表折算差额，在资产负债表股东权益项目下的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其他综 合收益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项目反映。处置境外经营并丧失控制权时，将资产负债表中股东权益项目下列示的、与该境外经 营相关的外币报表折算差额，全部或按处置该境外经营的比例转入处置当期损益。在处置部分股权投资或 其他原因导致持有境外经营权益比例降低但不丧失对境外经营控制权时，与该境外经营处置部分相关的外 币报表折算差额将归属于少数股东权益，不转入当期损益。</w:t>
      </w:r>
    </w:p>
    <w:p>
      <w:pPr>
        <w:pStyle w:val="Style41"/>
        <w:keepNext w:val="0"/>
        <w:keepLines w:val="0"/>
        <w:widowControl w:val="0"/>
        <w:shd w:val="clear" w:color="auto" w:fill="auto"/>
        <w:bidi w:val="0"/>
        <w:spacing w:before="0" w:after="680" w:line="312" w:lineRule="exact"/>
        <w:ind w:left="0" w:right="0" w:firstLine="440"/>
        <w:jc w:val="both"/>
        <w:rPr>
          <w:sz w:val="20"/>
          <w:szCs w:val="20"/>
        </w:rPr>
      </w:pPr>
      <w:r>
        <w:rPr>
          <w:color w:val="000000"/>
          <w:spacing w:val="0"/>
          <w:w w:val="100"/>
          <w:position w:val="0"/>
          <w:sz w:val="20"/>
          <w:szCs w:val="20"/>
        </w:rPr>
        <w:t>现金流量表采用现金流量发生日的当期平均汇率折算。汇率变动对现金的影响额作为调节项目，在现 金流量表中单独列示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汇率变动对现金及现金等价物的影响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项目反映。</w:t>
      </w:r>
    </w:p>
    <w:p>
      <w:pPr>
        <w:pStyle w:val="Style32"/>
        <w:keepNext/>
        <w:keepLines/>
        <w:widowControl w:val="0"/>
        <w:shd w:val="clear" w:color="auto" w:fill="auto"/>
        <w:bidi w:val="0"/>
        <w:spacing w:before="0" w:after="38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5"/>
      <w:bookmarkEnd w:id="776"/>
      <w:bookmarkEnd w:id="778"/>
    </w:p>
    <w:p>
      <w:pPr>
        <w:pStyle w:val="Style4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金融工具是指形成一方的金融资产并形成其他方的金融负债或权益工具的合同。金融工具包括金融资 </w:t>
      </w:r>
      <w:r>
        <w:rPr>
          <w:color w:val="000000"/>
          <w:spacing w:val="0"/>
          <w:w w:val="100"/>
          <w:position w:val="0"/>
          <w:sz w:val="20"/>
          <w:szCs w:val="20"/>
        </w:rPr>
        <w:t>产、金融负债和权益工具。</w:t>
      </w:r>
    </w:p>
    <w:p>
      <w:pPr>
        <w:pStyle w:val="Style41"/>
        <w:keepNext w:val="0"/>
        <w:keepLines w:val="0"/>
        <w:widowControl w:val="0"/>
        <w:numPr>
          <w:ilvl w:val="0"/>
          <w:numId w:val="39"/>
        </w:numPr>
        <w:shd w:val="clear" w:color="auto" w:fill="auto"/>
        <w:tabs>
          <w:tab w:pos="648" w:val="left"/>
        </w:tabs>
        <w:bidi w:val="0"/>
        <w:spacing w:before="0" w:after="0" w:line="312" w:lineRule="exact"/>
        <w:ind w:left="0" w:right="0" w:firstLine="440"/>
        <w:jc w:val="both"/>
        <w:rPr>
          <w:sz w:val="20"/>
          <w:szCs w:val="20"/>
        </w:rPr>
      </w:pPr>
      <w:bookmarkStart w:id="779" w:name="bookmark779"/>
      <w:bookmarkEnd w:id="779"/>
      <w:r>
        <w:rPr>
          <w:color w:val="000000"/>
          <w:spacing w:val="0"/>
          <w:w w:val="100"/>
          <w:position w:val="0"/>
          <w:sz w:val="20"/>
          <w:szCs w:val="20"/>
        </w:rPr>
        <w:t>.金融工具的分类、确认依据和计量方法</w:t>
      </w:r>
    </w:p>
    <w:p>
      <w:pPr>
        <w:pStyle w:val="Style41"/>
        <w:keepNext w:val="0"/>
        <w:keepLines w:val="0"/>
        <w:widowControl w:val="0"/>
        <w:shd w:val="clear" w:color="auto" w:fill="auto"/>
        <w:tabs>
          <w:tab w:pos="816" w:val="left"/>
        </w:tabs>
        <w:bidi w:val="0"/>
        <w:spacing w:before="0" w:after="0" w:line="312" w:lineRule="exact"/>
        <w:ind w:left="0" w:right="0" w:firstLine="440"/>
        <w:jc w:val="both"/>
        <w:rPr>
          <w:sz w:val="20"/>
          <w:szCs w:val="20"/>
        </w:rPr>
      </w:pPr>
      <w:bookmarkStart w:id="780" w:name="bookmark780"/>
      <w:r>
        <w:rPr>
          <w:rFonts w:ascii="Times New Roman" w:eastAsia="Times New Roman" w:hAnsi="Times New Roman" w:cs="Times New Roman"/>
          <w:color w:val="000000"/>
          <w:spacing w:val="0"/>
          <w:w w:val="100"/>
          <w:position w:val="0"/>
          <w:sz w:val="20"/>
          <w:szCs w:val="20"/>
        </w:rPr>
        <w:t>（</w:t>
      </w:r>
      <w:bookmarkEnd w:id="780"/>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金融资产和金融负债的确认和初始计量</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本公司成为金融工具合同的一方时，确认一项金融资产或金融负债。对于以常规方式购买金融资产的， 本公司在交易日确认将收到的资产和为此将承担的负债。</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金融资产和金融负债在初始确认时以公允价值计量。对于以公允价值计量且其变动计入当期损益的金 融资产和金融负债，相关的交易费用直接计入当期损益，对于其他类别的金融资产和金融负债，相关交易 费用计入初始确认金额。对于初始确认时不具有重大融资成分的应收账款，按照本附注五</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的收入确认方 法确定的交易价格进行初始计量。</w:t>
      </w:r>
    </w:p>
    <w:p>
      <w:pPr>
        <w:pStyle w:val="Style41"/>
        <w:keepNext w:val="0"/>
        <w:keepLines w:val="0"/>
        <w:widowControl w:val="0"/>
        <w:shd w:val="clear" w:color="auto" w:fill="auto"/>
        <w:tabs>
          <w:tab w:pos="816" w:val="left"/>
        </w:tabs>
        <w:bidi w:val="0"/>
        <w:spacing w:before="0" w:after="0" w:line="312" w:lineRule="exact"/>
        <w:ind w:left="0" w:right="0" w:firstLine="440"/>
        <w:jc w:val="both"/>
        <w:rPr>
          <w:sz w:val="20"/>
          <w:szCs w:val="20"/>
        </w:rPr>
      </w:pPr>
      <w:bookmarkStart w:id="781" w:name="bookmark781"/>
      <w:r>
        <w:rPr>
          <w:rFonts w:ascii="Times New Roman" w:eastAsia="Times New Roman" w:hAnsi="Times New Roman" w:cs="Times New Roman"/>
          <w:color w:val="000000"/>
          <w:spacing w:val="0"/>
          <w:w w:val="100"/>
          <w:position w:val="0"/>
          <w:sz w:val="20"/>
          <w:szCs w:val="20"/>
        </w:rPr>
        <w:t>（</w:t>
      </w:r>
      <w:bookmarkEnd w:id="781"/>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金融资产的分类和后续计量</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本公司根据管理金融资产的业务模式和金融资产的合同现金流量特征将金融资产分类为以摊余成本 计量的金融资产、以公允价值计量且其变动计入其他综合收益的金融资产和以公允价值计量且其变动计入 当期损益的金融资产。</w:t>
      </w:r>
    </w:p>
    <w:p>
      <w:pPr>
        <w:pStyle w:val="Style41"/>
        <w:keepNext w:val="0"/>
        <w:keepLines w:val="0"/>
        <w:widowControl w:val="0"/>
        <w:shd w:val="clear" w:color="auto" w:fill="auto"/>
        <w:tabs>
          <w:tab w:pos="734" w:val="left"/>
        </w:tabs>
        <w:bidi w:val="0"/>
        <w:spacing w:before="0" w:after="0" w:line="312" w:lineRule="exact"/>
        <w:ind w:left="0" w:right="0" w:firstLine="440"/>
        <w:jc w:val="both"/>
        <w:rPr>
          <w:sz w:val="20"/>
          <w:szCs w:val="20"/>
        </w:rPr>
      </w:pPr>
      <w:bookmarkStart w:id="782" w:name="bookmark782"/>
      <w:r>
        <w:rPr>
          <w:rFonts w:ascii="Times New Roman" w:eastAsia="Times New Roman" w:hAnsi="Times New Roman" w:cs="Times New Roman"/>
          <w:color w:val="000000"/>
          <w:spacing w:val="0"/>
          <w:w w:val="100"/>
          <w:position w:val="0"/>
          <w:sz w:val="20"/>
          <w:szCs w:val="20"/>
        </w:rPr>
        <w:t>1</w:t>
      </w:r>
      <w:bookmarkEnd w:id="782"/>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以摊余成本计量的金融资产</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以摊余成本计量的金融资产，是指同时符合下列条件的金融资产：①本公司管理该金融资产的业务模 式是以收取合同现金流量为目标；②该金融资产的合同条款规定，在特定日期产生的现金流量，仅为对本 金和以未偿付本金金额为基础的利息的支付。</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该类金融资产在初始确认后采用实际利率法以摊余成本计量，所产生的利得或损失在终止确认、按照 实际利率法摊销或确认减值时，计入当期损益。</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对于金融资产的摊余成本，应当以该金融资产的初始确认金额经下列调整后的结果确定：①扣除已偿 还的本金；②加上或减去采用实际利率法将该初始确认金额与到期日金额之间的差额进行摊销形成的累计 摊销额；③扣除累计计提的损失准备。</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实际利率法，是指计算金融资产或金融负债的摊余成本以及将利息收入或利息费用分摊计入各会计期 间的方法。实际利率，是指将金融资产或金融负债在预计存续期的估计未来现金流量，折现为该金融资产 账面余额或该金融负债摊余成本所使用的利率。在确定实际利率时，本公司在考虑金融资产或金融负债所 有合同条款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如提前还款、展期、看涨期权或其他类似期权等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的基础上估计预期现金流量，但不考虑预期 信用损失。</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本公司根据金融资产账面余额乘以实际利率计算确定利息收入，但下列情况除外：①对于购入或源生 的已发生信用减值的金融资产，自初始确认起，按照该金融资产的摊余成本和经信用调整的实际利率计算 确定其利息收入。②对于购入或源生的未发生信用减值、但在后续期间成为已发生信用减值的金融资产， 按照该金融资产的摊余成本和实际利率计算确定其利息收入。若该金融工具在后续期间因其信用风险有所 改善而不再存在信用减值，并且这一改善在客观上可与应用上述规定之后发生的某一事件相联系，应转按 实际利率乘以该金融资产账面余额来计算确定利息收入。</w:t>
      </w:r>
    </w:p>
    <w:p>
      <w:pPr>
        <w:pStyle w:val="Style41"/>
        <w:keepNext w:val="0"/>
        <w:keepLines w:val="0"/>
        <w:widowControl w:val="0"/>
        <w:shd w:val="clear" w:color="auto" w:fill="auto"/>
        <w:tabs>
          <w:tab w:pos="753" w:val="left"/>
        </w:tabs>
        <w:bidi w:val="0"/>
        <w:spacing w:before="0" w:after="0" w:line="312" w:lineRule="exact"/>
        <w:ind w:left="0" w:right="0" w:firstLine="440"/>
        <w:jc w:val="both"/>
        <w:rPr>
          <w:sz w:val="20"/>
          <w:szCs w:val="20"/>
        </w:rPr>
      </w:pPr>
      <w:bookmarkStart w:id="783" w:name="bookmark783"/>
      <w:r>
        <w:rPr>
          <w:rFonts w:ascii="Times New Roman" w:eastAsia="Times New Roman" w:hAnsi="Times New Roman" w:cs="Times New Roman"/>
          <w:color w:val="000000"/>
          <w:spacing w:val="0"/>
          <w:w w:val="100"/>
          <w:position w:val="0"/>
          <w:sz w:val="20"/>
          <w:szCs w:val="20"/>
        </w:rPr>
        <w:t>2</w:t>
      </w:r>
      <w:bookmarkEnd w:id="783"/>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以公允价值计量且其变动计入其他综合收益的金融资产</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以公允价值计量且其变动计入其他综合收益的金融资产，是指同时符合下列条件的金融资产：①本公 司管理该金融资产的业务模式既以收取合同现金流量为目标又以出售该金融资产为目标。②该金融资产的 合同条款规定，在特定日期产生的现金流量，仅为对本金和以未偿付本金金额为基础的利息的支付。</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该类金融资产在初始确认后以公允价值进行后续计量。采用实际利率法计算的利息、减值损失或利得 及汇兑损益计入当期损益，其他利得或损失计入其他综合收益。终止确认时，将之前计入其他综合收益的 累计利得或损失从其他综合收益中转出，计入当期损益。</w:t>
      </w:r>
    </w:p>
    <w:p>
      <w:pPr>
        <w:pStyle w:val="Style41"/>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对于非交易性权益工具投资，本公司可在初始确认时将其不可撤销地指定为以公允价值计量且其变动 计入其他综合收益的金融资产。该指定基于单项非交易性权益工具投资的基础上作出，且相关投资从工具 发行者的角度符合权益工具的定义。此类投资在初始指定后，除了获得的股利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属于投资成本收回部分的除 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计入当期损益外，其他相关的利得或损失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包括汇兑损益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均计入其他综合收益。终止确认时，将之前计 </w:t>
      </w:r>
      <w:r>
        <w:rPr>
          <w:color w:val="000000"/>
          <w:spacing w:val="0"/>
          <w:w w:val="100"/>
          <w:position w:val="0"/>
          <w:sz w:val="20"/>
          <w:szCs w:val="20"/>
        </w:rPr>
        <w:t>入其他综合收益的累计利得或损失从其他综合收益中转出，计入留存收益。</w:t>
      </w:r>
    </w:p>
    <w:p>
      <w:pPr>
        <w:pStyle w:val="Style41"/>
        <w:keepNext w:val="0"/>
        <w:keepLines w:val="0"/>
        <w:widowControl w:val="0"/>
        <w:shd w:val="clear" w:color="auto" w:fill="auto"/>
        <w:bidi w:val="0"/>
        <w:spacing w:before="0" w:after="0" w:line="331" w:lineRule="auto"/>
        <w:ind w:left="0" w:right="0" w:firstLine="440"/>
        <w:jc w:val="both"/>
        <w:rPr>
          <w:sz w:val="20"/>
          <w:szCs w:val="20"/>
        </w:rPr>
      </w:pPr>
      <w:bookmarkStart w:id="784" w:name="bookmark784"/>
      <w:r>
        <w:rPr>
          <w:rFonts w:ascii="Times New Roman" w:eastAsia="Times New Roman" w:hAnsi="Times New Roman" w:cs="Times New Roman"/>
          <w:color w:val="000000"/>
          <w:spacing w:val="0"/>
          <w:w w:val="100"/>
          <w:position w:val="0"/>
          <w:sz w:val="20"/>
          <w:szCs w:val="20"/>
        </w:rPr>
        <w:t>3</w:t>
      </w:r>
      <w:bookmarkEnd w:id="78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以公允价值计量且其变动计入当期损益的金融资产</w:t>
      </w:r>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除上述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情形外，本公司将其余所有的金融资产分类为以公允价值计量且其变动计入当期损益的 金融资产。在初始确认时，如果能够消除或显著减少会计错配，可以将金融资产不可撤销地指定为以公允 价值计量且其变动计入当期损益的金融资产。本公司在非同一控制下的企业合并中确认的或有对价构成金 融资产的，该金融资产分类为以公允价值计量且其变动计入当期损益的金融资产。</w:t>
      </w:r>
    </w:p>
    <w:p>
      <w:pPr>
        <w:pStyle w:val="Style41"/>
        <w:keepNext w:val="0"/>
        <w:keepLines w:val="0"/>
        <w:widowControl w:val="0"/>
        <w:shd w:val="clear" w:color="auto" w:fill="auto"/>
        <w:bidi w:val="0"/>
        <w:spacing w:before="0" w:after="80"/>
        <w:ind w:left="0" w:right="0" w:firstLine="440"/>
        <w:jc w:val="left"/>
        <w:rPr>
          <w:sz w:val="20"/>
          <w:szCs w:val="20"/>
        </w:rPr>
      </w:pPr>
      <w:r>
        <w:rPr>
          <w:color w:val="000000"/>
          <w:spacing w:val="0"/>
          <w:w w:val="100"/>
          <w:position w:val="0"/>
          <w:sz w:val="20"/>
          <w:szCs w:val="20"/>
        </w:rPr>
        <w:t>该类金融资产在初始确认后以公允价值进行后续计量，产生的利得或损失计入当期损益。</w:t>
      </w:r>
    </w:p>
    <w:p>
      <w:pPr>
        <w:pStyle w:val="Style41"/>
        <w:keepNext w:val="0"/>
        <w:keepLines w:val="0"/>
        <w:widowControl w:val="0"/>
        <w:shd w:val="clear" w:color="auto" w:fill="auto"/>
        <w:tabs>
          <w:tab w:pos="866" w:val="left"/>
        </w:tabs>
        <w:bidi w:val="0"/>
        <w:spacing w:before="0" w:after="0" w:line="331" w:lineRule="auto"/>
        <w:ind w:left="0" w:right="0" w:firstLine="440"/>
        <w:jc w:val="both"/>
        <w:rPr>
          <w:sz w:val="20"/>
          <w:szCs w:val="20"/>
        </w:rPr>
      </w:pPr>
      <w:bookmarkStart w:id="785" w:name="bookmark785"/>
      <w:r>
        <w:rPr>
          <w:rFonts w:ascii="Times New Roman" w:eastAsia="Times New Roman" w:hAnsi="Times New Roman" w:cs="Times New Roman"/>
          <w:color w:val="000000"/>
          <w:spacing w:val="0"/>
          <w:w w:val="100"/>
          <w:position w:val="0"/>
          <w:sz w:val="20"/>
          <w:szCs w:val="20"/>
        </w:rPr>
        <w:t>（</w:t>
      </w:r>
      <w:bookmarkEnd w:id="785"/>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金融负债的分类和后续计量</w:t>
      </w:r>
    </w:p>
    <w:p>
      <w:pPr>
        <w:pStyle w:val="Style41"/>
        <w:keepNext w:val="0"/>
        <w:keepLines w:val="0"/>
        <w:widowControl w:val="0"/>
        <w:shd w:val="clear" w:color="auto" w:fill="auto"/>
        <w:bidi w:val="0"/>
        <w:spacing w:before="0" w:after="80"/>
        <w:ind w:left="0" w:right="0" w:firstLine="440"/>
        <w:jc w:val="both"/>
        <w:rPr>
          <w:sz w:val="20"/>
          <w:szCs w:val="20"/>
        </w:rPr>
      </w:pPr>
      <w:r>
        <w:rPr>
          <w:color w:val="000000"/>
          <w:spacing w:val="0"/>
          <w:w w:val="100"/>
          <w:position w:val="0"/>
          <w:sz w:val="20"/>
          <w:szCs w:val="20"/>
        </w:rPr>
        <w:t>本公司将金融负债分类为以公允价值计量且其变动计入当期损益的金融负债、金融资产转移不符合终 止确认条件或继续涉入被转移金融资产所形成的金融负债、财务担保合同及以摊余成本计量的金融负债。</w:t>
      </w:r>
    </w:p>
    <w:p>
      <w:pPr>
        <w:pStyle w:val="Style41"/>
        <w:keepNext w:val="0"/>
        <w:keepLines w:val="0"/>
        <w:widowControl w:val="0"/>
        <w:shd w:val="clear" w:color="auto" w:fill="auto"/>
        <w:tabs>
          <w:tab w:pos="784" w:val="left"/>
        </w:tabs>
        <w:bidi w:val="0"/>
        <w:spacing w:before="0" w:after="0" w:line="329" w:lineRule="auto"/>
        <w:ind w:left="0" w:right="0" w:firstLine="440"/>
        <w:jc w:val="left"/>
        <w:rPr>
          <w:sz w:val="20"/>
          <w:szCs w:val="20"/>
        </w:rPr>
      </w:pPr>
      <w:bookmarkStart w:id="786" w:name="bookmark786"/>
      <w:r>
        <w:rPr>
          <w:rFonts w:ascii="Times New Roman" w:eastAsia="Times New Roman" w:hAnsi="Times New Roman" w:cs="Times New Roman"/>
          <w:color w:val="000000"/>
          <w:spacing w:val="0"/>
          <w:w w:val="100"/>
          <w:position w:val="0"/>
          <w:sz w:val="20"/>
          <w:szCs w:val="20"/>
        </w:rPr>
        <w:t>1</w:t>
      </w:r>
      <w:bookmarkEnd w:id="78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以公允价值计量且其变动计入当期损益的金融负债</w:t>
      </w:r>
    </w:p>
    <w:p>
      <w:pPr>
        <w:pStyle w:val="Style41"/>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含属于金融负债的衍生工具</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和指定为以公允价值计量且其变动计入当期损益的金融负债。在非同一控制下的企业合并中，本公司作为 购买方确认的或有对价形成金融负债的，该金融负债应当按照以公允价值计量且其变动计入当期损益进行 会计处理。</w:t>
      </w:r>
    </w:p>
    <w:p>
      <w:pPr>
        <w:pStyle w:val="Style41"/>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以公允价值计量且其变动计入当期损益的金融负债在初始确认后以公允价值进行后续计量，产生的利 得或损失计入当期损益。</w:t>
      </w:r>
    </w:p>
    <w:p>
      <w:pPr>
        <w:pStyle w:val="Style41"/>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因公司自身信用风险变动引起的指定为以公允价值计量且其变动计入当期损益的金融负债的公允价 值变动金额计入其他综合收益，除非该处理会造成或扩大损益中的会计错配。该金融负债的其他公允价值 变动计入当期损益。终止确认时，将之前计入其他综合收益的累计利得或损失从其他综合收益中转出，计 入留存收益。</w:t>
      </w:r>
    </w:p>
    <w:p>
      <w:pPr>
        <w:pStyle w:val="Style41"/>
        <w:keepNext w:val="0"/>
        <w:keepLines w:val="0"/>
        <w:widowControl w:val="0"/>
        <w:shd w:val="clear" w:color="auto" w:fill="auto"/>
        <w:tabs>
          <w:tab w:pos="803" w:val="left"/>
        </w:tabs>
        <w:bidi w:val="0"/>
        <w:spacing w:before="0" w:after="0" w:line="314" w:lineRule="exact"/>
        <w:ind w:left="0" w:right="0" w:firstLine="440"/>
        <w:jc w:val="left"/>
        <w:rPr>
          <w:sz w:val="20"/>
          <w:szCs w:val="20"/>
        </w:rPr>
      </w:pPr>
      <w:bookmarkStart w:id="787" w:name="bookmark787"/>
      <w:r>
        <w:rPr>
          <w:rFonts w:ascii="Times New Roman" w:eastAsia="Times New Roman" w:hAnsi="Times New Roman" w:cs="Times New Roman"/>
          <w:color w:val="000000"/>
          <w:spacing w:val="0"/>
          <w:w w:val="100"/>
          <w:position w:val="0"/>
          <w:sz w:val="20"/>
          <w:szCs w:val="20"/>
        </w:rPr>
        <w:t>2</w:t>
      </w:r>
      <w:bookmarkEnd w:id="78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金融资产转移不符合终止确认条件或继续涉入被转移金融资产所形成的金融负债</w:t>
      </w:r>
    </w:p>
    <w:p>
      <w:pPr>
        <w:pStyle w:val="Style41"/>
        <w:keepNext w:val="0"/>
        <w:keepLines w:val="0"/>
        <w:widowControl w:val="0"/>
        <w:shd w:val="clear" w:color="auto" w:fill="auto"/>
        <w:bidi w:val="0"/>
        <w:spacing w:before="0" w:after="80" w:line="314" w:lineRule="exact"/>
        <w:ind w:left="0" w:right="0" w:firstLine="440"/>
        <w:jc w:val="left"/>
        <w:rPr>
          <w:sz w:val="20"/>
          <w:szCs w:val="20"/>
        </w:rPr>
      </w:pPr>
      <w:r>
        <w:rPr>
          <w:color w:val="000000"/>
          <w:spacing w:val="0"/>
          <w:w w:val="100"/>
          <w:position w:val="0"/>
          <w:sz w:val="20"/>
          <w:szCs w:val="20"/>
        </w:rPr>
        <w:t>该类金融负债按照金融资产转移的会计政策确定的方法进行计量。</w:t>
      </w:r>
    </w:p>
    <w:p>
      <w:pPr>
        <w:pStyle w:val="Style41"/>
        <w:keepNext w:val="0"/>
        <w:keepLines w:val="0"/>
        <w:widowControl w:val="0"/>
        <w:shd w:val="clear" w:color="auto" w:fill="auto"/>
        <w:tabs>
          <w:tab w:pos="803" w:val="left"/>
        </w:tabs>
        <w:bidi w:val="0"/>
        <w:spacing w:before="0" w:after="0" w:line="329" w:lineRule="auto"/>
        <w:ind w:left="0" w:right="0" w:firstLine="440"/>
        <w:jc w:val="left"/>
        <w:rPr>
          <w:sz w:val="20"/>
          <w:szCs w:val="20"/>
        </w:rPr>
      </w:pPr>
      <w:bookmarkStart w:id="788" w:name="bookmark788"/>
      <w:r>
        <w:rPr>
          <w:rFonts w:ascii="Times New Roman" w:eastAsia="Times New Roman" w:hAnsi="Times New Roman" w:cs="Times New Roman"/>
          <w:color w:val="000000"/>
          <w:spacing w:val="0"/>
          <w:w w:val="100"/>
          <w:position w:val="0"/>
          <w:sz w:val="20"/>
          <w:szCs w:val="20"/>
        </w:rPr>
        <w:t>3</w:t>
      </w:r>
      <w:bookmarkEnd w:id="78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财务担保合同</w:t>
      </w:r>
    </w:p>
    <w:p>
      <w:pPr>
        <w:pStyle w:val="Style41"/>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财务担保合同，是指当特定债务人到期不能按照最初或修改后的债务工具条款偿付债务时，要求本公 司向蒙受损失的合同持有人赔付特定金额的合同。</w:t>
      </w:r>
    </w:p>
    <w:p>
      <w:pPr>
        <w:pStyle w:val="Style41"/>
        <w:keepNext w:val="0"/>
        <w:keepLines w:val="0"/>
        <w:widowControl w:val="0"/>
        <w:shd w:val="clear" w:color="auto" w:fill="auto"/>
        <w:bidi w:val="0"/>
        <w:spacing w:before="0" w:after="80" w:line="314" w:lineRule="exact"/>
        <w:ind w:left="0" w:right="0" w:firstLine="440"/>
        <w:jc w:val="left"/>
        <w:rPr>
          <w:sz w:val="20"/>
          <w:szCs w:val="20"/>
        </w:rPr>
      </w:pPr>
      <w:r>
        <w:rPr>
          <w:color w:val="000000"/>
          <w:spacing w:val="0"/>
          <w:w w:val="100"/>
          <w:position w:val="0"/>
          <w:sz w:val="20"/>
          <w:szCs w:val="20"/>
        </w:rPr>
        <w:t>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情形的财务担保合同，在初始确认后按照下列两项金额之中的较高者进行后续计量： ①按照本附注三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金融工具的减值方法确定的损失准备金额；②初始确认金额扣除按照本附注五</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的收 入确认方法所确定的累计摊销额后的余额。</w:t>
      </w:r>
    </w:p>
    <w:p>
      <w:pPr>
        <w:pStyle w:val="Style41"/>
        <w:keepNext w:val="0"/>
        <w:keepLines w:val="0"/>
        <w:widowControl w:val="0"/>
        <w:shd w:val="clear" w:color="auto" w:fill="auto"/>
        <w:tabs>
          <w:tab w:pos="803" w:val="left"/>
        </w:tabs>
        <w:bidi w:val="0"/>
        <w:spacing w:before="0" w:after="0" w:line="329" w:lineRule="auto"/>
        <w:ind w:left="0" w:right="0" w:firstLine="440"/>
        <w:jc w:val="both"/>
        <w:rPr>
          <w:sz w:val="20"/>
          <w:szCs w:val="20"/>
        </w:rPr>
      </w:pPr>
      <w:bookmarkStart w:id="789" w:name="bookmark789"/>
      <w:r>
        <w:rPr>
          <w:rFonts w:ascii="Times New Roman" w:eastAsia="Times New Roman" w:hAnsi="Times New Roman" w:cs="Times New Roman"/>
          <w:color w:val="000000"/>
          <w:spacing w:val="0"/>
          <w:w w:val="100"/>
          <w:position w:val="0"/>
          <w:sz w:val="20"/>
          <w:szCs w:val="20"/>
        </w:rPr>
        <w:t>4</w:t>
      </w:r>
      <w:bookmarkEnd w:id="78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以摊余成本计量的金融负债</w:t>
      </w:r>
    </w:p>
    <w:p>
      <w:pPr>
        <w:pStyle w:val="Style41"/>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除上述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情形外，本公司将其余所有的金融负债分类为以摊余成本计量的金融负债。</w:t>
      </w:r>
    </w:p>
    <w:p>
      <w:pPr>
        <w:pStyle w:val="Style41"/>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该类金融负债在初始确认后采用实际利率法以摊余成本计量，产生的利得或损失在终止确认或在按照 实际利率法摊销时计入当期损益。</w:t>
      </w:r>
    </w:p>
    <w:p>
      <w:pPr>
        <w:pStyle w:val="Style41"/>
        <w:keepNext w:val="0"/>
        <w:keepLines w:val="0"/>
        <w:widowControl w:val="0"/>
        <w:shd w:val="clear" w:color="auto" w:fill="auto"/>
        <w:tabs>
          <w:tab w:pos="866" w:val="left"/>
        </w:tabs>
        <w:bidi w:val="0"/>
        <w:spacing w:before="0" w:after="0" w:line="329" w:lineRule="auto"/>
        <w:ind w:left="0" w:right="0" w:firstLine="440"/>
        <w:jc w:val="both"/>
        <w:rPr>
          <w:sz w:val="20"/>
          <w:szCs w:val="20"/>
        </w:rPr>
      </w:pPr>
      <w:bookmarkStart w:id="790" w:name="bookmark790"/>
      <w:r>
        <w:rPr>
          <w:rFonts w:ascii="Times New Roman" w:eastAsia="Times New Roman" w:hAnsi="Times New Roman" w:cs="Times New Roman"/>
          <w:color w:val="000000"/>
          <w:spacing w:val="0"/>
          <w:w w:val="100"/>
          <w:position w:val="0"/>
          <w:sz w:val="20"/>
          <w:szCs w:val="20"/>
        </w:rPr>
        <w:t>（</w:t>
      </w:r>
      <w:bookmarkEnd w:id="790"/>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权益工具</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含再融 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、回购、出售或注销权益工具作为权益的变动处理。与权益性交易相关的交易费用从权益中扣减。本公 司对权益工具持有方的各种分配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不包括股票股利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，减少股东权益。本公司不确认权益工具的公允价值变 动额。</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金融负债与权益工具的区分：</w:t>
      </w:r>
    </w:p>
    <w:p>
      <w:pPr>
        <w:pStyle w:val="Style41"/>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金融负债，是指符合下列条件之一的负债：</w:t>
      </w:r>
    </w:p>
    <w:p>
      <w:pPr>
        <w:pStyle w:val="Style41"/>
        <w:keepNext w:val="0"/>
        <w:keepLines w:val="0"/>
        <w:widowControl w:val="0"/>
        <w:shd w:val="clear" w:color="auto" w:fill="auto"/>
        <w:tabs>
          <w:tab w:pos="784" w:val="left"/>
        </w:tabs>
        <w:bidi w:val="0"/>
        <w:spacing w:before="0" w:after="0" w:line="329" w:lineRule="auto"/>
        <w:ind w:left="0" w:right="0" w:firstLine="440"/>
        <w:jc w:val="both"/>
        <w:rPr>
          <w:sz w:val="20"/>
          <w:szCs w:val="20"/>
        </w:rPr>
      </w:pPr>
      <w:bookmarkStart w:id="791" w:name="bookmark791"/>
      <w:r>
        <w:rPr>
          <w:rFonts w:ascii="Times New Roman" w:eastAsia="Times New Roman" w:hAnsi="Times New Roman" w:cs="Times New Roman"/>
          <w:color w:val="000000"/>
          <w:spacing w:val="0"/>
          <w:w w:val="100"/>
          <w:position w:val="0"/>
          <w:sz w:val="20"/>
          <w:szCs w:val="20"/>
        </w:rPr>
        <w:t>1</w:t>
      </w:r>
      <w:bookmarkEnd w:id="79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向其他方交付现金或其他金融资产的合同义务。</w:t>
      </w:r>
    </w:p>
    <w:p>
      <w:pPr>
        <w:pStyle w:val="Style41"/>
        <w:keepNext w:val="0"/>
        <w:keepLines w:val="0"/>
        <w:widowControl w:val="0"/>
        <w:shd w:val="clear" w:color="auto" w:fill="auto"/>
        <w:tabs>
          <w:tab w:pos="803" w:val="left"/>
        </w:tabs>
        <w:bidi w:val="0"/>
        <w:spacing w:before="0" w:after="0" w:line="329" w:lineRule="auto"/>
        <w:ind w:left="0" w:right="0" w:firstLine="440"/>
        <w:jc w:val="left"/>
        <w:rPr>
          <w:sz w:val="20"/>
          <w:szCs w:val="20"/>
        </w:rPr>
      </w:pPr>
      <w:bookmarkStart w:id="792" w:name="bookmark792"/>
      <w:r>
        <w:rPr>
          <w:rFonts w:ascii="Times New Roman" w:eastAsia="Times New Roman" w:hAnsi="Times New Roman" w:cs="Times New Roman"/>
          <w:color w:val="000000"/>
          <w:spacing w:val="0"/>
          <w:w w:val="100"/>
          <w:position w:val="0"/>
          <w:sz w:val="20"/>
          <w:szCs w:val="20"/>
        </w:rPr>
        <w:t>2</w:t>
      </w:r>
      <w:bookmarkEnd w:id="792"/>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在潜在不利条件下，与其他方交换金融资产或金融负债的合同义务。</w:t>
      </w:r>
    </w:p>
    <w:p>
      <w:pPr>
        <w:pStyle w:val="Style41"/>
        <w:keepNext w:val="0"/>
        <w:keepLines w:val="0"/>
        <w:widowControl w:val="0"/>
        <w:shd w:val="clear" w:color="auto" w:fill="auto"/>
        <w:tabs>
          <w:tab w:pos="771" w:val="left"/>
        </w:tabs>
        <w:bidi w:val="0"/>
        <w:spacing w:before="0" w:after="80" w:line="314" w:lineRule="exact"/>
        <w:ind w:left="0" w:right="0" w:firstLine="440"/>
        <w:jc w:val="both"/>
        <w:rPr>
          <w:sz w:val="20"/>
          <w:szCs w:val="20"/>
        </w:rPr>
      </w:pPr>
      <w:bookmarkStart w:id="793" w:name="bookmark793"/>
      <w:r>
        <w:rPr>
          <w:rFonts w:ascii="Times New Roman" w:eastAsia="Times New Roman" w:hAnsi="Times New Roman" w:cs="Times New Roman"/>
          <w:color w:val="000000"/>
          <w:spacing w:val="0"/>
          <w:w w:val="100"/>
          <w:position w:val="0"/>
          <w:sz w:val="20"/>
          <w:szCs w:val="20"/>
        </w:rPr>
        <w:t>3</w:t>
      </w:r>
      <w:bookmarkEnd w:id="793"/>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将来须用或可用企业自身权益工具进行结算的非衍生工具合同，且企业根据该合同将交付可变数量 的自身权益工具。</w:t>
      </w:r>
    </w:p>
    <w:p>
      <w:pPr>
        <w:pStyle w:val="Style41"/>
        <w:keepNext w:val="0"/>
        <w:keepLines w:val="0"/>
        <w:widowControl w:val="0"/>
        <w:shd w:val="clear" w:color="auto" w:fill="auto"/>
        <w:bidi w:val="0"/>
        <w:spacing w:before="0" w:after="0" w:line="313" w:lineRule="exact"/>
        <w:ind w:left="0" w:right="0" w:firstLine="420"/>
        <w:jc w:val="both"/>
        <w:rPr>
          <w:sz w:val="20"/>
          <w:szCs w:val="20"/>
        </w:rPr>
      </w:pPr>
      <w:bookmarkStart w:id="794" w:name="bookmark794"/>
      <w:r>
        <w:rPr>
          <w:rFonts w:ascii="Times New Roman" w:eastAsia="Times New Roman" w:hAnsi="Times New Roman" w:cs="Times New Roman"/>
          <w:color w:val="000000"/>
          <w:spacing w:val="0"/>
          <w:w w:val="100"/>
          <w:position w:val="0"/>
          <w:sz w:val="20"/>
          <w:szCs w:val="20"/>
        </w:rPr>
        <w:t>4</w:t>
      </w:r>
      <w:bookmarkEnd w:id="79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将来须用或可用企业自身权益工具进行结算的衍生工具合同，但以固定数量的自身权益工具交换固 定金额的现金或其他金融资产的衍生工具合同除外。</w:t>
      </w:r>
    </w:p>
    <w:p>
      <w:pPr>
        <w:pStyle w:val="Style41"/>
        <w:keepNext w:val="0"/>
        <w:keepLines w:val="0"/>
        <w:widowControl w:val="0"/>
        <w:shd w:val="clear" w:color="auto" w:fill="auto"/>
        <w:bidi w:val="0"/>
        <w:spacing w:before="0" w:after="80" w:line="313" w:lineRule="exact"/>
        <w:ind w:left="0" w:right="0" w:firstLine="420"/>
        <w:jc w:val="both"/>
        <w:rPr>
          <w:sz w:val="20"/>
          <w:szCs w:val="20"/>
        </w:rPr>
      </w:pPr>
      <w:r>
        <w:rPr>
          <w:color w:val="000000"/>
          <w:spacing w:val="0"/>
          <w:w w:val="100"/>
          <w:position w:val="0"/>
          <w:sz w:val="20"/>
          <w:szCs w:val="20"/>
        </w:rPr>
        <w:t>如果本公司不能无条件地避免以交付现金或其他金融资产来履行一项合同义务，则该合同义务符合金 融负债的定义。如果一项金融工具须用或可用本公司自身权益工具进行结算，需要考虑用于结算该工具的 本公司自身权益工具，是作为现金或其他金融资产的替代品，还是为了使该工具持有方享有在发行方扣除 所有负债后的资产中的剩余权益。如果是前者，该工具是本公司的金融负债；如果是后者，该工具是本公 司的权益工具。</w:t>
      </w:r>
    </w:p>
    <w:p>
      <w:pPr>
        <w:pStyle w:val="Style41"/>
        <w:keepNext w:val="0"/>
        <w:keepLines w:val="0"/>
        <w:widowControl w:val="0"/>
        <w:shd w:val="clear" w:color="auto" w:fill="auto"/>
        <w:bidi w:val="0"/>
        <w:spacing w:before="0" w:after="0" w:line="326" w:lineRule="auto"/>
        <w:ind w:left="0" w:right="0" w:firstLine="420"/>
        <w:jc w:val="both"/>
        <w:rPr>
          <w:sz w:val="20"/>
          <w:szCs w:val="20"/>
        </w:rPr>
      </w:pPr>
      <w:bookmarkStart w:id="795" w:name="bookmark795"/>
      <w:r>
        <w:rPr>
          <w:rFonts w:ascii="Times New Roman" w:eastAsia="Times New Roman" w:hAnsi="Times New Roman" w:cs="Times New Roman"/>
          <w:color w:val="000000"/>
          <w:spacing w:val="0"/>
          <w:w w:val="100"/>
          <w:position w:val="0"/>
          <w:sz w:val="20"/>
          <w:szCs w:val="20"/>
        </w:rPr>
        <w:t>（</w:t>
      </w:r>
      <w:bookmarkEnd w:id="795"/>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衍生工具及嵌入衍生工具</w:t>
      </w:r>
    </w:p>
    <w:p>
      <w:pPr>
        <w:pStyle w:val="Style4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衍生工具，包括远期外汇合约、货币汇率互换合同、利率互换合同及外汇期权合同等。衍生工具于初 始确认时以公允价值进行初始计量，并以公允价值进行后续计量。衍生工具的公允价值变动计入当期损益。</w:t>
      </w:r>
    </w:p>
    <w:p>
      <w:pPr>
        <w:pStyle w:val="Style41"/>
        <w:keepNext w:val="0"/>
        <w:keepLines w:val="0"/>
        <w:widowControl w:val="0"/>
        <w:shd w:val="clear" w:color="auto" w:fill="auto"/>
        <w:bidi w:val="0"/>
        <w:spacing w:before="0" w:after="80" w:line="313" w:lineRule="exact"/>
        <w:ind w:left="0" w:right="0" w:firstLine="420"/>
        <w:jc w:val="both"/>
        <w:rPr>
          <w:sz w:val="20"/>
          <w:szCs w:val="20"/>
        </w:rPr>
      </w:pPr>
      <w:r>
        <w:rPr>
          <w:color w:val="000000"/>
          <w:spacing w:val="0"/>
          <w:w w:val="100"/>
          <w:position w:val="0"/>
          <w:sz w:val="20"/>
          <w:szCs w:val="20"/>
        </w:rPr>
        <w:t>嵌入衍生工具，是指嵌入到非衍生工具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即主合同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中的衍生工具。对于嵌入衍生工具与主合同构成的 混合合同，若主合同属于金融资产的，本公司不从该混合合同中分拆嵌入衍生工具，而将该混合合同作为 一个整体适用本公司关于金融资产分类的会计政策。若混合合同包含的主合同不属于金融资产，且同时符 合下列条件的，本公司将嵌入衍生工具从混合合同中分拆，作为单独的衍生工具处理：</w:t>
      </w:r>
    </w:p>
    <w:p>
      <w:pPr>
        <w:pStyle w:val="Style41"/>
        <w:keepNext w:val="0"/>
        <w:keepLines w:val="0"/>
        <w:widowControl w:val="0"/>
        <w:shd w:val="clear" w:color="auto" w:fill="auto"/>
        <w:tabs>
          <w:tab w:pos="712" w:val="left"/>
        </w:tabs>
        <w:bidi w:val="0"/>
        <w:spacing w:before="0" w:after="0" w:line="326" w:lineRule="auto"/>
        <w:ind w:left="0" w:right="0" w:firstLine="420"/>
        <w:jc w:val="both"/>
        <w:rPr>
          <w:sz w:val="20"/>
          <w:szCs w:val="20"/>
        </w:rPr>
      </w:pPr>
      <w:bookmarkStart w:id="796" w:name="bookmark796"/>
      <w:r>
        <w:rPr>
          <w:rFonts w:ascii="Times New Roman" w:eastAsia="Times New Roman" w:hAnsi="Times New Roman" w:cs="Times New Roman"/>
          <w:color w:val="000000"/>
          <w:spacing w:val="0"/>
          <w:w w:val="100"/>
          <w:position w:val="0"/>
          <w:sz w:val="20"/>
          <w:szCs w:val="20"/>
        </w:rPr>
        <w:t>1</w:t>
      </w:r>
      <w:bookmarkEnd w:id="79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嵌入衍生工具的经济特征及风险与主合同的经济特征及风险不紧密相关。</w:t>
      </w:r>
    </w:p>
    <w:p>
      <w:pPr>
        <w:pStyle w:val="Style41"/>
        <w:keepNext w:val="0"/>
        <w:keepLines w:val="0"/>
        <w:widowControl w:val="0"/>
        <w:shd w:val="clear" w:color="auto" w:fill="auto"/>
        <w:tabs>
          <w:tab w:pos="732" w:val="left"/>
        </w:tabs>
        <w:bidi w:val="0"/>
        <w:spacing w:before="0" w:after="0" w:line="326" w:lineRule="auto"/>
        <w:ind w:left="0" w:right="0" w:firstLine="420"/>
        <w:jc w:val="both"/>
        <w:rPr>
          <w:sz w:val="20"/>
          <w:szCs w:val="20"/>
        </w:rPr>
      </w:pPr>
      <w:bookmarkStart w:id="797" w:name="bookmark797"/>
      <w:r>
        <w:rPr>
          <w:rFonts w:ascii="Times New Roman" w:eastAsia="Times New Roman" w:hAnsi="Times New Roman" w:cs="Times New Roman"/>
          <w:color w:val="000000"/>
          <w:spacing w:val="0"/>
          <w:w w:val="100"/>
          <w:position w:val="0"/>
          <w:sz w:val="20"/>
          <w:szCs w:val="20"/>
        </w:rPr>
        <w:t>2</w:t>
      </w:r>
      <w:bookmarkEnd w:id="79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与该嵌入衍生工具具有相同条款的单独工具符合衍生工具的定义。</w:t>
      </w:r>
    </w:p>
    <w:p>
      <w:pPr>
        <w:pStyle w:val="Style41"/>
        <w:keepNext w:val="0"/>
        <w:keepLines w:val="0"/>
        <w:widowControl w:val="0"/>
        <w:shd w:val="clear" w:color="auto" w:fill="auto"/>
        <w:tabs>
          <w:tab w:pos="732" w:val="left"/>
        </w:tabs>
        <w:bidi w:val="0"/>
        <w:spacing w:before="0" w:after="0" w:line="326" w:lineRule="auto"/>
        <w:ind w:left="0" w:right="0" w:firstLine="420"/>
        <w:jc w:val="both"/>
        <w:rPr>
          <w:sz w:val="20"/>
          <w:szCs w:val="20"/>
        </w:rPr>
      </w:pPr>
      <w:bookmarkStart w:id="798" w:name="bookmark798"/>
      <w:r>
        <w:rPr>
          <w:rFonts w:ascii="Times New Roman" w:eastAsia="Times New Roman" w:hAnsi="Times New Roman" w:cs="Times New Roman"/>
          <w:color w:val="000000"/>
          <w:spacing w:val="0"/>
          <w:w w:val="100"/>
          <w:position w:val="0"/>
          <w:sz w:val="20"/>
          <w:szCs w:val="20"/>
        </w:rPr>
        <w:t>3</w:t>
      </w:r>
      <w:bookmarkEnd w:id="79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该混合合同不是以公允价值计量且其变动计入当期损益进行会计处理。</w:t>
      </w:r>
    </w:p>
    <w:p>
      <w:pPr>
        <w:pStyle w:val="Style4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嵌入衍生工具从混合合同中分拆的，本公司按照适用的会计准则规定对混合合同的主合同进行会计处 理。本公司无法根据嵌入衍生工具的条款和条件对嵌入衍生工具的公允价值进行可靠计量的，该嵌入衍生 工具的公允价值根据混合合同公允价值和主合同公允价值之间的差额确定。使用了上述方法后，该嵌入衍 生工具在取得日或后续资产负债表日的公允价值仍然无法单独计量的，本公司将该混合合同整体指定为以 公允价值计量且其变动计入当期损益的金融工具。</w:t>
      </w:r>
    </w:p>
    <w:p>
      <w:pPr>
        <w:pStyle w:val="Style41"/>
        <w:keepNext w:val="0"/>
        <w:keepLines w:val="0"/>
        <w:widowControl w:val="0"/>
        <w:numPr>
          <w:ilvl w:val="0"/>
          <w:numId w:val="39"/>
        </w:numPr>
        <w:shd w:val="clear" w:color="auto" w:fill="auto"/>
        <w:tabs>
          <w:tab w:pos="660" w:val="left"/>
        </w:tabs>
        <w:bidi w:val="0"/>
        <w:spacing w:before="0" w:after="0" w:line="313" w:lineRule="exact"/>
        <w:ind w:left="0" w:right="0" w:firstLine="420"/>
        <w:jc w:val="both"/>
        <w:rPr>
          <w:sz w:val="20"/>
          <w:szCs w:val="20"/>
        </w:rPr>
      </w:pPr>
      <w:bookmarkStart w:id="799" w:name="bookmark799"/>
      <w:bookmarkEnd w:id="799"/>
      <w:r>
        <w:rPr>
          <w:color w:val="000000"/>
          <w:spacing w:val="0"/>
          <w:w w:val="100"/>
          <w:position w:val="0"/>
          <w:sz w:val="20"/>
          <w:szCs w:val="20"/>
        </w:rPr>
        <w:t>.金融资产转移的确认依据及计量方法</w:t>
      </w:r>
    </w:p>
    <w:p>
      <w:pPr>
        <w:pStyle w:val="Style4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金融资产转移，是指本公司将金融资产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或其现金流量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让与或交付该金融资产发行方以外的另一方。 金融资产终止确认，是指本公司将之前确认的金融资产从其资产负债表中予以转出。</w:t>
      </w:r>
    </w:p>
    <w:p>
      <w:pPr>
        <w:pStyle w:val="Style4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shd w:val="clear" w:color="auto" w:fill="FFFFFF"/>
        </w:rPr>
        <w:t>满足下列条件之一的金融资产，本公司予以终止确认：</w:t>
      </w:r>
      <w:r>
        <w:rPr>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shd w:val="clear" w:color="auto" w:fill="FFFFFF"/>
        </w:rPr>
        <w:t>1）</w:t>
      </w:r>
      <w:r>
        <w:rPr>
          <w:color w:val="000000"/>
          <w:spacing w:val="0"/>
          <w:w w:val="100"/>
          <w:position w:val="0"/>
          <w:sz w:val="20"/>
          <w:szCs w:val="20"/>
          <w:shd w:val="clear" w:color="auto" w:fill="FFFFFF"/>
        </w:rPr>
        <w:t>收取该金融资产现金流量的合同权利终止；</w:t>
      </w:r>
    </w:p>
    <w:p>
      <w:pPr>
        <w:pStyle w:val="Style41"/>
        <w:keepNext w:val="0"/>
        <w:keepLines w:val="0"/>
        <w:widowControl w:val="0"/>
        <w:shd w:val="clear" w:color="auto" w:fill="auto"/>
        <w:bidi w:val="0"/>
        <w:spacing w:before="0" w:after="0" w:line="313" w:lineRule="exact"/>
        <w:ind w:left="0" w:right="0" w:firstLine="0"/>
        <w:jc w:val="left"/>
        <w:rPr>
          <w:sz w:val="20"/>
          <w:szCs w:val="20"/>
        </w:rPr>
      </w:pPr>
      <w:bookmarkStart w:id="800" w:name="bookmark800"/>
      <w:r>
        <w:rPr>
          <w:rFonts w:ascii="Times New Roman" w:eastAsia="Times New Roman" w:hAnsi="Times New Roman" w:cs="Times New Roman"/>
          <w:color w:val="000000"/>
          <w:spacing w:val="0"/>
          <w:w w:val="100"/>
          <w:position w:val="0"/>
          <w:sz w:val="20"/>
          <w:szCs w:val="20"/>
        </w:rPr>
        <w:t>（</w:t>
      </w:r>
      <w:bookmarkEnd w:id="80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该金融资产已转移，且将金融资产所有权上几乎所有的风险和报酬转移给转入方;</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该金融资产已转移， 虽然本公司既没有转移也没有保留金融资产所有权上几乎所有的风险和报酬，但是放弃了对该金融资产的 控制。</w:t>
      </w:r>
    </w:p>
    <w:p>
      <w:pPr>
        <w:pStyle w:val="Style4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若本公司既没有转移也没有保留金融资产所有权上几乎所有的风险和报酬，且保留了对该金融资产的 控制的，则按照继续涉入被转移金融资产的程度继续确认有关金融资产，并相应确认有关负债。继续涉入 所转移金融资产的程度，是指该金融资产价值变动使企业面临的风险水平。</w:t>
      </w:r>
    </w:p>
    <w:p>
      <w:pPr>
        <w:pStyle w:val="Style4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金融资产整体转移满足终止确认条件的，将下列两项金额的差额计入当期损益：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被转移金融资产在 终止确认日的账面价值；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因转移金融资产而收到的对价，与原直接计入其他综合收益的公允价值变动累 计额中对应终止确认部分的金额之和。金融资产部分转移满足终止确认条件的，将所转移金融资产整体的 账面价值，在终止确认部分和未终止确认部分之间，按照各自的相对公允价值进行分摊，并将下列两项金 额的差额计入当期损益：</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终止确认部分在终止确认日的账面价值；</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终止确认部分收到的对价，与原直 接计入其他综合收益的公允价值变动累计额中对应终止确认部分的金额之和。对于本公司指定为以公允价 值计量且其变动计入其他综合收益的非交易性权益工具，整体或部分转移满足终止确认条件的，按上述方 法计算的差额计入留存收益。</w:t>
      </w:r>
    </w:p>
    <w:p>
      <w:pPr>
        <w:pStyle w:val="Style41"/>
        <w:keepNext w:val="0"/>
        <w:keepLines w:val="0"/>
        <w:widowControl w:val="0"/>
        <w:numPr>
          <w:ilvl w:val="0"/>
          <w:numId w:val="37"/>
        </w:numPr>
        <w:shd w:val="clear" w:color="auto" w:fill="auto"/>
        <w:bidi w:val="0"/>
        <w:spacing w:before="0" w:after="0" w:line="313" w:lineRule="exact"/>
        <w:ind w:left="0" w:right="0" w:firstLine="380"/>
        <w:jc w:val="both"/>
        <w:rPr>
          <w:sz w:val="20"/>
          <w:szCs w:val="20"/>
        </w:rPr>
      </w:pPr>
      <w:bookmarkStart w:id="801" w:name="bookmark801"/>
      <w:bookmarkEnd w:id="801"/>
      <w:r>
        <w:rPr>
          <w:color w:val="000000"/>
          <w:spacing w:val="0"/>
          <w:w w:val="100"/>
          <w:position w:val="0"/>
          <w:sz w:val="20"/>
          <w:szCs w:val="20"/>
        </w:rPr>
        <w:t>金融负债终止确认条件</w:t>
      </w:r>
    </w:p>
    <w:p>
      <w:pPr>
        <w:pStyle w:val="Style4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或其一部分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的现时义务已经解除的，本公司终止确认该金融负债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或该部分金融负债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借入方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与借出方之间签订协议，以承担新金融负债方式替换原金融负债，且新金融负债与原金融负债 的合同条款实质上不同的，终止确认原金融负债，同时确认一项新金融负债。本公司对原金融负债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或其一 </w:t>
      </w:r>
      <w:r>
        <w:rPr>
          <w:color w:val="000000"/>
          <w:spacing w:val="0"/>
          <w:w w:val="100"/>
          <w:position w:val="0"/>
          <w:sz w:val="20"/>
          <w:szCs w:val="20"/>
        </w:rPr>
        <w:t>部分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的合同条款做出实质性修改的，终止确认原金融负债，同时按照修改后的条款确认一项新金融负债。</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或其一部分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终止确认的，本公司将其账面价值与支付的对价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包括转出的非现金资产或承担 的负债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之间的差额，计入当期损益。本公司回购金融负债一部分的，按照继续确认部分和终止确认部分在 回购日各自的公允价值占整体公允价值的比例，对该金融负债整体的账面价值进行分配。分配给终止确认 部分的账面价值与支付的对价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包括转出的非现金资产或承担的负债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之间的差额，计入当期损益。</w:t>
      </w:r>
    </w:p>
    <w:p>
      <w:pPr>
        <w:pStyle w:val="Style41"/>
        <w:keepNext w:val="0"/>
        <w:keepLines w:val="0"/>
        <w:widowControl w:val="0"/>
        <w:numPr>
          <w:ilvl w:val="0"/>
          <w:numId w:val="37"/>
        </w:numPr>
        <w:shd w:val="clear" w:color="auto" w:fill="auto"/>
        <w:tabs>
          <w:tab w:pos="732" w:val="left"/>
        </w:tabs>
        <w:bidi w:val="0"/>
        <w:spacing w:before="0" w:after="0" w:line="313" w:lineRule="exact"/>
        <w:ind w:left="0" w:right="0" w:firstLine="400"/>
        <w:jc w:val="left"/>
        <w:rPr>
          <w:sz w:val="20"/>
          <w:szCs w:val="20"/>
        </w:rPr>
      </w:pPr>
      <w:bookmarkStart w:id="802" w:name="bookmark802"/>
      <w:bookmarkEnd w:id="802"/>
      <w:r>
        <w:rPr>
          <w:color w:val="000000"/>
          <w:spacing w:val="0"/>
          <w:w w:val="100"/>
          <w:position w:val="0"/>
          <w:sz w:val="20"/>
          <w:szCs w:val="20"/>
        </w:rPr>
        <w:t>金融工具公允价值的确定</w:t>
      </w:r>
    </w:p>
    <w:p>
      <w:pPr>
        <w:pStyle w:val="Style41"/>
        <w:keepNext w:val="0"/>
        <w:keepLines w:val="0"/>
        <w:widowControl w:val="0"/>
        <w:shd w:val="clear" w:color="auto" w:fill="auto"/>
        <w:bidi w:val="0"/>
        <w:spacing w:before="0" w:after="0" w:line="313" w:lineRule="exact"/>
        <w:ind w:left="0" w:right="0" w:firstLine="400"/>
        <w:jc w:val="left"/>
        <w:rPr>
          <w:sz w:val="20"/>
          <w:szCs w:val="20"/>
        </w:rPr>
      </w:pPr>
      <w:r>
        <w:rPr>
          <w:color w:val="000000"/>
          <w:spacing w:val="0"/>
          <w:w w:val="100"/>
          <w:position w:val="0"/>
          <w:sz w:val="20"/>
          <w:szCs w:val="20"/>
        </w:rPr>
        <w:t>金融资产和金融负债的公允价值确定方法见本</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w:t>
      </w:r>
    </w:p>
    <w:p>
      <w:pPr>
        <w:pStyle w:val="Style41"/>
        <w:keepNext w:val="0"/>
        <w:keepLines w:val="0"/>
        <w:widowControl w:val="0"/>
        <w:numPr>
          <w:ilvl w:val="0"/>
          <w:numId w:val="37"/>
        </w:numPr>
        <w:shd w:val="clear" w:color="auto" w:fill="auto"/>
        <w:tabs>
          <w:tab w:pos="732" w:val="left"/>
        </w:tabs>
        <w:bidi w:val="0"/>
        <w:spacing w:before="0" w:after="0" w:line="313" w:lineRule="exact"/>
        <w:ind w:left="0" w:right="0" w:firstLine="400"/>
        <w:jc w:val="both"/>
        <w:rPr>
          <w:sz w:val="20"/>
          <w:szCs w:val="20"/>
        </w:rPr>
      </w:pPr>
      <w:bookmarkStart w:id="803" w:name="bookmark803"/>
      <w:bookmarkEnd w:id="803"/>
      <w:r>
        <w:rPr>
          <w:color w:val="000000"/>
          <w:spacing w:val="0"/>
          <w:w w:val="100"/>
          <w:position w:val="0"/>
          <w:sz w:val="20"/>
          <w:szCs w:val="20"/>
        </w:rPr>
        <w:t>金融工具的减值</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本公司以预期信用损失为基础，对以摊余成本计量的金融资产、合同资产、以公允价值计量且其变动 计入其他综合收益的债务工具投资、租赁应收款以及本</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所述的财务担保合同进行减值处理并确认 损失准备。预期信用损失，是指以发生违约的风险为权重的金融工具信用损失的加权平均值。信用损失， 是指本公司按照原实际利率折现的、根据合同应收的所有合同现金流量与预期收取的所有现金流量之间的 差额，即全部现金短缺的现值。</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对于购买或源生的已发生信用减值的金融资产，公司在资产负债表日仅将自初始确认后整个存续期内 预期信用损失的累计变动确认为损失准备。</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对于由《企业会计准则第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号——收入》规范的交易形成的应收款项或合同资产及租赁应收款，本公 司运用简化计量方法，按照相当于整个存续期内的预期信用损失金额计量损失准备。</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除上述计量方法以外的金融工具，本公司按照一般方法计量损失准备，在每个资产负债表日评估其信 用风险自初始确认后是否已经显著增加。如果信用风险自初始确认后已显著增加，公司按照整个存续期内 预期信用损失的金额计量损失准备；如果信用风险自初始确认后未显著增加，公司按照该金融工具未来</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个月内预期信用损失的金额计量损失准备。</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整个存续期预期信用损失，是指因金融工具整个预计存续期内所有可能发生的违约事件而导致的预期 信用损失。未来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个月内预期信用损失，是指因资产负债表日后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若金融工具的预计存续期少于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个月，则为预计存续期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可能发生的金融工具违约事件而导致的预期信用损失，是整个存续期预期信用损 失的一部分。</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本公司考虑所有合理且有依据的信息，包括前瞻性信息，通过比较金融工具在资产负债表日发生违约 的风险与在初始确认日发生违约的风险，确定金融工具预计存续期内发生违约风险的相对变化，以评估金 融工具的信用风险自初始确认后是否已显著增加。对于在单项工具层面无法以合理成本获得关于信用风险 显著增加的充分证据的金融工具，本公司以组合为基础考虑评估信用风险是否显著增加。若本公司判断金 融工具在资产负债表日只具有较低的信用风险，则假定该金融工具的信用风险自初始确认后并未显著增 加。</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本公司在每个资产负债表日重新计量预期信用损失，由此形成的损失准备的增加或转回金额，作为减 值损失或利得计入当期损益。对于以摊余成本计量的金融资产，损失准备抵减该金融资产在资产负债表中 列示的账面价值；对于以公允价值计量且其变动计入其他综合收益的债务工具投资，公司在其他综合收益 中确认其损失准备，不抵减该金融资产在资产负债表中列示的账面价值。</w:t>
      </w:r>
    </w:p>
    <w:p>
      <w:pPr>
        <w:pStyle w:val="Style41"/>
        <w:keepNext w:val="0"/>
        <w:keepLines w:val="0"/>
        <w:widowControl w:val="0"/>
        <w:numPr>
          <w:ilvl w:val="0"/>
          <w:numId w:val="37"/>
        </w:numPr>
        <w:shd w:val="clear" w:color="auto" w:fill="auto"/>
        <w:tabs>
          <w:tab w:pos="749" w:val="left"/>
        </w:tabs>
        <w:bidi w:val="0"/>
        <w:spacing w:before="0" w:after="0" w:line="313" w:lineRule="exact"/>
        <w:ind w:left="0" w:right="0" w:firstLine="440"/>
        <w:jc w:val="both"/>
        <w:rPr>
          <w:sz w:val="20"/>
          <w:szCs w:val="20"/>
        </w:rPr>
      </w:pPr>
      <w:bookmarkStart w:id="804" w:name="bookmark804"/>
      <w:bookmarkEnd w:id="804"/>
      <w:r>
        <w:rPr>
          <w:color w:val="000000"/>
          <w:spacing w:val="0"/>
          <w:w w:val="100"/>
          <w:position w:val="0"/>
          <w:sz w:val="20"/>
          <w:szCs w:val="20"/>
        </w:rPr>
        <w:t>金融资产和金融负债的抵销</w:t>
      </w:r>
    </w:p>
    <w:p>
      <w:pPr>
        <w:pStyle w:val="Style41"/>
        <w:keepNext w:val="0"/>
        <w:keepLines w:val="0"/>
        <w:widowControl w:val="0"/>
        <w:shd w:val="clear" w:color="auto" w:fill="auto"/>
        <w:bidi w:val="0"/>
        <w:spacing w:before="0" w:after="680" w:line="313" w:lineRule="exact"/>
        <w:ind w:left="0" w:right="0" w:firstLine="440"/>
        <w:jc w:val="both"/>
        <w:rPr>
          <w:sz w:val="20"/>
          <w:szCs w:val="20"/>
        </w:rPr>
      </w:pPr>
      <w:r>
        <w:rPr>
          <w:color w:val="000000"/>
          <w:spacing w:val="0"/>
          <w:w w:val="100"/>
          <w:position w:val="0"/>
          <w:sz w:val="20"/>
          <w:szCs w:val="2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2"/>
        <w:keepNext/>
        <w:keepLines/>
        <w:widowControl w:val="0"/>
        <w:shd w:val="clear" w:color="auto" w:fill="auto"/>
        <w:bidi w:val="0"/>
        <w:spacing w:before="0" w:after="34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05"/>
      <w:bookmarkEnd w:id="806"/>
      <w:bookmarkEnd w:id="808"/>
    </w:p>
    <w:p>
      <w:pPr>
        <w:pStyle w:val="Style41"/>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本公司按照本</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所述的简化计量方法确定应收票据的预期信用损失并进行会计处理。在资产负</w:t>
        <w:br w:type="page"/>
      </w:r>
      <w:r>
        <w:rPr>
          <w:color w:val="000000"/>
          <w:spacing w:val="0"/>
          <w:w w:val="100"/>
          <w:position w:val="0"/>
          <w:sz w:val="20"/>
          <w:szCs w:val="20"/>
        </w:rPr>
        <w:t>债表日，本公司按应收取的合同现金流量与预期收取的现金流量之间的差额的现值计量应收票据的信用损 失。当单项应收票据无法以合理成本评估预期信用损失的信息时，本公司根据信用风险特征将应收票据划 分为若干组合，参考历史信用损失经验，结合当前状况并考虑前瞻性信息，在组合基础上估计预期信用损 失，确定组合的依据如下：</w:t>
      </w:r>
    </w:p>
    <w:tbl>
      <w:tblPr>
        <w:tblOverlap w:val="never"/>
        <w:jc w:val="left"/>
        <w:tblLayout w:type="fixed"/>
      </w:tblPr>
      <w:tblGrid>
        <w:gridCol w:w="3096"/>
        <w:gridCol w:w="5400"/>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r>
    </w:tbl>
    <w:p>
      <w:pPr>
        <w:pStyle w:val="Style29"/>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银行承兑汇票组合预期信用损失计算方法:</w:t>
      </w:r>
    </w:p>
    <w:p>
      <w:pPr>
        <w:widowControl w:val="0"/>
        <w:spacing w:line="1" w:lineRule="exact"/>
      </w:pPr>
    </w:p>
    <w:tbl>
      <w:tblPr>
        <w:tblOverlap w:val="never"/>
        <w:jc w:val="left"/>
        <w:tblLayout w:type="fixed"/>
      </w:tblPr>
      <w:tblGrid>
        <w:gridCol w:w="2837"/>
        <w:gridCol w:w="5722"/>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预期信用损失计算方法</w:t>
            </w:r>
          </w:p>
        </w:tc>
      </w:tr>
      <w:tr>
        <w:trPr>
          <w:trHeight w:val="6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参考历史信用损失经验，结合当前状况并考虑前瞻性信息，通过违约风险 敞口和整个存续期预期信用损失率，计算预期信用损失。</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商业承兑汇票组合预期信用损失计算方法:</w:t>
      </w:r>
    </w:p>
    <w:p>
      <w:pPr>
        <w:widowControl w:val="0"/>
        <w:spacing w:line="1" w:lineRule="exact"/>
      </w:pPr>
    </w:p>
    <w:tbl>
      <w:tblPr>
        <w:tblOverlap w:val="never"/>
        <w:jc w:val="left"/>
        <w:tblLayout w:type="fixed"/>
      </w:tblPr>
      <w:tblGrid>
        <w:gridCol w:w="2837"/>
        <w:gridCol w:w="5722"/>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预期信用损失计算方法</w:t>
            </w:r>
          </w:p>
        </w:tc>
      </w:tr>
      <w:tr>
        <w:trPr>
          <w:trHeight w:val="66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参考历史信用损失经验，结合当前状况并考虑前瞻性信息，通过违约风险 敞口和整个存续期预期信用损失率，计算预期信用损失。</w:t>
            </w:r>
          </w:p>
        </w:tc>
      </w:tr>
    </w:tbl>
    <w:p>
      <w:pPr>
        <w:widowControl w:val="0"/>
        <w:spacing w:after="559" w:line="1" w:lineRule="exact"/>
      </w:pPr>
    </w:p>
    <w:p>
      <w:pPr>
        <w:pStyle w:val="Style32"/>
        <w:keepNext/>
        <w:keepLines/>
        <w:widowControl w:val="0"/>
        <w:shd w:val="clear" w:color="auto" w:fill="auto"/>
        <w:bidi w:val="0"/>
        <w:spacing w:before="0" w:after="300" w:line="308" w:lineRule="exact"/>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09"/>
      <w:bookmarkEnd w:id="810"/>
      <w:bookmarkEnd w:id="812"/>
    </w:p>
    <w:p>
      <w:pPr>
        <w:pStyle w:val="Style41"/>
        <w:keepNext w:val="0"/>
        <w:keepLines w:val="0"/>
        <w:widowControl w:val="0"/>
        <w:shd w:val="clear" w:color="auto" w:fill="auto"/>
        <w:bidi w:val="0"/>
        <w:spacing w:before="0" w:after="0" w:line="308" w:lineRule="exact"/>
        <w:ind w:left="0" w:right="0" w:firstLine="440"/>
        <w:jc w:val="left"/>
        <w:rPr>
          <w:sz w:val="20"/>
          <w:szCs w:val="20"/>
        </w:rPr>
      </w:pPr>
      <w:r>
        <w:rPr>
          <w:color w:val="000000"/>
          <w:spacing w:val="0"/>
          <w:w w:val="100"/>
          <w:position w:val="0"/>
          <w:sz w:val="20"/>
          <w:szCs w:val="20"/>
        </w:rPr>
        <w:t>应收账款的预期信用损失的确定方法及会计处理方法</w:t>
      </w:r>
    </w:p>
    <w:p>
      <w:pPr>
        <w:pStyle w:val="Style41"/>
        <w:keepNext w:val="0"/>
        <w:keepLines w:val="0"/>
        <w:widowControl w:val="0"/>
        <w:shd w:val="clear" w:color="auto" w:fill="auto"/>
        <w:bidi w:val="0"/>
        <w:spacing w:before="0" w:after="0" w:line="308" w:lineRule="exact"/>
        <w:ind w:left="0" w:right="0" w:firstLine="440"/>
        <w:jc w:val="both"/>
        <w:rPr>
          <w:sz w:val="20"/>
          <w:szCs w:val="20"/>
        </w:rPr>
      </w:pPr>
      <w:r>
        <w:rPr>
          <w:color w:val="000000"/>
          <w:spacing w:val="0"/>
          <w:w w:val="100"/>
          <w:position w:val="0"/>
          <w:sz w:val="20"/>
          <w:szCs w:val="20"/>
        </w:rPr>
        <w:t>本公司按照本</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所述的简化计量方法确定应收账款的预期信用损失并进行会计处理。在资产负 债表日，本公司按应收取的合同现金流量与预期收取的现金流量之间的差额的现值计量应收账款的信用损 失。当单项应收账款无法以合理成本评估预期信用损失的信息时，本公司根据信用风险特征将应收账款划 分为若干组合，参考历史信用损失经验，结合当前状况并考虑前瞻性信息，在组合基础上估计预期信用损 失，确定组合的依据如下：</w:t>
      </w:r>
    </w:p>
    <w:tbl>
      <w:tblPr>
        <w:tblOverlap w:val="never"/>
        <w:jc w:val="center"/>
        <w:tblLayout w:type="fixed"/>
      </w:tblPr>
      <w:tblGrid>
        <w:gridCol w:w="3125"/>
        <w:gridCol w:w="5434"/>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本公司合并范围内单位具有类似的信用风险特征</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.账龄组合应收账款按照账龄分析法计算预期信用损失，账龄与整个存续期预期信用损失率对照表:</w:t>
      </w:r>
    </w:p>
    <w:p>
      <w:pPr>
        <w:widowControl w:val="0"/>
        <w:spacing w:line="1" w:lineRule="exact"/>
      </w:pPr>
    </w:p>
    <w:tbl>
      <w:tblPr>
        <w:tblOverlap w:val="never"/>
        <w:jc w:val="left"/>
        <w:tblLayout w:type="fixed"/>
      </w:tblPr>
      <w:tblGrid>
        <w:gridCol w:w="4517"/>
        <w:gridCol w:w="4042"/>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9"/>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.集团合并范围内关联方组合应收账款预期信用损失计算方法:</w:t>
      </w:r>
    </w:p>
    <w:p>
      <w:pPr>
        <w:widowControl w:val="0"/>
        <w:spacing w:line="1" w:lineRule="exact"/>
      </w:pPr>
    </w:p>
    <w:tbl>
      <w:tblPr>
        <w:tblOverlap w:val="never"/>
        <w:jc w:val="left"/>
        <w:tblLayout w:type="fixed"/>
      </w:tblPr>
      <w:tblGrid>
        <w:gridCol w:w="2837"/>
        <w:gridCol w:w="5722"/>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预期信用损失计算方法</w:t>
            </w:r>
          </w:p>
        </w:tc>
      </w:tr>
      <w:tr>
        <w:trPr>
          <w:trHeight w:val="66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参考历史信用损失经验，结合当前状况并考虑前瞻性信息，通过违约风险 敞口和整个存续期预期信用损失率，计算预期信用损失。</w:t>
            </w:r>
          </w:p>
        </w:tc>
      </w:tr>
    </w:tbl>
    <w:p>
      <w:pPr>
        <w:pStyle w:val="Style32"/>
        <w:keepNext/>
        <w:keepLines/>
        <w:widowControl w:val="0"/>
        <w:shd w:val="clear" w:color="auto" w:fill="auto"/>
        <w:tabs>
          <w:tab w:pos="414" w:val="left"/>
        </w:tabs>
        <w:bidi w:val="0"/>
        <w:spacing w:before="0" w:after="300" w:line="313"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3"/>
      <w:bookmarkEnd w:id="814"/>
      <w:bookmarkEnd w:id="816"/>
    </w:p>
    <w:p>
      <w:pPr>
        <w:pStyle w:val="Style32"/>
        <w:keepNext/>
        <w:keepLines/>
        <w:widowControl w:val="0"/>
        <w:shd w:val="clear" w:color="auto" w:fill="auto"/>
        <w:tabs>
          <w:tab w:pos="414" w:val="left"/>
        </w:tabs>
        <w:bidi w:val="0"/>
        <w:spacing w:before="0" w:after="380" w:line="313" w:lineRule="exact"/>
        <w:ind w:left="0" w:right="0" w:firstLine="0"/>
        <w:jc w:val="left"/>
      </w:pPr>
      <w:bookmarkStart w:id="813" w:name="bookmark813"/>
      <w:bookmarkStart w:id="814" w:name="bookmark814"/>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3"/>
      <w:bookmarkEnd w:id="814"/>
      <w:bookmarkEnd w:id="81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本公司按照本</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所述的一般方法确定其他应收款的预期信用损失并进行会计处理。在资产负债 表日，本公司按应收取的合同现金流量与预期收取的现金流量之间的差额的现值计量其他应收款的信用损 失。当单项其他应收款无法以合理成本评估预期信用损失的信息时，本公司根据信用风险特征将其他应收 款划分为若干组合，参考历史信用损失经验，结合当前状况并考虑前瞻性信息，在组合基础上估计预期信 用损失，确定组合的依据如下：</w:t>
      </w:r>
    </w:p>
    <w:tbl>
      <w:tblPr>
        <w:tblOverlap w:val="never"/>
        <w:jc w:val="center"/>
        <w:tblLayout w:type="fixed"/>
      </w:tblPr>
      <w:tblGrid>
        <w:gridCol w:w="3173"/>
        <w:gridCol w:w="5386"/>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按账龄划分的具有类似信用风险特征的其他应收款</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本公司合并范围内单位具有类似的信用风险特征</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.账龄组合其他应收款按照账龄分析法计算预期信用损失，账龄与整个存续期预期信用损失率对照</w:t>
      </w: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distribute"/>
        <w:rPr>
          <w:sz w:val="20"/>
          <w:szCs w:val="20"/>
        </w:rPr>
      </w:pPr>
      <w:r>
        <w:rPr>
          <w:color w:val="000000"/>
          <w:spacing w:val="0"/>
          <w:w w:val="100"/>
          <w:position w:val="0"/>
          <w:sz w:val="20"/>
          <w:szCs w:val="20"/>
        </w:rPr>
        <w:t>表：</w:t>
      </w:r>
    </w:p>
    <w:tbl>
      <w:tblPr>
        <w:tblOverlap w:val="never"/>
        <w:jc w:val="left"/>
        <w:tblLayout w:type="fixed"/>
      </w:tblPr>
      <w:tblGrid>
        <w:gridCol w:w="4517"/>
        <w:gridCol w:w="4042"/>
      </w:tblGrid>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p>
    <w:p>
      <w:pPr>
        <w:pStyle w:val="Style29"/>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.集团合并范围内关联方组合其他应收款预期信用损失计算方法:</w:t>
      </w:r>
    </w:p>
    <w:tbl>
      <w:tblPr>
        <w:tblOverlap w:val="never"/>
        <w:jc w:val="left"/>
        <w:tblLayout w:type="fixed"/>
      </w:tblPr>
      <w:tblGrid>
        <w:gridCol w:w="2515"/>
        <w:gridCol w:w="6043"/>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预期信用损失计算方法</w:t>
            </w:r>
          </w:p>
        </w:tc>
      </w:tr>
      <w:tr>
        <w:trPr>
          <w:trHeight w:val="6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参考历史信用损失经验，结合当前状况并考虑前瞻性信息，通过违约风险敞 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tc>
      </w:tr>
    </w:tbl>
    <w:p>
      <w:pPr>
        <w:widowControl w:val="0"/>
        <w:spacing w:after="559" w:line="1" w:lineRule="exact"/>
      </w:pPr>
    </w:p>
    <w:p>
      <w:pPr>
        <w:pStyle w:val="Style32"/>
        <w:keepNext/>
        <w:keepLines/>
        <w:widowControl w:val="0"/>
        <w:shd w:val="clear" w:color="auto" w:fill="auto"/>
        <w:bidi w:val="0"/>
        <w:spacing w:before="0" w:after="300" w:line="314" w:lineRule="exact"/>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19"/>
      <w:bookmarkEnd w:id="820"/>
      <w:bookmarkEnd w:id="822"/>
    </w:p>
    <w:p>
      <w:pPr>
        <w:pStyle w:val="Style41"/>
        <w:keepNext w:val="0"/>
        <w:keepLines w:val="0"/>
        <w:widowControl w:val="0"/>
        <w:numPr>
          <w:ilvl w:val="0"/>
          <w:numId w:val="41"/>
        </w:numPr>
        <w:shd w:val="clear" w:color="auto" w:fill="auto"/>
        <w:bidi w:val="0"/>
        <w:spacing w:before="0" w:after="0" w:line="314" w:lineRule="exact"/>
        <w:ind w:left="0" w:right="0" w:firstLine="440"/>
        <w:jc w:val="both"/>
        <w:rPr>
          <w:sz w:val="20"/>
          <w:szCs w:val="20"/>
        </w:rPr>
      </w:pPr>
      <w:bookmarkStart w:id="823" w:name="bookmark823"/>
      <w:bookmarkEnd w:id="823"/>
      <w:r>
        <w:rPr>
          <w:color w:val="000000"/>
          <w:spacing w:val="0"/>
          <w:w w:val="100"/>
          <w:position w:val="0"/>
          <w:sz w:val="20"/>
          <w:szCs w:val="20"/>
        </w:rPr>
        <w:t xml:space="preserve"> 存货包括系统集成商品、合同履约成本。合同履约成本是公司在履行合同过程中，尚未达到收入 确认时点前发生的相关合同履约成本支出。</w:t>
      </w:r>
    </w:p>
    <w:p>
      <w:pPr>
        <w:pStyle w:val="Style41"/>
        <w:keepNext w:val="0"/>
        <w:keepLines w:val="0"/>
        <w:widowControl w:val="0"/>
        <w:numPr>
          <w:ilvl w:val="0"/>
          <w:numId w:val="41"/>
        </w:numPr>
        <w:shd w:val="clear" w:color="auto" w:fill="auto"/>
        <w:tabs>
          <w:tab w:pos="753" w:val="left"/>
        </w:tabs>
        <w:bidi w:val="0"/>
        <w:spacing w:before="0" w:after="0" w:line="314" w:lineRule="exact"/>
        <w:ind w:left="0" w:right="0" w:firstLine="440"/>
        <w:jc w:val="both"/>
        <w:rPr>
          <w:sz w:val="20"/>
          <w:szCs w:val="20"/>
        </w:rPr>
      </w:pPr>
      <w:bookmarkStart w:id="824" w:name="bookmark824"/>
      <w:bookmarkEnd w:id="824"/>
      <w:r>
        <w:rPr>
          <w:color w:val="000000"/>
          <w:spacing w:val="0"/>
          <w:w w:val="100"/>
          <w:position w:val="0"/>
          <w:sz w:val="20"/>
          <w:szCs w:val="20"/>
        </w:rPr>
        <w:t>企业取得存货按实际成本计量。</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外购存货的成本即为该存货的采购成本，通过进一步加工取得 的存货成本由采购成本和加工成本构成。</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债务重组取得债务人用以抵债的存货，以放弃债权的公允价值 和使该存货达到当前位置和状态所发生的可直接归属于该存货的相关税费为基础确定其入账价值。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在非 货币性资产交换具备商业实质和换入资产或换出资产的公允价值能够可靠计量的前提下，非货币性资产交 换换入的存货通常以换出资产的公允价值为基础确定其入账价值，除非有确凿证据表明换入资产公允价值 更加可靠；不满足上述前提的非货币性资产交换，以换出资产的账面价值和应支付的相关税费作为换入存 货的成本。</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以同一控制下的企业吸收合并方式取得的存货按被合并方的账面价值确定其入账价值；以非 同一控制下的企业吸收合并方式取得的存货按公允价值确定其入账价值。</w:t>
      </w:r>
    </w:p>
    <w:p>
      <w:pPr>
        <w:pStyle w:val="Style41"/>
        <w:keepNext w:val="0"/>
        <w:keepLines w:val="0"/>
        <w:widowControl w:val="0"/>
        <w:numPr>
          <w:ilvl w:val="0"/>
          <w:numId w:val="41"/>
        </w:numPr>
        <w:shd w:val="clear" w:color="auto" w:fill="auto"/>
        <w:tabs>
          <w:tab w:pos="753" w:val="left"/>
        </w:tabs>
        <w:bidi w:val="0"/>
        <w:spacing w:before="0" w:after="0" w:line="314" w:lineRule="exact"/>
        <w:ind w:left="0" w:right="0" w:firstLine="440"/>
        <w:jc w:val="both"/>
        <w:rPr>
          <w:sz w:val="20"/>
          <w:szCs w:val="20"/>
        </w:rPr>
      </w:pPr>
      <w:bookmarkStart w:id="825" w:name="bookmark825"/>
      <w:bookmarkEnd w:id="825"/>
      <w:r>
        <w:rPr>
          <w:color w:val="000000"/>
          <w:spacing w:val="0"/>
          <w:w w:val="100"/>
          <w:position w:val="0"/>
          <w:sz w:val="20"/>
          <w:szCs w:val="20"/>
        </w:rPr>
        <w:t>企业发出存货的成本计量采用个别计价法。</w:t>
      </w:r>
    </w:p>
    <w:p>
      <w:pPr>
        <w:pStyle w:val="Style41"/>
        <w:keepNext w:val="0"/>
        <w:keepLines w:val="0"/>
        <w:widowControl w:val="0"/>
        <w:numPr>
          <w:ilvl w:val="0"/>
          <w:numId w:val="41"/>
        </w:numPr>
        <w:shd w:val="clear" w:color="auto" w:fill="auto"/>
        <w:tabs>
          <w:tab w:pos="753" w:val="left"/>
        </w:tabs>
        <w:bidi w:val="0"/>
        <w:spacing w:before="0" w:after="160" w:line="314" w:lineRule="exact"/>
        <w:ind w:left="0" w:right="0" w:firstLine="440"/>
        <w:jc w:val="both"/>
        <w:rPr>
          <w:sz w:val="20"/>
          <w:szCs w:val="20"/>
        </w:rPr>
      </w:pPr>
      <w:bookmarkStart w:id="826" w:name="bookmark826"/>
      <w:bookmarkEnd w:id="826"/>
      <w:r>
        <w:rPr>
          <w:color w:val="000000"/>
          <w:spacing w:val="0"/>
          <w:w w:val="100"/>
          <w:position w:val="0"/>
          <w:sz w:val="20"/>
          <w:szCs w:val="20"/>
        </w:rPr>
        <w:t>资产负债表日，存货采用成本与可变现净值孰低计量。存货可变现净值是按存货的估计售价减去 至完工时估计将要发生的成本、估计的销售费用以及相关税费后的金额。在确定存货的可变现净值时，以 取得的确凿证据为基础，同时考虑持有存货的目的以及资产负债表日后事项的影响，除有明确证据表明资 产负债表日市场价格异常外，本期期末存货项目的可变现净值以资产负债表日市场价格为基础确定，其中：</w:t>
      </w:r>
    </w:p>
    <w:p>
      <w:pPr>
        <w:pStyle w:val="Style41"/>
        <w:keepNext w:val="0"/>
        <w:keepLines w:val="0"/>
        <w:widowControl w:val="0"/>
        <w:shd w:val="clear" w:color="auto" w:fill="auto"/>
        <w:tabs>
          <w:tab w:pos="840" w:val="left"/>
        </w:tabs>
        <w:bidi w:val="0"/>
        <w:spacing w:before="0" w:after="0"/>
        <w:ind w:left="0" w:right="0" w:firstLine="440"/>
        <w:jc w:val="both"/>
        <w:rPr>
          <w:sz w:val="20"/>
          <w:szCs w:val="20"/>
        </w:rPr>
      </w:pPr>
      <w:bookmarkStart w:id="827" w:name="bookmark827"/>
      <w:r>
        <w:rPr>
          <w:rFonts w:ascii="Times New Roman" w:eastAsia="Times New Roman" w:hAnsi="Times New Roman" w:cs="Times New Roman"/>
          <w:color w:val="000000"/>
          <w:spacing w:val="0"/>
          <w:w w:val="100"/>
          <w:position w:val="0"/>
          <w:sz w:val="20"/>
          <w:szCs w:val="20"/>
        </w:rPr>
        <w:t>（</w:t>
      </w:r>
      <w:bookmarkEnd w:id="827"/>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产成品、商品和用于出售的材料等直接用于出售的商品存货，在正常生产经营过程中以该存货的估 计售价减去估计的销售费用和相关税费后的金额确定其可变现净值；</w:t>
      </w:r>
    </w:p>
    <w:p>
      <w:pPr>
        <w:pStyle w:val="Style41"/>
        <w:keepNext w:val="0"/>
        <w:keepLines w:val="0"/>
        <w:widowControl w:val="0"/>
        <w:shd w:val="clear" w:color="auto" w:fill="auto"/>
        <w:tabs>
          <w:tab w:pos="845" w:val="left"/>
        </w:tabs>
        <w:bidi w:val="0"/>
        <w:spacing w:before="0" w:after="0" w:line="314" w:lineRule="exact"/>
        <w:ind w:left="0" w:right="0" w:firstLine="440"/>
        <w:jc w:val="both"/>
        <w:rPr>
          <w:sz w:val="20"/>
          <w:szCs w:val="20"/>
        </w:rPr>
      </w:pPr>
      <w:bookmarkStart w:id="828" w:name="bookmark828"/>
      <w:r>
        <w:rPr>
          <w:rFonts w:ascii="Times New Roman" w:eastAsia="Times New Roman" w:hAnsi="Times New Roman" w:cs="Times New Roman"/>
          <w:color w:val="000000"/>
          <w:spacing w:val="0"/>
          <w:w w:val="100"/>
          <w:position w:val="0"/>
          <w:sz w:val="20"/>
          <w:szCs w:val="20"/>
        </w:rPr>
        <w:t>（</w:t>
      </w:r>
      <w:bookmarkEnd w:id="828"/>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需要经过加工的材料存货，在正常生产经营过程中以所生产的产成品的估计售价减去至完工时估计 将要发生的成本、估计的销售费用和相关税费后的金额确定其可变现净值；资产负债表日，同一项存货中 一部分有合同价格约定、其他部分不存在合同价格的，分别确定其可变现净值，并与其对应的成本进行比 较，分别确定存货跌价准备的计提或转回的金额。</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期末按照单个存货项目计提存货跌价准备；但对于数量繁多、单价较低的存货，按照存货类别计提存 货跌价准备；与在同一地区生产和销售的产品系列相关、具有相同或者类似最终用途或目的，且难以与其 他项目分开计量的存货，则合并计提存货跌价准备。</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计提存货跌价准备后，如果以前减记存货价值的影响因素已经消失，导致存货的可变现净值高于其账 面价值的，在原已计提的存货跌价准备金额内予以转回，转回的金额计入当期损益。</w:t>
      </w:r>
    </w:p>
    <w:p>
      <w:pPr>
        <w:pStyle w:val="Style41"/>
        <w:keepNext w:val="0"/>
        <w:keepLines w:val="0"/>
        <w:widowControl w:val="0"/>
        <w:shd w:val="clear" w:color="auto" w:fill="auto"/>
        <w:bidi w:val="0"/>
        <w:spacing w:before="0" w:after="58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.存货的盘存制度为永续盘存制。</w:t>
      </w:r>
    </w:p>
    <w:p>
      <w:pPr>
        <w:pStyle w:val="Style32"/>
        <w:keepNext/>
        <w:keepLines/>
        <w:widowControl w:val="0"/>
        <w:shd w:val="clear" w:color="auto" w:fill="auto"/>
        <w:bidi w:val="0"/>
        <w:spacing w:before="0" w:after="300" w:line="312" w:lineRule="exact"/>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29"/>
      <w:bookmarkEnd w:id="830"/>
      <w:bookmarkEnd w:id="832"/>
    </w:p>
    <w:p>
      <w:pPr>
        <w:pStyle w:val="Style41"/>
        <w:keepNext w:val="0"/>
        <w:keepLines w:val="0"/>
        <w:widowControl w:val="0"/>
        <w:numPr>
          <w:ilvl w:val="0"/>
          <w:numId w:val="43"/>
        </w:numPr>
        <w:shd w:val="clear" w:color="auto" w:fill="auto"/>
        <w:tabs>
          <w:tab w:pos="687" w:val="left"/>
        </w:tabs>
        <w:bidi w:val="0"/>
        <w:spacing w:before="0" w:after="0" w:line="307" w:lineRule="exact"/>
        <w:ind w:left="0" w:right="0" w:firstLine="440"/>
        <w:jc w:val="both"/>
        <w:rPr>
          <w:sz w:val="20"/>
          <w:szCs w:val="20"/>
        </w:rPr>
      </w:pPr>
      <w:bookmarkStart w:id="833" w:name="bookmark833"/>
      <w:bookmarkEnd w:id="833"/>
      <w:r>
        <w:rPr>
          <w:color w:val="000000"/>
          <w:spacing w:val="0"/>
          <w:w w:val="100"/>
          <w:position w:val="0"/>
          <w:sz w:val="20"/>
          <w:szCs w:val="20"/>
        </w:rPr>
        <w:t>.合同资产是指公司已向客户转让商品而有权收取对价的权利，且该权利取决于时间流逝之外的其 他因素。公司拥有的、无条件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仅取决于时间流逝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向客户收取对价的权利作为应收款项列示。</w:t>
      </w:r>
    </w:p>
    <w:p>
      <w:pPr>
        <w:pStyle w:val="Style41"/>
        <w:keepNext w:val="0"/>
        <w:keepLines w:val="0"/>
        <w:widowControl w:val="0"/>
        <w:shd w:val="clear" w:color="auto" w:fill="auto"/>
        <w:bidi w:val="0"/>
        <w:spacing w:before="0" w:after="300" w:line="307" w:lineRule="exact"/>
        <w:ind w:left="0" w:right="0" w:firstLine="440"/>
        <w:jc w:val="left"/>
        <w:rPr>
          <w:sz w:val="20"/>
          <w:szCs w:val="20"/>
        </w:rPr>
      </w:pPr>
      <w:r>
        <w:rPr>
          <w:color w:val="000000"/>
          <w:spacing w:val="0"/>
          <w:w w:val="100"/>
          <w:position w:val="0"/>
          <w:sz w:val="20"/>
          <w:szCs w:val="20"/>
        </w:rPr>
        <w:t>公司将同一合同下的合同资产和合同负债相互抵销后以净额列示。</w:t>
      </w:r>
    </w:p>
    <w:p>
      <w:pPr>
        <w:pStyle w:val="Style41"/>
        <w:keepNext w:val="0"/>
        <w:keepLines w:val="0"/>
        <w:widowControl w:val="0"/>
        <w:numPr>
          <w:ilvl w:val="0"/>
          <w:numId w:val="45"/>
        </w:numPr>
        <w:shd w:val="clear" w:color="auto" w:fill="auto"/>
        <w:bidi w:val="0"/>
        <w:spacing w:before="0" w:after="0" w:line="312" w:lineRule="exact"/>
        <w:ind w:left="0" w:right="0" w:firstLine="440"/>
        <w:jc w:val="both"/>
        <w:rPr>
          <w:sz w:val="20"/>
          <w:szCs w:val="20"/>
        </w:rPr>
      </w:pPr>
      <w:bookmarkStart w:id="834" w:name="bookmark834"/>
      <w:bookmarkEnd w:id="834"/>
      <w:r>
        <w:rPr>
          <w:color w:val="000000"/>
          <w:spacing w:val="0"/>
          <w:w w:val="100"/>
          <w:position w:val="0"/>
          <w:sz w:val="20"/>
          <w:szCs w:val="20"/>
        </w:rPr>
        <w:t>合同资产的减值</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本公司按照本</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所述的简化计量方法确定合同资产的预期信用损失并进行会计处理。在资产负 债表日，本公司按应收取的合同现金流量与预期收取的现金流量之间的差额的现值计量合同资产的信用损 失。当单项合同资产无法以合理成本评估预期信用损失的信息时，本公司根据信用风险特征将合同资产划 分为若干组合，参考历史信用损失经验，结合当前状况并考虑前瞻性信息，在组合基础上估计预期信用损 失，确定组合的依据如下：</w:t>
      </w:r>
    </w:p>
    <w:tbl>
      <w:tblPr>
        <w:tblOverlap w:val="never"/>
        <w:jc w:val="left"/>
        <w:tblLayout w:type="fixed"/>
      </w:tblPr>
      <w:tblGrid>
        <w:gridCol w:w="4282"/>
        <w:gridCol w:w="4277"/>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未逾期组合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未到无条件收款权利时点的合同资产</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本公司合并范围内单位具有类似的信用风险特征</w:t>
            </w:r>
          </w:p>
        </w:tc>
      </w:tr>
    </w:tbl>
    <w:p>
      <w:pPr>
        <w:widowControl w:val="0"/>
        <w:spacing w:after="579" w:line="1" w:lineRule="exact"/>
      </w:pPr>
    </w:p>
    <w:p>
      <w:pPr>
        <w:pStyle w:val="Style32"/>
        <w:keepNext/>
        <w:keepLines/>
        <w:widowControl w:val="0"/>
        <w:shd w:val="clear" w:color="auto" w:fill="auto"/>
        <w:bidi w:val="0"/>
        <w:spacing w:before="0" w:after="300" w:line="310"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35"/>
      <w:bookmarkEnd w:id="836"/>
      <w:bookmarkEnd w:id="838"/>
    </w:p>
    <w:p>
      <w:pPr>
        <w:pStyle w:val="Style41"/>
        <w:keepNext w:val="0"/>
        <w:keepLines w:val="0"/>
        <w:widowControl w:val="0"/>
        <w:numPr>
          <w:ilvl w:val="0"/>
          <w:numId w:val="47"/>
        </w:numPr>
        <w:shd w:val="clear" w:color="auto" w:fill="auto"/>
        <w:tabs>
          <w:tab w:pos="690" w:val="left"/>
        </w:tabs>
        <w:bidi w:val="0"/>
        <w:spacing w:before="0" w:after="0" w:line="310" w:lineRule="exact"/>
        <w:ind w:left="0" w:right="0" w:firstLine="440"/>
        <w:jc w:val="left"/>
        <w:rPr>
          <w:sz w:val="20"/>
          <w:szCs w:val="20"/>
        </w:rPr>
      </w:pPr>
      <w:bookmarkStart w:id="839" w:name="bookmark839"/>
      <w:bookmarkEnd w:id="839"/>
      <w:r>
        <w:rPr>
          <w:color w:val="000000"/>
          <w:spacing w:val="0"/>
          <w:w w:val="100"/>
          <w:position w:val="0"/>
          <w:sz w:val="20"/>
          <w:szCs w:val="20"/>
        </w:rPr>
        <w:t>.合同成本的确认条件</w:t>
      </w:r>
    </w:p>
    <w:p>
      <w:pPr>
        <w:pStyle w:val="Style41"/>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合同成本包括合同取得成本及合同履约成本。</w:t>
      </w:r>
    </w:p>
    <w:p>
      <w:pPr>
        <w:pStyle w:val="Style41"/>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公司为取得合同发生的增量成本预期能够收回的，作为合同取得成本确认为一项资产。公司为取得合 同发生的、除预期能够收回的增量成本之外的其他支出，在发生时计入当期损益，明确由客户承担的除外。</w:t>
      </w:r>
    </w:p>
    <w:p>
      <w:pPr>
        <w:pStyle w:val="Style41"/>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公司为履行合同发生的成本，不属于除收入准则外的其他企业会计准则规范范围且同时满足下列条件 的，作为合同履约成本确认为一项资产：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该成本与一份当前或预期取得的合同直接相关，包括直接人工、 直接材料、制造费用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类似费用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、明确由客户承担的成本以及仅因该合同而发生的其他成本；</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该成本增 加了公司未来用于履行履约义务的资源；</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该成本预期能够收回。</w:t>
      </w:r>
    </w:p>
    <w:p>
      <w:pPr>
        <w:pStyle w:val="Style41"/>
        <w:keepNext w:val="0"/>
        <w:keepLines w:val="0"/>
        <w:widowControl w:val="0"/>
        <w:numPr>
          <w:ilvl w:val="0"/>
          <w:numId w:val="47"/>
        </w:numPr>
        <w:shd w:val="clear" w:color="auto" w:fill="auto"/>
        <w:tabs>
          <w:tab w:pos="724" w:val="left"/>
        </w:tabs>
        <w:bidi w:val="0"/>
        <w:spacing w:before="0" w:after="0" w:line="310" w:lineRule="exact"/>
        <w:ind w:left="0" w:right="0" w:firstLine="440"/>
        <w:jc w:val="both"/>
        <w:rPr>
          <w:sz w:val="20"/>
          <w:szCs w:val="20"/>
        </w:rPr>
      </w:pPr>
      <w:bookmarkStart w:id="840" w:name="bookmark840"/>
      <w:bookmarkEnd w:id="840"/>
      <w:r>
        <w:rPr>
          <w:color w:val="000000"/>
          <w:spacing w:val="0"/>
          <w:w w:val="100"/>
          <w:position w:val="0"/>
          <w:sz w:val="20"/>
          <w:szCs w:val="20"/>
        </w:rPr>
        <w:t>.与合同成本有关的资产的摊销</w:t>
      </w:r>
    </w:p>
    <w:p>
      <w:pPr>
        <w:pStyle w:val="Style41"/>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合同取得成本确认的资产与和合同履约成本确认的资产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与合同成本有关的资产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采用与该 资产相关的商品或服务收入确认相同的基础进行摊销，计入当期损益。摊销期限不超过一年则在发生时计 </w:t>
      </w:r>
      <w:r>
        <w:rPr>
          <w:color w:val="000000"/>
          <w:spacing w:val="0"/>
          <w:w w:val="100"/>
          <w:position w:val="0"/>
          <w:sz w:val="20"/>
          <w:szCs w:val="20"/>
        </w:rPr>
        <w:t>入当期损益。</w:t>
      </w:r>
    </w:p>
    <w:p>
      <w:pPr>
        <w:pStyle w:val="Style41"/>
        <w:keepNext w:val="0"/>
        <w:keepLines w:val="0"/>
        <w:widowControl w:val="0"/>
        <w:numPr>
          <w:ilvl w:val="0"/>
          <w:numId w:val="45"/>
        </w:numPr>
        <w:shd w:val="clear" w:color="auto" w:fill="auto"/>
        <w:bidi w:val="0"/>
        <w:spacing w:before="0" w:after="0" w:line="312" w:lineRule="exact"/>
        <w:ind w:left="0" w:right="0" w:firstLine="440"/>
        <w:jc w:val="both"/>
        <w:rPr>
          <w:sz w:val="20"/>
          <w:szCs w:val="20"/>
        </w:rPr>
      </w:pPr>
      <w:bookmarkStart w:id="841" w:name="bookmark841"/>
      <w:bookmarkEnd w:id="841"/>
      <w:r>
        <w:rPr>
          <w:color w:val="000000"/>
          <w:spacing w:val="0"/>
          <w:w w:val="100"/>
          <w:position w:val="0"/>
          <w:sz w:val="20"/>
          <w:szCs w:val="20"/>
        </w:rPr>
        <w:t>与合同成本有关的资产的减值</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在确定与合同成本有关的资产的减值损失时，公司首先对按照其他企业会计准则确认的、与合同有关 的其他资产确定减值损失；然后确定与合同成本有关的资产的减值损失。与合同成本有关的资产，其账面 价值高于公司因转让与该资产相关的商品预期能够取得的剩余对价与为转让该相关商品估计将要发生的 成本的差额的，超出部分计提减值准备，并确认为资产减值损失。</w:t>
      </w:r>
    </w:p>
    <w:p>
      <w:pPr>
        <w:pStyle w:val="Style41"/>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计提减值准备后，如果以前期间减值的因素发生变化，使得公司因转让与该资产相关的商品预期能够 取得的剩余对价与为转让该相关商品估计将要发生的成本的差额高于该资产账面价值的，转回原已计提的 资产减值准备，并计入当期损益，但转回后的资产账面价值不超过假定不计提减值准备情况下该资产在转 回日的账面价值。</w:t>
      </w:r>
    </w:p>
    <w:p>
      <w:pPr>
        <w:pStyle w:val="Style32"/>
        <w:keepNext/>
        <w:keepLines/>
        <w:widowControl w:val="0"/>
        <w:shd w:val="clear" w:color="auto" w:fill="auto"/>
        <w:bidi w:val="0"/>
        <w:spacing w:before="0" w:after="300" w:line="312" w:lineRule="exact"/>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42"/>
      <w:bookmarkEnd w:id="843"/>
      <w:bookmarkEnd w:id="845"/>
    </w:p>
    <w:p>
      <w:pPr>
        <w:pStyle w:val="Style41"/>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.划分为持有待售类别的条件</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公司主要通过出售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包括具有商业实质的非货币性资产交换，下同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而非持续使用一项非流动资产或处 置组收回其账面价值的，在满足下列条件时，将其划分为持有待售类别：</w:t>
      </w:r>
    </w:p>
    <w:p>
      <w:pPr>
        <w:pStyle w:val="Style41"/>
        <w:keepNext w:val="0"/>
        <w:keepLines w:val="0"/>
        <w:widowControl w:val="0"/>
        <w:numPr>
          <w:ilvl w:val="0"/>
          <w:numId w:val="49"/>
        </w:numPr>
        <w:shd w:val="clear" w:color="auto" w:fill="auto"/>
        <w:tabs>
          <w:tab w:pos="817" w:val="left"/>
        </w:tabs>
        <w:bidi w:val="0"/>
        <w:spacing w:before="0" w:after="0" w:line="312" w:lineRule="exact"/>
        <w:ind w:left="0" w:right="0" w:firstLine="440"/>
        <w:jc w:val="both"/>
        <w:rPr>
          <w:sz w:val="20"/>
          <w:szCs w:val="20"/>
        </w:rPr>
      </w:pPr>
      <w:bookmarkStart w:id="846" w:name="bookmark846"/>
      <w:bookmarkEnd w:id="846"/>
      <w:r>
        <w:rPr>
          <w:color w:val="000000"/>
          <w:spacing w:val="0"/>
          <w:w w:val="100"/>
          <w:position w:val="0"/>
          <w:sz w:val="20"/>
          <w:szCs w:val="20"/>
        </w:rPr>
        <w:t>根据类似交易中出售此类资产或处置组的惯例，在当前状况下即可立即出售；</w:t>
      </w:r>
    </w:p>
    <w:p>
      <w:pPr>
        <w:pStyle w:val="Style41"/>
        <w:keepNext w:val="0"/>
        <w:keepLines w:val="0"/>
        <w:widowControl w:val="0"/>
        <w:numPr>
          <w:ilvl w:val="0"/>
          <w:numId w:val="49"/>
        </w:numPr>
        <w:shd w:val="clear" w:color="auto" w:fill="auto"/>
        <w:tabs>
          <w:tab w:pos="804" w:val="left"/>
        </w:tabs>
        <w:bidi w:val="0"/>
        <w:spacing w:before="0" w:after="0" w:line="312" w:lineRule="exact"/>
        <w:ind w:left="0" w:right="0" w:firstLine="440"/>
        <w:jc w:val="both"/>
        <w:rPr>
          <w:sz w:val="20"/>
          <w:szCs w:val="20"/>
        </w:rPr>
      </w:pPr>
      <w:bookmarkStart w:id="847" w:name="bookmark847"/>
      <w:bookmarkEnd w:id="847"/>
      <w:r>
        <w:rPr>
          <w:color w:val="000000"/>
          <w:spacing w:val="0"/>
          <w:w w:val="100"/>
          <w:position w:val="0"/>
          <w:sz w:val="20"/>
          <w:szCs w:val="20"/>
        </w:rPr>
        <w:t>出售极可能发生，即公司已经就一项出售计划作出决议且获得确定的购买承诺，预计出售将在一年 内完成。有关规定要求相关权力机构或者监督部门批准后方可出售的，公司已经获得批准。确定的购买承 诺，是指公司与其他方签订的具有法律约束力的购买协议，该协议包含交易价格、时间和足够严厉的违约 惩罚等重要条款，使协议出现重大调整或者撤销的可能性极小。</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公司因出售对子公司的投资等原因导致其丧失对子公司控制权的，当拟出售的子公司投资满足持有待 售类别划分条件时，在母公司个别财务报表中将对子公司投资整体划分为持有待售类别，在合并报表中将 子公司所有资产和负债划分为持有待售类别。</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持有待售的非流动资产或处置组不再满足持有待售类别划分条件的，公司停止将其划分为持有待售类 别。部分资产或负债从持有待售的处置组中移除的，处置组中剩余资产或负债新组成的处置组仍满足持有 待售划分条件的，公司将新组成的处置组划分为持有待售类别，否则将满足持有待售类别划分条件的非流 动资产单独划分为持有待售类别。</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对于当期首次满足持有待售类别划分条件的非流动资产或处置组，不调整可比会计期间的资产负债 表。</w:t>
      </w:r>
    </w:p>
    <w:p>
      <w:pPr>
        <w:pStyle w:val="Style41"/>
        <w:keepNext w:val="0"/>
        <w:keepLines w:val="0"/>
        <w:widowControl w:val="0"/>
        <w:numPr>
          <w:ilvl w:val="0"/>
          <w:numId w:val="51"/>
        </w:numPr>
        <w:shd w:val="clear" w:color="auto" w:fill="auto"/>
        <w:bidi w:val="0"/>
        <w:spacing w:before="0" w:after="0" w:line="312" w:lineRule="exact"/>
        <w:ind w:left="0" w:right="0" w:firstLine="440"/>
        <w:jc w:val="left"/>
        <w:rPr>
          <w:sz w:val="20"/>
          <w:szCs w:val="20"/>
        </w:rPr>
      </w:pPr>
      <w:bookmarkStart w:id="848" w:name="bookmark848"/>
      <w:bookmarkEnd w:id="848"/>
      <w:r>
        <w:rPr>
          <w:color w:val="000000"/>
          <w:spacing w:val="0"/>
          <w:w w:val="100"/>
          <w:position w:val="0"/>
          <w:sz w:val="20"/>
          <w:szCs w:val="20"/>
        </w:rPr>
        <w:t>持有待售类的非流动资产或处置组的初始计量及后续计量</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对于取得日划分为持有待售类别的非流动资产或处置组，公司在初始计量时比较假定其不划分为持有 待售类别情况下的初始计量金额和公允价值减去出售费用后的净额，以两者孰低计量。除公司合并中取得 的非流动资产或处置组外，由非流动资产或处置组以公允价值减去出售费用后的净额作为初始计量金额而 产生的差额，计入当期损益。</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公司将非流动资产或处置组首次划分为持有待售类别前，按照相关会计准则规定计量非流动资产或处 置组中各项资产和负债的账面价值。在初始计量或资产负债表日重新计量持有待售的非流动资产或处置组 时，其账面价值高于公允价值减去出售费用后的净额的，将账面价值减记至公允价值减去出售费用后的净 额，减记的金额确认为资产减值损失，计入当期损益，同时计提持有待售资产减值准备。持有待售的非流 动资产或处置组中的非流动资产不计提折旧或摊销，持有待售的处置组中的负债的利息和其他费用应继续 予以确认。</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公司对持有待售的处置组确认资产减值损失金额时，先抵减处置组商誉的账面价值，再根据处置组中 适用《企业会计准则第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号——持有待售的非流动资产、处置组和终止经营》</w:t>
      </w:r>
      <w:r>
        <w:rPr>
          <w:color w:val="000000"/>
          <w:spacing w:val="0"/>
          <w:w w:val="100"/>
          <w:position w:val="0"/>
          <w:sz w:val="20"/>
          <w:szCs w:val="20"/>
        </w:rPr>
        <w:t>(</w:t>
      </w:r>
      <w:r>
        <w:rPr>
          <w:color w:val="000000"/>
          <w:spacing w:val="0"/>
          <w:w w:val="100"/>
          <w:position w:val="0"/>
          <w:sz w:val="20"/>
          <w:szCs w:val="20"/>
        </w:rPr>
        <w:t>以下简称第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计量 </w:t>
      </w:r>
      <w:r>
        <w:rPr>
          <w:color w:val="000000"/>
          <w:spacing w:val="0"/>
          <w:w w:val="100"/>
          <w:position w:val="0"/>
          <w:sz w:val="20"/>
          <w:szCs w:val="20"/>
        </w:rPr>
        <w:t>规定的各项非流动资产账面价值所占比重，按比例抵减其账面价值。公司在资产负债表日重新计量持有待 售的处置组时，首先按照相关会计准则规定计量处置组中不适用第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号准则计量规定的资产和负债的账面 价值，再按照上述相关规定进行会计处理。</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后续资产负债表日持有待售的非流动资产公允价值减去出售费用后的净额增加的，以前减记的金额应 当予以恢复，并在划分为持有待售类别后确认的资产减值损失金额内转回，转回金额计入当期损益；划分 为持有待售类别前确认的资产减值损失不得转回。</w:t>
      </w:r>
    </w:p>
    <w:p>
      <w:pPr>
        <w:pStyle w:val="Style41"/>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后续资产负债表日持有待售的处置组公允价值减去出售费用后的净额增加的，以前减记的金额应当予 以恢复，并在划分为持有待售类别后适用第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号准则计量规定的非流动资产确认的资产减值损失金额内转 回，转回金额依据处置组中除商誉外的适用第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号准则计量规定的各项非流动资产账面价值所占比重，按 比例增加其账面价值，同时将转回金额计入当期损益。已抵减的商誉账面价值以及划分为持有待售类别前 确认的资产减值损失不得转回。</w:t>
      </w:r>
    </w:p>
    <w:p>
      <w:pPr>
        <w:pStyle w:val="Style41"/>
        <w:keepNext w:val="0"/>
        <w:keepLines w:val="0"/>
        <w:widowControl w:val="0"/>
        <w:numPr>
          <w:ilvl w:val="0"/>
          <w:numId w:val="47"/>
        </w:numPr>
        <w:shd w:val="clear" w:color="auto" w:fill="auto"/>
        <w:tabs>
          <w:tab w:pos="682" w:val="left"/>
        </w:tabs>
        <w:bidi w:val="0"/>
        <w:spacing w:before="0" w:after="0" w:line="326" w:lineRule="auto"/>
        <w:ind w:left="0" w:right="0" w:firstLine="440"/>
        <w:jc w:val="both"/>
        <w:rPr>
          <w:sz w:val="20"/>
          <w:szCs w:val="20"/>
        </w:rPr>
      </w:pPr>
      <w:bookmarkStart w:id="849" w:name="bookmark849"/>
      <w:bookmarkEnd w:id="849"/>
      <w:r>
        <w:rPr>
          <w:color w:val="000000"/>
          <w:spacing w:val="0"/>
          <w:w w:val="100"/>
          <w:position w:val="0"/>
          <w:sz w:val="20"/>
          <w:szCs w:val="20"/>
        </w:rPr>
        <w:t>.划分为持有待售类别的终止确认和计量</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非流动资产或处置组不再满足持有待售类别的划分条件而不再继续划分为持有待售类别或非流动资 产从持有待售的处置组中移除时，按照以下两者孰低计量：</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划分为持有待售类别前的账面价值，按照假 定不划分为持有待售类别情况下本应确认的折旧、摊销或减值等进行调整后的金额；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可收回金额。</w:t>
      </w:r>
    </w:p>
    <w:p>
      <w:pPr>
        <w:pStyle w:val="Style41"/>
        <w:keepNext w:val="0"/>
        <w:keepLines w:val="0"/>
        <w:widowControl w:val="0"/>
        <w:shd w:val="clear" w:color="auto" w:fill="auto"/>
        <w:bidi w:val="0"/>
        <w:spacing w:before="0" w:after="600" w:line="312" w:lineRule="exact"/>
        <w:ind w:left="0" w:right="0" w:firstLine="440"/>
        <w:jc w:val="left"/>
        <w:rPr>
          <w:sz w:val="20"/>
          <w:szCs w:val="20"/>
        </w:rPr>
      </w:pPr>
      <w:r>
        <w:rPr>
          <w:color w:val="000000"/>
          <w:spacing w:val="0"/>
          <w:w w:val="100"/>
          <w:position w:val="0"/>
          <w:sz w:val="20"/>
          <w:szCs w:val="20"/>
        </w:rPr>
        <w:t>公司终止确认持有待售的非流动资产或处置组时，将尚未确认的利得或损失计入当期损益。</w:t>
      </w:r>
    </w:p>
    <w:p>
      <w:pPr>
        <w:pStyle w:val="Style41"/>
        <w:keepNext w:val="0"/>
        <w:keepLines w:val="0"/>
        <w:widowControl w:val="0"/>
        <w:shd w:val="clear" w:color="auto" w:fill="auto"/>
        <w:tabs>
          <w:tab w:pos="442" w:val="left"/>
        </w:tabs>
        <w:bidi w:val="0"/>
        <w:spacing w:before="0" w:after="300" w:line="313" w:lineRule="exact"/>
        <w:ind w:left="0" w:right="0" w:firstLine="0"/>
        <w:jc w:val="both"/>
        <w:rPr>
          <w:sz w:val="20"/>
          <w:szCs w:val="20"/>
        </w:rPr>
      </w:pPr>
      <w:bookmarkStart w:id="850" w:name="bookmark850"/>
      <w:r>
        <w:rPr>
          <w:rFonts w:ascii="Times New Roman" w:eastAsia="Times New Roman" w:hAnsi="Times New Roman" w:cs="Times New Roman"/>
          <w:b/>
          <w:bCs/>
          <w:color w:val="000000"/>
          <w:spacing w:val="0"/>
          <w:w w:val="100"/>
          <w:position w:val="0"/>
          <w:sz w:val="20"/>
          <w:szCs w:val="20"/>
        </w:rPr>
        <w:t>1</w:t>
      </w:r>
      <w:bookmarkEnd w:id="850"/>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债权投资</w:t>
      </w:r>
    </w:p>
    <w:p>
      <w:pPr>
        <w:pStyle w:val="Style41"/>
        <w:keepNext w:val="0"/>
        <w:keepLines w:val="0"/>
        <w:widowControl w:val="0"/>
        <w:shd w:val="clear" w:color="auto" w:fill="auto"/>
        <w:tabs>
          <w:tab w:pos="444" w:val="left"/>
        </w:tabs>
        <w:bidi w:val="0"/>
        <w:spacing w:before="0" w:after="300" w:line="313" w:lineRule="exact"/>
        <w:ind w:left="0" w:right="0" w:firstLine="0"/>
        <w:jc w:val="both"/>
        <w:rPr>
          <w:sz w:val="20"/>
          <w:szCs w:val="20"/>
        </w:rPr>
      </w:pPr>
      <w:bookmarkStart w:id="851" w:name="bookmark851"/>
      <w:r>
        <w:rPr>
          <w:rFonts w:ascii="Times New Roman" w:eastAsia="Times New Roman" w:hAnsi="Times New Roman" w:cs="Times New Roman"/>
          <w:b/>
          <w:bCs/>
          <w:color w:val="000000"/>
          <w:spacing w:val="0"/>
          <w:w w:val="100"/>
          <w:position w:val="0"/>
          <w:sz w:val="20"/>
          <w:szCs w:val="20"/>
        </w:rPr>
        <w:t>2</w:t>
      </w:r>
      <w:bookmarkEnd w:id="851"/>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其他债权投资</w:t>
      </w:r>
    </w:p>
    <w:p>
      <w:pPr>
        <w:pStyle w:val="Style41"/>
        <w:keepNext w:val="0"/>
        <w:keepLines w:val="0"/>
        <w:widowControl w:val="0"/>
        <w:shd w:val="clear" w:color="auto" w:fill="auto"/>
        <w:tabs>
          <w:tab w:pos="444" w:val="left"/>
        </w:tabs>
        <w:bidi w:val="0"/>
        <w:spacing w:before="0" w:after="300" w:line="313" w:lineRule="exact"/>
        <w:ind w:left="0" w:right="0" w:firstLine="0"/>
        <w:jc w:val="both"/>
        <w:rPr>
          <w:sz w:val="20"/>
          <w:szCs w:val="20"/>
        </w:rPr>
      </w:pPr>
      <w:bookmarkStart w:id="852" w:name="bookmark852"/>
      <w:r>
        <w:rPr>
          <w:rFonts w:ascii="Times New Roman" w:eastAsia="Times New Roman" w:hAnsi="Times New Roman" w:cs="Times New Roman"/>
          <w:b/>
          <w:bCs/>
          <w:color w:val="000000"/>
          <w:spacing w:val="0"/>
          <w:w w:val="100"/>
          <w:position w:val="0"/>
          <w:sz w:val="20"/>
          <w:szCs w:val="20"/>
        </w:rPr>
        <w:t>2</w:t>
      </w:r>
      <w:bookmarkEnd w:id="85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长期应收款</w:t>
      </w:r>
    </w:p>
    <w:p>
      <w:pPr>
        <w:pStyle w:val="Style41"/>
        <w:keepNext w:val="0"/>
        <w:keepLines w:val="0"/>
        <w:widowControl w:val="0"/>
        <w:shd w:val="clear" w:color="auto" w:fill="auto"/>
        <w:tabs>
          <w:tab w:pos="444" w:val="left"/>
        </w:tabs>
        <w:bidi w:val="0"/>
        <w:spacing w:before="0" w:after="300" w:line="313" w:lineRule="exact"/>
        <w:ind w:left="0" w:right="0" w:firstLine="0"/>
        <w:jc w:val="both"/>
        <w:rPr>
          <w:sz w:val="20"/>
          <w:szCs w:val="20"/>
        </w:rPr>
      </w:pPr>
      <w:bookmarkStart w:id="853" w:name="bookmark853"/>
      <w:r>
        <w:rPr>
          <w:rFonts w:ascii="Times New Roman" w:eastAsia="Times New Roman" w:hAnsi="Times New Roman" w:cs="Times New Roman"/>
          <w:b/>
          <w:bCs/>
          <w:color w:val="000000"/>
          <w:spacing w:val="0"/>
          <w:w w:val="100"/>
          <w:position w:val="0"/>
          <w:sz w:val="20"/>
          <w:szCs w:val="20"/>
        </w:rPr>
        <w:t>2</w:t>
      </w:r>
      <w:bookmarkEnd w:id="85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长期股权投资</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本部分所指的长期股权投资是指本公司对被投资单位具有控制、共同控制或重大影响的长期股权投 资，包括对子公司、合营企业和联营企业的权益性投资。</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.共同控制和重大影响的判断标准</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共同控制，是指按照相关约定对某项安排所共有的控制，并且该安排的相关活动必须经过分享控制权 的参与方一致同意后才能决策。本公司与其他合营方一同对被投资单位实施共同控制且对被投资单位实施 共同控制且对被投资单位净资产享有权利的，被投资单位为本公司的合营企业。判断是否存在共同控制时， 不考虑享有的保护性权利。</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重大影响，是指对一个企业的财务和经营决策有参与决策的权力，但并不能够控制或者与其他方一起 共同控制这些政策的制定。本公司能够对被投资单位施加重大影响的，被投资单位为本公司联营企业。在 确定能否对被投资单位施加重大影响时，考虑投资方直接或间接持有被投资单位的表决权股份以及投资方 及其他方持有的当期可执行潜在表决权在假定转换为对被投资方单位的股权后产生的影响，包括被投资单 位发行的当期可转换的认股权证、股份期权及可转换公司债券等的影响。</w:t>
      </w:r>
    </w:p>
    <w:p>
      <w:pPr>
        <w:pStyle w:val="Style41"/>
        <w:keepNext w:val="0"/>
        <w:keepLines w:val="0"/>
        <w:widowControl w:val="0"/>
        <w:numPr>
          <w:ilvl w:val="0"/>
          <w:numId w:val="53"/>
        </w:numPr>
        <w:shd w:val="clear" w:color="auto" w:fill="auto"/>
        <w:bidi w:val="0"/>
        <w:spacing w:before="0" w:after="0" w:line="313" w:lineRule="exact"/>
        <w:ind w:left="0" w:right="0" w:firstLine="440"/>
        <w:jc w:val="both"/>
        <w:rPr>
          <w:sz w:val="20"/>
          <w:szCs w:val="20"/>
        </w:rPr>
      </w:pPr>
      <w:bookmarkStart w:id="854" w:name="bookmark854"/>
      <w:bookmarkEnd w:id="854"/>
      <w:r>
        <w:rPr>
          <w:color w:val="000000"/>
          <w:spacing w:val="0"/>
          <w:w w:val="100"/>
          <w:position w:val="0"/>
          <w:sz w:val="20"/>
          <w:szCs w:val="20"/>
        </w:rPr>
        <w:t>长期股权投资的投资成本的确定</w:t>
      </w:r>
    </w:p>
    <w:p>
      <w:pPr>
        <w:pStyle w:val="Style41"/>
        <w:keepNext w:val="0"/>
        <w:keepLines w:val="0"/>
        <w:widowControl w:val="0"/>
        <w:numPr>
          <w:ilvl w:val="0"/>
          <w:numId w:val="55"/>
        </w:numPr>
        <w:shd w:val="clear" w:color="auto" w:fill="auto"/>
        <w:bidi w:val="0"/>
        <w:spacing w:before="0" w:after="0" w:line="313" w:lineRule="exact"/>
        <w:ind w:left="0" w:right="0" w:firstLine="440"/>
        <w:jc w:val="both"/>
        <w:rPr>
          <w:sz w:val="20"/>
          <w:szCs w:val="20"/>
        </w:rPr>
      </w:pPr>
      <w:bookmarkStart w:id="855" w:name="bookmark855"/>
      <w:bookmarkEnd w:id="855"/>
      <w:r>
        <w:rPr>
          <w:color w:val="000000"/>
          <w:spacing w:val="0"/>
          <w:w w:val="100"/>
          <w:position w:val="0"/>
          <w:sz w:val="20"/>
          <w:szCs w:val="20"/>
        </w:rPr>
        <w:t>同一控制下的合并形成的，合并方以支付现金、转让非现金资产、承担债务或发行权益性证券作为 合并对价的，在合并日按取得被合并方所有者权益在最终控制方合并财务报表中的账面价值的份额作为其 初始投资成本。长期股权投资初始投资成本与支付的现金、转让的非现金资产、所承担债务账面价值或发 行股份的面值总额之间的差额调整资本公积；资本公积不足冲减的，调整留存收益。通过多次交易分步取 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进行处理: </w:t>
      </w:r>
      <w:r>
        <w:rPr>
          <w:color w:val="000000"/>
          <w:spacing w:val="0"/>
          <w:w w:val="100"/>
          <w:position w:val="0"/>
          <w:sz w:val="20"/>
          <w:szCs w:val="20"/>
        </w:rPr>
        <w:t>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的，在 合并日按照应享有被合并方股东权益在最终控制方合并财务报表中的账面价值的份额作为长期股权投资 的初始投资成本，长期股权投资初始投资成本与达到合并前的长期股权投资账面价值加上合并日进一步取 得股份新支付对价的账面价值之和的差额，调整资本公积；资本公积不足冲减的，调整留存收益。合并日 之前持有的股权投资因采用权益法核算或为其他权益工具投资而确认的其他综合收益，暂不进行会计处 理。</w:t>
      </w:r>
    </w:p>
    <w:p>
      <w:pPr>
        <w:pStyle w:val="Style41"/>
        <w:keepNext w:val="0"/>
        <w:keepLines w:val="0"/>
        <w:widowControl w:val="0"/>
        <w:numPr>
          <w:ilvl w:val="0"/>
          <w:numId w:val="55"/>
        </w:numPr>
        <w:shd w:val="clear" w:color="auto" w:fill="auto"/>
        <w:tabs>
          <w:tab w:pos="788" w:val="left"/>
        </w:tabs>
        <w:bidi w:val="0"/>
        <w:spacing w:before="0" w:after="0" w:line="312" w:lineRule="exact"/>
        <w:ind w:left="0" w:right="0" w:firstLine="440"/>
        <w:jc w:val="both"/>
        <w:rPr>
          <w:sz w:val="20"/>
          <w:szCs w:val="20"/>
        </w:rPr>
      </w:pPr>
      <w:bookmarkStart w:id="856" w:name="bookmark856"/>
      <w:bookmarkEnd w:id="856"/>
      <w:r>
        <w:rPr>
          <w:color w:val="000000"/>
          <w:spacing w:val="0"/>
          <w:w w:val="100"/>
          <w:position w:val="0"/>
          <w:sz w:val="20"/>
          <w:szCs w:val="20"/>
        </w:rPr>
        <w:t>非同一控制下的企业合并形成的，公司按照购买日确定的合并成本作为长期股权投资的初始投资成 本。合并成本为购买日购买方为取得对被购买方的控制权而付出的资产、发生或承担的负债以及发行的权 益性证券的公允价值。购买方为企业合并而发生的审计、法律服务、评估咨询等中介费用以及其他相关管 理费用于发生时计入当期损益；购买方作为合并对价发行的权益性证券或债务性证券的交易费用，计入权 益性证券或债务性证券的初始确认金额。本公司将合并协议约定的或有对价作为企业合并转移对价的一部 分，按照其在购买日的公允价值计入企业合并成本。通过多次交易分步实现的非同一控制下企业合并，根 据企业会计准则判断该多次交易是否属于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的，将各项交易作为一项取得 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的，按照原持有被购买方的股权投资账面价值加上新增 投资成本之和，作为改按成本法核算的长期股权投资的初始投资成本；原持有的股权采用权益法核算的， 相关其他综合收益暂不进行会计处理；原持有股权投资为其他权益工具投资的，其公允价值与账面价值之 间的差额，以及原计入其他综合收益的累计公允价值变动直接转入留存收益。</w:t>
      </w:r>
    </w:p>
    <w:p>
      <w:pPr>
        <w:pStyle w:val="Style41"/>
        <w:keepNext w:val="0"/>
        <w:keepLines w:val="0"/>
        <w:widowControl w:val="0"/>
        <w:numPr>
          <w:ilvl w:val="0"/>
          <w:numId w:val="55"/>
        </w:numPr>
        <w:shd w:val="clear" w:color="auto" w:fill="auto"/>
        <w:tabs>
          <w:tab w:pos="788" w:val="left"/>
        </w:tabs>
        <w:bidi w:val="0"/>
        <w:spacing w:before="0" w:after="0" w:line="312" w:lineRule="exact"/>
        <w:ind w:left="0" w:right="0" w:firstLine="440"/>
        <w:jc w:val="both"/>
        <w:rPr>
          <w:sz w:val="20"/>
          <w:szCs w:val="20"/>
        </w:rPr>
      </w:pPr>
      <w:bookmarkStart w:id="857" w:name="bookmark857"/>
      <w:bookmarkEnd w:id="857"/>
      <w:r>
        <w:rPr>
          <w:color w:val="000000"/>
          <w:spacing w:val="0"/>
          <w:w w:val="100"/>
          <w:position w:val="0"/>
          <w:sz w:val="20"/>
          <w:szCs w:val="20"/>
        </w:rPr>
        <w:t>除企业合并形成的长期股权投资外的其他股权投资，按成本进行初始计量：以支付现金取得的，按 照实际支付的购买价款作为其初始投资成本；以发行权益性证券取得的，按照发行权益性证券的公允价值 作为其初始投资成本，与发行权益性证券直接相关的费用，按照《企业会计准则第</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号——金融工具列报》 的有关规定确定；在非货币性资产交换具有商业实质和换入资产或换出资产的公允价值能够可靠计量的前 提下，非货币性资产交换换入的长期股权投资以换出资产的公允价值和应支付的相关税费确定其初始投资 成本，除非有确凿证据表明换入资产的公允价值更加可靠；不满足上述前提的非货币性资产交换，以换出 资产的账面价值和应支付的相关税费作为换入长期股权投资的初始投资成本。通过债务重组取得的长期股 权投资，其初始投资成本以放弃债权的公允价值为基础确定。与取得长期股权投资直接相关的费用、税金 及其他必要支出也计入投资成本。</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对于因追加投资能够对被投资单位实施重大影响或实施共同控制但不构成控制的，长期股权投资成本 为按照《企业会计准则第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号——金融工具确认和计量》确定的原持有股权投资的公允价值加上新增投资 成本之和，作为改按权益法核算的初始投资成本。原持有的股权投资分类为其他权益工具投资的，其公允 价值与账面价值之间的差额，以及原计入其他综合收益的累计公允价值变动应当直接转入留存收益。</w:t>
      </w:r>
    </w:p>
    <w:p>
      <w:pPr>
        <w:pStyle w:val="Style41"/>
        <w:keepNext w:val="0"/>
        <w:keepLines w:val="0"/>
        <w:widowControl w:val="0"/>
        <w:numPr>
          <w:ilvl w:val="0"/>
          <w:numId w:val="53"/>
        </w:numPr>
        <w:shd w:val="clear" w:color="auto" w:fill="auto"/>
        <w:bidi w:val="0"/>
        <w:spacing w:before="0" w:after="0" w:line="312" w:lineRule="exact"/>
        <w:ind w:left="0" w:right="0" w:firstLine="440"/>
        <w:jc w:val="both"/>
        <w:rPr>
          <w:sz w:val="20"/>
          <w:szCs w:val="20"/>
        </w:rPr>
      </w:pPr>
      <w:bookmarkStart w:id="858" w:name="bookmark858"/>
      <w:bookmarkEnd w:id="858"/>
      <w:r>
        <w:rPr>
          <w:color w:val="000000"/>
          <w:spacing w:val="0"/>
          <w:w w:val="100"/>
          <w:position w:val="0"/>
          <w:sz w:val="20"/>
          <w:szCs w:val="20"/>
        </w:rPr>
        <w:t>长期股权投资的后续计量及损益确认方法</w:t>
      </w:r>
    </w:p>
    <w:p>
      <w:pPr>
        <w:pStyle w:val="Style41"/>
        <w:keepNext w:val="0"/>
        <w:keepLines w:val="0"/>
        <w:widowControl w:val="0"/>
        <w:numPr>
          <w:ilvl w:val="0"/>
          <w:numId w:val="57"/>
        </w:numPr>
        <w:shd w:val="clear" w:color="auto" w:fill="auto"/>
        <w:tabs>
          <w:tab w:pos="806" w:val="left"/>
        </w:tabs>
        <w:bidi w:val="0"/>
        <w:spacing w:before="0" w:after="0" w:line="312" w:lineRule="exact"/>
        <w:ind w:left="0" w:right="0" w:firstLine="440"/>
        <w:jc w:val="both"/>
        <w:rPr>
          <w:sz w:val="20"/>
          <w:szCs w:val="20"/>
        </w:rPr>
      </w:pPr>
      <w:bookmarkStart w:id="859" w:name="bookmark859"/>
      <w:bookmarkEnd w:id="859"/>
      <w:r>
        <w:rPr>
          <w:color w:val="000000"/>
          <w:spacing w:val="0"/>
          <w:w w:val="100"/>
          <w:position w:val="0"/>
          <w:sz w:val="20"/>
          <w:szCs w:val="20"/>
        </w:rPr>
        <w:t>成本法核算的长期股权投资</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41"/>
        <w:keepNext w:val="0"/>
        <w:keepLines w:val="0"/>
        <w:widowControl w:val="0"/>
        <w:numPr>
          <w:ilvl w:val="0"/>
          <w:numId w:val="57"/>
        </w:numPr>
        <w:shd w:val="clear" w:color="auto" w:fill="auto"/>
        <w:tabs>
          <w:tab w:pos="806" w:val="left"/>
        </w:tabs>
        <w:bidi w:val="0"/>
        <w:spacing w:before="0" w:after="0" w:line="312" w:lineRule="exact"/>
        <w:ind w:left="0" w:right="0" w:firstLine="440"/>
        <w:jc w:val="both"/>
        <w:rPr>
          <w:sz w:val="20"/>
          <w:szCs w:val="20"/>
        </w:rPr>
      </w:pPr>
      <w:bookmarkStart w:id="860" w:name="bookmark860"/>
      <w:bookmarkEnd w:id="860"/>
      <w:r>
        <w:rPr>
          <w:color w:val="000000"/>
          <w:spacing w:val="0"/>
          <w:w w:val="100"/>
          <w:position w:val="0"/>
          <w:sz w:val="20"/>
          <w:szCs w:val="20"/>
        </w:rPr>
        <w:t>权益法核算的长期股权投资</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对联营企业和合营企业的长期股权投资，采用权益法核算。</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采用权益法核算的长期股权投资的初始投资成本大于投资时应享有被投资单位可辨认净资产公允价 值份额的，不调整长期股权投资的初始投资成本；长期股权投资的初始投资成本小于投资时应享有被投资 单位可辨认净资产公允价值份额的，其差额应当计入当期损益，同时调整长期股权投资的成本。取得长期 股权投资后，被投资单位采用的会计政策及会计期间与公司不一致的，按照公司的会计政策及会计期间对 被投资单位的财务报表进行调整，并据以确认投资损益和其他综合收益等。按照应享有或应分担的被投资 单位实现的净损益和其他综合收益的份额，分别确认投资收益和其他综合收益，同时调整长期股权投资的 账面价值；在确认应享有被投资单位净损益的份额时，以取得投资时被投资单位各项可辨认资产等的公允 </w:t>
      </w:r>
      <w:r>
        <w:rPr>
          <w:color w:val="000000"/>
          <w:spacing w:val="0"/>
          <w:w w:val="100"/>
          <w:position w:val="0"/>
          <w:sz w:val="20"/>
          <w:szCs w:val="20"/>
        </w:rPr>
        <w:t>价值为基础，对被投资单位的净利润进行调整后确认。按照被投资单位宣告分派的利润或现金股利计算应 享有的部分，相应减少长期股权投资的账面价值；对于被投资单位除净损益、其他综合收益和利润分配以 外所有者权益的其他变动，调整长期股权投资的账面价值并计入所有者权益。公司与联营企业、合营企业 之间发生的未实现内部交易损益按照享有的比例计算归属于公司的部分，予以抵销，在此基础上确认投资 收益。与被投资单位发生的未实现内部交易损失，属于资产减值损失的，全额确认。</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在公司确认应分担被投资单位发生亏损时，按照以下顺序进行处理：首先，冲减长期股权投资的账面 价值。其次，长期股权投资的账面价值不足以冲减的，以其他实质上构成对被投资单位净投资的长期权益 账面价值为限继续确认投资损失、冲减长期应收项目的账面价值。经过上述处理，按照投资合同或协议约 定企业仍承担额外义务的，按预计承担的义务确认预计负债，计入当期投资损失。被投资单位以后期间实 现净利润的，本公司在收益弥补未确认的亏损分担额后，恢复确认收益分享额。</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在持有投资期间，被投资单位编制合并财务报表的，以合并财务报表中的净利润、其他综合收益和其 他所有者权益变动中归属于被投资单位的金额为基础进行核算。</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对于本公司向合营企业与联营企业投出的资产构成业务的，投资方因此取得长期股权投资但未取得控 制权的，以投出业务的公允价值作为新增长期股权投资的初始投资成本，初始投资成本与投出业务的账面 价值之差，全额计入当期损益。本公司向合营企业或者联营企业出售的资产构成业务的，取得的对价与业 务的账面价值之差，全额计入当期损益。本公司自联营及合营企业购入的资产构成业务的，按《企业会计 准则第</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号——企业合并》的规定进行会计处理，全额确认与交易相关的利得或损失。</w:t>
      </w:r>
    </w:p>
    <w:p>
      <w:pPr>
        <w:pStyle w:val="Style41"/>
        <w:keepNext w:val="0"/>
        <w:keepLines w:val="0"/>
        <w:widowControl w:val="0"/>
        <w:numPr>
          <w:ilvl w:val="0"/>
          <w:numId w:val="53"/>
        </w:numPr>
        <w:shd w:val="clear" w:color="auto" w:fill="auto"/>
        <w:bidi w:val="0"/>
        <w:spacing w:before="0" w:after="0" w:line="326" w:lineRule="auto"/>
        <w:ind w:left="0" w:right="0" w:firstLine="440"/>
        <w:jc w:val="both"/>
        <w:rPr>
          <w:sz w:val="20"/>
          <w:szCs w:val="20"/>
        </w:rPr>
      </w:pPr>
      <w:bookmarkStart w:id="861" w:name="bookmark861"/>
      <w:bookmarkEnd w:id="861"/>
      <w:r>
        <w:rPr>
          <w:color w:val="000000"/>
          <w:spacing w:val="0"/>
          <w:w w:val="100"/>
          <w:position w:val="0"/>
          <w:sz w:val="20"/>
          <w:szCs w:val="20"/>
        </w:rPr>
        <w:t>长期股权投资的处置</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处置长期股权投资，其账面价值与实际取得价款的差额，计入当期损益。</w:t>
      </w:r>
    </w:p>
    <w:p>
      <w:pPr>
        <w:pStyle w:val="Style41"/>
        <w:keepNext w:val="0"/>
        <w:keepLines w:val="0"/>
        <w:widowControl w:val="0"/>
        <w:numPr>
          <w:ilvl w:val="0"/>
          <w:numId w:val="59"/>
        </w:numPr>
        <w:shd w:val="clear" w:color="auto" w:fill="auto"/>
        <w:tabs>
          <w:tab w:pos="810" w:val="left"/>
        </w:tabs>
        <w:bidi w:val="0"/>
        <w:spacing w:before="0" w:after="0" w:line="326" w:lineRule="auto"/>
        <w:ind w:left="0" w:right="0" w:firstLine="440"/>
        <w:jc w:val="both"/>
        <w:rPr>
          <w:sz w:val="20"/>
          <w:szCs w:val="20"/>
        </w:rPr>
      </w:pPr>
      <w:bookmarkStart w:id="862" w:name="bookmark862"/>
      <w:bookmarkEnd w:id="862"/>
      <w:r>
        <w:rPr>
          <w:color w:val="000000"/>
          <w:spacing w:val="0"/>
          <w:w w:val="100"/>
          <w:position w:val="0"/>
          <w:sz w:val="20"/>
          <w:szCs w:val="20"/>
        </w:rPr>
        <w:t>权益法核算下的长期股权投资的处置</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采用权益法核算的长期股权投资，处置后的剩余股权仍采用权益法核算的，在处置该项投资时，采用 与被投资单位直接处置相关资产或者负债相同的基础，按相应比例对原计入其他综合收益的部分进行会计 处理。因被投资单位除净损益、其他综合收益和利润分配以外的其他所有者权益变动而确认的所有者权益， 按比例结转入当期损益。</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因处置部分股权投资等原因丧失了对投资单位的共同控制或者重大影响的，处置后的剩余股权改按金 融工具确认和计量准则核算，其在丧失共同控制或重大影响之日的公允价值与账面价值之间的差额计入当 期损益。原股权投资因采用权益法核算而确认的其他综合收益，在终止确认权益法核算时采用与被投资单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41"/>
        <w:keepNext w:val="0"/>
        <w:keepLines w:val="0"/>
        <w:widowControl w:val="0"/>
        <w:numPr>
          <w:ilvl w:val="0"/>
          <w:numId w:val="59"/>
        </w:numPr>
        <w:shd w:val="clear" w:color="auto" w:fill="auto"/>
        <w:tabs>
          <w:tab w:pos="810" w:val="left"/>
        </w:tabs>
        <w:bidi w:val="0"/>
        <w:spacing w:before="0" w:after="0" w:line="326" w:lineRule="auto"/>
        <w:ind w:left="0" w:right="0" w:firstLine="440"/>
        <w:jc w:val="both"/>
        <w:rPr>
          <w:sz w:val="20"/>
          <w:szCs w:val="20"/>
        </w:rPr>
      </w:pPr>
      <w:bookmarkStart w:id="863" w:name="bookmark863"/>
      <w:bookmarkEnd w:id="863"/>
      <w:r>
        <w:rPr>
          <w:color w:val="000000"/>
          <w:spacing w:val="0"/>
          <w:w w:val="100"/>
          <w:position w:val="0"/>
          <w:sz w:val="20"/>
          <w:szCs w:val="20"/>
        </w:rPr>
        <w:t>成本法核算下的长期股权投资的处置</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采用成本法核算的长期股权投资，处置后剩余股权仍采用成本法核算的，其在取得对被投资单位的控 制之前因采用权益法核算或者金融工具确认和计量准则核算而确认的其他综合收益，采用与被投资单位直 接处置相关资产或者负债相同的基础进行处理，并按比例结转当期损益；因采用权益法核算而确认的被投 资单位净资产中除净损益、其他综合收益和净利润分配以外的其他所有者权益变动按比例结转当期损益。</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公司因处置部分股权投资或其他原因丧失了对原有子公司控制权的，处置后的剩余股权能够对被投资 单位实施共同控制或施加重大影响的，改按权益法核算，并对该剩余股权视同自取得时即采用权益法核算 进行调整，购买日之前持有的股权投资因采用权益法核算而确认的其他综合收益和其他所有者权益按比例 结转；处置后的剩余股权不能对被投资单位实施共同控制或施加重大影响的，改按《企业会计准则第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 —金融工具确认和计量》的有关规定进行会计处理，其在丧失控制之日的公允价值与账面价值间的差额 计入当期损益，其他综合收益和其他所有者权益全部结转为当期损益。</w:t>
      </w:r>
    </w:p>
    <w:p>
      <w:pPr>
        <w:pStyle w:val="Style41"/>
        <w:keepNext w:val="0"/>
        <w:keepLines w:val="0"/>
        <w:widowControl w:val="0"/>
        <w:shd w:val="clear" w:color="auto" w:fill="auto"/>
        <w:bidi w:val="0"/>
        <w:spacing w:before="0" w:after="680" w:line="314" w:lineRule="exact"/>
        <w:ind w:left="0" w:right="0" w:firstLine="440"/>
        <w:jc w:val="both"/>
        <w:rPr>
          <w:sz w:val="20"/>
          <w:szCs w:val="20"/>
        </w:rPr>
      </w:pPr>
      <w:r>
        <w:rPr>
          <w:color w:val="000000"/>
          <w:spacing w:val="0"/>
          <w:w w:val="100"/>
          <w:position w:val="0"/>
          <w:sz w:val="20"/>
          <w:szCs w:val="2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2"/>
        <w:keepNext/>
        <w:keepLines/>
        <w:widowControl w:val="0"/>
        <w:shd w:val="clear" w:color="auto" w:fill="auto"/>
        <w:tabs>
          <w:tab w:pos="483" w:val="left"/>
        </w:tabs>
        <w:bidi w:val="0"/>
        <w:spacing w:before="0" w:after="200" w:line="326"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64"/>
      <w:bookmarkEnd w:id="865"/>
      <w:bookmarkEnd w:id="867"/>
    </w:p>
    <w:p>
      <w:pPr>
        <w:pStyle w:val="Style23"/>
        <w:keepNext w:val="0"/>
        <w:keepLines w:val="0"/>
        <w:widowControl w:val="0"/>
        <w:shd w:val="clear" w:color="auto" w:fill="auto"/>
        <w:bidi w:val="0"/>
        <w:spacing w:before="0" w:after="40" w:line="316" w:lineRule="exact"/>
        <w:ind w:left="0" w:right="0" w:firstLine="0"/>
        <w:jc w:val="left"/>
      </w:pPr>
      <w:r>
        <w:rPr>
          <w:color w:val="000000"/>
          <w:spacing w:val="0"/>
          <w:w w:val="100"/>
          <w:position w:val="0"/>
        </w:rPr>
        <w:t>投资性房地产计量模式</w:t>
      </w:r>
    </w:p>
    <w:p>
      <w:pPr>
        <w:pStyle w:val="Style23"/>
        <w:keepNext w:val="0"/>
        <w:keepLines w:val="0"/>
        <w:widowControl w:val="0"/>
        <w:shd w:val="clear" w:color="auto" w:fill="auto"/>
        <w:bidi w:val="0"/>
        <w:spacing w:before="0" w:after="380" w:line="316"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200" w:line="326"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68"/>
      <w:bookmarkEnd w:id="869"/>
      <w:bookmarkEnd w:id="871"/>
    </w:p>
    <w:p>
      <w:pPr>
        <w:pStyle w:val="Style32"/>
        <w:keepNext/>
        <w:keepLines/>
        <w:widowControl w:val="0"/>
        <w:shd w:val="clear" w:color="auto" w:fill="auto"/>
        <w:bidi w:val="0"/>
        <w:spacing w:before="0" w:after="380" w:line="314" w:lineRule="exact"/>
        <w:ind w:left="0" w:right="0" w:firstLine="0"/>
        <w:jc w:val="left"/>
      </w:pPr>
      <w:bookmarkStart w:id="868" w:name="bookmark868"/>
      <w:bookmarkStart w:id="869" w:name="bookmark869"/>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8"/>
      <w:bookmarkEnd w:id="869"/>
      <w:bookmarkEnd w:id="873"/>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.固定资产确认条件</w:t>
      </w:r>
    </w:p>
    <w:p>
      <w:pPr>
        <w:pStyle w:val="Style23"/>
        <w:keepNext w:val="0"/>
        <w:keepLines w:val="0"/>
        <w:widowControl w:val="0"/>
        <w:shd w:val="clear" w:color="auto" w:fill="auto"/>
        <w:bidi w:val="0"/>
        <w:spacing w:before="0" w:after="40" w:line="322" w:lineRule="exact"/>
        <w:ind w:left="0" w:right="0" w:firstLine="0"/>
        <w:jc w:val="left"/>
      </w:pPr>
      <w:r>
        <w:rPr>
          <w:color w:val="000000"/>
          <w:spacing w:val="0"/>
          <w:w w:val="100"/>
          <w:position w:val="0"/>
        </w:rPr>
        <w:t>固定资产是指同时具有下列特征的有形资产：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为生产商品、提供劳务、出租或经营管理持有的；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使用寿命超过一个会 计年度。</w:t>
      </w:r>
    </w:p>
    <w:p>
      <w:pPr>
        <w:pStyle w:val="Style23"/>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固定资产同时满足下列条件的予以确认：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 地计量。与固定资产有关的后续支出，符合上述确认条件的，计入固定资产成本；不符合上述确认条件的，发生时计入当期 损益。</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固定资产的初始计量</w:t>
      </w:r>
    </w:p>
    <w:p>
      <w:pPr>
        <w:pStyle w:val="Style23"/>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固定资产按照成本进行初始计量。</w:t>
      </w:r>
    </w:p>
    <w:p>
      <w:pPr>
        <w:pStyle w:val="Style32"/>
        <w:keepNext/>
        <w:keepLines/>
        <w:widowControl w:val="0"/>
        <w:shd w:val="clear" w:color="auto" w:fill="auto"/>
        <w:bidi w:val="0"/>
        <w:spacing w:before="0" w:after="320" w:line="240" w:lineRule="auto"/>
        <w:ind w:left="0" w:right="0" w:firstLine="0"/>
        <w:jc w:val="both"/>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74"/>
      <w:bookmarkEnd w:id="875"/>
      <w:bookmarkEnd w:id="87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19.20-32.00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w:t>
            </w:r>
          </w:p>
        </w:tc>
      </w:tr>
    </w:tbl>
    <w:p>
      <w:pPr>
        <w:widowControl w:val="0"/>
        <w:spacing w:after="39" w:line="1" w:lineRule="exact"/>
      </w:pPr>
    </w:p>
    <w:p>
      <w:pPr>
        <w:pStyle w:val="Style41"/>
        <w:keepNext w:val="0"/>
        <w:keepLines w:val="0"/>
        <w:widowControl w:val="0"/>
        <w:shd w:val="clear" w:color="auto" w:fill="auto"/>
        <w:bidi w:val="0"/>
        <w:spacing w:before="0" w:after="40" w:line="240" w:lineRule="auto"/>
        <w:ind w:left="0" w:right="0" w:firstLine="440"/>
        <w:jc w:val="both"/>
        <w:rPr>
          <w:sz w:val="20"/>
          <w:szCs w:val="20"/>
        </w:rPr>
      </w:pPr>
      <w:r>
        <w:rPr>
          <w:color w:val="000000"/>
          <w:spacing w:val="0"/>
          <w:w w:val="100"/>
          <w:position w:val="0"/>
          <w:sz w:val="20"/>
          <w:szCs w:val="20"/>
        </w:rPr>
        <w:t>说明：</w:t>
      </w:r>
    </w:p>
    <w:p>
      <w:pPr>
        <w:pStyle w:val="Style41"/>
        <w:keepNext w:val="0"/>
        <w:keepLines w:val="0"/>
        <w:widowControl w:val="0"/>
        <w:shd w:val="clear" w:color="auto" w:fill="auto"/>
        <w:bidi w:val="0"/>
        <w:spacing w:before="0" w:after="40" w:line="240" w:lineRule="auto"/>
        <w:ind w:left="0" w:right="0" w:firstLine="440"/>
        <w:jc w:val="both"/>
        <w:rPr>
          <w:sz w:val="20"/>
          <w:szCs w:val="20"/>
        </w:rPr>
      </w:pPr>
      <w:bookmarkStart w:id="878" w:name="bookmark878"/>
      <w:r>
        <w:rPr>
          <w:rFonts w:ascii="Times New Roman" w:eastAsia="Times New Roman" w:hAnsi="Times New Roman" w:cs="Times New Roman"/>
          <w:color w:val="000000"/>
          <w:spacing w:val="0"/>
          <w:w w:val="100"/>
          <w:position w:val="0"/>
          <w:sz w:val="20"/>
          <w:szCs w:val="20"/>
        </w:rPr>
        <w:t>（</w:t>
      </w:r>
      <w:bookmarkEnd w:id="87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符合资本化条件的固定资产装修费用，在两次装修期间与固定资产尚可使用年限两者中较短的期间</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内，采用年限平均法单独计提折旧。</w:t>
      </w:r>
    </w:p>
    <w:p>
      <w:pPr>
        <w:pStyle w:val="Style41"/>
        <w:keepNext w:val="0"/>
        <w:keepLines w:val="0"/>
        <w:widowControl w:val="0"/>
        <w:shd w:val="clear" w:color="auto" w:fill="auto"/>
        <w:tabs>
          <w:tab w:pos="866" w:val="left"/>
        </w:tabs>
        <w:bidi w:val="0"/>
        <w:spacing w:before="0" w:after="0" w:line="331" w:lineRule="exact"/>
        <w:ind w:left="0" w:right="0" w:firstLine="440"/>
        <w:jc w:val="both"/>
        <w:rPr>
          <w:sz w:val="20"/>
          <w:szCs w:val="20"/>
        </w:rPr>
      </w:pPr>
      <w:bookmarkStart w:id="879" w:name="bookmark879"/>
      <w:r>
        <w:rPr>
          <w:rFonts w:ascii="Times New Roman" w:eastAsia="Times New Roman" w:hAnsi="Times New Roman" w:cs="Times New Roman"/>
          <w:color w:val="000000"/>
          <w:spacing w:val="0"/>
          <w:w w:val="100"/>
          <w:position w:val="0"/>
          <w:sz w:val="20"/>
          <w:szCs w:val="20"/>
        </w:rPr>
        <w:t>（</w:t>
      </w:r>
      <w:bookmarkEnd w:id="879"/>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已计提减值准备的固定资产，还应扣除已计提的固定资产减值准备累计金额计算折旧率。</w:t>
      </w:r>
    </w:p>
    <w:p>
      <w:pPr>
        <w:pStyle w:val="Style41"/>
        <w:keepNext w:val="0"/>
        <w:keepLines w:val="0"/>
        <w:widowControl w:val="0"/>
        <w:shd w:val="clear" w:color="auto" w:fill="auto"/>
        <w:tabs>
          <w:tab w:pos="848" w:val="left"/>
        </w:tabs>
        <w:bidi w:val="0"/>
        <w:spacing w:before="0" w:after="200" w:line="331" w:lineRule="exact"/>
        <w:ind w:left="0" w:right="0" w:firstLine="440"/>
        <w:jc w:val="both"/>
        <w:rPr>
          <w:sz w:val="20"/>
          <w:szCs w:val="20"/>
        </w:rPr>
      </w:pPr>
      <w:bookmarkStart w:id="880" w:name="bookmark880"/>
      <w:r>
        <w:rPr>
          <w:rFonts w:ascii="Times New Roman" w:eastAsia="Times New Roman" w:hAnsi="Times New Roman" w:cs="Times New Roman"/>
          <w:color w:val="000000"/>
          <w:spacing w:val="0"/>
          <w:w w:val="100"/>
          <w:position w:val="0"/>
          <w:sz w:val="20"/>
          <w:szCs w:val="20"/>
        </w:rPr>
        <w:t>（</w:t>
      </w:r>
      <w:bookmarkEnd w:id="880"/>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公司至少年度终了对固定资产的使用寿命、预计净残值和折旧方法进行复核，如发生改变则作为会 计估计变更处理。</w:t>
      </w:r>
    </w:p>
    <w:p>
      <w:pPr>
        <w:pStyle w:val="Style41"/>
        <w:keepNext w:val="0"/>
        <w:keepLines w:val="0"/>
        <w:widowControl w:val="0"/>
        <w:numPr>
          <w:ilvl w:val="0"/>
          <w:numId w:val="59"/>
        </w:numPr>
        <w:shd w:val="clear" w:color="auto" w:fill="auto"/>
        <w:bidi w:val="0"/>
        <w:spacing w:before="0" w:after="280" w:line="313" w:lineRule="exact"/>
        <w:ind w:left="0" w:right="0" w:firstLine="0"/>
        <w:jc w:val="both"/>
        <w:rPr>
          <w:sz w:val="20"/>
          <w:szCs w:val="20"/>
        </w:rPr>
      </w:pPr>
      <w:bookmarkStart w:id="881" w:name="bookmark881"/>
      <w:bookmarkEnd w:id="881"/>
      <w:r>
        <w:rPr>
          <w:b/>
          <w:bCs/>
          <w:color w:val="000000"/>
          <w:spacing w:val="0"/>
          <w:w w:val="100"/>
          <w:position w:val="0"/>
          <w:sz w:val="20"/>
          <w:szCs w:val="20"/>
        </w:rPr>
        <w:t>融资租入固定资产的认定依据、计价和折旧方法</w:t>
      </w:r>
    </w:p>
    <w:p>
      <w:pPr>
        <w:pStyle w:val="Style41"/>
        <w:keepNext w:val="0"/>
        <w:keepLines w:val="0"/>
        <w:widowControl w:val="0"/>
        <w:shd w:val="clear" w:color="auto" w:fill="auto"/>
        <w:tabs>
          <w:tab w:pos="521" w:val="left"/>
        </w:tabs>
        <w:bidi w:val="0"/>
        <w:spacing w:before="0" w:after="280" w:line="313" w:lineRule="exact"/>
        <w:ind w:left="0" w:right="0" w:firstLine="0"/>
        <w:jc w:val="both"/>
        <w:rPr>
          <w:sz w:val="20"/>
          <w:szCs w:val="20"/>
        </w:rPr>
      </w:pPr>
      <w:bookmarkStart w:id="882" w:name="bookmark882"/>
      <w:r>
        <w:rPr>
          <w:rFonts w:ascii="Times New Roman" w:eastAsia="Times New Roman" w:hAnsi="Times New Roman" w:cs="Times New Roman"/>
          <w:b/>
          <w:bCs/>
          <w:color w:val="000000"/>
          <w:spacing w:val="0"/>
          <w:w w:val="100"/>
          <w:position w:val="0"/>
          <w:sz w:val="20"/>
          <w:szCs w:val="20"/>
        </w:rPr>
        <w:t>2</w:t>
      </w:r>
      <w:bookmarkEnd w:id="88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在建工程</w:t>
      </w:r>
    </w:p>
    <w:p>
      <w:pPr>
        <w:pStyle w:val="Style41"/>
        <w:keepNext w:val="0"/>
        <w:keepLines w:val="0"/>
        <w:widowControl w:val="0"/>
        <w:shd w:val="clear" w:color="auto" w:fill="auto"/>
        <w:tabs>
          <w:tab w:pos="521" w:val="left"/>
        </w:tabs>
        <w:bidi w:val="0"/>
        <w:spacing w:before="0" w:after="280" w:line="313" w:lineRule="exact"/>
        <w:ind w:left="0" w:right="0" w:firstLine="0"/>
        <w:jc w:val="both"/>
        <w:rPr>
          <w:sz w:val="20"/>
          <w:szCs w:val="20"/>
        </w:rPr>
      </w:pPr>
      <w:bookmarkStart w:id="883" w:name="bookmark883"/>
      <w:r>
        <w:rPr>
          <w:rFonts w:ascii="Times New Roman" w:eastAsia="Times New Roman" w:hAnsi="Times New Roman" w:cs="Times New Roman"/>
          <w:b/>
          <w:bCs/>
          <w:color w:val="000000"/>
          <w:spacing w:val="0"/>
          <w:w w:val="100"/>
          <w:position w:val="0"/>
          <w:sz w:val="20"/>
          <w:szCs w:val="20"/>
        </w:rPr>
        <w:t>2</w:t>
      </w:r>
      <w:bookmarkEnd w:id="883"/>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借款费用</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借款费用，包括借款利息、折价或者溢价的摊销、辅助费用以及因外币借款而发生的汇兑差额等。</w:t>
      </w:r>
    </w:p>
    <w:p>
      <w:pPr>
        <w:pStyle w:val="Style41"/>
        <w:keepNext w:val="0"/>
        <w:keepLines w:val="0"/>
        <w:widowControl w:val="0"/>
        <w:numPr>
          <w:ilvl w:val="0"/>
          <w:numId w:val="61"/>
        </w:numPr>
        <w:shd w:val="clear" w:color="auto" w:fill="auto"/>
        <w:tabs>
          <w:tab w:pos="693" w:val="left"/>
        </w:tabs>
        <w:bidi w:val="0"/>
        <w:spacing w:before="0" w:after="0" w:line="313" w:lineRule="exact"/>
        <w:ind w:left="0" w:right="0" w:firstLine="440"/>
        <w:jc w:val="both"/>
        <w:rPr>
          <w:sz w:val="20"/>
          <w:szCs w:val="20"/>
        </w:rPr>
      </w:pPr>
      <w:bookmarkStart w:id="884" w:name="bookmark884"/>
      <w:bookmarkEnd w:id="884"/>
      <w:r>
        <w:rPr>
          <w:color w:val="000000"/>
          <w:spacing w:val="0"/>
          <w:w w:val="100"/>
          <w:position w:val="0"/>
          <w:sz w:val="20"/>
          <w:szCs w:val="20"/>
        </w:rPr>
        <w:t>.借款费用资本化的确认原则</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公司发生的借款费用，可直接归属于符合资本化条件的资产的购建或者生产的，予以资本化，计入相 关资产成本；其他借款费用，在发生时根据其发生额确认为费用，计入当期损益。</w:t>
      </w:r>
    </w:p>
    <w:p>
      <w:pPr>
        <w:pStyle w:val="Style41"/>
        <w:keepNext w:val="0"/>
        <w:keepLines w:val="0"/>
        <w:widowControl w:val="0"/>
        <w:numPr>
          <w:ilvl w:val="0"/>
          <w:numId w:val="61"/>
        </w:numPr>
        <w:shd w:val="clear" w:color="auto" w:fill="auto"/>
        <w:tabs>
          <w:tab w:pos="727" w:val="left"/>
        </w:tabs>
        <w:bidi w:val="0"/>
        <w:spacing w:before="0" w:after="0" w:line="313" w:lineRule="exact"/>
        <w:ind w:left="0" w:right="0" w:firstLine="440"/>
        <w:jc w:val="both"/>
        <w:rPr>
          <w:sz w:val="20"/>
          <w:szCs w:val="20"/>
        </w:rPr>
      </w:pPr>
      <w:bookmarkStart w:id="885" w:name="bookmark885"/>
      <w:bookmarkEnd w:id="885"/>
      <w:r>
        <w:rPr>
          <w:color w:val="000000"/>
          <w:spacing w:val="0"/>
          <w:w w:val="100"/>
          <w:position w:val="0"/>
          <w:sz w:val="20"/>
          <w:szCs w:val="20"/>
        </w:rPr>
        <w:t>.借款费用资本化期间</w:t>
      </w:r>
    </w:p>
    <w:p>
      <w:pPr>
        <w:pStyle w:val="Style41"/>
        <w:keepNext w:val="0"/>
        <w:keepLines w:val="0"/>
        <w:widowControl w:val="0"/>
        <w:numPr>
          <w:ilvl w:val="0"/>
          <w:numId w:val="63"/>
        </w:numPr>
        <w:shd w:val="clear" w:color="auto" w:fill="auto"/>
        <w:tabs>
          <w:tab w:pos="839" w:val="left"/>
        </w:tabs>
        <w:bidi w:val="0"/>
        <w:spacing w:before="0" w:after="0" w:line="313" w:lineRule="exact"/>
        <w:ind w:left="0" w:right="0" w:firstLine="440"/>
        <w:jc w:val="both"/>
        <w:rPr>
          <w:sz w:val="20"/>
          <w:szCs w:val="20"/>
        </w:rPr>
      </w:pPr>
      <w:bookmarkStart w:id="886" w:name="bookmark886"/>
      <w:bookmarkEnd w:id="886"/>
      <w:r>
        <w:rPr>
          <w:color w:val="000000"/>
          <w:spacing w:val="0"/>
          <w:w w:val="100"/>
          <w:position w:val="0"/>
          <w:sz w:val="20"/>
          <w:szCs w:val="20"/>
        </w:rPr>
        <w:t>当同时满足下列条件时，开始资本化：</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资产支出已经发生；</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借款费用已经发生；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为使资产达 到预定可使用或可销售状态所必要的购建或者生产活动已经开始。</w:t>
      </w:r>
    </w:p>
    <w:p>
      <w:pPr>
        <w:pStyle w:val="Style41"/>
        <w:keepNext w:val="0"/>
        <w:keepLines w:val="0"/>
        <w:widowControl w:val="0"/>
        <w:numPr>
          <w:ilvl w:val="0"/>
          <w:numId w:val="63"/>
        </w:numPr>
        <w:shd w:val="clear" w:color="auto" w:fill="auto"/>
        <w:tabs>
          <w:tab w:pos="844" w:val="left"/>
        </w:tabs>
        <w:bidi w:val="0"/>
        <w:spacing w:before="0" w:after="0" w:line="313" w:lineRule="exact"/>
        <w:ind w:left="0" w:right="0" w:firstLine="440"/>
        <w:jc w:val="both"/>
        <w:rPr>
          <w:sz w:val="20"/>
          <w:szCs w:val="20"/>
        </w:rPr>
      </w:pPr>
      <w:bookmarkStart w:id="887" w:name="bookmark887"/>
      <w:bookmarkEnd w:id="887"/>
      <w:r>
        <w:rPr>
          <w:color w:val="000000"/>
          <w:spacing w:val="0"/>
          <w:w w:val="100"/>
          <w:position w:val="0"/>
          <w:sz w:val="20"/>
          <w:szCs w:val="20"/>
        </w:rPr>
        <w:t>暂停资本化：若符合资本化条件的资产在购建或者生产过程中发生非正常中断，并且中断时间连续 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个月，暂停借款费用的资本化；中断期间发生的借款费用确认为当期费用，直至资产的购建或者生 产活动重新开始。该项中断如是所购建或生产的符合资本化条件的资产达到预定可使用状态或者可销售状 态必要的程序，则借款费用继续资本化。</w:t>
      </w:r>
    </w:p>
    <w:p>
      <w:pPr>
        <w:pStyle w:val="Style41"/>
        <w:keepNext w:val="0"/>
        <w:keepLines w:val="0"/>
        <w:widowControl w:val="0"/>
        <w:numPr>
          <w:ilvl w:val="0"/>
          <w:numId w:val="63"/>
        </w:numPr>
        <w:shd w:val="clear" w:color="auto" w:fill="auto"/>
        <w:tabs>
          <w:tab w:pos="844" w:val="left"/>
        </w:tabs>
        <w:bidi w:val="0"/>
        <w:spacing w:before="0" w:after="0" w:line="313" w:lineRule="exact"/>
        <w:ind w:left="0" w:right="0" w:firstLine="440"/>
        <w:jc w:val="both"/>
        <w:rPr>
          <w:sz w:val="20"/>
          <w:szCs w:val="20"/>
        </w:rPr>
      </w:pPr>
      <w:bookmarkStart w:id="888" w:name="bookmark888"/>
      <w:bookmarkEnd w:id="888"/>
      <w:r>
        <w:rPr>
          <w:color w:val="000000"/>
          <w:spacing w:val="0"/>
          <w:w w:val="100"/>
          <w:position w:val="0"/>
          <w:sz w:val="20"/>
          <w:szCs w:val="20"/>
        </w:rPr>
        <w:t>停止资本化：当所购建或者生产符合资本化条件的资产达到预定可使用或者可销售状态时，借款费 用停止资本化。当购建或者生产符合资本化的资产中部分项目分别完工且可单独使用时，该部分资产借款 费用停止资本化。购建或者生产的资产的各部分分别完工，但必须等到整体完工后才可使用或者对外销售 的，在该资产整体完工时停止借款费用资本化。</w:t>
      </w:r>
    </w:p>
    <w:p>
      <w:pPr>
        <w:pStyle w:val="Style41"/>
        <w:keepNext w:val="0"/>
        <w:keepLines w:val="0"/>
        <w:widowControl w:val="0"/>
        <w:numPr>
          <w:ilvl w:val="0"/>
          <w:numId w:val="61"/>
        </w:numPr>
        <w:shd w:val="clear" w:color="auto" w:fill="auto"/>
        <w:tabs>
          <w:tab w:pos="727" w:val="left"/>
        </w:tabs>
        <w:bidi w:val="0"/>
        <w:spacing w:before="0" w:after="0" w:line="313" w:lineRule="exact"/>
        <w:ind w:left="0" w:right="0" w:firstLine="440"/>
        <w:jc w:val="both"/>
        <w:rPr>
          <w:sz w:val="20"/>
          <w:szCs w:val="20"/>
        </w:rPr>
      </w:pPr>
      <w:bookmarkStart w:id="889" w:name="bookmark889"/>
      <w:bookmarkEnd w:id="889"/>
      <w:r>
        <w:rPr>
          <w:color w:val="000000"/>
          <w:spacing w:val="0"/>
          <w:w w:val="100"/>
          <w:position w:val="0"/>
          <w:sz w:val="20"/>
          <w:szCs w:val="20"/>
        </w:rPr>
        <w:t>.借款费用资本化率及资本化金额的计算方法</w:t>
      </w:r>
    </w:p>
    <w:p>
      <w:pPr>
        <w:pStyle w:val="Style41"/>
        <w:keepNext w:val="0"/>
        <w:keepLines w:val="0"/>
        <w:widowControl w:val="0"/>
        <w:shd w:val="clear" w:color="auto" w:fill="auto"/>
        <w:bidi w:val="0"/>
        <w:spacing w:before="0" w:after="680" w:line="313" w:lineRule="exact"/>
        <w:ind w:left="0" w:right="0" w:firstLine="440"/>
        <w:jc w:val="both"/>
        <w:rPr>
          <w:sz w:val="20"/>
          <w:szCs w:val="20"/>
        </w:rPr>
      </w:pPr>
      <w:r>
        <w:rPr>
          <w:color w:val="000000"/>
          <w:spacing w:val="0"/>
          <w:w w:val="100"/>
          <w:position w:val="0"/>
          <w:sz w:val="20"/>
          <w:szCs w:val="2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 按照实际利率法确定的折价或溢价的摊销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，减去将尚未动用的借款资金存入银行取得的利息收入或进行暂 时性投资取得的投资收益后的金额，确定应予资本化的利息金额；为购建或者生产符合资本化条件的资产 占用了一般借款的，根据累计资产支出超过专门借款的资产支出加权平均数乘以占用一般借款的资本化率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加权平均利率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，计算确定一般借款应予资本化的利息金额。在资本化期间内，每一会计期间的利息资本 化金额不超过当期相关借款实际发生的利息金额。外币专门借款本金及利息的汇兑差额，在资本化期间内 予以资本化。专门借款发生的辅助费用，在所购建或生产的符合资本化条件的资产达到预定可使用或者可 销售状态之前发生的，予以资本化；在达到预定可使用或者可销售状态之后发生的，计入当期损益。一般 借款发生的辅助费用，在发生时计入当期损益。借款存在折价或者溢价的，按照实际利率法确定每一会计 期间应摊销的折价或者溢价金额，调整每期利息金额。</w:t>
      </w:r>
    </w:p>
    <w:p>
      <w:pPr>
        <w:pStyle w:val="Style41"/>
        <w:keepNext w:val="0"/>
        <w:keepLines w:val="0"/>
        <w:widowControl w:val="0"/>
        <w:shd w:val="clear" w:color="auto" w:fill="auto"/>
        <w:tabs>
          <w:tab w:pos="521" w:val="left"/>
        </w:tabs>
        <w:bidi w:val="0"/>
        <w:spacing w:before="0" w:line="240" w:lineRule="auto"/>
        <w:ind w:left="0" w:right="0" w:firstLine="0"/>
        <w:jc w:val="left"/>
        <w:rPr>
          <w:sz w:val="20"/>
          <w:szCs w:val="20"/>
        </w:rPr>
      </w:pPr>
      <w:bookmarkStart w:id="890" w:name="bookmark890"/>
      <w:r>
        <w:rPr>
          <w:rFonts w:ascii="Times New Roman" w:eastAsia="Times New Roman" w:hAnsi="Times New Roman" w:cs="Times New Roman"/>
          <w:b/>
          <w:bCs/>
          <w:color w:val="000000"/>
          <w:spacing w:val="0"/>
          <w:w w:val="100"/>
          <w:position w:val="0"/>
          <w:sz w:val="20"/>
          <w:szCs w:val="20"/>
        </w:rPr>
        <w:t>2</w:t>
      </w:r>
      <w:bookmarkEnd w:id="890"/>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生物资产</w:t>
      </w:r>
    </w:p>
    <w:p>
      <w:pPr>
        <w:pStyle w:val="Style41"/>
        <w:keepNext w:val="0"/>
        <w:keepLines w:val="0"/>
        <w:widowControl w:val="0"/>
        <w:shd w:val="clear" w:color="auto" w:fill="auto"/>
        <w:tabs>
          <w:tab w:pos="521" w:val="left"/>
        </w:tabs>
        <w:bidi w:val="0"/>
        <w:spacing w:before="0" w:line="240" w:lineRule="auto"/>
        <w:ind w:left="0" w:right="0" w:firstLine="0"/>
        <w:jc w:val="left"/>
        <w:rPr>
          <w:sz w:val="20"/>
          <w:szCs w:val="20"/>
        </w:rPr>
      </w:pPr>
      <w:bookmarkStart w:id="891" w:name="bookmark891"/>
      <w:r>
        <w:rPr>
          <w:rFonts w:ascii="Times New Roman" w:eastAsia="Times New Roman" w:hAnsi="Times New Roman" w:cs="Times New Roman"/>
          <w:b/>
          <w:bCs/>
          <w:color w:val="000000"/>
          <w:spacing w:val="0"/>
          <w:w w:val="100"/>
          <w:position w:val="0"/>
          <w:sz w:val="20"/>
          <w:szCs w:val="20"/>
        </w:rPr>
        <w:t>2</w:t>
      </w:r>
      <w:bookmarkEnd w:id="891"/>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油气资产</w:t>
      </w:r>
    </w:p>
    <w:p>
      <w:pPr>
        <w:pStyle w:val="Style41"/>
        <w:keepNext w:val="0"/>
        <w:keepLines w:val="0"/>
        <w:widowControl w:val="0"/>
        <w:shd w:val="clear" w:color="auto" w:fill="auto"/>
        <w:tabs>
          <w:tab w:pos="521" w:val="left"/>
        </w:tabs>
        <w:bidi w:val="0"/>
        <w:spacing w:before="0" w:line="240" w:lineRule="auto"/>
        <w:ind w:left="0" w:right="0" w:firstLine="0"/>
        <w:jc w:val="left"/>
        <w:rPr>
          <w:sz w:val="20"/>
          <w:szCs w:val="20"/>
        </w:rPr>
      </w:pPr>
      <w:bookmarkStart w:id="892" w:name="bookmark892"/>
      <w:r>
        <w:rPr>
          <w:rFonts w:ascii="Times New Roman" w:eastAsia="Times New Roman" w:hAnsi="Times New Roman" w:cs="Times New Roman"/>
          <w:b/>
          <w:bCs/>
          <w:color w:val="000000"/>
          <w:spacing w:val="0"/>
          <w:w w:val="100"/>
          <w:position w:val="0"/>
          <w:sz w:val="20"/>
          <w:szCs w:val="20"/>
        </w:rPr>
        <w:t>2</w:t>
      </w:r>
      <w:bookmarkEnd w:id="892"/>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使用权资产</w:t>
      </w:r>
    </w:p>
    <w:p>
      <w:pPr>
        <w:pStyle w:val="Style41"/>
        <w:keepNext w:val="0"/>
        <w:keepLines w:val="0"/>
        <w:widowControl w:val="0"/>
        <w:shd w:val="clear" w:color="auto" w:fill="auto"/>
        <w:tabs>
          <w:tab w:pos="521" w:val="left"/>
        </w:tabs>
        <w:bidi w:val="0"/>
        <w:spacing w:before="0" w:line="240" w:lineRule="auto"/>
        <w:ind w:left="0" w:right="0" w:firstLine="0"/>
        <w:jc w:val="left"/>
        <w:rPr>
          <w:sz w:val="20"/>
          <w:szCs w:val="20"/>
        </w:rPr>
      </w:pPr>
      <w:bookmarkStart w:id="893" w:name="bookmark893"/>
      <w:r>
        <w:rPr>
          <w:rFonts w:ascii="Times New Roman" w:eastAsia="Times New Roman" w:hAnsi="Times New Roman" w:cs="Times New Roman"/>
          <w:b/>
          <w:bCs/>
          <w:color w:val="000000"/>
          <w:spacing w:val="0"/>
          <w:w w:val="100"/>
          <w:position w:val="0"/>
          <w:sz w:val="20"/>
          <w:szCs w:val="20"/>
        </w:rPr>
        <w:t>3</w:t>
      </w:r>
      <w:bookmarkEnd w:id="893"/>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无形资产</w:t>
      </w:r>
    </w:p>
    <w:p>
      <w:pPr>
        <w:pStyle w:val="Style41"/>
        <w:keepNext w:val="0"/>
        <w:keepLines w:val="0"/>
        <w:widowControl w:val="0"/>
        <w:numPr>
          <w:ilvl w:val="0"/>
          <w:numId w:val="65"/>
        </w:numPr>
        <w:shd w:val="clear" w:color="auto" w:fill="auto"/>
        <w:bidi w:val="0"/>
        <w:spacing w:before="0" w:line="240" w:lineRule="auto"/>
        <w:ind w:left="0" w:right="0" w:firstLine="0"/>
        <w:jc w:val="left"/>
        <w:rPr>
          <w:sz w:val="20"/>
          <w:szCs w:val="20"/>
        </w:rPr>
      </w:pPr>
      <w:bookmarkStart w:id="894" w:name="bookmark894"/>
      <w:bookmarkEnd w:id="894"/>
      <w:r>
        <w:rPr>
          <w:b/>
          <w:bCs/>
          <w:color w:val="000000"/>
          <w:spacing w:val="0"/>
          <w:w w:val="100"/>
          <w:position w:val="0"/>
          <w:sz w:val="20"/>
          <w:szCs w:val="20"/>
        </w:rPr>
        <w:t>计价方法、使用寿命、减值测试</w:t>
      </w:r>
    </w:p>
    <w:p>
      <w:pPr>
        <w:pStyle w:val="Style41"/>
        <w:keepNext w:val="0"/>
        <w:keepLines w:val="0"/>
        <w:widowControl w:val="0"/>
        <w:shd w:val="clear" w:color="auto" w:fill="auto"/>
        <w:bidi w:val="0"/>
        <w:spacing w:before="0" w:after="28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.无形资产的初始计量</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无形资产按成本进行初始计量。外购无形资产的成本，包括购买价、相关税费以及直接归属于该项资 产达到预定用途所发生的其他支出。购买无形资产的价款超过正常信用条件延期支付，实质上具有融资性 质的，无形资产的成本以购买价款的现值为基础确定。债务重组取得债务人用以抵债的无形资产，以放弃 债权的公允价值和可直接归属于使该资产达到预定用途所发生的税金等其他成本为基础确定其入账价值。 在非货币性资产交换具备商业实质且换入或换出资产的公允价值能够可靠计量的前提下，非货币性资产交 换换入的无形资产以换出资产的公允价值和应支付的相关税费作为换入无形资产的成本，除非有确凿证据 表明换入资产的公允价值更可靠；不满足上述前提的非货币性资产交换，以换出资产的账面价值和应支付 的相关税费作为换入无形资产的成本，不确认损益。</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与无形资产有关的支出，如果相关的经济利益很可能流入本公司且成本能可靠地计量，则计入无形资 产成本。除此之外的其他项目的支出，在发生时计入当期损益。</w:t>
      </w:r>
    </w:p>
    <w:p>
      <w:pPr>
        <w:pStyle w:val="Style41"/>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取得的土地使用权通常作为无形资产核算。自行开发构建厂房等建筑物，相关的土地使用权支出和建 筑物建造成本分别作为无形资产和固定资产核算。如为外购的房屋及建筑物，则将有关价款在土地使用权 和建筑物之间分配，难以合理分配的，全部作为固定资产处理。</w:t>
      </w:r>
    </w:p>
    <w:p>
      <w:pPr>
        <w:pStyle w:val="Style41"/>
        <w:keepNext w:val="0"/>
        <w:keepLines w:val="0"/>
        <w:widowControl w:val="0"/>
        <w:numPr>
          <w:ilvl w:val="0"/>
          <w:numId w:val="43"/>
        </w:numPr>
        <w:shd w:val="clear" w:color="auto" w:fill="auto"/>
        <w:tabs>
          <w:tab w:pos="671" w:val="left"/>
        </w:tabs>
        <w:bidi w:val="0"/>
        <w:spacing w:before="0" w:after="0" w:line="326" w:lineRule="auto"/>
        <w:ind w:left="0" w:right="0" w:firstLine="440"/>
        <w:jc w:val="both"/>
        <w:rPr>
          <w:sz w:val="20"/>
          <w:szCs w:val="20"/>
        </w:rPr>
      </w:pPr>
      <w:bookmarkStart w:id="895" w:name="bookmark895"/>
      <w:bookmarkEnd w:id="895"/>
      <w:r>
        <w:rPr>
          <w:color w:val="000000"/>
          <w:spacing w:val="0"/>
          <w:w w:val="100"/>
          <w:position w:val="0"/>
          <w:sz w:val="20"/>
          <w:szCs w:val="20"/>
        </w:rPr>
        <w:t>.无形资产使用寿命及摊销</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根据无形资产的合同性权利或其他法定权利、同行业情况、历史经验、相关专家论证等综合因素判断， 能合理确定无形资产为公司带来经济利益期限的，作为使用寿命有限的无形资产；无法合理确定无形资产 为公司带来经济利益期限的，视为使用寿命不确定的无形资产。</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对使用寿命有限的无形资产，估计其使用寿命时通常考虑以下因素：</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运用该资产生产的产品通常的 寿命周期、可获得的类似资产使用寿命的信息；</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技术、工艺等方面的现阶段情况及对未来发展趋势的估 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以该资产生产的产品或提供劳务的市场需求情况；</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现在或潜在的竞争者预期采取的行动；</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为 维持该资产带来经济利益能力的预期维护支出，以及公司预计支付有关支出的能力；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对该资产控制期限 的相关法律规定或类似限制，如特许使用期、租赁期等；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与公司持有其他资产使用寿命的关联性等。使 用寿命有限的无形资产的使用寿命估计情况</w:t>
      </w:r>
      <w:r>
        <w:rPr>
          <w:color w:val="000000"/>
          <w:spacing w:val="0"/>
          <w:w w:val="100"/>
          <w:position w:val="0"/>
          <w:sz w:val="20"/>
          <w:szCs w:val="20"/>
        </w:rPr>
        <w:t>：</w:t>
      </w:r>
    </w:p>
    <w:tbl>
      <w:tblPr>
        <w:tblOverlap w:val="never"/>
        <w:jc w:val="left"/>
        <w:tblLayout w:type="fixed"/>
      </w:tblPr>
      <w:tblGrid>
        <w:gridCol w:w="2822"/>
        <w:gridCol w:w="2462"/>
        <w:gridCol w:w="3274"/>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预计使用寿命依据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专用软件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bl>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使用寿命有限的无形资产，在使用寿命内按照与该项无形资产有关的经济利益的预期实现方式系统合 理地摊销，无法可靠确定预期实现方式的，采用直线法摊销。使用寿命不确定的无形资产不予摊销，但每 年均对该无形资产的使用寿命进行复核，并进行减值测试。</w:t>
      </w:r>
    </w:p>
    <w:p>
      <w:pPr>
        <w:pStyle w:val="Style41"/>
        <w:keepNext w:val="0"/>
        <w:keepLines w:val="0"/>
        <w:widowControl w:val="0"/>
        <w:shd w:val="clear" w:color="auto" w:fill="auto"/>
        <w:bidi w:val="0"/>
        <w:spacing w:before="0" w:after="680" w:line="313" w:lineRule="exact"/>
        <w:ind w:left="0" w:right="0" w:firstLine="440"/>
        <w:jc w:val="both"/>
        <w:rPr>
          <w:sz w:val="20"/>
          <w:szCs w:val="20"/>
        </w:rPr>
      </w:pPr>
      <w:r>
        <w:rPr>
          <w:color w:val="000000"/>
          <w:spacing w:val="0"/>
          <w:w w:val="100"/>
          <w:position w:val="0"/>
          <w:sz w:val="20"/>
          <w:szCs w:val="20"/>
        </w:rPr>
        <w:t>本公司于每年年度终了，对使用寿命有限的无形资产的使用寿命及摊销方法进行复核，与以前估计不 同的，调整原先估计数，并按会计估计变更处理；预计某项无形资产已经不能给企业带来未来经济利益的， 将该项无形资产的账面价值全部转入当期损益。</w:t>
      </w:r>
    </w:p>
    <w:p>
      <w:pPr>
        <w:pStyle w:val="Style32"/>
        <w:keepNext/>
        <w:keepLines/>
        <w:widowControl w:val="0"/>
        <w:shd w:val="clear" w:color="auto" w:fill="auto"/>
        <w:bidi w:val="0"/>
        <w:spacing w:before="0" w:after="60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6"/>
      <w:bookmarkEnd w:id="897"/>
      <w:bookmarkEnd w:id="899"/>
    </w:p>
    <w:p>
      <w:pPr>
        <w:pStyle w:val="Style41"/>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内部研究开发项目的支出，区分为研究阶段支出和开发阶段支出。划分研究阶段和开发阶段的标准： 为获取新的技术和知识等进行的有计划的调查阶段，应确定为研究阶段，该阶段具有计划性和探索性等特 点；在进行商业性生产或使用前，将研究成果或其他知识应用于某项计划或设计，以生产出新的或具有实 质性改进的材料、装置、产品等阶段，应确定为开发阶段，该阶段具有针对性和形成成果的可能性较大等 特点。</w:t>
      </w:r>
    </w:p>
    <w:p>
      <w:pPr>
        <w:pStyle w:val="Style41"/>
        <w:keepNext w:val="0"/>
        <w:keepLines w:val="0"/>
        <w:widowControl w:val="0"/>
        <w:shd w:val="clear" w:color="auto" w:fill="auto"/>
        <w:bidi w:val="0"/>
        <w:spacing w:before="0" w:after="600" w:line="310" w:lineRule="exact"/>
        <w:ind w:left="0" w:right="0" w:firstLine="440"/>
        <w:jc w:val="both"/>
        <w:rPr>
          <w:sz w:val="20"/>
          <w:szCs w:val="20"/>
        </w:rPr>
      </w:pPr>
      <w:r>
        <w:rPr>
          <w:color w:val="000000"/>
          <w:spacing w:val="0"/>
          <w:w w:val="100"/>
          <w:position w:val="0"/>
          <w:sz w:val="20"/>
          <w:szCs w:val="20"/>
        </w:rPr>
        <w:t>内部研究开发项目研究阶段的支出，于发生时计入当期损益。内部研究开发项目开发阶段的支出，同 时满足下列条件的，确认为无形资产：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完成该无形资产以使其能够使用或出售在技术上具有可行性；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具有完成该无形资产并使用或出售的意图；</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无形资产产生经济利益的方式，包括能够证明运用该无形资 产生产的产品存在市场或无形资产自身存在市场，无形资产将在内部使用的，可证明其有用性；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有足够 的技术、财务资源和其他资源支持，以完成该无形资产的开发，并有能力使用或出售该无形资产；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归属 于该无形资产开发阶段的支出能够可靠地计量。如不满足上述条件的，于发生时计入当期损益；无法区分 研究阶段支出和开发阶段支出的，将发生的研发支出全部计入当期损益。</w:t>
      </w:r>
    </w:p>
    <w:p>
      <w:pPr>
        <w:pStyle w:val="Style32"/>
        <w:keepNext/>
        <w:keepLines/>
        <w:widowControl w:val="0"/>
        <w:shd w:val="clear" w:color="auto" w:fill="auto"/>
        <w:tabs>
          <w:tab w:pos="464" w:val="left"/>
        </w:tabs>
        <w:bidi w:val="0"/>
        <w:spacing w:before="0" w:after="280" w:line="315" w:lineRule="exact"/>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00"/>
      <w:bookmarkEnd w:id="901"/>
      <w:bookmarkEnd w:id="903"/>
    </w:p>
    <w:p>
      <w:pPr>
        <w:pStyle w:val="Style4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长期股权投资、固定资产、使用权资产、无形资产、商誉等长期资产，存在下列迹象的，表明资产可 能发生了减值：</w:t>
      </w:r>
    </w:p>
    <w:p>
      <w:pPr>
        <w:pStyle w:val="Style41"/>
        <w:keepNext w:val="0"/>
        <w:keepLines w:val="0"/>
        <w:widowControl w:val="0"/>
        <w:shd w:val="clear" w:color="auto" w:fill="auto"/>
        <w:bidi w:val="0"/>
        <w:spacing w:before="0" w:after="0" w:line="315"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.资产的市价当期大幅度下跌，其跌幅明显高于因时间的推移或者正常使用而预计的下跌；</w:t>
      </w:r>
    </w:p>
    <w:p>
      <w:pPr>
        <w:pStyle w:val="Style41"/>
        <w:keepNext w:val="0"/>
        <w:keepLines w:val="0"/>
        <w:widowControl w:val="0"/>
        <w:numPr>
          <w:ilvl w:val="0"/>
          <w:numId w:val="67"/>
        </w:numPr>
        <w:shd w:val="clear" w:color="auto" w:fill="auto"/>
        <w:bidi w:val="0"/>
        <w:spacing w:before="0" w:after="0" w:line="315" w:lineRule="exact"/>
        <w:ind w:left="0" w:right="0" w:firstLine="440"/>
        <w:jc w:val="both"/>
        <w:rPr>
          <w:sz w:val="20"/>
          <w:szCs w:val="20"/>
        </w:rPr>
      </w:pPr>
      <w:bookmarkStart w:id="904" w:name="bookmark904"/>
      <w:bookmarkEnd w:id="904"/>
      <w:r>
        <w:rPr>
          <w:color w:val="000000"/>
          <w:spacing w:val="0"/>
          <w:w w:val="100"/>
          <w:position w:val="0"/>
          <w:sz w:val="20"/>
          <w:szCs w:val="20"/>
        </w:rPr>
        <w:t>企业经营所处的经济、技术或者法律等环境以及资产所处的市场在当期或者将在近期发生重大变 化，从而对企业产生不利影响；</w:t>
      </w:r>
    </w:p>
    <w:p>
      <w:pPr>
        <w:pStyle w:val="Style41"/>
        <w:keepNext w:val="0"/>
        <w:keepLines w:val="0"/>
        <w:widowControl w:val="0"/>
        <w:numPr>
          <w:ilvl w:val="0"/>
          <w:numId w:val="43"/>
        </w:numPr>
        <w:shd w:val="clear" w:color="auto" w:fill="auto"/>
        <w:tabs>
          <w:tab w:pos="680" w:val="left"/>
        </w:tabs>
        <w:bidi w:val="0"/>
        <w:spacing w:before="0" w:after="0" w:line="315" w:lineRule="exact"/>
        <w:ind w:left="0" w:right="0" w:firstLine="440"/>
        <w:jc w:val="both"/>
        <w:rPr>
          <w:sz w:val="20"/>
          <w:szCs w:val="20"/>
        </w:rPr>
      </w:pPr>
      <w:bookmarkStart w:id="905" w:name="bookmark905"/>
      <w:bookmarkEnd w:id="905"/>
      <w:r>
        <w:rPr>
          <w:color w:val="000000"/>
          <w:spacing w:val="0"/>
          <w:w w:val="100"/>
          <w:position w:val="0"/>
          <w:sz w:val="20"/>
          <w:szCs w:val="20"/>
        </w:rPr>
        <w:t>.市场利率或者其他市场投资报酬率在当期已经提高，从而影响企业计算资产预计未来现金流量现 值的折现率，导致资产可收回金额大幅度降低；</w:t>
      </w:r>
    </w:p>
    <w:p>
      <w:pPr>
        <w:pStyle w:val="Style41"/>
        <w:keepNext w:val="0"/>
        <w:keepLines w:val="0"/>
        <w:widowControl w:val="0"/>
        <w:numPr>
          <w:ilvl w:val="0"/>
          <w:numId w:val="45"/>
        </w:numPr>
        <w:shd w:val="clear" w:color="auto" w:fill="auto"/>
        <w:bidi w:val="0"/>
        <w:spacing w:before="0" w:after="0" w:line="315" w:lineRule="exact"/>
        <w:ind w:left="0" w:right="0" w:firstLine="440"/>
        <w:jc w:val="left"/>
        <w:rPr>
          <w:sz w:val="20"/>
          <w:szCs w:val="20"/>
        </w:rPr>
      </w:pPr>
      <w:bookmarkStart w:id="906" w:name="bookmark906"/>
      <w:bookmarkEnd w:id="906"/>
      <w:r>
        <w:rPr>
          <w:color w:val="000000"/>
          <w:spacing w:val="0"/>
          <w:w w:val="100"/>
          <w:position w:val="0"/>
          <w:sz w:val="20"/>
          <w:szCs w:val="20"/>
        </w:rPr>
        <w:t>有证据表明资产已经陈旧过时或者其实体已经损坏；</w:t>
      </w:r>
    </w:p>
    <w:p>
      <w:pPr>
        <w:pStyle w:val="Style41"/>
        <w:keepNext w:val="0"/>
        <w:keepLines w:val="0"/>
        <w:widowControl w:val="0"/>
        <w:shd w:val="clear" w:color="auto" w:fill="auto"/>
        <w:bidi w:val="0"/>
        <w:spacing w:before="0" w:after="0" w:line="315" w:lineRule="exact"/>
        <w:ind w:left="0" w:right="0" w:firstLine="440"/>
        <w:jc w:val="left"/>
        <w:rPr>
          <w:sz w:val="20"/>
          <w:szCs w:val="20"/>
        </w:rPr>
      </w:pPr>
      <w:bookmarkStart w:id="907" w:name="bookmark907"/>
      <w:r>
        <w:rPr>
          <w:rFonts w:ascii="Times New Roman" w:eastAsia="Times New Roman" w:hAnsi="Times New Roman" w:cs="Times New Roman"/>
          <w:color w:val="000000"/>
          <w:spacing w:val="0"/>
          <w:w w:val="100"/>
          <w:position w:val="0"/>
          <w:sz w:val="20"/>
          <w:szCs w:val="20"/>
        </w:rPr>
        <w:t>5</w:t>
      </w:r>
      <w:bookmarkEnd w:id="907"/>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.资产已经或者将被闲置、终止使用或者计划提前处置；</w:t>
      </w:r>
    </w:p>
    <w:p>
      <w:pPr>
        <w:pStyle w:val="Style41"/>
        <w:keepNext w:val="0"/>
        <w:keepLines w:val="0"/>
        <w:widowControl w:val="0"/>
        <w:numPr>
          <w:ilvl w:val="0"/>
          <w:numId w:val="31"/>
        </w:numPr>
        <w:shd w:val="clear" w:color="auto" w:fill="auto"/>
        <w:tabs>
          <w:tab w:pos="757" w:val="left"/>
        </w:tabs>
        <w:bidi w:val="0"/>
        <w:spacing w:before="0" w:after="0" w:line="315" w:lineRule="exact"/>
        <w:ind w:left="0" w:right="0" w:firstLine="440"/>
        <w:jc w:val="both"/>
        <w:rPr>
          <w:sz w:val="20"/>
          <w:szCs w:val="20"/>
        </w:rPr>
      </w:pPr>
      <w:bookmarkStart w:id="908" w:name="bookmark908"/>
      <w:bookmarkEnd w:id="908"/>
      <w:r>
        <w:rPr>
          <w:color w:val="000000"/>
          <w:spacing w:val="0"/>
          <w:w w:val="100"/>
          <w:position w:val="0"/>
          <w:sz w:val="20"/>
          <w:szCs w:val="20"/>
        </w:rPr>
        <w:t>企业内部报告的证据表明资产的经济绩效已经低于或者将低于预期，如资产所创造的净现金流量 或者实现的营业利润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或者亏损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远远低于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或者高于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预计金额等；</w:t>
      </w:r>
    </w:p>
    <w:p>
      <w:pPr>
        <w:pStyle w:val="Style41"/>
        <w:keepNext w:val="0"/>
        <w:keepLines w:val="0"/>
        <w:widowControl w:val="0"/>
        <w:numPr>
          <w:ilvl w:val="0"/>
          <w:numId w:val="31"/>
        </w:numPr>
        <w:shd w:val="clear" w:color="auto" w:fill="auto"/>
        <w:tabs>
          <w:tab w:pos="774" w:val="left"/>
        </w:tabs>
        <w:bidi w:val="0"/>
        <w:spacing w:before="0" w:after="0" w:line="315" w:lineRule="exact"/>
        <w:ind w:left="0" w:right="0" w:firstLine="440"/>
        <w:jc w:val="both"/>
        <w:rPr>
          <w:sz w:val="20"/>
          <w:szCs w:val="20"/>
        </w:rPr>
      </w:pPr>
      <w:bookmarkStart w:id="909" w:name="bookmark909"/>
      <w:bookmarkEnd w:id="909"/>
      <w:r>
        <w:rPr>
          <w:color w:val="000000"/>
          <w:spacing w:val="0"/>
          <w:w w:val="100"/>
          <w:position w:val="0"/>
          <w:sz w:val="20"/>
          <w:szCs w:val="20"/>
        </w:rPr>
        <w:t>其他表明资产可能已经发生减值的迹象。</w:t>
      </w:r>
    </w:p>
    <w:p>
      <w:pPr>
        <w:pStyle w:val="Style4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上述长期资产于资产负债表日存在减值迹象的，应当进行减值测试。减值测试结果表明资产的可收回 金额低于其账面价值的，按其差额计提减值准备并计入减值损失。可收回金额为资产的公允价值减去处置 费用后的净额与资产预计未来现金流量的现值两者之间的较高者。公允价值的确定方法详见本附注三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 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；处置费用包括与资产处置有关的法律费用、相关税费、搬运费以及为使资产达到可销售状态所发生的 直接费用；资产预计未来现金流量的现值，按照资产在持续使用过程中和最终处置时所产生的预计未来现 金流量，选择恰当的折现率对其进行折现后的金额加以确定。</w:t>
      </w:r>
    </w:p>
    <w:p>
      <w:pPr>
        <w:pStyle w:val="Style4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资产减值准备按单项资产为基础计算并确认，如果难以对单项资产的可收回金额进行估计的，以资产 组所属的资产组确定资产组的可收回金额。资产组是能够独立产生现金流入的最小资产组合。</w:t>
      </w:r>
    </w:p>
    <w:p>
      <w:pPr>
        <w:pStyle w:val="Style4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在财务报表中单独列示的商誉，在进行减值测试时，将商誉的账面价值分摊至预期从企业合并的协同 效应收益中受益的资产组或资产组组合。测试结果表明包含分摊的商誉的资产组或者资产组组合的可收回 金额低于其账面价值的，确认相应的减值损失。减值损失金额先抵减分摊至该资产组或者资产组组合的商 誉的账面价值，再根据资产组或者资产组组合中除商誉以外的其他各项资产的账面价值所占比重，按比例 抵减其他各项资产的账面价值。</w:t>
      </w:r>
    </w:p>
    <w:p>
      <w:pPr>
        <w:pStyle w:val="Style41"/>
        <w:keepNext w:val="0"/>
        <w:keepLines w:val="0"/>
        <w:widowControl w:val="0"/>
        <w:shd w:val="clear" w:color="auto" w:fill="auto"/>
        <w:bidi w:val="0"/>
        <w:spacing w:before="0" w:after="0" w:line="315" w:lineRule="exact"/>
        <w:ind w:left="0" w:right="0" w:firstLine="440"/>
        <w:jc w:val="left"/>
        <w:rPr>
          <w:sz w:val="20"/>
          <w:szCs w:val="20"/>
        </w:rPr>
      </w:pPr>
      <w:r>
        <w:rPr>
          <w:color w:val="000000"/>
          <w:spacing w:val="0"/>
          <w:w w:val="100"/>
          <w:position w:val="0"/>
          <w:sz w:val="20"/>
          <w:szCs w:val="20"/>
        </w:rPr>
        <w:t>商誉和使用寿命不确定的无形资产至少在每年年终终了进行减值测试。</w:t>
      </w:r>
    </w:p>
    <w:p>
      <w:pPr>
        <w:pStyle w:val="Style41"/>
        <w:keepNext w:val="0"/>
        <w:keepLines w:val="0"/>
        <w:widowControl w:val="0"/>
        <w:shd w:val="clear" w:color="auto" w:fill="auto"/>
        <w:bidi w:val="0"/>
        <w:spacing w:before="0" w:after="280" w:line="315" w:lineRule="exact"/>
        <w:ind w:left="0" w:right="0" w:firstLine="440"/>
        <w:jc w:val="left"/>
        <w:rPr>
          <w:sz w:val="20"/>
          <w:szCs w:val="20"/>
        </w:rPr>
      </w:pPr>
      <w:r>
        <w:rPr>
          <w:color w:val="000000"/>
          <w:spacing w:val="0"/>
          <w:w w:val="100"/>
          <w:position w:val="0"/>
          <w:sz w:val="20"/>
          <w:szCs w:val="20"/>
        </w:rPr>
        <w:t>上述资产减值损失一经确认，在以后期间不予转回。</w:t>
      </w:r>
    </w:p>
    <w:p>
      <w:pPr>
        <w:pStyle w:val="Style32"/>
        <w:keepNext/>
        <w:keepLines/>
        <w:widowControl w:val="0"/>
        <w:shd w:val="clear" w:color="auto" w:fill="auto"/>
        <w:tabs>
          <w:tab w:pos="464" w:val="left"/>
        </w:tabs>
        <w:bidi w:val="0"/>
        <w:spacing w:before="0" w:after="280" w:line="315" w:lineRule="exact"/>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10"/>
      <w:bookmarkEnd w:id="911"/>
      <w:bookmarkEnd w:id="913"/>
    </w:p>
    <w:p>
      <w:pPr>
        <w:pStyle w:val="Style41"/>
        <w:keepNext w:val="0"/>
        <w:keepLines w:val="0"/>
        <w:widowControl w:val="0"/>
        <w:shd w:val="clear" w:color="auto" w:fill="auto"/>
        <w:bidi w:val="0"/>
        <w:spacing w:before="0" w:after="280" w:line="307" w:lineRule="exact"/>
        <w:ind w:left="0" w:right="0" w:firstLine="440"/>
        <w:jc w:val="both"/>
        <w:rPr>
          <w:sz w:val="20"/>
          <w:szCs w:val="20"/>
        </w:rPr>
      </w:pPr>
      <w:r>
        <w:rPr>
          <w:color w:val="000000"/>
          <w:spacing w:val="0"/>
          <w:w w:val="100"/>
          <w:position w:val="0"/>
          <w:sz w:val="20"/>
          <w:szCs w:val="20"/>
        </w:rPr>
        <w:t>长期待摊费用按实际支出入账，在受益期或规定的期限内平均摊销。如果长期待摊的费用项目不能使 以后会计期间受益，则将尚未摊销的该项目的摊余价值全部转入当期损益。摊销年限为</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年。</w:t>
      </w:r>
    </w:p>
    <w:p>
      <w:pPr>
        <w:pStyle w:val="Style32"/>
        <w:keepNext/>
        <w:keepLines/>
        <w:widowControl w:val="0"/>
        <w:shd w:val="clear" w:color="auto" w:fill="auto"/>
        <w:bidi w:val="0"/>
        <w:spacing w:before="0" w:after="280" w:line="312" w:lineRule="exact"/>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14"/>
      <w:bookmarkEnd w:id="915"/>
      <w:bookmarkEnd w:id="917"/>
    </w:p>
    <w:p>
      <w:pPr>
        <w:pStyle w:val="Style41"/>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合同负债是指公司已收或应收客户对价而应向客户转让商品的义务。公司将同一合同下的合同资产和 合同负债相互抵销后以净额列示。</w:t>
      </w:r>
    </w:p>
    <w:p>
      <w:pPr>
        <w:pStyle w:val="Style32"/>
        <w:keepNext/>
        <w:keepLines/>
        <w:widowControl w:val="0"/>
        <w:shd w:val="clear" w:color="auto" w:fill="auto"/>
        <w:bidi w:val="0"/>
        <w:spacing w:before="0" w:after="280" w:line="313" w:lineRule="exact"/>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18"/>
      <w:bookmarkEnd w:id="919"/>
      <w:bookmarkEnd w:id="921"/>
    </w:p>
    <w:p>
      <w:pPr>
        <w:pStyle w:val="Style32"/>
        <w:keepNext/>
        <w:keepLines/>
        <w:widowControl w:val="0"/>
        <w:shd w:val="clear" w:color="auto" w:fill="auto"/>
        <w:tabs>
          <w:tab w:pos="493" w:val="left"/>
        </w:tabs>
        <w:bidi w:val="0"/>
        <w:spacing w:before="0" w:after="280" w:line="313" w:lineRule="exact"/>
        <w:ind w:left="0" w:right="0" w:firstLine="0"/>
        <w:jc w:val="left"/>
      </w:pPr>
      <w:bookmarkStart w:id="918" w:name="bookmark918"/>
      <w:bookmarkStart w:id="919" w:name="bookmark919"/>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8"/>
      <w:bookmarkEnd w:id="919"/>
      <w:bookmarkEnd w:id="923"/>
    </w:p>
    <w:p>
      <w:pPr>
        <w:pStyle w:val="Style41"/>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本公司在职工提供服务的会计期间，将实际发生的职工工资、奖金、按规定的基准和比例为职工缴纳 的医疗保险费、工伤保险费和生育保险费等社会保险费和住房公积金，确认为负债，并计入当期损益或相 关资产成本。职工福利费为非货币性福利的，如能够可靠计量的，按照公允价值计量。如果该负债预期在 职工提供相关服务的年度报告期结束后十二个月内不能完全支付，且财务影响重大的，则该负债将以折现 后的金额计量。</w:t>
      </w:r>
    </w:p>
    <w:p>
      <w:pPr>
        <w:pStyle w:val="Style32"/>
        <w:keepNext/>
        <w:keepLines/>
        <w:widowControl w:val="0"/>
        <w:shd w:val="clear" w:color="auto" w:fill="auto"/>
        <w:tabs>
          <w:tab w:pos="493" w:val="left"/>
        </w:tabs>
        <w:bidi w:val="0"/>
        <w:spacing w:before="0" w:after="280" w:line="313" w:lineRule="exact"/>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4"/>
      <w:bookmarkEnd w:id="925"/>
      <w:bookmarkEnd w:id="927"/>
    </w:p>
    <w:p>
      <w:pPr>
        <w:pStyle w:val="Style41"/>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离职后福利计划包括设定提存计划和设定受益计划。其中，设定提存计划，是指向独立的基金缴存固 定费用后，企业不再承担进一步支付义务的离职后福利计划。</w:t>
      </w:r>
    </w:p>
    <w:p>
      <w:pPr>
        <w:pStyle w:val="Style41"/>
        <w:keepNext w:val="0"/>
        <w:keepLines w:val="0"/>
        <w:widowControl w:val="0"/>
        <w:shd w:val="clear" w:color="auto" w:fill="auto"/>
        <w:bidi w:val="0"/>
        <w:spacing w:before="0" w:after="600" w:line="314" w:lineRule="exact"/>
        <w:ind w:left="0" w:right="0" w:firstLine="440"/>
        <w:jc w:val="both"/>
        <w:rPr>
          <w:sz w:val="20"/>
          <w:szCs w:val="20"/>
        </w:rPr>
      </w:pPr>
      <w:r>
        <w:rPr>
          <w:color w:val="000000"/>
          <w:spacing w:val="0"/>
          <w:w w:val="100"/>
          <w:position w:val="0"/>
          <w:sz w:val="20"/>
          <w:szCs w:val="20"/>
        </w:rPr>
        <w:t>本公司按当期政府的相关规定为职工缴纳基本养老保险和失业保险，在职工为本公司提供服务的会计 期间，根据设定提存计划计算的应缴存金额确认为负债，并计入当期损益或相关资产成本。</w:t>
      </w:r>
    </w:p>
    <w:p>
      <w:pPr>
        <w:pStyle w:val="Style32"/>
        <w:keepNext/>
        <w:keepLines/>
        <w:widowControl w:val="0"/>
        <w:shd w:val="clear" w:color="auto" w:fill="auto"/>
        <w:bidi w:val="0"/>
        <w:spacing w:before="0" w:after="280" w:line="326" w:lineRule="exact"/>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28"/>
      <w:bookmarkEnd w:id="929"/>
      <w:bookmarkEnd w:id="931"/>
    </w:p>
    <w:p>
      <w:pPr>
        <w:pStyle w:val="Style41"/>
        <w:keepNext w:val="0"/>
        <w:keepLines w:val="0"/>
        <w:widowControl w:val="0"/>
        <w:shd w:val="clear" w:color="auto" w:fill="auto"/>
        <w:bidi w:val="0"/>
        <w:spacing w:before="0" w:after="600" w:line="326" w:lineRule="exact"/>
        <w:ind w:left="0" w:right="0" w:firstLine="440"/>
        <w:jc w:val="both"/>
        <w:rPr>
          <w:sz w:val="20"/>
          <w:szCs w:val="20"/>
        </w:rPr>
      </w:pPr>
      <w:r>
        <w:rPr>
          <w:color w:val="000000"/>
          <w:spacing w:val="0"/>
          <w:w w:val="100"/>
          <w:position w:val="0"/>
          <w:sz w:val="20"/>
          <w:szCs w:val="20"/>
        </w:rPr>
        <w:t>在本公司不能单方面撤回因解除劳动关系计划或者裁减建议所提供的辞退福利时，和本公司确认与涉 及支付辞退福利的重组相关的成本或费用时两者孰早日，确认辞退福利产生的职工薪酬负债，并计入当期 损益。但辞退福利预期在年度报告期结束后十二个月不能完全支付的，按照其他长期职工薪酬处理。</w:t>
      </w:r>
    </w:p>
    <w:p>
      <w:pPr>
        <w:pStyle w:val="Style32"/>
        <w:keepNext/>
        <w:keepLines/>
        <w:widowControl w:val="0"/>
        <w:shd w:val="clear" w:color="auto" w:fill="auto"/>
        <w:bidi w:val="0"/>
        <w:spacing w:before="0" w:after="280" w:line="312" w:lineRule="exact"/>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32"/>
      <w:bookmarkEnd w:id="933"/>
      <w:bookmarkEnd w:id="935"/>
    </w:p>
    <w:p>
      <w:pPr>
        <w:pStyle w:val="Style41"/>
        <w:keepNext w:val="0"/>
        <w:keepLines w:val="0"/>
        <w:widowControl w:val="0"/>
        <w:shd w:val="clear" w:color="auto" w:fill="auto"/>
        <w:bidi w:val="0"/>
        <w:spacing w:before="0" w:after="660" w:line="312" w:lineRule="exact"/>
        <w:ind w:left="0" w:right="0" w:firstLine="440"/>
        <w:jc w:val="both"/>
        <w:rPr>
          <w:sz w:val="20"/>
          <w:szCs w:val="20"/>
        </w:rPr>
      </w:pPr>
      <w:r>
        <w:rPr>
          <w:color w:val="000000"/>
          <w:spacing w:val="0"/>
          <w:w w:val="100"/>
          <w:position w:val="0"/>
          <w:sz w:val="20"/>
          <w:szCs w:val="20"/>
        </w:rPr>
        <w:t>职工内部退休计划采用与上述辞退福利相同的原则处理。本公司将自职工停止提供服务日至正常退休 日的期间拟支付的内退人员工资和缴纳的社会保险费等，在符合预计负债确认条件时，计入当期损益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辞退 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。正式退休日期之后的经济补偿</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如正常养老退休金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，按照离职后福利处理。</w:t>
      </w:r>
    </w:p>
    <w:p>
      <w:pPr>
        <w:pStyle w:val="Style41"/>
        <w:keepNext w:val="0"/>
        <w:keepLines w:val="0"/>
        <w:widowControl w:val="0"/>
        <w:shd w:val="clear" w:color="auto" w:fill="auto"/>
        <w:tabs>
          <w:tab w:pos="483" w:val="left"/>
        </w:tabs>
        <w:bidi w:val="0"/>
        <w:spacing w:before="0" w:line="240" w:lineRule="auto"/>
        <w:ind w:left="0" w:right="0" w:firstLine="0"/>
        <w:jc w:val="both"/>
        <w:rPr>
          <w:sz w:val="20"/>
          <w:szCs w:val="20"/>
        </w:rPr>
      </w:pPr>
      <w:bookmarkStart w:id="936" w:name="bookmark936"/>
      <w:r>
        <w:rPr>
          <w:rFonts w:ascii="Times New Roman" w:eastAsia="Times New Roman" w:hAnsi="Times New Roman" w:cs="Times New Roman"/>
          <w:b/>
          <w:bCs/>
          <w:color w:val="000000"/>
          <w:spacing w:val="0"/>
          <w:w w:val="100"/>
          <w:position w:val="0"/>
          <w:sz w:val="20"/>
          <w:szCs w:val="20"/>
        </w:rPr>
        <w:t>3</w:t>
      </w:r>
      <w:bookmarkEnd w:id="93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租赁负债</w:t>
      </w:r>
    </w:p>
    <w:p>
      <w:pPr>
        <w:pStyle w:val="Style41"/>
        <w:keepNext w:val="0"/>
        <w:keepLines w:val="0"/>
        <w:widowControl w:val="0"/>
        <w:shd w:val="clear" w:color="auto" w:fill="auto"/>
        <w:tabs>
          <w:tab w:pos="483" w:val="left"/>
        </w:tabs>
        <w:bidi w:val="0"/>
        <w:spacing w:before="0" w:line="240" w:lineRule="auto"/>
        <w:ind w:left="0" w:right="0" w:firstLine="0"/>
        <w:jc w:val="both"/>
        <w:rPr>
          <w:sz w:val="20"/>
          <w:szCs w:val="20"/>
        </w:rPr>
      </w:pPr>
      <w:bookmarkStart w:id="937" w:name="bookmark937"/>
      <w:r>
        <w:rPr>
          <w:rFonts w:ascii="Times New Roman" w:eastAsia="Times New Roman" w:hAnsi="Times New Roman" w:cs="Times New Roman"/>
          <w:b/>
          <w:bCs/>
          <w:color w:val="000000"/>
          <w:spacing w:val="0"/>
          <w:w w:val="100"/>
          <w:position w:val="0"/>
          <w:sz w:val="20"/>
          <w:szCs w:val="20"/>
        </w:rPr>
        <w:t>3</w:t>
      </w:r>
      <w:bookmarkEnd w:id="937"/>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预计负债</w:t>
      </w:r>
    </w:p>
    <w:p>
      <w:pPr>
        <w:pStyle w:val="Style41"/>
        <w:keepNext w:val="0"/>
        <w:keepLines w:val="0"/>
        <w:widowControl w:val="0"/>
        <w:shd w:val="clear" w:color="auto" w:fill="auto"/>
        <w:tabs>
          <w:tab w:pos="483" w:val="left"/>
        </w:tabs>
        <w:bidi w:val="0"/>
        <w:spacing w:before="0" w:line="240" w:lineRule="auto"/>
        <w:ind w:left="0" w:right="0" w:firstLine="0"/>
        <w:jc w:val="both"/>
        <w:rPr>
          <w:sz w:val="20"/>
          <w:szCs w:val="20"/>
        </w:rPr>
      </w:pPr>
      <w:bookmarkStart w:id="938" w:name="bookmark938"/>
      <w:r>
        <w:rPr>
          <w:rFonts w:ascii="Times New Roman" w:eastAsia="Times New Roman" w:hAnsi="Times New Roman" w:cs="Times New Roman"/>
          <w:b/>
          <w:bCs/>
          <w:color w:val="000000"/>
          <w:spacing w:val="0"/>
          <w:w w:val="100"/>
          <w:position w:val="0"/>
          <w:sz w:val="20"/>
          <w:szCs w:val="20"/>
        </w:rPr>
        <w:t>3</w:t>
      </w:r>
      <w:bookmarkEnd w:id="938"/>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股份支付</w:t>
      </w:r>
    </w:p>
    <w:p>
      <w:pPr>
        <w:pStyle w:val="Style41"/>
        <w:keepNext w:val="0"/>
        <w:keepLines w:val="0"/>
        <w:widowControl w:val="0"/>
        <w:shd w:val="clear" w:color="auto" w:fill="auto"/>
        <w:bidi w:val="0"/>
        <w:spacing w:before="0" w:after="32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.股份支付的种类</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本公司的股份支付是为了获取职工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或其他方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提供服务而授予权益工具或者承担以权益工具为基础确 定的负债的交易。包括以权益结算的股份支付和以现金结算的股份支付。</w:t>
      </w:r>
    </w:p>
    <w:p>
      <w:pPr>
        <w:pStyle w:val="Style41"/>
        <w:keepNext w:val="0"/>
        <w:keepLines w:val="0"/>
        <w:widowControl w:val="0"/>
        <w:numPr>
          <w:ilvl w:val="0"/>
          <w:numId w:val="69"/>
        </w:numPr>
        <w:shd w:val="clear" w:color="auto" w:fill="auto"/>
        <w:bidi w:val="0"/>
        <w:spacing w:before="0" w:after="0" w:line="313" w:lineRule="exact"/>
        <w:ind w:left="0" w:right="0" w:firstLine="440"/>
        <w:jc w:val="both"/>
        <w:rPr>
          <w:sz w:val="20"/>
          <w:szCs w:val="20"/>
        </w:rPr>
      </w:pPr>
      <w:bookmarkStart w:id="939" w:name="bookmark939"/>
      <w:bookmarkEnd w:id="939"/>
      <w:r>
        <w:rPr>
          <w:color w:val="000000"/>
          <w:spacing w:val="0"/>
          <w:w w:val="100"/>
          <w:position w:val="0"/>
          <w:sz w:val="20"/>
          <w:szCs w:val="20"/>
        </w:rPr>
        <w:t>权益工具公允价值的确定方法</w:t>
      </w:r>
    </w:p>
    <w:p>
      <w:pPr>
        <w:pStyle w:val="Style41"/>
        <w:keepNext w:val="0"/>
        <w:keepLines w:val="0"/>
        <w:widowControl w:val="0"/>
        <w:numPr>
          <w:ilvl w:val="0"/>
          <w:numId w:val="71"/>
        </w:numPr>
        <w:shd w:val="clear" w:color="auto" w:fill="auto"/>
        <w:bidi w:val="0"/>
        <w:spacing w:before="0" w:after="0" w:line="313" w:lineRule="exact"/>
        <w:ind w:left="0" w:right="0" w:firstLine="440"/>
        <w:jc w:val="both"/>
        <w:rPr>
          <w:sz w:val="20"/>
          <w:szCs w:val="20"/>
        </w:rPr>
      </w:pPr>
      <w:bookmarkStart w:id="940" w:name="bookmark940"/>
      <w:bookmarkEnd w:id="940"/>
      <w:r>
        <w:rPr>
          <w:color w:val="000000"/>
          <w:spacing w:val="0"/>
          <w:w w:val="100"/>
          <w:position w:val="0"/>
          <w:sz w:val="20"/>
          <w:szCs w:val="20"/>
        </w:rPr>
        <w:t>存在活跃市场的，按照活跃市场中的报价确定；</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不存在活跃市场的，采用布莱克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斯科尔斯期权 定价模型。</w:t>
      </w:r>
    </w:p>
    <w:p>
      <w:pPr>
        <w:pStyle w:val="Style41"/>
        <w:keepNext w:val="0"/>
        <w:keepLines w:val="0"/>
        <w:widowControl w:val="0"/>
        <w:numPr>
          <w:ilvl w:val="0"/>
          <w:numId w:val="39"/>
        </w:numPr>
        <w:shd w:val="clear" w:color="auto" w:fill="auto"/>
        <w:tabs>
          <w:tab w:pos="678" w:val="left"/>
        </w:tabs>
        <w:bidi w:val="0"/>
        <w:spacing w:before="0" w:after="0" w:line="313" w:lineRule="exact"/>
        <w:ind w:left="0" w:right="0" w:firstLine="440"/>
        <w:jc w:val="both"/>
        <w:rPr>
          <w:sz w:val="20"/>
          <w:szCs w:val="20"/>
        </w:rPr>
      </w:pPr>
      <w:bookmarkStart w:id="941" w:name="bookmark941"/>
      <w:bookmarkEnd w:id="941"/>
      <w:r>
        <w:rPr>
          <w:color w:val="000000"/>
          <w:spacing w:val="0"/>
          <w:w w:val="100"/>
          <w:position w:val="0"/>
          <w:sz w:val="20"/>
          <w:szCs w:val="20"/>
        </w:rPr>
        <w:t>.确认可行权权益工具最佳估计的依据</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等待期内每个资产负债表日，本公司根据最新取得的可行权职工人数变动等后续信息做出最佳估计， 修正预计可行权的权益工具数量。在可行权日，最终预计可行权权益工具的数量应当与实际可行权数量一 致。</w:t>
      </w:r>
    </w:p>
    <w:p>
      <w:pPr>
        <w:pStyle w:val="Style41"/>
        <w:keepNext w:val="0"/>
        <w:keepLines w:val="0"/>
        <w:widowControl w:val="0"/>
        <w:numPr>
          <w:ilvl w:val="0"/>
          <w:numId w:val="29"/>
        </w:numPr>
        <w:shd w:val="clear" w:color="auto" w:fill="auto"/>
        <w:bidi w:val="0"/>
        <w:spacing w:before="0" w:after="0" w:line="326" w:lineRule="auto"/>
        <w:ind w:left="0" w:right="0" w:firstLine="440"/>
        <w:jc w:val="both"/>
        <w:rPr>
          <w:sz w:val="20"/>
          <w:szCs w:val="20"/>
        </w:rPr>
      </w:pPr>
      <w:bookmarkStart w:id="942" w:name="bookmark942"/>
      <w:bookmarkEnd w:id="942"/>
      <w:r>
        <w:rPr>
          <w:color w:val="000000"/>
          <w:spacing w:val="0"/>
          <w:w w:val="100"/>
          <w:position w:val="0"/>
          <w:sz w:val="20"/>
          <w:szCs w:val="20"/>
        </w:rPr>
        <w:t>股份支付的会计处理</w:t>
      </w:r>
    </w:p>
    <w:p>
      <w:pPr>
        <w:pStyle w:val="Style41"/>
        <w:keepNext w:val="0"/>
        <w:keepLines w:val="0"/>
        <w:widowControl w:val="0"/>
        <w:numPr>
          <w:ilvl w:val="0"/>
          <w:numId w:val="73"/>
        </w:numPr>
        <w:shd w:val="clear" w:color="auto" w:fill="auto"/>
        <w:tabs>
          <w:tab w:pos="822" w:val="left"/>
        </w:tabs>
        <w:bidi w:val="0"/>
        <w:spacing w:before="0" w:after="0" w:line="326" w:lineRule="auto"/>
        <w:ind w:left="0" w:right="0" w:firstLine="440"/>
        <w:jc w:val="both"/>
        <w:rPr>
          <w:sz w:val="20"/>
          <w:szCs w:val="20"/>
        </w:rPr>
      </w:pPr>
      <w:bookmarkStart w:id="943" w:name="bookmark943"/>
      <w:bookmarkEnd w:id="943"/>
      <w:r>
        <w:rPr>
          <w:color w:val="000000"/>
          <w:spacing w:val="0"/>
          <w:w w:val="100"/>
          <w:position w:val="0"/>
          <w:sz w:val="20"/>
          <w:szCs w:val="20"/>
        </w:rPr>
        <w:t>以权益结算的股份支付</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以权益结算的股份支付换取职工提供服务的，授予后立即可行权的，在授予日按照权益工具的公允价 值计入相关成本或费用，相应调整资本公积；完成等待期内的服务或达到规定业绩条件才可行权的，在等 待期内的每个资产负债表日，以对可行权权益工具数量的最佳估计为基础，按权益工具授予日的公允价值， 将当期取得的服务计入相关成本或费用，相应调整资本公积，在可行权日之后不再对已确认的相关成本或 费用和所有者权益总额进行调整。</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以权益结算的股份支付换取其他方服务的，若其他方服务的公允价值能够可靠计量的，按照其他方服 务在取得日的公允价值计量；其他方服务的公允价值不能可靠计量但权益工具公允价值能够可靠计量的， 按照权益工具在服务取得日的公允价值计量，计入相关成本或费用，相应增加所有者权益。</w:t>
      </w:r>
    </w:p>
    <w:p>
      <w:pPr>
        <w:pStyle w:val="Style41"/>
        <w:keepNext w:val="0"/>
        <w:keepLines w:val="0"/>
        <w:widowControl w:val="0"/>
        <w:numPr>
          <w:ilvl w:val="0"/>
          <w:numId w:val="73"/>
        </w:numPr>
        <w:shd w:val="clear" w:color="auto" w:fill="auto"/>
        <w:tabs>
          <w:tab w:pos="822" w:val="left"/>
        </w:tabs>
        <w:bidi w:val="0"/>
        <w:spacing w:before="0" w:after="0" w:line="326" w:lineRule="auto"/>
        <w:ind w:left="0" w:right="0" w:firstLine="440"/>
        <w:jc w:val="both"/>
        <w:rPr>
          <w:sz w:val="20"/>
          <w:szCs w:val="20"/>
        </w:rPr>
      </w:pPr>
      <w:bookmarkStart w:id="944" w:name="bookmark944"/>
      <w:bookmarkEnd w:id="944"/>
      <w:r>
        <w:rPr>
          <w:color w:val="000000"/>
          <w:spacing w:val="0"/>
          <w:w w:val="100"/>
          <w:position w:val="0"/>
          <w:sz w:val="20"/>
          <w:szCs w:val="20"/>
        </w:rPr>
        <w:t>以现金结算的股份支付</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以现金结算的股份支付换取职工服务的，授予后立即可行权的，在授予日按公司承担负债的公允价值 计入相关成本或费用，相应增加负债；完成等待期内的服务或达到规定业绩条件才可行权的换取职工服务 的以现金结算的股份支付，在等待期内的每个资产负债表日，以对可行权情况的最佳估计为基础，按公司 承担负债的公允价值，将当期取得的服务计入相关成本或费用和相应的负债。在相关负债结算前的每个资 产负债表日以及结算日，对负债的公允价值重新计量，其变动计入当期损益。</w:t>
      </w:r>
    </w:p>
    <w:p>
      <w:pPr>
        <w:pStyle w:val="Style41"/>
        <w:keepNext w:val="0"/>
        <w:keepLines w:val="0"/>
        <w:widowControl w:val="0"/>
        <w:numPr>
          <w:ilvl w:val="0"/>
          <w:numId w:val="73"/>
        </w:numPr>
        <w:shd w:val="clear" w:color="auto" w:fill="auto"/>
        <w:tabs>
          <w:tab w:pos="822" w:val="left"/>
        </w:tabs>
        <w:bidi w:val="0"/>
        <w:spacing w:before="0" w:after="0" w:line="313" w:lineRule="exact"/>
        <w:ind w:left="0" w:right="0" w:firstLine="440"/>
        <w:jc w:val="both"/>
        <w:rPr>
          <w:sz w:val="20"/>
          <w:szCs w:val="20"/>
        </w:rPr>
      </w:pPr>
      <w:bookmarkStart w:id="945" w:name="bookmark945"/>
      <w:bookmarkEnd w:id="945"/>
      <w:r>
        <w:rPr>
          <w:color w:val="000000"/>
          <w:spacing w:val="0"/>
          <w:w w:val="100"/>
          <w:position w:val="0"/>
          <w:sz w:val="20"/>
          <w:szCs w:val="20"/>
        </w:rPr>
        <w:t>修改、终止股份支付计划</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如果取消了以权益结算的股份支付，则于取消日作为加速行权处理，立即确认尚未确认的金额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将剩余 等待期内应确认的金额立即计入当期损益，同时确认资本公积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。职工或者其他方能够选择满足非可行权条 件但在等待期内未满足的，作为取消以权益结算的股份支付处理。但是，如果授予新的权益工具，并在新 权益工具授予日认定所授予权益工具用于替代被取消的权益工具的，则以与处理原权益工具条款和条件修 改相同的方式，对被授予的替代权益工具进行处理。</w:t>
      </w:r>
    </w:p>
    <w:p>
      <w:pPr>
        <w:pStyle w:val="Style41"/>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.涉及本公司与本公司股东或实际控制人的股份支付交易的会计处理</w:t>
      </w:r>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涉及本公司与本公司股东或实际控制人的股份支付交易，结算企业与接受服务企业中其一在本公司 内，另一在本公司外的，在本公司合并财务报表中按照以下规定进行会计处理：</w:t>
      </w:r>
    </w:p>
    <w:p>
      <w:pPr>
        <w:pStyle w:val="Style41"/>
        <w:keepNext w:val="0"/>
        <w:keepLines w:val="0"/>
        <w:widowControl w:val="0"/>
        <w:numPr>
          <w:ilvl w:val="0"/>
          <w:numId w:val="75"/>
        </w:numPr>
        <w:shd w:val="clear" w:color="auto" w:fill="auto"/>
        <w:bidi w:val="0"/>
        <w:spacing w:before="0" w:after="0" w:line="312" w:lineRule="exact"/>
        <w:ind w:left="0" w:right="0" w:firstLine="440"/>
        <w:jc w:val="both"/>
        <w:rPr>
          <w:sz w:val="20"/>
          <w:szCs w:val="20"/>
        </w:rPr>
      </w:pPr>
      <w:bookmarkStart w:id="946" w:name="bookmark946"/>
      <w:bookmarkEnd w:id="946"/>
      <w:r>
        <w:rPr>
          <w:color w:val="000000"/>
          <w:spacing w:val="0"/>
          <w:w w:val="100"/>
          <w:position w:val="0"/>
          <w:sz w:val="20"/>
          <w:szCs w:val="20"/>
        </w:rPr>
        <w:t>结算企业以其本身权益工具结算的，将该股份支付交易作为权益结算的股份支付处理；除此之外， 作为现金结算的股份支付处理。</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结算企业是接受服务企业的投资者的，按照授予日权益工具的公允价值或应承担负债的公允价值确认 为对接受服务企业的长期股权投资，同时确认资本公积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或负债。</w:t>
      </w:r>
    </w:p>
    <w:p>
      <w:pPr>
        <w:pStyle w:val="Style41"/>
        <w:keepNext w:val="0"/>
        <w:keepLines w:val="0"/>
        <w:widowControl w:val="0"/>
        <w:shd w:val="clear" w:color="auto" w:fill="auto"/>
        <w:bidi w:val="0"/>
        <w:spacing w:before="0" w:after="600" w:line="313" w:lineRule="exact"/>
        <w:ind w:left="0" w:right="0" w:firstLine="440"/>
        <w:jc w:val="both"/>
        <w:rPr>
          <w:sz w:val="20"/>
          <w:szCs w:val="20"/>
        </w:rPr>
      </w:pPr>
      <w:bookmarkStart w:id="947" w:name="bookmark947"/>
      <w:r>
        <w:rPr>
          <w:rFonts w:ascii="Times New Roman" w:eastAsia="Times New Roman" w:hAnsi="Times New Roman" w:cs="Times New Roman"/>
          <w:color w:val="000000"/>
          <w:spacing w:val="0"/>
          <w:w w:val="100"/>
          <w:position w:val="0"/>
          <w:sz w:val="20"/>
          <w:szCs w:val="20"/>
        </w:rPr>
        <w:t>（</w:t>
      </w:r>
      <w:bookmarkEnd w:id="94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接受服务企业没有结算义务或授予本企业职工的是其本身权益工具的，将该股份支付交易作为权益 结算的股份支付处理；接受服务企业具有结算义务且授予本企业职工的并非其本身权益工具的，将该股份 支付交易作为现金结算的股份支付处理。本公司内各企业之间发生的股份支付交易，接受服务企业和结算 企业不是同一企业的，在接受服务企业和结算企业各自的个别财务报表中对该股份支付交易的确认和计 量，比照上述原则处理。</w:t>
      </w:r>
    </w:p>
    <w:p>
      <w:pPr>
        <w:pStyle w:val="Style32"/>
        <w:keepNext/>
        <w:keepLines/>
        <w:widowControl w:val="0"/>
        <w:shd w:val="clear" w:color="auto" w:fill="auto"/>
        <w:tabs>
          <w:tab w:pos="573" w:val="left"/>
        </w:tabs>
        <w:bidi w:val="0"/>
        <w:spacing w:before="0" w:after="300" w:line="313" w:lineRule="exact"/>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48"/>
      <w:bookmarkEnd w:id="949"/>
      <w:bookmarkEnd w:id="951"/>
    </w:p>
    <w:p>
      <w:pPr>
        <w:pStyle w:val="Style32"/>
        <w:keepNext/>
        <w:keepLines/>
        <w:widowControl w:val="0"/>
        <w:shd w:val="clear" w:color="auto" w:fill="auto"/>
        <w:tabs>
          <w:tab w:pos="573" w:val="left"/>
        </w:tabs>
        <w:bidi w:val="0"/>
        <w:spacing w:before="0" w:line="313" w:lineRule="exact"/>
        <w:ind w:left="0" w:right="0" w:firstLine="0"/>
        <w:jc w:val="left"/>
      </w:pPr>
      <w:bookmarkStart w:id="948" w:name="bookmark948"/>
      <w:bookmarkStart w:id="949" w:name="bookmark949"/>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48"/>
      <w:bookmarkEnd w:id="949"/>
      <w:bookmarkEnd w:id="95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41"/>
        <w:keepNext w:val="0"/>
        <w:keepLines w:val="0"/>
        <w:widowControl w:val="0"/>
        <w:shd w:val="clear" w:color="auto" w:fill="auto"/>
        <w:tabs>
          <w:tab w:pos="859" w:val="left"/>
        </w:tabs>
        <w:bidi w:val="0"/>
        <w:spacing w:before="0" w:after="0" w:line="326" w:lineRule="auto"/>
        <w:ind w:left="0" w:right="0" w:firstLine="440"/>
        <w:jc w:val="both"/>
        <w:rPr>
          <w:sz w:val="20"/>
          <w:szCs w:val="20"/>
        </w:rPr>
      </w:pPr>
      <w:bookmarkStart w:id="954" w:name="bookmark954"/>
      <w:r>
        <w:rPr>
          <w:rFonts w:ascii="Times New Roman" w:eastAsia="Times New Roman" w:hAnsi="Times New Roman" w:cs="Times New Roman"/>
          <w:color w:val="000000"/>
          <w:spacing w:val="0"/>
          <w:w w:val="100"/>
          <w:position w:val="0"/>
          <w:sz w:val="20"/>
          <w:szCs w:val="20"/>
        </w:rPr>
        <w:t>（</w:t>
      </w:r>
      <w:bookmarkEnd w:id="954"/>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软件开发及服务</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软件开发业务是指针对客户的科技建设需求而提供的软件开发与实施服务、软件维护服务。主要包括 以下业务类型：</w:t>
      </w:r>
    </w:p>
    <w:p>
      <w:pPr>
        <w:pStyle w:val="Style41"/>
        <w:keepNext w:val="0"/>
        <w:keepLines w:val="0"/>
        <w:widowControl w:val="0"/>
        <w:shd w:val="clear" w:color="auto" w:fill="auto"/>
        <w:tabs>
          <w:tab w:pos="777" w:val="left"/>
        </w:tabs>
        <w:bidi w:val="0"/>
        <w:spacing w:before="0" w:after="0" w:line="326" w:lineRule="auto"/>
        <w:ind w:left="0" w:right="0" w:firstLine="440"/>
        <w:jc w:val="both"/>
        <w:rPr>
          <w:sz w:val="20"/>
          <w:szCs w:val="20"/>
        </w:rPr>
      </w:pPr>
      <w:bookmarkStart w:id="955" w:name="bookmark955"/>
      <w:r>
        <w:rPr>
          <w:rFonts w:ascii="Times New Roman" w:eastAsia="Times New Roman" w:hAnsi="Times New Roman" w:cs="Times New Roman"/>
          <w:color w:val="000000"/>
          <w:spacing w:val="0"/>
          <w:w w:val="100"/>
          <w:position w:val="0"/>
          <w:sz w:val="20"/>
          <w:szCs w:val="20"/>
        </w:rPr>
        <w:t>1</w:t>
      </w:r>
      <w:bookmarkEnd w:id="955"/>
      <w:r>
        <w:rPr>
          <w:rFonts w:ascii="Times New Roman" w:eastAsia="Times New Roman" w:hAnsi="Times New Roman" w:cs="Times New Roman"/>
          <w:color w:val="000000"/>
          <w:spacing w:val="0"/>
          <w:w w:val="100"/>
          <w:position w:val="0"/>
          <w:sz w:val="20"/>
          <w:szCs w:val="20"/>
        </w:rPr>
        <w:t>）</w:t>
        <w:tab/>
        <w:t>IT</w:t>
      </w:r>
      <w:r>
        <w:rPr>
          <w:color w:val="000000"/>
          <w:spacing w:val="0"/>
          <w:w w:val="100"/>
          <w:position w:val="0"/>
          <w:sz w:val="20"/>
          <w:szCs w:val="20"/>
        </w:rPr>
        <w:t>解决方案</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公司按照客户需求提供软件开发以及升级、改造、配套服务，根据合同约定对阶段性开发成果或最终 产品负责，成果交付时需要按照合同约定工作任务进行验收，公司在所开发软件成果交付运行，并通过客 户验收后按照合同约定金额确认收入。</w:t>
      </w:r>
    </w:p>
    <w:p>
      <w:pPr>
        <w:pStyle w:val="Style41"/>
        <w:keepNext w:val="0"/>
        <w:keepLines w:val="0"/>
        <w:widowControl w:val="0"/>
        <w:shd w:val="clear" w:color="auto" w:fill="auto"/>
        <w:tabs>
          <w:tab w:pos="796" w:val="left"/>
        </w:tabs>
        <w:bidi w:val="0"/>
        <w:spacing w:before="0" w:after="0" w:line="326" w:lineRule="auto"/>
        <w:ind w:left="0" w:right="0" w:firstLine="440"/>
        <w:jc w:val="both"/>
        <w:rPr>
          <w:sz w:val="20"/>
          <w:szCs w:val="20"/>
        </w:rPr>
      </w:pPr>
      <w:bookmarkStart w:id="956" w:name="bookmark956"/>
      <w:r>
        <w:rPr>
          <w:rFonts w:ascii="Times New Roman" w:eastAsia="Times New Roman" w:hAnsi="Times New Roman" w:cs="Times New Roman"/>
          <w:color w:val="000000"/>
          <w:spacing w:val="0"/>
          <w:w w:val="100"/>
          <w:position w:val="0"/>
          <w:sz w:val="20"/>
          <w:szCs w:val="20"/>
        </w:rPr>
        <w:t>2</w:t>
      </w:r>
      <w:bookmarkEnd w:id="95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软件外包服务</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公司根据客户需求，按期提供技术人员完成开发及服务，无需对最终开发成果负责。根据合同，于约 定的每个结算时点与客户确认对应服务期间内提供的人员数量、出勤情况、考核评价，按合同约定的不同 级别技术人员的人月单价以及双方确认的工作量确认收入。</w:t>
      </w:r>
    </w:p>
    <w:p>
      <w:pPr>
        <w:pStyle w:val="Style41"/>
        <w:keepNext w:val="0"/>
        <w:keepLines w:val="0"/>
        <w:widowControl w:val="0"/>
        <w:shd w:val="clear" w:color="auto" w:fill="auto"/>
        <w:tabs>
          <w:tab w:pos="796" w:val="left"/>
        </w:tabs>
        <w:bidi w:val="0"/>
        <w:spacing w:before="0" w:after="0" w:line="326" w:lineRule="auto"/>
        <w:ind w:left="0" w:right="0" w:firstLine="440"/>
        <w:jc w:val="both"/>
        <w:rPr>
          <w:sz w:val="20"/>
          <w:szCs w:val="20"/>
        </w:rPr>
      </w:pPr>
      <w:bookmarkStart w:id="957" w:name="bookmark957"/>
      <w:r>
        <w:rPr>
          <w:rFonts w:ascii="Times New Roman" w:eastAsia="Times New Roman" w:hAnsi="Times New Roman" w:cs="Times New Roman"/>
          <w:color w:val="000000"/>
          <w:spacing w:val="0"/>
          <w:w w:val="100"/>
          <w:position w:val="0"/>
          <w:sz w:val="20"/>
          <w:szCs w:val="20"/>
        </w:rPr>
        <w:t>3</w:t>
      </w:r>
      <w:bookmarkEnd w:id="95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软件运维服务</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公司根据客户需求，对本公司所开发的应用软件系统或客户指定的软件系统或其他</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运营系统提供运 行维护服务，无需对开发或服务成果负责。根据合同约定的服务方式提供现场或远程维护，按照约定的服 务期间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月度、季度、半年度、年度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对提供的服务确认收入。</w:t>
      </w:r>
    </w:p>
    <w:p>
      <w:pPr>
        <w:pStyle w:val="Style41"/>
        <w:keepNext w:val="0"/>
        <w:keepLines w:val="0"/>
        <w:widowControl w:val="0"/>
        <w:shd w:val="clear" w:color="auto" w:fill="auto"/>
        <w:tabs>
          <w:tab w:pos="859" w:val="left"/>
        </w:tabs>
        <w:bidi w:val="0"/>
        <w:spacing w:before="0" w:after="0" w:line="326" w:lineRule="auto"/>
        <w:ind w:left="0" w:right="0" w:firstLine="440"/>
        <w:jc w:val="both"/>
        <w:rPr>
          <w:sz w:val="20"/>
          <w:szCs w:val="20"/>
        </w:rPr>
      </w:pPr>
      <w:bookmarkStart w:id="958" w:name="bookmark958"/>
      <w:r>
        <w:rPr>
          <w:rFonts w:ascii="Times New Roman" w:eastAsia="Times New Roman" w:hAnsi="Times New Roman" w:cs="Times New Roman"/>
          <w:color w:val="000000"/>
          <w:spacing w:val="0"/>
          <w:w w:val="100"/>
          <w:position w:val="0"/>
          <w:sz w:val="20"/>
          <w:szCs w:val="20"/>
        </w:rPr>
        <w:t>（</w:t>
      </w:r>
      <w:bookmarkEnd w:id="958"/>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系统集成及服务</w:t>
      </w:r>
    </w:p>
    <w:p>
      <w:pPr>
        <w:pStyle w:val="Style41"/>
        <w:keepNext w:val="0"/>
        <w:keepLines w:val="0"/>
        <w:widowControl w:val="0"/>
        <w:shd w:val="clear" w:color="auto" w:fill="auto"/>
        <w:tabs>
          <w:tab w:pos="777" w:val="left"/>
        </w:tabs>
        <w:bidi w:val="0"/>
        <w:spacing w:before="0" w:after="0" w:line="326" w:lineRule="auto"/>
        <w:ind w:left="0" w:right="0" w:firstLine="440"/>
        <w:jc w:val="both"/>
        <w:rPr>
          <w:sz w:val="20"/>
          <w:szCs w:val="20"/>
        </w:rPr>
      </w:pPr>
      <w:bookmarkStart w:id="959" w:name="bookmark959"/>
      <w:r>
        <w:rPr>
          <w:rFonts w:ascii="Times New Roman" w:eastAsia="Times New Roman" w:hAnsi="Times New Roman" w:cs="Times New Roman"/>
          <w:color w:val="000000"/>
          <w:spacing w:val="0"/>
          <w:w w:val="100"/>
          <w:position w:val="0"/>
          <w:sz w:val="20"/>
          <w:szCs w:val="20"/>
        </w:rPr>
        <w:t>1</w:t>
      </w:r>
      <w:bookmarkEnd w:id="95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系统集成</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系统集成是指应客户需求，代客户采购数据中心、网络中心所需要的软硬件设备，并提供相应的集成 服务，包括数据中心集成设计、机房一体化建设、智能化综合布线、产品选型、软硬件详细配置、软硬件 供货、软硬件安装调试、</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系统软硬件改造升级、技术咨询等。按照合同约定，无法区分软硬件设备与相 关服务价款，公司在相关货物发出及服务提供并经客户验收合格后确认系统集成收入。</w:t>
      </w:r>
    </w:p>
    <w:p>
      <w:pPr>
        <w:pStyle w:val="Style41"/>
        <w:keepNext w:val="0"/>
        <w:keepLines w:val="0"/>
        <w:widowControl w:val="0"/>
        <w:shd w:val="clear" w:color="auto" w:fill="auto"/>
        <w:tabs>
          <w:tab w:pos="796" w:val="left"/>
        </w:tabs>
        <w:bidi w:val="0"/>
        <w:spacing w:before="0" w:after="0" w:line="326" w:lineRule="auto"/>
        <w:ind w:left="0" w:right="0" w:firstLine="440"/>
        <w:jc w:val="both"/>
        <w:rPr>
          <w:sz w:val="20"/>
          <w:szCs w:val="20"/>
        </w:rPr>
      </w:pPr>
      <w:bookmarkStart w:id="960" w:name="bookmark960"/>
      <w:r>
        <w:rPr>
          <w:rFonts w:ascii="Times New Roman" w:eastAsia="Times New Roman" w:hAnsi="Times New Roman" w:cs="Times New Roman"/>
          <w:color w:val="000000"/>
          <w:spacing w:val="0"/>
          <w:w w:val="100"/>
          <w:position w:val="0"/>
          <w:sz w:val="20"/>
          <w:szCs w:val="20"/>
        </w:rPr>
        <w:t>2</w:t>
      </w:r>
      <w:bookmarkEnd w:id="96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系统集成服务</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主要为客户采购软硬件设备同时，需要提供的集成服务，且在合同履约义务中单独约定支付价格，通 常包括按次提供的服务，例如机器安装调试、综合布线等；和按期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如年度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提供的服务，如机器设备的运 行维护等。</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按次提供的服务，公司在服务已经提供完毕，并达成合同约定的条款时一次性确认收入；按期提供的 服务，公司按照合同约定的内容提供服务，在服务期间分期确认收入。</w:t>
      </w:r>
    </w:p>
    <w:p>
      <w:pPr>
        <w:pStyle w:val="Style32"/>
        <w:keepNext/>
        <w:keepLines/>
        <w:widowControl w:val="0"/>
        <w:shd w:val="clear" w:color="auto" w:fill="auto"/>
        <w:bidi w:val="0"/>
        <w:spacing w:before="0" w:after="320" w:line="317" w:lineRule="exact"/>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4</w:t>
      </w:r>
      <w:bookmarkEnd w:id="96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61"/>
      <w:bookmarkEnd w:id="962"/>
      <w:bookmarkEnd w:id="964"/>
    </w:p>
    <w:p>
      <w:pPr>
        <w:pStyle w:val="Style41"/>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.政府补助的分类</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政府补助，是指本公司从政府无偿取得货币性资产或非货币性资产。分为与资产相关的政府补助和与 收益相关的政府补助。</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与资产相关的政府补助，是指本公司取得的、用于购建或以其他方式形成长期资产的政府补助，包括 购买固定资产或无形资产的财政拨款、固定资产专门借款的财政贴息等；与收益相关的政府补助，是指除 与资产相关的政府补助之外的政府补助。对于同时包含与资产相关部分和与收益相关部分的政府补助，区 分不同部分分别进行会计处理；难以区分的，整体归类为与收益相关的政府补助。</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本公司在进行政府补助分类时采取的具体标准为：</w:t>
      </w:r>
    </w:p>
    <w:p>
      <w:pPr>
        <w:pStyle w:val="Style41"/>
        <w:keepNext w:val="0"/>
        <w:keepLines w:val="0"/>
        <w:widowControl w:val="0"/>
        <w:numPr>
          <w:ilvl w:val="0"/>
          <w:numId w:val="77"/>
        </w:numPr>
        <w:shd w:val="clear" w:color="auto" w:fill="auto"/>
        <w:tabs>
          <w:tab w:pos="841" w:val="left"/>
        </w:tabs>
        <w:bidi w:val="0"/>
        <w:spacing w:before="0" w:after="0" w:line="313" w:lineRule="exact"/>
        <w:ind w:left="0" w:right="0" w:firstLine="440"/>
        <w:jc w:val="both"/>
        <w:rPr>
          <w:sz w:val="20"/>
          <w:szCs w:val="20"/>
        </w:rPr>
      </w:pPr>
      <w:bookmarkStart w:id="965" w:name="bookmark965"/>
      <w:bookmarkEnd w:id="965"/>
      <w:r>
        <w:rPr>
          <w:color w:val="000000"/>
          <w:spacing w:val="0"/>
          <w:w w:val="100"/>
          <w:position w:val="0"/>
          <w:sz w:val="20"/>
          <w:szCs w:val="20"/>
        </w:rPr>
        <w:t>政府补助文件规定的补助对象用于购建或以其他方式形成长期资产，或者补助对象的支出主要用于 购建或以其他方式形成长期资产的，划分为与资产相关的政府补助。</w:t>
      </w:r>
    </w:p>
    <w:p>
      <w:pPr>
        <w:pStyle w:val="Style41"/>
        <w:keepNext w:val="0"/>
        <w:keepLines w:val="0"/>
        <w:widowControl w:val="0"/>
        <w:numPr>
          <w:ilvl w:val="0"/>
          <w:numId w:val="77"/>
        </w:numPr>
        <w:shd w:val="clear" w:color="auto" w:fill="auto"/>
        <w:tabs>
          <w:tab w:pos="836" w:val="left"/>
        </w:tabs>
        <w:bidi w:val="0"/>
        <w:spacing w:before="0" w:after="0"/>
        <w:ind w:left="0" w:right="0" w:firstLine="440"/>
        <w:jc w:val="both"/>
        <w:rPr>
          <w:sz w:val="20"/>
          <w:szCs w:val="20"/>
        </w:rPr>
      </w:pPr>
      <w:bookmarkStart w:id="966" w:name="bookmark966"/>
      <w:bookmarkEnd w:id="966"/>
      <w:r>
        <w:rPr>
          <w:color w:val="000000"/>
          <w:spacing w:val="0"/>
          <w:w w:val="100"/>
          <w:position w:val="0"/>
          <w:sz w:val="20"/>
          <w:szCs w:val="20"/>
        </w:rPr>
        <w:t>根据政府补助文件获得的政府补助全部或者主要用于补偿以后期间或已发生的费用或损失的政府 补助，划分为与收益相关的政府补助。</w:t>
      </w:r>
    </w:p>
    <w:p>
      <w:pPr>
        <w:pStyle w:val="Style41"/>
        <w:keepNext w:val="0"/>
        <w:keepLines w:val="0"/>
        <w:widowControl w:val="0"/>
        <w:numPr>
          <w:ilvl w:val="0"/>
          <w:numId w:val="77"/>
        </w:numPr>
        <w:shd w:val="clear" w:color="auto" w:fill="auto"/>
        <w:tabs>
          <w:tab w:pos="836" w:val="left"/>
        </w:tabs>
        <w:bidi w:val="0"/>
        <w:spacing w:before="0" w:after="0"/>
        <w:ind w:left="0" w:right="0" w:firstLine="440"/>
        <w:jc w:val="both"/>
        <w:rPr>
          <w:sz w:val="20"/>
          <w:szCs w:val="20"/>
        </w:rPr>
      </w:pPr>
      <w:bookmarkStart w:id="967" w:name="bookmark967"/>
      <w:bookmarkEnd w:id="967"/>
      <w:r>
        <w:rPr>
          <w:color w:val="000000"/>
          <w:spacing w:val="0"/>
          <w:w w:val="100"/>
          <w:position w:val="0"/>
          <w:sz w:val="20"/>
          <w:szCs w:val="20"/>
        </w:rPr>
        <w:t>若政府文件未明确规定补助对象，则采用以下方式将该政府补助款划分为与资产相关的政府补助或 与收益相关的政府补助：</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政府文件明确了补助所针对的特定项目的，根据该特定项目的预算中将形成资 产的支出金额和计入费用的支出金额的相对比例进行划分，对该划分比例需在每个资产负债表日进行复 核，必要时进行变更；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政府文件中对用途仅作一般性表述，没有指明特定项目的，作为与收益相关的政 府补助。</w:t>
      </w:r>
    </w:p>
    <w:p>
      <w:pPr>
        <w:pStyle w:val="Style41"/>
        <w:keepNext w:val="0"/>
        <w:keepLines w:val="0"/>
        <w:widowControl w:val="0"/>
        <w:numPr>
          <w:ilvl w:val="0"/>
          <w:numId w:val="79"/>
        </w:numPr>
        <w:shd w:val="clear" w:color="auto" w:fill="auto"/>
        <w:tabs>
          <w:tab w:pos="786" w:val="left"/>
        </w:tabs>
        <w:bidi w:val="0"/>
        <w:spacing w:before="0" w:after="0"/>
        <w:ind w:left="0" w:right="0" w:firstLine="440"/>
        <w:jc w:val="both"/>
        <w:rPr>
          <w:sz w:val="20"/>
          <w:szCs w:val="20"/>
        </w:rPr>
      </w:pPr>
      <w:bookmarkStart w:id="968" w:name="bookmark968"/>
      <w:bookmarkEnd w:id="968"/>
      <w:r>
        <w:rPr>
          <w:color w:val="000000"/>
          <w:spacing w:val="0"/>
          <w:w w:val="100"/>
          <w:position w:val="0"/>
          <w:sz w:val="20"/>
          <w:szCs w:val="20"/>
        </w:rPr>
        <w:t>政府补助的确认时点</w:t>
      </w:r>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p>
    <w:p>
      <w:pPr>
        <w:pStyle w:val="Style41"/>
        <w:keepNext w:val="0"/>
        <w:keepLines w:val="0"/>
        <w:widowControl w:val="0"/>
        <w:numPr>
          <w:ilvl w:val="0"/>
          <w:numId w:val="81"/>
        </w:numPr>
        <w:shd w:val="clear" w:color="auto" w:fill="auto"/>
        <w:tabs>
          <w:tab w:pos="812" w:val="left"/>
        </w:tabs>
        <w:bidi w:val="0"/>
        <w:spacing w:before="0" w:after="0"/>
        <w:ind w:left="0" w:right="0" w:firstLine="440"/>
        <w:jc w:val="both"/>
        <w:rPr>
          <w:sz w:val="20"/>
          <w:szCs w:val="20"/>
        </w:rPr>
      </w:pPr>
      <w:bookmarkStart w:id="969" w:name="bookmark969"/>
      <w:bookmarkEnd w:id="969"/>
      <w:r>
        <w:rPr>
          <w:color w:val="000000"/>
          <w:spacing w:val="0"/>
          <w:w w:val="100"/>
          <w:position w:val="0"/>
          <w:sz w:val="20"/>
          <w:szCs w:val="20"/>
        </w:rPr>
        <w:t>所依据的是当地财政部门正式发布并按照《政府信息公开条例》的规定予以主动公开的财政扶持项 目及其财政资金管理办法，且该管理办法应当是普惠性的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任何符合规定条件的企业均可申请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，而不是专 门针对特定企业制定的；</w:t>
      </w:r>
    </w:p>
    <w:p>
      <w:pPr>
        <w:pStyle w:val="Style41"/>
        <w:keepNext w:val="0"/>
        <w:keepLines w:val="0"/>
        <w:widowControl w:val="0"/>
        <w:numPr>
          <w:ilvl w:val="0"/>
          <w:numId w:val="81"/>
        </w:numPr>
        <w:shd w:val="clear" w:color="auto" w:fill="auto"/>
        <w:tabs>
          <w:tab w:pos="836" w:val="left"/>
        </w:tabs>
        <w:bidi w:val="0"/>
        <w:spacing w:before="0" w:after="0"/>
        <w:ind w:left="0" w:right="0" w:firstLine="440"/>
        <w:jc w:val="both"/>
        <w:rPr>
          <w:sz w:val="20"/>
          <w:szCs w:val="20"/>
        </w:rPr>
      </w:pPr>
      <w:bookmarkStart w:id="970" w:name="bookmark970"/>
      <w:bookmarkEnd w:id="970"/>
      <w:r>
        <w:rPr>
          <w:color w:val="000000"/>
          <w:spacing w:val="0"/>
          <w:w w:val="100"/>
          <w:position w:val="0"/>
          <w:sz w:val="20"/>
          <w:szCs w:val="20"/>
        </w:rPr>
        <w:t>应收补助款的金额已经过有权政府部门发文确认，或者可根据正式发布的财政资金管理办法的有关 规定自行合理测算，且预计其金额不存在重大不确定性；</w:t>
      </w:r>
    </w:p>
    <w:p>
      <w:pPr>
        <w:pStyle w:val="Style41"/>
        <w:keepNext w:val="0"/>
        <w:keepLines w:val="0"/>
        <w:widowControl w:val="0"/>
        <w:numPr>
          <w:ilvl w:val="0"/>
          <w:numId w:val="81"/>
        </w:numPr>
        <w:shd w:val="clear" w:color="auto" w:fill="auto"/>
        <w:tabs>
          <w:tab w:pos="831" w:val="left"/>
        </w:tabs>
        <w:bidi w:val="0"/>
        <w:spacing w:before="0" w:after="0"/>
        <w:ind w:left="0" w:right="0" w:firstLine="440"/>
        <w:jc w:val="both"/>
        <w:rPr>
          <w:sz w:val="20"/>
          <w:szCs w:val="20"/>
        </w:rPr>
      </w:pPr>
      <w:bookmarkStart w:id="971" w:name="bookmark971"/>
      <w:bookmarkEnd w:id="971"/>
      <w:r>
        <w:rPr>
          <w:color w:val="000000"/>
          <w:spacing w:val="0"/>
          <w:w w:val="100"/>
          <w:position w:val="0"/>
          <w:sz w:val="20"/>
          <w:szCs w:val="20"/>
        </w:rPr>
        <w:t>相关的补助款批文中已明确承诺了拨付期限，且该款项的拨付是有相应财政预算作为保障的，因而 可以合理保证其可在规定期限内收到；</w:t>
      </w:r>
    </w:p>
    <w:p>
      <w:pPr>
        <w:pStyle w:val="Style41"/>
        <w:keepNext w:val="0"/>
        <w:keepLines w:val="0"/>
        <w:widowControl w:val="0"/>
        <w:numPr>
          <w:ilvl w:val="0"/>
          <w:numId w:val="81"/>
        </w:numPr>
        <w:shd w:val="clear" w:color="auto" w:fill="auto"/>
        <w:tabs>
          <w:tab w:pos="854" w:val="left"/>
        </w:tabs>
        <w:bidi w:val="0"/>
        <w:spacing w:before="0" w:after="0"/>
        <w:ind w:left="0" w:right="0" w:firstLine="440"/>
        <w:jc w:val="both"/>
        <w:rPr>
          <w:sz w:val="20"/>
          <w:szCs w:val="20"/>
        </w:rPr>
      </w:pPr>
      <w:bookmarkStart w:id="972" w:name="bookmark972"/>
      <w:bookmarkEnd w:id="972"/>
      <w:r>
        <w:rPr>
          <w:color w:val="000000"/>
          <w:spacing w:val="0"/>
          <w:w w:val="100"/>
          <w:position w:val="0"/>
          <w:sz w:val="20"/>
          <w:szCs w:val="20"/>
        </w:rPr>
        <w:t>根据本公司和该补助事项的具体情况，应满足的其他相关条件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41"/>
        <w:keepNext w:val="0"/>
        <w:keepLines w:val="0"/>
        <w:widowControl w:val="0"/>
        <w:numPr>
          <w:ilvl w:val="0"/>
          <w:numId w:val="79"/>
        </w:numPr>
        <w:shd w:val="clear" w:color="auto" w:fill="auto"/>
        <w:tabs>
          <w:tab w:pos="786" w:val="left"/>
        </w:tabs>
        <w:bidi w:val="0"/>
        <w:spacing w:before="0" w:after="0"/>
        <w:ind w:left="0" w:right="0" w:firstLine="440"/>
        <w:jc w:val="both"/>
        <w:rPr>
          <w:sz w:val="20"/>
          <w:szCs w:val="20"/>
        </w:rPr>
      </w:pPr>
      <w:bookmarkStart w:id="973" w:name="bookmark973"/>
      <w:bookmarkEnd w:id="973"/>
      <w:r>
        <w:rPr>
          <w:color w:val="000000"/>
          <w:spacing w:val="0"/>
          <w:w w:val="100"/>
          <w:position w:val="0"/>
          <w:sz w:val="20"/>
          <w:szCs w:val="20"/>
        </w:rPr>
        <w:t>政府补助的会计处理</w:t>
      </w:r>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政府补助为货币性资产的，按收到或应收的金额计量；为非货币性资产的，按公允价值计量；非货币 性资产公允价值不能可靠取得的，按名义金额计量。按照名义金额计量的政府补助，直接计入当期损益。</w:t>
      </w:r>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本公司对政府补助采用的是总额法，具体会计处理如下：</w:t>
      </w:r>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与资产相关的政府补助确认为递延收益，在相关资产使用寿命内按照合理、系统的方法分期计入当期 损益；相关资产在使用寿命结束前被出售、转让、报废或发生毁损的，将相关递延收益余额转入资产处置 当期的损益。</w:t>
      </w:r>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与收益相关的政府补助，用于补偿本公司以后期间的相关成本费用或损失的，确认为递延收益，并在 确认相关成本费用或损失的期间，计入当期损益；用于补偿企业已发生的相关成本费用或损失的，直接计 入当期损益。</w:t>
      </w:r>
    </w:p>
    <w:p>
      <w:pPr>
        <w:pStyle w:val="Style41"/>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本公司取得的政策性优惠贷款贴息，区分以下两种情况，分别进行会计处理：</w:t>
      </w:r>
    </w:p>
    <w:p>
      <w:pPr>
        <w:pStyle w:val="Style41"/>
        <w:keepNext w:val="0"/>
        <w:keepLines w:val="0"/>
        <w:widowControl w:val="0"/>
        <w:numPr>
          <w:ilvl w:val="0"/>
          <w:numId w:val="83"/>
        </w:numPr>
        <w:shd w:val="clear" w:color="auto" w:fill="auto"/>
        <w:bidi w:val="0"/>
        <w:spacing w:before="0" w:after="0"/>
        <w:ind w:left="0" w:right="0" w:firstLine="440"/>
        <w:jc w:val="both"/>
        <w:rPr>
          <w:sz w:val="20"/>
          <w:szCs w:val="20"/>
        </w:rPr>
      </w:pPr>
      <w:bookmarkStart w:id="974" w:name="bookmark974"/>
      <w:bookmarkEnd w:id="974"/>
      <w:r>
        <w:rPr>
          <w:color w:val="000000"/>
          <w:spacing w:val="0"/>
          <w:w w:val="100"/>
          <w:position w:val="0"/>
          <w:sz w:val="20"/>
          <w:szCs w:val="20"/>
        </w:rPr>
        <w:t>财政将贴息资金拨付给贷款银行，由贷款银行以政策性优惠利率向企业提供贷款的，本公司以实际 收到的借款金额作为借款的入账价值，按照借款本金和该政策性优惠利率计算相关借款费用。</w:t>
      </w:r>
    </w:p>
    <w:p>
      <w:pPr>
        <w:pStyle w:val="Style41"/>
        <w:keepNext w:val="0"/>
        <w:keepLines w:val="0"/>
        <w:widowControl w:val="0"/>
        <w:numPr>
          <w:ilvl w:val="0"/>
          <w:numId w:val="83"/>
        </w:numPr>
        <w:shd w:val="clear" w:color="auto" w:fill="auto"/>
        <w:bidi w:val="0"/>
        <w:spacing w:before="0" w:after="0" w:line="307" w:lineRule="exact"/>
        <w:ind w:left="0" w:right="0" w:firstLine="440"/>
        <w:jc w:val="both"/>
        <w:rPr>
          <w:sz w:val="20"/>
          <w:szCs w:val="20"/>
        </w:rPr>
      </w:pPr>
      <w:bookmarkStart w:id="975" w:name="bookmark975"/>
      <w:bookmarkEnd w:id="975"/>
      <w:r>
        <w:rPr>
          <w:color w:val="000000"/>
          <w:spacing w:val="0"/>
          <w:w w:val="100"/>
          <w:position w:val="0"/>
          <w:sz w:val="20"/>
          <w:szCs w:val="20"/>
        </w:rPr>
        <w:t>财政将贴息资金直接拨付给本公司的，本公司将对应的贴息冲减相关借款费用。</w:t>
      </w:r>
    </w:p>
    <w:p>
      <w:pPr>
        <w:pStyle w:val="Style41"/>
        <w:keepNext w:val="0"/>
        <w:keepLines w:val="0"/>
        <w:widowControl w:val="0"/>
        <w:shd w:val="clear" w:color="auto" w:fill="auto"/>
        <w:bidi w:val="0"/>
        <w:spacing w:before="0" w:after="80" w:line="307" w:lineRule="exact"/>
        <w:ind w:left="0" w:right="0" w:firstLine="440"/>
        <w:jc w:val="both"/>
        <w:rPr>
          <w:sz w:val="20"/>
          <w:szCs w:val="20"/>
        </w:rPr>
      </w:pPr>
      <w:r>
        <w:rPr>
          <w:color w:val="000000"/>
          <w:spacing w:val="0"/>
          <w:w w:val="100"/>
          <w:position w:val="0"/>
          <w:sz w:val="20"/>
          <w:szCs w:val="20"/>
        </w:rPr>
        <w:t>已确认的政府补助需要退回的，在需要退回的当期分以下情况进行会计处理：</w:t>
      </w:r>
    </w:p>
    <w:p>
      <w:pPr>
        <w:pStyle w:val="Style41"/>
        <w:keepNext w:val="0"/>
        <w:keepLines w:val="0"/>
        <w:widowControl w:val="0"/>
        <w:numPr>
          <w:ilvl w:val="0"/>
          <w:numId w:val="85"/>
        </w:numPr>
        <w:shd w:val="clear" w:color="auto" w:fill="auto"/>
        <w:tabs>
          <w:tab w:pos="854" w:val="left"/>
        </w:tabs>
        <w:bidi w:val="0"/>
        <w:spacing w:before="0" w:after="0" w:line="322" w:lineRule="auto"/>
        <w:ind w:left="0" w:right="0" w:firstLine="440"/>
        <w:jc w:val="both"/>
        <w:rPr>
          <w:sz w:val="20"/>
          <w:szCs w:val="20"/>
        </w:rPr>
      </w:pPr>
      <w:bookmarkStart w:id="976" w:name="bookmark976"/>
      <w:bookmarkEnd w:id="976"/>
      <w:r>
        <w:rPr>
          <w:color w:val="000000"/>
          <w:spacing w:val="0"/>
          <w:w w:val="100"/>
          <w:position w:val="0"/>
          <w:sz w:val="20"/>
          <w:szCs w:val="20"/>
        </w:rPr>
        <w:t>初始确认时冲减相关资产账面价值的，调整资产账面价值；</w:t>
      </w:r>
    </w:p>
    <w:p>
      <w:pPr>
        <w:pStyle w:val="Style41"/>
        <w:keepNext w:val="0"/>
        <w:keepLines w:val="0"/>
        <w:widowControl w:val="0"/>
        <w:numPr>
          <w:ilvl w:val="0"/>
          <w:numId w:val="85"/>
        </w:numPr>
        <w:shd w:val="clear" w:color="auto" w:fill="auto"/>
        <w:tabs>
          <w:tab w:pos="854" w:val="left"/>
        </w:tabs>
        <w:bidi w:val="0"/>
        <w:spacing w:before="0" w:after="0" w:line="322" w:lineRule="auto"/>
        <w:ind w:left="0" w:right="0" w:firstLine="440"/>
        <w:jc w:val="both"/>
        <w:rPr>
          <w:sz w:val="20"/>
          <w:szCs w:val="20"/>
        </w:rPr>
      </w:pPr>
      <w:bookmarkStart w:id="977" w:name="bookmark977"/>
      <w:bookmarkEnd w:id="977"/>
      <w:r>
        <w:rPr>
          <w:color w:val="000000"/>
          <w:spacing w:val="0"/>
          <w:w w:val="100"/>
          <w:position w:val="0"/>
          <w:sz w:val="20"/>
          <w:szCs w:val="20"/>
        </w:rPr>
        <w:t>存在相关递延收益的，冲减相关递延收益账面余额，超出部分计入当期损益；</w:t>
      </w:r>
    </w:p>
    <w:p>
      <w:pPr>
        <w:pStyle w:val="Style41"/>
        <w:keepNext w:val="0"/>
        <w:keepLines w:val="0"/>
        <w:widowControl w:val="0"/>
        <w:numPr>
          <w:ilvl w:val="0"/>
          <w:numId w:val="85"/>
        </w:numPr>
        <w:shd w:val="clear" w:color="auto" w:fill="auto"/>
        <w:tabs>
          <w:tab w:pos="854" w:val="left"/>
        </w:tabs>
        <w:bidi w:val="0"/>
        <w:spacing w:before="0" w:after="0" w:line="322" w:lineRule="auto"/>
        <w:ind w:left="0" w:right="0" w:firstLine="440"/>
        <w:jc w:val="both"/>
        <w:rPr>
          <w:sz w:val="20"/>
          <w:szCs w:val="20"/>
        </w:rPr>
      </w:pPr>
      <w:bookmarkStart w:id="978" w:name="bookmark978"/>
      <w:bookmarkEnd w:id="978"/>
      <w:r>
        <w:rPr>
          <w:color w:val="000000"/>
          <w:spacing w:val="0"/>
          <w:w w:val="100"/>
          <w:position w:val="0"/>
          <w:sz w:val="20"/>
          <w:szCs w:val="20"/>
        </w:rPr>
        <w:t>属于其他情况的，直接计入当期损益。</w:t>
      </w:r>
    </w:p>
    <w:p>
      <w:pPr>
        <w:pStyle w:val="Style41"/>
        <w:keepNext w:val="0"/>
        <w:keepLines w:val="0"/>
        <w:widowControl w:val="0"/>
        <w:shd w:val="clear" w:color="auto" w:fill="auto"/>
        <w:bidi w:val="0"/>
        <w:spacing w:before="0" w:after="600" w:line="307" w:lineRule="exact"/>
        <w:ind w:left="0" w:right="0" w:firstLine="440"/>
        <w:jc w:val="both"/>
        <w:rPr>
          <w:sz w:val="20"/>
          <w:szCs w:val="20"/>
        </w:rPr>
      </w:pPr>
      <w:r>
        <w:rPr>
          <w:color w:val="000000"/>
          <w:spacing w:val="0"/>
          <w:w w:val="100"/>
          <w:position w:val="0"/>
          <w:sz w:val="20"/>
          <w:szCs w:val="20"/>
        </w:rPr>
        <w:t>政府补助计入不同损益项目的区分原则为：与本公司日常活动相关的政府补助，按照经济业务实质， 计入其他收益或冲减相关成本费用；与本公司日常活动无关的政府补助，计入营业外收支。</w:t>
      </w:r>
    </w:p>
    <w:p>
      <w:pPr>
        <w:pStyle w:val="Style32"/>
        <w:keepNext/>
        <w:keepLines/>
        <w:widowControl w:val="0"/>
        <w:shd w:val="clear" w:color="auto" w:fill="auto"/>
        <w:bidi w:val="0"/>
        <w:spacing w:before="0" w:after="300" w:line="312" w:lineRule="exact"/>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4</w:t>
      </w:r>
      <w:bookmarkEnd w:id="981"/>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9"/>
      <w:bookmarkEnd w:id="980"/>
      <w:bookmarkEnd w:id="982"/>
    </w:p>
    <w:p>
      <w:pPr>
        <w:pStyle w:val="Style41"/>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.递延所得税资产和递延所得税负债的确认和计量</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本公司根据资产、负债于资产负债表日的账面价值与计税基础之间的暂时性差异，采用资产负债表债 务法确认递延所得税。公司当期所得税和递延所得税作为所得税费用或收益计入当期损益，但不包括下列 情况产生的所得税：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直接在所有者权益中确认的交易或者事项。</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对于可抵扣暂时性差异、能够结转以后年度的可抵扣亏损和税款抵减，公司以很可能取得用来抵扣可 抵扣暂时性差异、可抵扣亏损和税款抵减的未来应纳税所得额为限，确认由此产生的递延所得税资产，除 非该可抵扣暂时性差异是在以下交易中产生的：</w:t>
      </w:r>
    </w:p>
    <w:p>
      <w:pPr>
        <w:pStyle w:val="Style41"/>
        <w:keepNext w:val="0"/>
        <w:keepLines w:val="0"/>
        <w:widowControl w:val="0"/>
        <w:numPr>
          <w:ilvl w:val="0"/>
          <w:numId w:val="87"/>
        </w:numPr>
        <w:shd w:val="clear" w:color="auto" w:fill="auto"/>
        <w:tabs>
          <w:tab w:pos="854" w:val="left"/>
        </w:tabs>
        <w:bidi w:val="0"/>
        <w:spacing w:before="0" w:after="0" w:line="312" w:lineRule="exact"/>
        <w:ind w:left="0" w:right="0" w:firstLine="440"/>
        <w:jc w:val="both"/>
        <w:rPr>
          <w:sz w:val="20"/>
          <w:szCs w:val="20"/>
        </w:rPr>
      </w:pPr>
      <w:bookmarkStart w:id="983" w:name="bookmark983"/>
      <w:bookmarkEnd w:id="983"/>
      <w:r>
        <w:rPr>
          <w:color w:val="000000"/>
          <w:spacing w:val="0"/>
          <w:w w:val="100"/>
          <w:position w:val="0"/>
          <w:sz w:val="20"/>
          <w:szCs w:val="20"/>
        </w:rPr>
        <w:t>该交易不是企业合并，并且交易发生时既不影响会计利润也不影响应纳税所得额；</w:t>
      </w:r>
    </w:p>
    <w:p>
      <w:pPr>
        <w:pStyle w:val="Style41"/>
        <w:keepNext w:val="0"/>
        <w:keepLines w:val="0"/>
        <w:widowControl w:val="0"/>
        <w:numPr>
          <w:ilvl w:val="0"/>
          <w:numId w:val="87"/>
        </w:numPr>
        <w:shd w:val="clear" w:color="auto" w:fill="auto"/>
        <w:tabs>
          <w:tab w:pos="837" w:val="left"/>
        </w:tabs>
        <w:bidi w:val="0"/>
        <w:spacing w:before="0" w:after="0" w:line="312" w:lineRule="exact"/>
        <w:ind w:left="0" w:right="0" w:firstLine="440"/>
        <w:jc w:val="both"/>
        <w:rPr>
          <w:sz w:val="20"/>
          <w:szCs w:val="20"/>
        </w:rPr>
      </w:pPr>
      <w:bookmarkStart w:id="984" w:name="bookmark984"/>
      <w:bookmarkEnd w:id="984"/>
      <w:r>
        <w:rPr>
          <w:color w:val="000000"/>
          <w:spacing w:val="0"/>
          <w:w w:val="100"/>
          <w:position w:val="0"/>
          <w:sz w:val="20"/>
          <w:szCs w:val="20"/>
        </w:rPr>
        <w:t>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各项应纳税暂时性差异均确认相关的递延所得税负债，除非该应纳税暂时性差异是在以下交易中产生 的：</w:t>
      </w:r>
    </w:p>
    <w:p>
      <w:pPr>
        <w:pStyle w:val="Style41"/>
        <w:keepNext w:val="0"/>
        <w:keepLines w:val="0"/>
        <w:widowControl w:val="0"/>
        <w:numPr>
          <w:ilvl w:val="0"/>
          <w:numId w:val="89"/>
        </w:numPr>
        <w:shd w:val="clear" w:color="auto" w:fill="auto"/>
        <w:tabs>
          <w:tab w:pos="832" w:val="left"/>
        </w:tabs>
        <w:bidi w:val="0"/>
        <w:spacing w:before="0" w:after="0" w:line="312" w:lineRule="exact"/>
        <w:ind w:left="0" w:right="0" w:firstLine="440"/>
        <w:jc w:val="both"/>
        <w:rPr>
          <w:sz w:val="20"/>
          <w:szCs w:val="20"/>
        </w:rPr>
      </w:pPr>
      <w:bookmarkStart w:id="985" w:name="bookmark985"/>
      <w:bookmarkEnd w:id="985"/>
      <w:r>
        <w:rPr>
          <w:color w:val="000000"/>
          <w:spacing w:val="0"/>
          <w:w w:val="100"/>
          <w:position w:val="0"/>
          <w:sz w:val="20"/>
          <w:szCs w:val="20"/>
        </w:rPr>
        <w:t>商誉的初始确认，或者具有以下特征的交易中产生的资产或负债的初始确认：该交易不是企业合并， 并且交易发生时既不影响会计利润也不影响应纳税所得额；</w:t>
      </w:r>
    </w:p>
    <w:p>
      <w:pPr>
        <w:pStyle w:val="Style41"/>
        <w:keepNext w:val="0"/>
        <w:keepLines w:val="0"/>
        <w:widowControl w:val="0"/>
        <w:numPr>
          <w:ilvl w:val="0"/>
          <w:numId w:val="89"/>
        </w:numPr>
        <w:shd w:val="clear" w:color="auto" w:fill="auto"/>
        <w:tabs>
          <w:tab w:pos="837" w:val="left"/>
        </w:tabs>
        <w:bidi w:val="0"/>
        <w:spacing w:before="0" w:after="0" w:line="312" w:lineRule="exact"/>
        <w:ind w:left="0" w:right="0" w:firstLine="440"/>
        <w:jc w:val="both"/>
        <w:rPr>
          <w:sz w:val="20"/>
          <w:szCs w:val="20"/>
        </w:rPr>
      </w:pPr>
      <w:bookmarkStart w:id="986" w:name="bookmark986"/>
      <w:bookmarkEnd w:id="986"/>
      <w:r>
        <w:rPr>
          <w:color w:val="000000"/>
          <w:spacing w:val="0"/>
          <w:w w:val="100"/>
          <w:position w:val="0"/>
          <w:sz w:val="20"/>
          <w:szCs w:val="20"/>
        </w:rPr>
        <w:t>对于与子公司、合营企业及联营企业投资相关的应纳税暂时性差异，该暂时性差异转回的时间能够 控制并且该暂时性差异在可预见的未来很可能不会转回。</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根据资产、负债的账面价值与其计税基础之间的差额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未作为资产和负债确认的项目按照税法规定可以 确定其计税基础的，该计税基础与其账面数之间的差额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，按照预期收回该资产或清偿该负债期间的适用税 率计算确认递延所得税资产或递延所得税负债。</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间未确认的递延所得税资产。对递延所得税资产的账面价值进行复核，如果未来期间很可能无法获得足够 的应纳税所得额用以抵扣递延所得税资产的利益，则减记递延所得税资产的账面价值。在很可能获得足够 的应纳税所得额时，转回减记的金额。</w:t>
      </w:r>
    </w:p>
    <w:p>
      <w:pPr>
        <w:pStyle w:val="Style41"/>
        <w:keepNext w:val="0"/>
        <w:keepLines w:val="0"/>
        <w:widowControl w:val="0"/>
        <w:numPr>
          <w:ilvl w:val="0"/>
          <w:numId w:val="91"/>
        </w:numPr>
        <w:shd w:val="clear" w:color="auto" w:fill="auto"/>
        <w:bidi w:val="0"/>
        <w:spacing w:before="0" w:after="0" w:line="312" w:lineRule="exact"/>
        <w:ind w:left="0" w:right="0" w:firstLine="440"/>
        <w:jc w:val="both"/>
        <w:rPr>
          <w:sz w:val="20"/>
          <w:szCs w:val="20"/>
        </w:rPr>
      </w:pPr>
      <w:bookmarkStart w:id="987" w:name="bookmark987"/>
      <w:bookmarkEnd w:id="987"/>
      <w:r>
        <w:rPr>
          <w:color w:val="000000"/>
          <w:spacing w:val="0"/>
          <w:w w:val="100"/>
          <w:position w:val="0"/>
          <w:sz w:val="20"/>
          <w:szCs w:val="20"/>
        </w:rPr>
        <w:t>当拥有以净额结算的法定权利，且意图以净额结算或取得资产、清偿负债同时进行时，本公司当 期所得税资产及当期所得税负债以抵销后的净额列报。</w:t>
      </w:r>
    </w:p>
    <w:p>
      <w:pPr>
        <w:pStyle w:val="Style41"/>
        <w:keepNext w:val="0"/>
        <w:keepLines w:val="0"/>
        <w:widowControl w:val="0"/>
        <w:shd w:val="clear" w:color="auto" w:fill="auto"/>
        <w:bidi w:val="0"/>
        <w:spacing w:before="0" w:after="0" w:line="312" w:lineRule="exact"/>
        <w:ind w:left="0" w:right="0" w:firstLine="360"/>
        <w:jc w:val="left"/>
        <w:rPr>
          <w:sz w:val="20"/>
          <w:szCs w:val="20"/>
        </w:rPr>
      </w:pPr>
      <w:r>
        <w:rPr>
          <w:color w:val="000000"/>
          <w:spacing w:val="0"/>
          <w:w w:val="100"/>
          <w:position w:val="0"/>
          <w:sz w:val="20"/>
          <w:szCs w:val="2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32"/>
        <w:keepNext/>
        <w:keepLines/>
        <w:widowControl w:val="0"/>
        <w:shd w:val="clear" w:color="auto" w:fill="auto"/>
        <w:bidi w:val="0"/>
        <w:spacing w:before="0" w:after="280" w:line="314" w:lineRule="exact"/>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4</w:t>
      </w:r>
      <w:bookmarkEnd w:id="990"/>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988"/>
      <w:bookmarkEnd w:id="989"/>
      <w:bookmarkEnd w:id="991"/>
    </w:p>
    <w:p>
      <w:pPr>
        <w:pStyle w:val="Style32"/>
        <w:keepNext/>
        <w:keepLines/>
        <w:widowControl w:val="0"/>
        <w:shd w:val="clear" w:color="auto" w:fill="auto"/>
        <w:bidi w:val="0"/>
        <w:spacing w:before="0" w:after="280" w:line="314" w:lineRule="exact"/>
        <w:ind w:left="0" w:right="0" w:firstLine="0"/>
        <w:jc w:val="left"/>
      </w:pPr>
      <w:bookmarkStart w:id="988" w:name="bookmark988"/>
      <w:bookmarkStart w:id="989" w:name="bookmark989"/>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8"/>
      <w:bookmarkEnd w:id="989"/>
      <w:bookmarkEnd w:id="993"/>
    </w:p>
    <w:p>
      <w:pPr>
        <w:pStyle w:val="Style41"/>
        <w:keepNext w:val="0"/>
        <w:keepLines w:val="0"/>
        <w:widowControl w:val="0"/>
        <w:shd w:val="clear" w:color="auto" w:fill="auto"/>
        <w:bidi w:val="0"/>
        <w:spacing w:before="0" w:after="600" w:line="314" w:lineRule="exact"/>
        <w:ind w:left="0" w:right="0" w:firstLine="440"/>
        <w:jc w:val="both"/>
        <w:rPr>
          <w:sz w:val="20"/>
          <w:szCs w:val="20"/>
        </w:rPr>
      </w:pPr>
      <w:r>
        <w:rPr>
          <w:color w:val="000000"/>
          <w:spacing w:val="0"/>
          <w:w w:val="100"/>
          <w:position w:val="0"/>
          <w:sz w:val="20"/>
          <w:szCs w:val="20"/>
        </w:rPr>
        <w:t>经营租赁的租赁收款额在租赁期内各个期间按照直线法确认为租金收入。本公司将发生的与经营租赁 有关的初始直接费用予以资本化，在租赁期内按照与租金收入确认相同的基础分摊计入当期损益。未计入 租赁收款额的可变租赁付款额在实际发生时计入当期损益。</w:t>
      </w:r>
    </w:p>
    <w:p>
      <w:pPr>
        <w:pStyle w:val="Style32"/>
        <w:keepNext/>
        <w:keepLines/>
        <w:widowControl w:val="0"/>
        <w:shd w:val="clear" w:color="auto" w:fill="auto"/>
        <w:bidi w:val="0"/>
        <w:spacing w:before="0" w:after="280" w:line="316" w:lineRule="exact"/>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94"/>
      <w:bookmarkEnd w:id="995"/>
      <w:bookmarkEnd w:id="997"/>
    </w:p>
    <w:p>
      <w:pPr>
        <w:pStyle w:val="Style41"/>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在租赁开始日，本公司对融资租赁确认应收融资租赁款，并终止确认融资租赁资产。本公司对应收融 资租赁款进行初始计量时，将租赁投资净额作为应收融资租赁款的入账价值。租赁投资净额为未担保余值 和租赁期开始日尚未收到的租赁收款额按照租赁内含利率折现的现值之和。</w:t>
      </w:r>
    </w:p>
    <w:p>
      <w:pPr>
        <w:pStyle w:val="Style41"/>
        <w:keepNext w:val="0"/>
        <w:keepLines w:val="0"/>
        <w:widowControl w:val="0"/>
        <w:shd w:val="clear" w:color="auto" w:fill="auto"/>
        <w:bidi w:val="0"/>
        <w:spacing w:before="0" w:after="920" w:line="316" w:lineRule="exact"/>
        <w:ind w:left="0" w:right="0" w:firstLine="440"/>
        <w:jc w:val="both"/>
        <w:rPr>
          <w:sz w:val="20"/>
          <w:szCs w:val="20"/>
        </w:rPr>
      </w:pPr>
      <w:r>
        <w:rPr>
          <w:color w:val="000000"/>
          <w:spacing w:val="0"/>
          <w:w w:val="100"/>
          <w:position w:val="0"/>
          <w:sz w:val="20"/>
          <w:szCs w:val="20"/>
        </w:rPr>
        <w:t>本公司按照固定的周期性利率计算并确认租赁期内各个期间的利息收入。应收融资租赁款的终止确认 和减值按照本附注三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十广金融工具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进行会计处理。未纳入租赁投资净额计量的可变租赁付款额在实际发 生时计入当期损益。</w:t>
      </w:r>
    </w:p>
    <w:p>
      <w:pPr>
        <w:pStyle w:val="Style32"/>
        <w:keepNext/>
        <w:keepLines/>
        <w:widowControl w:val="0"/>
        <w:shd w:val="clear" w:color="auto" w:fill="auto"/>
        <w:bidi w:val="0"/>
        <w:spacing w:before="0" w:after="280" w:line="313" w:lineRule="exact"/>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4</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01"/>
      <w:bookmarkEnd w:id="998"/>
      <w:bookmarkEnd w:id="999"/>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本公司在运用会计政策过程中，由于经营活动内在的不确定性，本公司需要对无法准确计量的报表项 目的账面价值进行判断、估计和假设。这些判断、估计和假设是基于本公司管理层过去的历史经验，并在 考虑其他相关因素的基础上做出的。这些判断、估计和假设会影响收入、费用、资产和负债的报告金额以 及资产负债表日或有负债的披露。然而，这些估计的不确定性所导致的实际结果可能与本公司管理层当前 的估计存在差异，进而造成对未来受影响的资产或负债的账面金额进行重大调整。本公司对前述判断、估 计和假设在持续经营的基础上进行定期复核，会计估计的变更仅影响变更当期的，其影响数在变更当期予 以确认；既影响变更当期又影响未来期间的，其影响数在变更当期和未来期间予以确认。于资产负债表日， 本公司需对财务报表项目金额进行判断、估计和假设的重要领域如下：</w:t>
      </w:r>
    </w:p>
    <w:p>
      <w:pPr>
        <w:pStyle w:val="Style41"/>
        <w:keepNext w:val="0"/>
        <w:keepLines w:val="0"/>
        <w:widowControl w:val="0"/>
        <w:numPr>
          <w:ilvl w:val="0"/>
          <w:numId w:val="93"/>
        </w:numPr>
        <w:shd w:val="clear" w:color="auto" w:fill="auto"/>
        <w:bidi w:val="0"/>
        <w:spacing w:before="0" w:after="0" w:line="313" w:lineRule="exact"/>
        <w:ind w:left="0" w:right="0" w:firstLine="440"/>
        <w:jc w:val="both"/>
        <w:rPr>
          <w:sz w:val="20"/>
          <w:szCs w:val="20"/>
        </w:rPr>
      </w:pPr>
      <w:bookmarkStart w:id="1002" w:name="bookmark1002"/>
      <w:bookmarkEnd w:id="1002"/>
      <w:r>
        <w:rPr>
          <w:color w:val="000000"/>
          <w:spacing w:val="0"/>
          <w:w w:val="100"/>
          <w:position w:val="0"/>
          <w:sz w:val="20"/>
          <w:szCs w:val="20"/>
        </w:rPr>
        <w:t>金融工具的减值</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本公司采用预期信用损失模型对以摊余成本计量的应收款项及债权投资、合同资产、以公允价值计量 且其变动计入其他综合收益的应收款项融资及其他债权投资等的减值进行评估。运用预期信用损失模型涉 及管理层的重大判断和估计。预期信用损失计量的关键参数包括违约概率、违约损失率和违约风险敞口。 本公司考虑历史统计数据的定量分析及前瞻性信息，建立违约概率、违约损失率及违约风险敞口模型。实 际的金融工具减值结果与原先估计的差异将在估计被改变的期间影响金融工具的账面价值及信用减值损 失的计提或转回。</w:t>
      </w:r>
    </w:p>
    <w:p>
      <w:pPr>
        <w:pStyle w:val="Style41"/>
        <w:keepNext w:val="0"/>
        <w:keepLines w:val="0"/>
        <w:widowControl w:val="0"/>
        <w:numPr>
          <w:ilvl w:val="0"/>
          <w:numId w:val="33"/>
        </w:numPr>
        <w:shd w:val="clear" w:color="auto" w:fill="auto"/>
        <w:tabs>
          <w:tab w:pos="680" w:val="left"/>
        </w:tabs>
        <w:bidi w:val="0"/>
        <w:spacing w:before="0" w:after="0" w:line="313" w:lineRule="exact"/>
        <w:ind w:left="0" w:right="0" w:firstLine="440"/>
        <w:jc w:val="both"/>
        <w:rPr>
          <w:sz w:val="20"/>
          <w:szCs w:val="20"/>
        </w:rPr>
      </w:pPr>
      <w:bookmarkStart w:id="1003" w:name="bookmark1003"/>
      <w:bookmarkEnd w:id="1003"/>
      <w:r>
        <w:rPr>
          <w:color w:val="000000"/>
          <w:spacing w:val="0"/>
          <w:w w:val="100"/>
          <w:position w:val="0"/>
          <w:sz w:val="20"/>
          <w:szCs w:val="20"/>
        </w:rPr>
        <w:t>.存货跌价准备</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41"/>
        <w:keepNext w:val="0"/>
        <w:keepLines w:val="0"/>
        <w:widowControl w:val="0"/>
        <w:numPr>
          <w:ilvl w:val="0"/>
          <w:numId w:val="33"/>
        </w:numPr>
        <w:shd w:val="clear" w:color="auto" w:fill="auto"/>
        <w:tabs>
          <w:tab w:pos="680" w:val="left"/>
        </w:tabs>
        <w:bidi w:val="0"/>
        <w:spacing w:before="0" w:after="0" w:line="313" w:lineRule="exact"/>
        <w:ind w:left="0" w:right="0" w:firstLine="440"/>
        <w:jc w:val="both"/>
        <w:rPr>
          <w:sz w:val="20"/>
          <w:szCs w:val="20"/>
        </w:rPr>
      </w:pPr>
      <w:bookmarkStart w:id="1004" w:name="bookmark1004"/>
      <w:bookmarkEnd w:id="1004"/>
      <w:r>
        <w:rPr>
          <w:color w:val="000000"/>
          <w:spacing w:val="0"/>
          <w:w w:val="100"/>
          <w:position w:val="0"/>
          <w:sz w:val="20"/>
          <w:szCs w:val="20"/>
        </w:rPr>
        <w:t>.非金融非流动资产减值</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 xml:space="preserve">本公司于资产负债表日对除金融资产之外的非流动资产判断是否存在可能发生减值的迹象。对使用寿 </w:t>
      </w:r>
      <w:r>
        <w:rPr>
          <w:color w:val="000000"/>
          <w:spacing w:val="0"/>
          <w:w w:val="100"/>
          <w:position w:val="0"/>
          <w:sz w:val="20"/>
          <w:szCs w:val="20"/>
        </w:rPr>
        <w:t>命不确定的无形资产，除每年进行的减值测试外，当其存在减值迹象时，也进行减值测试。其他除金融资 产之外的非流动资产，当存在迹象表明其账面金额不可收回时，进行减值测试。</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当资产或资产组的账面价值高于可收回金额，即公允价值减去处置费用后的净额和预计未来现金流量 的现值中的较高者，表明发生了减值。</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公允价值减去处置费用后的净额，参考公平交易中类似资产的销售协议价格或可观察到的市场价格， 减去可直接归属于该资产处置的增量成本确定。在预计未来现金流量现值时，需要对该资产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或资产组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 产量、售价、相关经营成本以及计算现值时使用的折现率等作出重大判断。本公司在估计可收回金额时会 采用所有能够获得的相关资料，包括根据合理和可支持的假设所作出有关产量、售价和相关经营成本的预 测。</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本公司至少每年评估商誉是否发生减值，要求对分配了商誉的资产组的使用价值进行估计。估计使用 价值时，本公司需要估计未来来自资产组的现金流量，同时选择恰当的折现率计算未来现金流量的现值。</w:t>
      </w:r>
    </w:p>
    <w:p>
      <w:pPr>
        <w:pStyle w:val="Style41"/>
        <w:keepNext w:val="0"/>
        <w:keepLines w:val="0"/>
        <w:widowControl w:val="0"/>
        <w:numPr>
          <w:ilvl w:val="0"/>
          <w:numId w:val="79"/>
        </w:numPr>
        <w:shd w:val="clear" w:color="auto" w:fill="auto"/>
        <w:bidi w:val="0"/>
        <w:spacing w:before="0" w:after="0" w:line="326" w:lineRule="auto"/>
        <w:ind w:left="0" w:right="0" w:firstLine="440"/>
        <w:jc w:val="both"/>
        <w:rPr>
          <w:sz w:val="20"/>
          <w:szCs w:val="20"/>
        </w:rPr>
      </w:pPr>
      <w:bookmarkStart w:id="1005" w:name="bookmark1005"/>
      <w:bookmarkEnd w:id="1005"/>
      <w:r>
        <w:rPr>
          <w:color w:val="000000"/>
          <w:spacing w:val="0"/>
          <w:w w:val="100"/>
          <w:position w:val="0"/>
          <w:sz w:val="20"/>
          <w:szCs w:val="20"/>
        </w:rPr>
        <w:t>折旧和摊销</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本公司对固定资产和无形资产在考虑其残值后，在使用寿命内按直线法计提折旧和摊销。本公司定期 复核使用寿命，以决定将计入每个报告期的折旧和摊销费用数额。使用寿命是本公司根据对同类资产的以 往经验并结合预期的技术更新而确定的。如果以前的估计发生重大变化，则会在未来期间对折旧和摊销费 用进行调整。</w:t>
      </w:r>
    </w:p>
    <w:p>
      <w:pPr>
        <w:pStyle w:val="Style41"/>
        <w:keepNext w:val="0"/>
        <w:keepLines w:val="0"/>
        <w:widowControl w:val="0"/>
        <w:numPr>
          <w:ilvl w:val="0"/>
          <w:numId w:val="95"/>
        </w:numPr>
        <w:shd w:val="clear" w:color="auto" w:fill="auto"/>
        <w:tabs>
          <w:tab w:pos="690" w:val="left"/>
        </w:tabs>
        <w:bidi w:val="0"/>
        <w:spacing w:before="0" w:after="0" w:line="326" w:lineRule="auto"/>
        <w:ind w:left="0" w:right="0" w:firstLine="440"/>
        <w:jc w:val="both"/>
        <w:rPr>
          <w:sz w:val="20"/>
          <w:szCs w:val="20"/>
        </w:rPr>
      </w:pPr>
      <w:bookmarkStart w:id="1006" w:name="bookmark1006"/>
      <w:bookmarkEnd w:id="1006"/>
      <w:r>
        <w:rPr>
          <w:color w:val="000000"/>
          <w:spacing w:val="0"/>
          <w:w w:val="100"/>
          <w:position w:val="0"/>
          <w:sz w:val="20"/>
          <w:szCs w:val="20"/>
        </w:rPr>
        <w:t>.递延所得税资产</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41"/>
        <w:keepNext w:val="0"/>
        <w:keepLines w:val="0"/>
        <w:widowControl w:val="0"/>
        <w:numPr>
          <w:ilvl w:val="0"/>
          <w:numId w:val="95"/>
        </w:numPr>
        <w:shd w:val="clear" w:color="auto" w:fill="auto"/>
        <w:tabs>
          <w:tab w:pos="700" w:val="left"/>
        </w:tabs>
        <w:bidi w:val="0"/>
        <w:spacing w:before="0" w:after="0" w:line="326" w:lineRule="auto"/>
        <w:ind w:left="0" w:right="0" w:firstLine="440"/>
        <w:jc w:val="both"/>
        <w:rPr>
          <w:sz w:val="20"/>
          <w:szCs w:val="20"/>
        </w:rPr>
      </w:pPr>
      <w:bookmarkStart w:id="1007" w:name="bookmark1007"/>
      <w:bookmarkEnd w:id="1007"/>
      <w:r>
        <w:rPr>
          <w:color w:val="000000"/>
          <w:spacing w:val="0"/>
          <w:w w:val="100"/>
          <w:position w:val="0"/>
          <w:sz w:val="20"/>
          <w:szCs w:val="20"/>
        </w:rPr>
        <w:t>.所得税</w:t>
      </w:r>
    </w:p>
    <w:p>
      <w:pPr>
        <w:pStyle w:val="Style41"/>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41"/>
        <w:keepNext w:val="0"/>
        <w:keepLines w:val="0"/>
        <w:widowControl w:val="0"/>
        <w:numPr>
          <w:ilvl w:val="0"/>
          <w:numId w:val="37"/>
        </w:numPr>
        <w:shd w:val="clear" w:color="auto" w:fill="auto"/>
        <w:bidi w:val="0"/>
        <w:spacing w:before="0" w:after="0" w:line="326" w:lineRule="auto"/>
        <w:ind w:left="0" w:right="0" w:firstLine="440"/>
        <w:jc w:val="both"/>
        <w:rPr>
          <w:sz w:val="20"/>
          <w:szCs w:val="20"/>
        </w:rPr>
      </w:pPr>
      <w:bookmarkStart w:id="1008" w:name="bookmark1008"/>
      <w:bookmarkEnd w:id="1008"/>
      <w:r>
        <w:rPr>
          <w:color w:val="000000"/>
          <w:spacing w:val="0"/>
          <w:w w:val="100"/>
          <w:position w:val="0"/>
          <w:sz w:val="20"/>
          <w:szCs w:val="20"/>
        </w:rPr>
        <w:t>公允价值计量</w:t>
      </w:r>
    </w:p>
    <w:p>
      <w:pPr>
        <w:pStyle w:val="Style41"/>
        <w:keepNext w:val="0"/>
        <w:keepLines w:val="0"/>
        <w:widowControl w:val="0"/>
        <w:shd w:val="clear" w:color="auto" w:fill="auto"/>
        <w:bidi w:val="0"/>
        <w:spacing w:before="0" w:after="660" w:line="313" w:lineRule="exact"/>
        <w:ind w:left="0" w:right="0" w:firstLine="0"/>
        <w:jc w:val="both"/>
        <w:rPr>
          <w:sz w:val="20"/>
          <w:szCs w:val="20"/>
        </w:rPr>
      </w:pPr>
      <w:r>
        <w:rPr>
          <w:color w:val="000000"/>
          <w:spacing w:val="0"/>
          <w:w w:val="100"/>
          <w:position w:val="0"/>
          <w:sz w:val="20"/>
          <w:szCs w:val="20"/>
        </w:rPr>
        <w:t>本公司的某些资产和负债在财务报表中按公允价值计量。在对某项资产或负债的公允价值作出估计时，本 公司采用可获得的可观察市场数据；如果无法获得第一层次输入值，则聘用第三方有资质的评估机构进行 估值，在此过程中本公司管理层与其紧密合作，以确定适当的估值技术和相关模型的输入值。在确定各类 资产和负债的公允价值的过程中所采用的估值技术和输入值的相关信息在附注三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公允价值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披露。</w:t>
      </w:r>
    </w:p>
    <w:p>
      <w:pPr>
        <w:pStyle w:val="Style32"/>
        <w:keepNext/>
        <w:keepLines/>
        <w:widowControl w:val="0"/>
        <w:shd w:val="clear" w:color="auto" w:fill="auto"/>
        <w:bidi w:val="0"/>
        <w:spacing w:before="0" w:line="24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09"/>
      <w:bookmarkEnd w:id="1010"/>
      <w:bookmarkEnd w:id="1012"/>
    </w:p>
    <w:p>
      <w:pPr>
        <w:pStyle w:val="Style32"/>
        <w:keepNext/>
        <w:keepLines/>
        <w:widowControl w:val="0"/>
        <w:shd w:val="clear" w:color="auto" w:fill="auto"/>
        <w:bidi w:val="0"/>
        <w:spacing w:before="0" w:line="240" w:lineRule="auto"/>
        <w:ind w:left="0" w:right="0" w:firstLine="0"/>
        <w:jc w:val="both"/>
      </w:pPr>
      <w:bookmarkStart w:id="1009" w:name="bookmark1009"/>
      <w:bookmarkStart w:id="1010" w:name="bookmark1010"/>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9"/>
      <w:bookmarkEnd w:id="1010"/>
      <w:bookmarkEnd w:id="101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日发布《企业 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rFonts w:ascii="Times New Roman" w:eastAsia="Times New Roman" w:hAnsi="Times New Roman" w:cs="Times New Roman"/>
                <w:color w:val="000000"/>
                <w:spacing w:val="0"/>
                <w:w w:val="100"/>
                <w:position w:val="0"/>
              </w:rPr>
              <w:t>（2018</w:t>
            </w:r>
            <w:r>
              <w:rPr>
                <w:color w:val="000000"/>
                <w:spacing w:val="0"/>
                <w:w w:val="100"/>
                <w:position w:val="0"/>
              </w:rPr>
              <w:t>修订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财 会</w:t>
            </w:r>
            <w:r>
              <w:rPr>
                <w:rFonts w:ascii="Times New Roman" w:eastAsia="Times New Roman" w:hAnsi="Times New Roman" w:cs="Times New Roman"/>
                <w:color w:val="000000"/>
                <w:spacing w:val="0"/>
                <w:w w:val="100"/>
                <w:position w:val="0"/>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 准则。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本次变更经公司第四届董事会第九次审 议通过。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07"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新租赁准则完善了租赁的定义，本公司在新租赁准则下根据租赁的定义评估合同是否为租赁或者 包含租赁。对于首次执行日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前已存在的合同，本公司在首次执行日选择不重新评估其是</w:t>
      </w:r>
    </w:p>
    <w:p>
      <w:pPr>
        <w:pStyle w:val="Style41"/>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否为租赁或者包含租赁。</w:t>
      </w:r>
    </w:p>
    <w:p>
      <w:pPr>
        <w:pStyle w:val="Style41"/>
        <w:keepNext w:val="0"/>
        <w:keepLines w:val="0"/>
        <w:widowControl w:val="0"/>
        <w:shd w:val="clear" w:color="auto" w:fill="auto"/>
        <w:tabs>
          <w:tab w:pos="866" w:val="left"/>
        </w:tabs>
        <w:bidi w:val="0"/>
        <w:spacing w:before="0" w:after="0" w:line="316" w:lineRule="exact"/>
        <w:ind w:left="0" w:right="0" w:firstLine="440"/>
        <w:jc w:val="left"/>
        <w:rPr>
          <w:sz w:val="20"/>
          <w:szCs w:val="20"/>
        </w:rPr>
      </w:pPr>
      <w:bookmarkStart w:id="1015" w:name="bookmark1015"/>
      <w:r>
        <w:rPr>
          <w:rFonts w:ascii="Times New Roman" w:eastAsia="Times New Roman" w:hAnsi="Times New Roman" w:cs="Times New Roman"/>
          <w:color w:val="000000"/>
          <w:spacing w:val="0"/>
          <w:w w:val="100"/>
          <w:position w:val="0"/>
          <w:sz w:val="20"/>
          <w:szCs w:val="20"/>
        </w:rPr>
        <w:t>（</w:t>
      </w:r>
      <w:bookmarkEnd w:id="1015"/>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本公司作为承租人</w:t>
      </w:r>
    </w:p>
    <w:p>
      <w:pPr>
        <w:pStyle w:val="Style41"/>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原租赁准则下，本公司根据租赁是否实质上将与资产所有权有关的全部风险和报酬转移给本公司，将 租赁分为融资租赁和经营租赁。</w:t>
      </w:r>
    </w:p>
    <w:p>
      <w:pPr>
        <w:pStyle w:val="Style41"/>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新租赁准则下，本公司不再区分融资租赁与经营租赁，对所有租赁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选择简化处理方法的短期租赁和低 价值资产租赁除外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确认使用权资产和租赁负债。</w:t>
      </w:r>
    </w:p>
    <w:p>
      <w:pPr>
        <w:pStyle w:val="Style41"/>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本公司选择根据首次执行新租赁准则的累积影响数，调整首次执行新租赁准则当年年初留存收益及财 务报表其他相关项目金额，不调整可比期间信息。</w:t>
      </w:r>
    </w:p>
    <w:p>
      <w:pPr>
        <w:pStyle w:val="Style41"/>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对于首次执行日前的经营租赁，本公司在首次执行日根据剩余租赁付款额按首次执行日本公司增量借 款利率折现的现值计量租赁负债，按照与租赁负债相等的金额计量使用权资产，并根据预付租金进行必要 调整。本公司在应用上述方法的同时根据每项租赁选择采用下列一项或多项简化处理：</w:t>
      </w:r>
    </w:p>
    <w:p>
      <w:pPr>
        <w:pStyle w:val="Style41"/>
        <w:keepNext w:val="0"/>
        <w:keepLines w:val="0"/>
        <w:widowControl w:val="0"/>
        <w:shd w:val="clear" w:color="auto" w:fill="auto"/>
        <w:tabs>
          <w:tab w:pos="784" w:val="left"/>
        </w:tabs>
        <w:bidi w:val="0"/>
        <w:spacing w:before="0" w:after="0" w:line="316" w:lineRule="exact"/>
        <w:ind w:left="0" w:right="0" w:firstLine="440"/>
        <w:jc w:val="both"/>
        <w:rPr>
          <w:sz w:val="20"/>
          <w:szCs w:val="20"/>
        </w:rPr>
      </w:pPr>
      <w:bookmarkStart w:id="1016" w:name="bookmark1016"/>
      <w:r>
        <w:rPr>
          <w:rFonts w:ascii="Times New Roman" w:eastAsia="Times New Roman" w:hAnsi="Times New Roman" w:cs="Times New Roman"/>
          <w:color w:val="000000"/>
          <w:spacing w:val="0"/>
          <w:w w:val="100"/>
          <w:position w:val="0"/>
          <w:sz w:val="20"/>
          <w:szCs w:val="20"/>
        </w:rPr>
        <w:t>1</w:t>
      </w:r>
      <w:bookmarkEnd w:id="101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对将于首次执行日后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个月内完成的租赁作为短期租赁处理；</w:t>
      </w:r>
    </w:p>
    <w:p>
      <w:pPr>
        <w:pStyle w:val="Style41"/>
        <w:keepNext w:val="0"/>
        <w:keepLines w:val="0"/>
        <w:widowControl w:val="0"/>
        <w:shd w:val="clear" w:color="auto" w:fill="auto"/>
        <w:tabs>
          <w:tab w:pos="803" w:val="left"/>
        </w:tabs>
        <w:bidi w:val="0"/>
        <w:spacing w:before="0" w:after="0" w:line="316" w:lineRule="exact"/>
        <w:ind w:left="0" w:right="0" w:firstLine="440"/>
        <w:jc w:val="both"/>
        <w:rPr>
          <w:sz w:val="20"/>
          <w:szCs w:val="20"/>
        </w:rPr>
      </w:pPr>
      <w:bookmarkStart w:id="1017" w:name="bookmark1017"/>
      <w:r>
        <w:rPr>
          <w:rFonts w:ascii="Times New Roman" w:eastAsia="Times New Roman" w:hAnsi="Times New Roman" w:cs="Times New Roman"/>
          <w:color w:val="000000"/>
          <w:spacing w:val="0"/>
          <w:w w:val="100"/>
          <w:position w:val="0"/>
          <w:sz w:val="20"/>
          <w:szCs w:val="20"/>
        </w:rPr>
        <w:t>2</w:t>
      </w:r>
      <w:bookmarkEnd w:id="101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计量租赁负债时，对具有相似特征的租赁采用同一折现率；</w:t>
      </w:r>
    </w:p>
    <w:p>
      <w:pPr>
        <w:pStyle w:val="Style41"/>
        <w:keepNext w:val="0"/>
        <w:keepLines w:val="0"/>
        <w:widowControl w:val="0"/>
        <w:shd w:val="clear" w:color="auto" w:fill="auto"/>
        <w:tabs>
          <w:tab w:pos="803" w:val="left"/>
        </w:tabs>
        <w:bidi w:val="0"/>
        <w:spacing w:before="0" w:after="0" w:line="316" w:lineRule="exact"/>
        <w:ind w:left="0" w:right="0" w:firstLine="440"/>
        <w:jc w:val="both"/>
        <w:rPr>
          <w:sz w:val="20"/>
          <w:szCs w:val="20"/>
        </w:rPr>
      </w:pPr>
      <w:bookmarkStart w:id="1018" w:name="bookmark1018"/>
      <w:r>
        <w:rPr>
          <w:rFonts w:ascii="Times New Roman" w:eastAsia="Times New Roman" w:hAnsi="Times New Roman" w:cs="Times New Roman"/>
          <w:color w:val="000000"/>
          <w:spacing w:val="0"/>
          <w:w w:val="100"/>
          <w:position w:val="0"/>
          <w:sz w:val="20"/>
          <w:szCs w:val="20"/>
        </w:rPr>
        <w:t>3</w:t>
      </w:r>
      <w:bookmarkEnd w:id="101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使用权资产的计量不包含初始直接费用；</w:t>
      </w:r>
    </w:p>
    <w:p>
      <w:pPr>
        <w:pStyle w:val="Style41"/>
        <w:keepNext w:val="0"/>
        <w:keepLines w:val="0"/>
        <w:widowControl w:val="0"/>
        <w:shd w:val="clear" w:color="auto" w:fill="auto"/>
        <w:tabs>
          <w:tab w:pos="781" w:val="left"/>
        </w:tabs>
        <w:bidi w:val="0"/>
        <w:spacing w:before="0" w:after="0" w:line="316" w:lineRule="exact"/>
        <w:ind w:left="0" w:right="0" w:firstLine="440"/>
        <w:jc w:val="both"/>
        <w:rPr>
          <w:sz w:val="20"/>
          <w:szCs w:val="20"/>
        </w:rPr>
      </w:pPr>
      <w:bookmarkStart w:id="1019" w:name="bookmark1019"/>
      <w:r>
        <w:rPr>
          <w:rFonts w:ascii="Times New Roman" w:eastAsia="Times New Roman" w:hAnsi="Times New Roman" w:cs="Times New Roman"/>
          <w:color w:val="000000"/>
          <w:spacing w:val="0"/>
          <w:w w:val="100"/>
          <w:position w:val="0"/>
          <w:sz w:val="20"/>
          <w:szCs w:val="20"/>
        </w:rPr>
        <w:t>4</w:t>
      </w:r>
      <w:bookmarkEnd w:id="101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存在续租选择权或终止租赁选择权的，根据首次执行日前选择权的实际行使及其他最新情况确定租 赁期；</w:t>
      </w:r>
    </w:p>
    <w:p>
      <w:pPr>
        <w:pStyle w:val="Style41"/>
        <w:keepNext w:val="0"/>
        <w:keepLines w:val="0"/>
        <w:widowControl w:val="0"/>
        <w:shd w:val="clear" w:color="auto" w:fill="auto"/>
        <w:tabs>
          <w:tab w:pos="786" w:val="left"/>
        </w:tabs>
        <w:bidi w:val="0"/>
        <w:spacing w:before="0" w:after="0" w:line="316" w:lineRule="exact"/>
        <w:ind w:left="0" w:right="0" w:firstLine="440"/>
        <w:jc w:val="both"/>
        <w:rPr>
          <w:sz w:val="20"/>
          <w:szCs w:val="20"/>
        </w:rPr>
      </w:pPr>
      <w:bookmarkStart w:id="1020" w:name="bookmark1020"/>
      <w:r>
        <w:rPr>
          <w:rFonts w:ascii="Times New Roman" w:eastAsia="Times New Roman" w:hAnsi="Times New Roman" w:cs="Times New Roman"/>
          <w:color w:val="000000"/>
          <w:spacing w:val="0"/>
          <w:w w:val="100"/>
          <w:position w:val="0"/>
          <w:sz w:val="20"/>
          <w:szCs w:val="20"/>
        </w:rPr>
        <w:t>5</w:t>
      </w:r>
      <w:bookmarkEnd w:id="102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作为使用权资产减值测试的替代，根据《企业会计准则第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号——或有事项》评估包含租赁的合同 在首次执行日前是否为亏损合同，并根据首次执行日前计入资产负债表的亏损准备金额调整使用权资产；</w:t>
      </w:r>
    </w:p>
    <w:p>
      <w:pPr>
        <w:pStyle w:val="Style41"/>
        <w:keepNext w:val="0"/>
        <w:keepLines w:val="0"/>
        <w:widowControl w:val="0"/>
        <w:shd w:val="clear" w:color="auto" w:fill="auto"/>
        <w:tabs>
          <w:tab w:pos="781" w:val="left"/>
        </w:tabs>
        <w:bidi w:val="0"/>
        <w:spacing w:before="0" w:after="0" w:line="316" w:lineRule="exact"/>
        <w:ind w:left="0" w:right="0" w:firstLine="440"/>
        <w:jc w:val="both"/>
        <w:rPr>
          <w:sz w:val="20"/>
          <w:szCs w:val="20"/>
        </w:rPr>
      </w:pPr>
      <w:bookmarkStart w:id="1021" w:name="bookmark1021"/>
      <w:r>
        <w:rPr>
          <w:rFonts w:ascii="Times New Roman" w:eastAsia="Times New Roman" w:hAnsi="Times New Roman" w:cs="Times New Roman"/>
          <w:color w:val="000000"/>
          <w:spacing w:val="0"/>
          <w:w w:val="100"/>
          <w:position w:val="0"/>
          <w:sz w:val="20"/>
          <w:szCs w:val="20"/>
        </w:rPr>
        <w:t>6</w:t>
      </w:r>
      <w:bookmarkEnd w:id="102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对首次执行新租赁准则当年年初之前发生的租赁变更，不进行追溯调整，根据租赁变更的最终安排， 按照新租赁准则进行会计处理。</w:t>
      </w:r>
    </w:p>
    <w:p>
      <w:pPr>
        <w:pStyle w:val="Style41"/>
        <w:keepNext w:val="0"/>
        <w:keepLines w:val="0"/>
        <w:widowControl w:val="0"/>
        <w:shd w:val="clear" w:color="auto" w:fill="auto"/>
        <w:tabs>
          <w:tab w:pos="866" w:val="left"/>
        </w:tabs>
        <w:bidi w:val="0"/>
        <w:spacing w:before="0" w:after="0" w:line="316" w:lineRule="exact"/>
        <w:ind w:left="0" w:right="0" w:firstLine="440"/>
        <w:jc w:val="left"/>
        <w:rPr>
          <w:sz w:val="20"/>
          <w:szCs w:val="20"/>
        </w:rPr>
      </w:pPr>
      <w:bookmarkStart w:id="1022" w:name="bookmark1022"/>
      <w:r>
        <w:rPr>
          <w:rFonts w:ascii="Times New Roman" w:eastAsia="Times New Roman" w:hAnsi="Times New Roman" w:cs="Times New Roman"/>
          <w:color w:val="000000"/>
          <w:spacing w:val="0"/>
          <w:w w:val="100"/>
          <w:position w:val="0"/>
          <w:sz w:val="20"/>
          <w:szCs w:val="20"/>
        </w:rPr>
        <w:t>（</w:t>
      </w:r>
      <w:bookmarkEnd w:id="1022"/>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本公司作为出租人</w:t>
      </w:r>
    </w:p>
    <w:p>
      <w:pPr>
        <w:pStyle w:val="Style41"/>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在新租赁准则下，本公司作为转租出租人应基于原租赁产生的使用权资产，而不是原租赁的标的资产， 对转租赁进行分类。对于首次执行日前划分为经营租赁且在首次执行日后仍存续的转租赁，本公司在首次 执行日基于原租赁和转租赁的剩余合同期限和条款进行重新评估，并按照新租赁准则的规定进行分类。重 分类为融资租赁的，本公司将其作为一项新的融资租赁进行会计处理。</w:t>
      </w:r>
    </w:p>
    <w:p>
      <w:pPr>
        <w:pStyle w:val="Style41"/>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除转租赁外，本公司无需对其作为出租人的租赁调整首次执行新租赁准则当年年初留存收益及财务报 表其他相关项目金额。本公司自首次执行日起按照新租赁准则进行会计处理。</w:t>
      </w:r>
    </w:p>
    <w:p>
      <w:pPr>
        <w:pStyle w:val="Style41"/>
        <w:keepNext w:val="0"/>
        <w:keepLines w:val="0"/>
        <w:widowControl w:val="0"/>
        <w:shd w:val="clear" w:color="auto" w:fill="auto"/>
        <w:bidi w:val="0"/>
        <w:spacing w:before="0" w:after="680" w:line="310" w:lineRule="exact"/>
        <w:ind w:left="0" w:right="0" w:firstLine="440"/>
        <w:jc w:val="left"/>
        <w:rPr>
          <w:sz w:val="20"/>
          <w:szCs w:val="20"/>
        </w:rPr>
      </w:pPr>
      <w:r>
        <w:rPr>
          <w:color w:val="000000"/>
          <w:spacing w:val="0"/>
          <w:w w:val="100"/>
          <w:position w:val="0"/>
          <w:sz w:val="20"/>
          <w:szCs w:val="20"/>
        </w:rPr>
        <w:t xml:space="preserve">本公司在首次执行日执行新租赁准则追溯调整当期期初留存收益及财务报表项目情况详见本附注三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三十七</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之说明。本公司在首次执行日确认租赁负债采用的承租人增量借款利率的加权平均值为</w:t>
      </w:r>
      <w:r>
        <w:rPr>
          <w:rFonts w:ascii="Times New Roman" w:eastAsia="Times New Roman" w:hAnsi="Times New Roman" w:cs="Times New Roman"/>
          <w:color w:val="000000"/>
          <w:spacing w:val="0"/>
          <w:w w:val="100"/>
          <w:position w:val="0"/>
          <w:sz w:val="20"/>
          <w:szCs w:val="20"/>
        </w:rPr>
        <w:t>5.46%</w:t>
      </w:r>
      <w:r>
        <w:rPr>
          <w:color w:val="000000"/>
          <w:spacing w:val="0"/>
          <w:w w:val="100"/>
          <w:position w:val="0"/>
          <w:sz w:val="20"/>
          <w:szCs w:val="20"/>
        </w:rPr>
        <w:t>。</w:t>
      </w:r>
    </w:p>
    <w:p>
      <w:pPr>
        <w:pStyle w:val="Style32"/>
        <w:keepNext/>
        <w:keepLines/>
        <w:widowControl w:val="0"/>
        <w:shd w:val="clear" w:color="auto" w:fill="auto"/>
        <w:tabs>
          <w:tab w:pos="493" w:val="left"/>
        </w:tabs>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23"/>
      <w:bookmarkEnd w:id="1024"/>
      <w:bookmarkEnd w:id="102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27"/>
      <w:bookmarkEnd w:id="1028"/>
      <w:bookmarkEnd w:id="103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577,368,063.80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577,368,063.80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363,796,975.46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363,796,975.46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134,900,278.52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134,816,141.03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-84,137.49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16,401,003.30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16,401,003.30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436,614,107.98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436,614,107.98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138,230,863.38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138,230,863.38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1,667,311,292.44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1,667,227,154.95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-84,137.49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12,575,981.52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12,575,981.52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64,356,403.06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64,356,403.06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9,612,518.32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9,612,518.32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25,742,862.99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25,742,862.99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141,193,756.54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141,193,756.54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6,274,000.14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6,274,000.14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21,151,832.40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21,151,832.40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271,964,836.65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281,577,354.97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9,612,518.32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1,939,276,129.09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1,948,804,509.92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9,528,380.83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269,483,670.00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269,483,670.00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2,467,543.25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214,987,261.00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214,987,261.00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330,421,615.68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330,421,615.68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188,824,094.46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188,824,094.46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38,936,008.74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38,936,008.74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28,293,585.78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28,293,585.78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3,174,111.72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3,174,111.72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187,943,615.66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190,973,488.68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3,029,873.02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15,752,899.51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15,752,899.51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1,280,284,405.80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1,283,314,278.82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3,029,873.02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6,498,507.81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6,498,507.81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41,666,666.69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41,666,666.69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4,242,683.86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4,242,683.86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77,309,350.55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83,807,858.36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6,498,507.81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1,357,593,756.35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1,367,122,137.18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9,528,380.83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346,660,841.48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346,660,841.48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-7,391,735.11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-7,391,735.11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23,896,061.79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23,896,061.79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-240,103,577.42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-240,103,577.42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569,823,847.74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569,823,847.74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11,858,525.00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11,858,525.00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581,682,372.74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581,682,372.74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1,939,276,129.09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1,948,804,509.92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9,528,380.83</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421,050,892.99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421,050,892.99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149,940,012.91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149,940,012.91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138,643,417.72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138,643,417.72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22,562,222.31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22,562,222.31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262,004,176.94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262,004,176.94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131,706,676.42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131,706,676.42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1,125,907,399.29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1,125,907,399.29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655,481,683.17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655,481,683.17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61,851,818.14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61,851,818.14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320,664.86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320,664.86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18,588,952.99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18,588,952.99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5,420,297.81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5,420,297.81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20,052,488.11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20,052,488.11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762,385,905.08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320,664.86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762,065,240.22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1,888,293,304.37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320,664.86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1,887,972,639.51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251,013,670.00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251,013,670.00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214,987,261.00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214,987,261.00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349,690,067.56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349,690,067.56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146,669,602.53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146,669,602.53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21,634,991.57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21,634,991.57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1,393,105.75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1,393,105.75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96,686,032.83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96,686,032.83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187,943,615.66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188,220,750.97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277,135.31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9,321,195.66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9,321,195.66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1,281,807,085.81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1,282,084,221.12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277,135.31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43,529.55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43,529.55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41,666,666.69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41,666,666.69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3,661,812.61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3,661,812.61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76,128,479.30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76,172,008.85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43,529.55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1,357,935,565.11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1,358,256,229.97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320,664.86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446,762,257.00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338,489,645.20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338,489,645.20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-7,654,194.75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-7,654,194.75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22,951,552.16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22,951,552.16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-270,512,185.21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-270,512,185.21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530,037,074.40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530,037,074.40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1,887,972,639.51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1,888,293,304.37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320,664.86</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2"/>
        <w:keepNext/>
        <w:keepLines/>
        <w:widowControl w:val="0"/>
        <w:numPr>
          <w:ilvl w:val="0"/>
          <w:numId w:val="97"/>
        </w:numPr>
        <w:shd w:val="clear" w:color="auto" w:fill="auto"/>
        <w:tabs>
          <w:tab w:pos="493" w:val="left"/>
        </w:tabs>
        <w:bidi w:val="0"/>
        <w:spacing w:before="0" w:line="240" w:lineRule="auto"/>
        <w:ind w:left="0" w:right="0" w:firstLine="0"/>
        <w:jc w:val="left"/>
      </w:pPr>
      <w:bookmarkStart w:id="1031" w:name="bookmark1031"/>
      <w:bookmarkStart w:id="1032" w:name="bookmark1032"/>
      <w:bookmarkStart w:id="1033" w:name="bookmark1033"/>
      <w:bookmarkStart w:id="1034" w:name="bookmark1034"/>
      <w:bookmarkEnd w:id="1033"/>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31"/>
      <w:bookmarkEnd w:id="1032"/>
      <w:bookmarkEnd w:id="103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4</w:t>
      </w:r>
      <w:bookmarkEnd w:id="103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35"/>
      <w:bookmarkEnd w:id="1036"/>
      <w:bookmarkEnd w:id="1038"/>
    </w:p>
    <w:p>
      <w:pPr>
        <w:pStyle w:val="Style27"/>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sz w:val="24"/>
          <w:szCs w:val="24"/>
        </w:rPr>
        <w:t>六</w:t>
      </w:r>
      <w:bookmarkEnd w:id="1041"/>
      <w:r>
        <w:rPr>
          <w:color w:val="000000"/>
          <w:spacing w:val="0"/>
          <w:w w:val="100"/>
          <w:position w:val="0"/>
          <w:sz w:val="24"/>
          <w:szCs w:val="24"/>
        </w:rPr>
        <w:t>、税项</w:t>
      </w:r>
      <w:bookmarkEnd w:id="1039"/>
      <w:bookmarkEnd w:id="1040"/>
      <w:bookmarkEnd w:id="1042"/>
    </w:p>
    <w:p>
      <w:pPr>
        <w:pStyle w:val="Style32"/>
        <w:keepNext/>
        <w:keepLines/>
        <w:widowControl w:val="0"/>
        <w:shd w:val="clear" w:color="auto" w:fill="auto"/>
        <w:bidi w:val="0"/>
        <w:spacing w:before="0" w:after="30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bookmarkEnd w:id="1045"/>
      <w:r>
        <w:rPr>
          <w:color w:val="000000"/>
          <w:spacing w:val="0"/>
          <w:w w:val="100"/>
          <w:position w:val="0"/>
        </w:rPr>
        <w:t>、主要税种及税率</w:t>
      </w:r>
      <w:bookmarkEnd w:id="1043"/>
      <w:bookmarkEnd w:id="1044"/>
      <w:bookmarkEnd w:id="104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、免税</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8.25%</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江苏盈达信息技术有限公司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上海翕振信息技术有限公司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北京高伟达钽云科技有限公司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高伟达信息科技</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深圳瑞云互联科技有限公司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上海瑞车信息科技有限公司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Nuts Information Technology CO.,Limited</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Nuts Information Technology Limited</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霍尔果斯坚果创娱信息技术有限公司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上海魔力果信息技术有限公司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喀什腾娱信息科技有限公司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喀什迅腾信息科技有限公司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59" w:line="1" w:lineRule="exact"/>
      </w:pPr>
    </w:p>
    <w:p>
      <w:pPr>
        <w:pStyle w:val="Style32"/>
        <w:keepNext/>
        <w:keepLines/>
        <w:widowControl w:val="0"/>
        <w:shd w:val="clear" w:color="auto" w:fill="auto"/>
        <w:bidi w:val="0"/>
        <w:spacing w:before="0" w:after="300" w:line="310" w:lineRule="exact"/>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color w:val="000000"/>
          <w:spacing w:val="0"/>
          <w:w w:val="100"/>
          <w:position w:val="0"/>
        </w:rPr>
        <w:t>、税收优惠</w:t>
      </w:r>
      <w:bookmarkEnd w:id="1047"/>
      <w:bookmarkEnd w:id="1048"/>
      <w:bookmarkEnd w:id="1050"/>
    </w:p>
    <w:p>
      <w:pPr>
        <w:pStyle w:val="Style41"/>
        <w:keepNext w:val="0"/>
        <w:keepLines w:val="0"/>
        <w:widowControl w:val="0"/>
        <w:numPr>
          <w:ilvl w:val="0"/>
          <w:numId w:val="99"/>
        </w:numPr>
        <w:shd w:val="clear" w:color="auto" w:fill="auto"/>
        <w:bidi w:val="0"/>
        <w:spacing w:before="0" w:after="0" w:line="310" w:lineRule="exact"/>
        <w:ind w:left="0" w:right="0" w:firstLine="440"/>
        <w:jc w:val="left"/>
        <w:rPr>
          <w:sz w:val="20"/>
          <w:szCs w:val="20"/>
        </w:rPr>
      </w:pPr>
      <w:bookmarkStart w:id="1051" w:name="bookmark1051"/>
      <w:bookmarkEnd w:id="1051"/>
      <w:r>
        <w:rPr>
          <w:color w:val="000000"/>
          <w:spacing w:val="0"/>
          <w:w w:val="100"/>
          <w:position w:val="0"/>
          <w:sz w:val="20"/>
          <w:szCs w:val="20"/>
        </w:rPr>
        <w:t>企业所得税</w:t>
      </w:r>
    </w:p>
    <w:p>
      <w:pPr>
        <w:pStyle w:val="Style41"/>
        <w:keepNext w:val="0"/>
        <w:keepLines w:val="0"/>
        <w:widowControl w:val="0"/>
        <w:shd w:val="clear" w:color="auto" w:fill="auto"/>
        <w:bidi w:val="0"/>
        <w:spacing w:before="0" w:after="0" w:line="310" w:lineRule="exact"/>
        <w:ind w:left="0" w:right="0" w:firstLine="460"/>
        <w:jc w:val="both"/>
        <w:rPr>
          <w:sz w:val="20"/>
          <w:szCs w:val="20"/>
        </w:rPr>
      </w:pPr>
      <w:r>
        <w:rPr>
          <w:color w:val="000000"/>
          <w:spacing w:val="0"/>
          <w:w w:val="100"/>
          <w:position w:val="0"/>
          <w:sz w:val="20"/>
          <w:szCs w:val="20"/>
        </w:rPr>
        <w:t>根据《高新技术企业认定管理办法》</w:t>
      </w:r>
      <w:r>
        <w:rPr>
          <w:color w:val="000000"/>
          <w:spacing w:val="0"/>
          <w:w w:val="100"/>
          <w:position w:val="0"/>
          <w:sz w:val="20"/>
          <w:szCs w:val="20"/>
        </w:rPr>
        <w:t>（</w:t>
      </w:r>
      <w:r>
        <w:rPr>
          <w:color w:val="000000"/>
          <w:spacing w:val="0"/>
          <w:w w:val="100"/>
          <w:position w:val="0"/>
          <w:sz w:val="20"/>
          <w:szCs w:val="20"/>
        </w:rPr>
        <w:t>国科发火</w:t>
      </w:r>
      <w:r>
        <w:rPr>
          <w:rFonts w:ascii="Times New Roman" w:eastAsia="Times New Roman" w:hAnsi="Times New Roman" w:cs="Times New Roman"/>
          <w:color w:val="000000"/>
          <w:spacing w:val="0"/>
          <w:w w:val="100"/>
          <w:position w:val="0"/>
          <w:sz w:val="20"/>
          <w:szCs w:val="20"/>
        </w:rPr>
        <w:t>［2016］32</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的规定，本公司于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日通过了高 新技术企业资格审查，取得了</w:t>
      </w:r>
      <w:r>
        <w:rPr>
          <w:rFonts w:ascii="Times New Roman" w:eastAsia="Times New Roman" w:hAnsi="Times New Roman" w:cs="Times New Roman"/>
          <w:color w:val="000000"/>
          <w:spacing w:val="0"/>
          <w:w w:val="100"/>
          <w:position w:val="0"/>
          <w:sz w:val="20"/>
          <w:szCs w:val="20"/>
        </w:rPr>
        <w:t>GR202011005857</w:t>
      </w:r>
      <w:r>
        <w:rPr>
          <w:color w:val="000000"/>
          <w:spacing w:val="0"/>
          <w:w w:val="100"/>
          <w:position w:val="0"/>
          <w:sz w:val="20"/>
          <w:szCs w:val="20"/>
        </w:rPr>
        <w:t>号《高新技术企业证书》，有效期三年，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年企 业所得税的适用税率为</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w:t>
      </w:r>
    </w:p>
    <w:p>
      <w:pPr>
        <w:pStyle w:val="Style41"/>
        <w:keepNext w:val="0"/>
        <w:keepLines w:val="0"/>
        <w:widowControl w:val="0"/>
        <w:shd w:val="clear" w:color="auto" w:fill="auto"/>
        <w:bidi w:val="0"/>
        <w:spacing w:before="0" w:after="0" w:line="310" w:lineRule="exact"/>
        <w:ind w:left="0" w:right="0" w:firstLine="460"/>
        <w:jc w:val="both"/>
        <w:rPr>
          <w:sz w:val="20"/>
          <w:szCs w:val="20"/>
        </w:rPr>
      </w:pPr>
      <w:r>
        <w:rPr>
          <w:color w:val="000000"/>
          <w:spacing w:val="0"/>
          <w:w w:val="100"/>
          <w:position w:val="0"/>
          <w:sz w:val="20"/>
          <w:szCs w:val="20"/>
        </w:rPr>
        <w:t>经江苏省软件行业协会评估，本公司之全资子公司江苏盈达信息技术有限公司符合《进一步鼓励软件 产业和集成电路产业发展的若干政策》和《软件企业评估标准》，取得苏</w:t>
      </w:r>
      <w:r>
        <w:rPr>
          <w:rFonts w:ascii="Times New Roman" w:eastAsia="Times New Roman" w:hAnsi="Times New Roman" w:cs="Times New Roman"/>
          <w:color w:val="000000"/>
          <w:spacing w:val="0"/>
          <w:w w:val="100"/>
          <w:position w:val="0"/>
          <w:sz w:val="20"/>
          <w:szCs w:val="20"/>
        </w:rPr>
        <w:t>RQ-2018-A0281</w:t>
      </w:r>
      <w:r>
        <w:rPr>
          <w:color w:val="000000"/>
          <w:spacing w:val="0"/>
          <w:w w:val="100"/>
          <w:position w:val="0"/>
          <w:sz w:val="20"/>
          <w:szCs w:val="20"/>
        </w:rPr>
        <w:t>号《软件企业证 书》，有效期一年；取得苏</w:t>
      </w:r>
      <w:r>
        <w:rPr>
          <w:rFonts w:ascii="Times New Roman" w:eastAsia="Times New Roman" w:hAnsi="Times New Roman" w:cs="Times New Roman"/>
          <w:color w:val="000000"/>
          <w:spacing w:val="0"/>
          <w:w w:val="100"/>
          <w:position w:val="0"/>
          <w:sz w:val="20"/>
          <w:szCs w:val="20"/>
        </w:rPr>
        <w:t>RC-2018-A1926</w:t>
      </w:r>
      <w:r>
        <w:rPr>
          <w:color w:val="000000"/>
          <w:spacing w:val="0"/>
          <w:w w:val="100"/>
          <w:position w:val="0"/>
          <w:sz w:val="20"/>
          <w:szCs w:val="20"/>
        </w:rPr>
        <w:t>号《软件产品证书》，有效期五年。根据财税</w:t>
      </w:r>
      <w:r>
        <w:rPr>
          <w:rFonts w:ascii="Times New Roman" w:eastAsia="Times New Roman" w:hAnsi="Times New Roman" w:cs="Times New Roman"/>
          <w:color w:val="000000"/>
          <w:spacing w:val="0"/>
          <w:w w:val="100"/>
          <w:position w:val="0"/>
          <w:sz w:val="20"/>
          <w:szCs w:val="20"/>
        </w:rPr>
        <w:t>［2012］27</w:t>
      </w:r>
      <w:r>
        <w:rPr>
          <w:color w:val="000000"/>
          <w:spacing w:val="0"/>
          <w:w w:val="100"/>
          <w:position w:val="0"/>
          <w:sz w:val="20"/>
          <w:szCs w:val="20"/>
        </w:rPr>
        <w:t>号规定， 符合我国境内新办的集成电路设计企业和符合条件的软件企业的企业所得税优惠标准，自获利年度起，享 受企业所得税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两免三减半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的优惠政策，</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年免征企业所得税，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年度减半征收企 业所得税，税率</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w:t>
      </w:r>
    </w:p>
    <w:p>
      <w:pPr>
        <w:pStyle w:val="Style41"/>
        <w:keepNext w:val="0"/>
        <w:keepLines w:val="0"/>
        <w:widowControl w:val="0"/>
        <w:shd w:val="clear" w:color="auto" w:fill="auto"/>
        <w:bidi w:val="0"/>
        <w:spacing w:before="0" w:after="0" w:line="310" w:lineRule="exact"/>
        <w:ind w:left="0" w:right="0" w:firstLine="460"/>
        <w:jc w:val="both"/>
        <w:rPr>
          <w:sz w:val="20"/>
          <w:szCs w:val="20"/>
        </w:rPr>
      </w:pPr>
      <w:r>
        <w:rPr>
          <w:color w:val="000000"/>
          <w:spacing w:val="0"/>
          <w:w w:val="100"/>
          <w:position w:val="0"/>
          <w:sz w:val="20"/>
          <w:szCs w:val="20"/>
        </w:rPr>
        <w:t>根据《高新技术企业认定管理办法》</w:t>
      </w:r>
      <w:r>
        <w:rPr>
          <w:color w:val="000000"/>
          <w:spacing w:val="0"/>
          <w:w w:val="100"/>
          <w:position w:val="0"/>
          <w:sz w:val="20"/>
          <w:szCs w:val="20"/>
        </w:rPr>
        <w:t>（</w:t>
      </w:r>
      <w:r>
        <w:rPr>
          <w:color w:val="000000"/>
          <w:spacing w:val="0"/>
          <w:w w:val="100"/>
          <w:position w:val="0"/>
          <w:sz w:val="20"/>
          <w:szCs w:val="20"/>
        </w:rPr>
        <w:t>国科发火</w:t>
      </w:r>
      <w:r>
        <w:rPr>
          <w:rFonts w:ascii="Times New Roman" w:eastAsia="Times New Roman" w:hAnsi="Times New Roman" w:cs="Times New Roman"/>
          <w:color w:val="000000"/>
          <w:spacing w:val="0"/>
          <w:w w:val="100"/>
          <w:position w:val="0"/>
          <w:sz w:val="20"/>
          <w:szCs w:val="20"/>
        </w:rPr>
        <w:t>［2016］32</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的规定，本公司之全资子公司上海翕振信息 技术有限公司于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日通过了高新技术企业资格审查，取得了</w:t>
      </w:r>
      <w:r>
        <w:rPr>
          <w:rFonts w:ascii="Times New Roman" w:eastAsia="Times New Roman" w:hAnsi="Times New Roman" w:cs="Times New Roman"/>
          <w:color w:val="000000"/>
          <w:spacing w:val="0"/>
          <w:w w:val="100"/>
          <w:position w:val="0"/>
          <w:sz w:val="20"/>
          <w:szCs w:val="20"/>
        </w:rPr>
        <w:t>GR202031002543</w:t>
      </w:r>
      <w:r>
        <w:rPr>
          <w:color w:val="000000"/>
          <w:spacing w:val="0"/>
          <w:w w:val="100"/>
          <w:position w:val="0"/>
          <w:sz w:val="20"/>
          <w:szCs w:val="20"/>
        </w:rPr>
        <w:t xml:space="preserve">号《高新技术企业 </w:t>
      </w:r>
      <w:r>
        <w:rPr>
          <w:color w:val="000000"/>
          <w:spacing w:val="0"/>
          <w:w w:val="100"/>
          <w:position w:val="0"/>
          <w:sz w:val="20"/>
          <w:szCs w:val="20"/>
        </w:rPr>
        <w:t>证书》，有效期三年，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年企业所得税的适用税率为</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w:t>
      </w:r>
    </w:p>
    <w:p>
      <w:pPr>
        <w:pStyle w:val="Style41"/>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经北京软件和信息服务业协会评估，本公司之控股子公司北京高伟达钽云科技有限公司符合《进一步 鼓励软件产业和集成电路产业发展的若干政策》和《软件企业评估标准》，取得京</w:t>
      </w:r>
      <w:r>
        <w:rPr>
          <w:rFonts w:ascii="Times New Roman" w:eastAsia="Times New Roman" w:hAnsi="Times New Roman" w:cs="Times New Roman"/>
          <w:color w:val="000000"/>
          <w:spacing w:val="0"/>
          <w:w w:val="100"/>
          <w:position w:val="0"/>
          <w:sz w:val="20"/>
          <w:szCs w:val="20"/>
        </w:rPr>
        <w:t>RQ-2020-1337</w:t>
      </w:r>
      <w:r>
        <w:rPr>
          <w:color w:val="000000"/>
          <w:spacing w:val="0"/>
          <w:w w:val="100"/>
          <w:position w:val="0"/>
          <w:sz w:val="20"/>
          <w:szCs w:val="20"/>
        </w:rPr>
        <w:t>号《软件 企业证书》，有效期一年；取得京</w:t>
      </w:r>
      <w:r>
        <w:rPr>
          <w:rFonts w:ascii="Times New Roman" w:eastAsia="Times New Roman" w:hAnsi="Times New Roman" w:cs="Times New Roman"/>
          <w:color w:val="000000"/>
          <w:spacing w:val="0"/>
          <w:w w:val="100"/>
          <w:position w:val="0"/>
          <w:sz w:val="20"/>
          <w:szCs w:val="20"/>
        </w:rPr>
        <w:t>RC-2018-1058</w:t>
      </w:r>
      <w:r>
        <w:rPr>
          <w:color w:val="000000"/>
          <w:spacing w:val="0"/>
          <w:w w:val="100"/>
          <w:position w:val="0"/>
          <w:sz w:val="20"/>
          <w:szCs w:val="20"/>
        </w:rPr>
        <w:t>号《软件产品证书》，有效期五年。根据财税</w:t>
      </w:r>
      <w:r>
        <w:rPr>
          <w:rFonts w:ascii="Times New Roman" w:eastAsia="Times New Roman" w:hAnsi="Times New Roman" w:cs="Times New Roman"/>
          <w:color w:val="000000"/>
          <w:spacing w:val="0"/>
          <w:w w:val="100"/>
          <w:position w:val="0"/>
          <w:sz w:val="20"/>
          <w:szCs w:val="20"/>
        </w:rPr>
        <w:t>[2012]27</w:t>
      </w:r>
      <w:r>
        <w:rPr>
          <w:color w:val="000000"/>
          <w:spacing w:val="0"/>
          <w:w w:val="100"/>
          <w:position w:val="0"/>
          <w:sz w:val="20"/>
          <w:szCs w:val="20"/>
        </w:rPr>
        <w:t>号 规定，符合我国境内新办的集成电路设计企业和符合条件的软件企业的企业所得税优惠标准，自获利年度 起，享受企业所得税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两免三减半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的优惠政策，</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年免征企业所得税，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年减半征 收企业所得税，税率</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w:t>
      </w:r>
    </w:p>
    <w:p>
      <w:pPr>
        <w:pStyle w:val="Style41"/>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经四川省软件行业协会评估，本公司之全资子公司成都高伟达信息技术有限公司符合《进一步鼓励软 件产业和集成电路产业发展的若干政策》和《软件企业评估标准》，取得证书编号为川</w:t>
      </w:r>
      <w:r>
        <w:rPr>
          <w:rFonts w:ascii="Times New Roman" w:eastAsia="Times New Roman" w:hAnsi="Times New Roman" w:cs="Times New Roman"/>
          <w:color w:val="000000"/>
          <w:spacing w:val="0"/>
          <w:w w:val="100"/>
          <w:position w:val="0"/>
          <w:sz w:val="20"/>
          <w:szCs w:val="20"/>
        </w:rPr>
        <w:t>RQ-2019-0201</w:t>
      </w:r>
      <w:r>
        <w:rPr>
          <w:color w:val="000000"/>
          <w:spacing w:val="0"/>
          <w:w w:val="100"/>
          <w:position w:val="0"/>
          <w:sz w:val="20"/>
          <w:szCs w:val="20"/>
        </w:rPr>
        <w:t>号《软 件企业证书》，有效期一年；取得川</w:t>
      </w:r>
      <w:r>
        <w:rPr>
          <w:rFonts w:ascii="Times New Roman" w:eastAsia="Times New Roman" w:hAnsi="Times New Roman" w:cs="Times New Roman"/>
          <w:color w:val="000000"/>
          <w:spacing w:val="0"/>
          <w:w w:val="100"/>
          <w:position w:val="0"/>
          <w:sz w:val="20"/>
          <w:szCs w:val="20"/>
        </w:rPr>
        <w:t>RC-2019-0449</w:t>
      </w:r>
      <w:r>
        <w:rPr>
          <w:color w:val="000000"/>
          <w:spacing w:val="0"/>
          <w:w w:val="100"/>
          <w:position w:val="0"/>
          <w:sz w:val="20"/>
          <w:szCs w:val="20"/>
        </w:rPr>
        <w:t>号《软件产品证书》，有效期五年。根据财税</w:t>
      </w:r>
      <w:r>
        <w:rPr>
          <w:rFonts w:ascii="Times New Roman" w:eastAsia="Times New Roman" w:hAnsi="Times New Roman" w:cs="Times New Roman"/>
          <w:color w:val="000000"/>
          <w:spacing w:val="0"/>
          <w:w w:val="100"/>
          <w:position w:val="0"/>
          <w:sz w:val="20"/>
          <w:szCs w:val="20"/>
        </w:rPr>
        <w:t xml:space="preserve">[2012]27 </w:t>
      </w:r>
      <w:r>
        <w:rPr>
          <w:color w:val="000000"/>
          <w:spacing w:val="0"/>
          <w:w w:val="100"/>
          <w:position w:val="0"/>
          <w:sz w:val="20"/>
          <w:szCs w:val="20"/>
        </w:rPr>
        <w:t>号规定，符合我国境内新办的集成电路设计企业和符合条件的软件企业的企业所得税优惠标准，自获利年 度起，享受企业所得税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两免三减半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的优惠政策，截止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日，企业尚未盈利，未享受该优惠政 策。</w:t>
      </w:r>
    </w:p>
    <w:p>
      <w:pPr>
        <w:pStyle w:val="Style41"/>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根据《高新技术企业认定管理办法》</w:t>
      </w:r>
      <w:r>
        <w:rPr>
          <w:color w:val="000000"/>
          <w:spacing w:val="0"/>
          <w:w w:val="100"/>
          <w:position w:val="0"/>
          <w:sz w:val="20"/>
          <w:szCs w:val="20"/>
        </w:rPr>
        <w:t>（</w:t>
      </w:r>
      <w:r>
        <w:rPr>
          <w:color w:val="000000"/>
          <w:spacing w:val="0"/>
          <w:w w:val="100"/>
          <w:position w:val="0"/>
          <w:sz w:val="20"/>
          <w:szCs w:val="20"/>
        </w:rPr>
        <w:t>国科发火</w:t>
      </w:r>
      <w:r>
        <w:rPr>
          <w:rFonts w:ascii="Times New Roman" w:eastAsia="Times New Roman" w:hAnsi="Times New Roman" w:cs="Times New Roman"/>
          <w:color w:val="000000"/>
          <w:spacing w:val="0"/>
          <w:w w:val="100"/>
          <w:position w:val="0"/>
          <w:sz w:val="20"/>
          <w:szCs w:val="20"/>
        </w:rPr>
        <w:t>[2016]32</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的规定，本公司之全资子公司上海睿民互联 网科技有限公司于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日通过了高新技术企业资格审查，取得了</w:t>
      </w:r>
      <w:r>
        <w:rPr>
          <w:rFonts w:ascii="Times New Roman" w:eastAsia="Times New Roman" w:hAnsi="Times New Roman" w:cs="Times New Roman"/>
          <w:color w:val="000000"/>
          <w:spacing w:val="0"/>
          <w:w w:val="100"/>
          <w:position w:val="0"/>
          <w:sz w:val="20"/>
          <w:szCs w:val="20"/>
        </w:rPr>
        <w:t>GR201931002219</w:t>
      </w:r>
      <w:r>
        <w:rPr>
          <w:color w:val="000000"/>
          <w:spacing w:val="0"/>
          <w:w w:val="100"/>
          <w:position w:val="0"/>
          <w:sz w:val="20"/>
          <w:szCs w:val="20"/>
        </w:rPr>
        <w:t>号《高新技术企 业证书》，有效期三年，</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年企业所得税的适用税率为</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w:t>
      </w:r>
    </w:p>
    <w:p>
      <w:pPr>
        <w:pStyle w:val="Style41"/>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依据财税</w:t>
      </w:r>
      <w:r>
        <w:rPr>
          <w:rFonts w:ascii="Times New Roman" w:eastAsia="Times New Roman" w:hAnsi="Times New Roman" w:cs="Times New Roman"/>
          <w:color w:val="000000"/>
          <w:spacing w:val="0"/>
          <w:w w:val="100"/>
          <w:position w:val="0"/>
          <w:sz w:val="20"/>
          <w:szCs w:val="20"/>
        </w:rPr>
        <w:t>[2019]13</w:t>
      </w:r>
      <w:r>
        <w:rPr>
          <w:color w:val="000000"/>
          <w:spacing w:val="0"/>
          <w:w w:val="100"/>
          <w:position w:val="0"/>
          <w:sz w:val="20"/>
          <w:szCs w:val="20"/>
        </w:rPr>
        <w:t>号《财政部税务总局关于实施小微企业普惠性税收减免政策的通知》，对小型微利 企业年应纳税所得额不超过</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25.00%</w:t>
      </w:r>
      <w:r>
        <w:rPr>
          <w:color w:val="000000"/>
          <w:spacing w:val="0"/>
          <w:w w:val="100"/>
          <w:position w:val="0"/>
          <w:sz w:val="20"/>
          <w:szCs w:val="20"/>
        </w:rPr>
        <w:t>计入应纳税所得额，按</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的税率缴纳企业 所得税；对年应纳税所得额超过</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万元但不超过</w:t>
      </w:r>
      <w:r>
        <w:rPr>
          <w:rFonts w:ascii="Times New Roman" w:eastAsia="Times New Roman" w:hAnsi="Times New Roman" w:cs="Times New Roman"/>
          <w:color w:val="000000"/>
          <w:spacing w:val="0"/>
          <w:w w:val="100"/>
          <w:position w:val="0"/>
          <w:sz w:val="20"/>
          <w:szCs w:val="20"/>
        </w:rPr>
        <w:t>300.00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计入应纳税所得额， 按</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的税率缴纳企业所得税。依据《财税公告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号关于实施小微企业和个体工商户所得税优 惠政策的公告》，对小型微利企业年应纳税所得额不超过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万元的部分，在《财政部税务总局关于实施 小微企业普惠性税收减免政策的通知》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[2019]13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第二条规定的优惠政策基础上，再减半征收企业所 得税，本公告执行期限为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日。本公司之全资子公司深圳瑞云互联科技有限公 司、上海魔力果信息技术有限公司属于小型微利企业，按照上述通知相关规定缴纳企业所得税。</w:t>
      </w:r>
    </w:p>
    <w:p>
      <w:pPr>
        <w:pStyle w:val="Style41"/>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经上海市软件行业协会评估，本公司之全资子公司上海瑞车信息科技有限公司符合《进一步鼓励软件 产业和集成电路产业发展的若干政策》和《软件企业评估标准》，取得沪</w:t>
      </w:r>
      <w:r>
        <w:rPr>
          <w:rFonts w:ascii="Times New Roman" w:eastAsia="Times New Roman" w:hAnsi="Times New Roman" w:cs="Times New Roman"/>
          <w:color w:val="000000"/>
          <w:spacing w:val="0"/>
          <w:w w:val="100"/>
          <w:position w:val="0"/>
          <w:sz w:val="20"/>
          <w:szCs w:val="20"/>
        </w:rPr>
        <w:t>RQ-2021-0108</w:t>
      </w:r>
      <w:r>
        <w:rPr>
          <w:color w:val="000000"/>
          <w:spacing w:val="0"/>
          <w:w w:val="100"/>
          <w:position w:val="0"/>
          <w:sz w:val="20"/>
          <w:szCs w:val="20"/>
        </w:rPr>
        <w:t>号《软件企业证书》， 有效期一年；取得</w:t>
      </w:r>
      <w:r>
        <w:rPr>
          <w:rFonts w:ascii="Times New Roman" w:eastAsia="Times New Roman" w:hAnsi="Times New Roman" w:cs="Times New Roman"/>
          <w:color w:val="000000"/>
          <w:spacing w:val="0"/>
          <w:w w:val="100"/>
          <w:position w:val="0"/>
          <w:sz w:val="20"/>
          <w:szCs w:val="20"/>
        </w:rPr>
        <w:t>RC-2021-0199</w:t>
      </w:r>
      <w:r>
        <w:rPr>
          <w:color w:val="000000"/>
          <w:spacing w:val="0"/>
          <w:w w:val="100"/>
          <w:position w:val="0"/>
          <w:sz w:val="20"/>
          <w:szCs w:val="20"/>
        </w:rPr>
        <w:t>号《软件产品证书》，有效期五年。根据财税</w:t>
      </w:r>
      <w:r>
        <w:rPr>
          <w:rFonts w:ascii="Times New Roman" w:eastAsia="Times New Roman" w:hAnsi="Times New Roman" w:cs="Times New Roman"/>
          <w:color w:val="000000"/>
          <w:spacing w:val="0"/>
          <w:w w:val="100"/>
          <w:position w:val="0"/>
          <w:sz w:val="20"/>
          <w:szCs w:val="20"/>
        </w:rPr>
        <w:t>[2012]27</w:t>
      </w:r>
      <w:r>
        <w:rPr>
          <w:color w:val="000000"/>
          <w:spacing w:val="0"/>
          <w:w w:val="100"/>
          <w:position w:val="0"/>
          <w:sz w:val="20"/>
          <w:szCs w:val="20"/>
        </w:rPr>
        <w:t>号规定，符合我国 境内新办的集成电路设计企业和符合条件的软件企业的企业所得税优惠标准，自获利年度起，享受企业所 得税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两免三减半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的优惠政策，</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年度免征企业所得税，</w:t>
      </w: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年度至</w:t>
      </w:r>
      <w:r>
        <w:rPr>
          <w:rFonts w:ascii="Times New Roman" w:eastAsia="Times New Roman" w:hAnsi="Times New Roman" w:cs="Times New Roman"/>
          <w:color w:val="000000"/>
          <w:spacing w:val="0"/>
          <w:w w:val="100"/>
          <w:position w:val="0"/>
          <w:sz w:val="20"/>
          <w:szCs w:val="20"/>
        </w:rPr>
        <w:t>2025</w:t>
      </w:r>
      <w:r>
        <w:rPr>
          <w:color w:val="000000"/>
          <w:spacing w:val="0"/>
          <w:w w:val="100"/>
          <w:position w:val="0"/>
          <w:sz w:val="20"/>
          <w:szCs w:val="20"/>
        </w:rPr>
        <w:t>年度减半征收企业 所得税，税率</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w:t>
      </w:r>
    </w:p>
    <w:p>
      <w:pPr>
        <w:pStyle w:val="Style41"/>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根据《高新技术企业认定管理办法》</w:t>
      </w:r>
      <w:r>
        <w:rPr>
          <w:color w:val="000000"/>
          <w:spacing w:val="0"/>
          <w:w w:val="100"/>
          <w:position w:val="0"/>
          <w:sz w:val="20"/>
          <w:szCs w:val="20"/>
        </w:rPr>
        <w:t>（</w:t>
      </w:r>
      <w:r>
        <w:rPr>
          <w:color w:val="000000"/>
          <w:spacing w:val="0"/>
          <w:w w:val="100"/>
          <w:position w:val="0"/>
          <w:sz w:val="20"/>
          <w:szCs w:val="20"/>
        </w:rPr>
        <w:t>国科发火</w:t>
      </w:r>
      <w:r>
        <w:rPr>
          <w:rFonts w:ascii="Times New Roman" w:eastAsia="Times New Roman" w:hAnsi="Times New Roman" w:cs="Times New Roman"/>
          <w:color w:val="000000"/>
          <w:spacing w:val="0"/>
          <w:w w:val="100"/>
          <w:position w:val="0"/>
          <w:sz w:val="20"/>
          <w:szCs w:val="20"/>
        </w:rPr>
        <w:t>[2016]32</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的规定，本公司之全资子公司海南坚果创娱 信息技术有限公司于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日通过了高新技术企业资格审查，取得了</w:t>
      </w:r>
      <w:r>
        <w:rPr>
          <w:rFonts w:ascii="Times New Roman" w:eastAsia="Times New Roman" w:hAnsi="Times New Roman" w:cs="Times New Roman"/>
          <w:color w:val="000000"/>
          <w:spacing w:val="0"/>
          <w:w w:val="100"/>
          <w:position w:val="0"/>
          <w:sz w:val="20"/>
          <w:szCs w:val="20"/>
        </w:rPr>
        <w:t>GR202046000249</w:t>
      </w:r>
      <w:r>
        <w:rPr>
          <w:color w:val="000000"/>
          <w:spacing w:val="0"/>
          <w:w w:val="100"/>
          <w:position w:val="0"/>
          <w:sz w:val="20"/>
          <w:szCs w:val="20"/>
        </w:rPr>
        <w:t>号《高新技术 企业证书》，有效期三年，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年企业所得税的适用税率为</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w:t>
      </w:r>
    </w:p>
    <w:p>
      <w:pPr>
        <w:pStyle w:val="Style41"/>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依据塞舌尔共和国</w:t>
      </w:r>
      <w:r>
        <w:rPr>
          <w:rFonts w:ascii="Times New Roman" w:eastAsia="Times New Roman" w:hAnsi="Times New Roman" w:cs="Times New Roman"/>
          <w:color w:val="000000"/>
          <w:spacing w:val="0"/>
          <w:w w:val="100"/>
          <w:position w:val="0"/>
          <w:sz w:val="20"/>
          <w:szCs w:val="20"/>
        </w:rPr>
        <w:t>1994</w:t>
      </w:r>
      <w:r>
        <w:rPr>
          <w:color w:val="000000"/>
          <w:spacing w:val="0"/>
          <w:w w:val="100"/>
          <w:position w:val="0"/>
          <w:sz w:val="20"/>
          <w:szCs w:val="20"/>
        </w:rPr>
        <w:t>年和</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年国际商业法</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条规定，在塞舌尔共和国境内设立的国际商业公司 免征企业所得税，本公司之二级子公司</w:t>
      </w:r>
      <w:r>
        <w:rPr>
          <w:rFonts w:ascii="Times New Roman" w:eastAsia="Times New Roman" w:hAnsi="Times New Roman" w:cs="Times New Roman"/>
          <w:color w:val="000000"/>
          <w:spacing w:val="0"/>
          <w:w w:val="100"/>
          <w:position w:val="0"/>
          <w:sz w:val="20"/>
          <w:szCs w:val="20"/>
        </w:rPr>
        <w:t>Nuts Information Technology Limited</w:t>
      </w: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日取得国际商业 公司营业执照，享受企业所得税免税政策。</w:t>
      </w:r>
    </w:p>
    <w:p>
      <w:pPr>
        <w:pStyle w:val="Style41"/>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根据《财政部税务总局关于新疆困难地区及喀什、霍尔果斯两个特殊经济开发区新办企业所得税优惠 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[2021]27</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，属于《新疆困难地区重点鼓励发展产业企业所得税优惠目录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试行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以下简称《</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版目录》</w:t>
      </w:r>
      <w:r>
        <w:rPr>
          <w:color w:val="000000"/>
          <w:spacing w:val="0"/>
          <w:w w:val="100"/>
          <w:position w:val="0"/>
          <w:sz w:val="20"/>
          <w:szCs w:val="20"/>
        </w:rPr>
        <w:t>）</w:t>
      </w:r>
      <w:r>
        <w:rPr>
          <w:color w:val="000000"/>
          <w:spacing w:val="0"/>
          <w:w w:val="100"/>
          <w:position w:val="0"/>
          <w:sz w:val="20"/>
          <w:szCs w:val="20"/>
        </w:rPr>
        <w:t>范围内的企业，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日前已经进入优惠期的，可按《财政部国 家税务总局关于新疆困难地区新办企业所得税优惠政策的通知》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[2011]53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和《财政部国家税务总 局关于新疆喀什霍尔果斯两个特殊经济开发区企业所得税优惠政策的通知》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[2011]112</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规定自取得 第一笔生产经营收入所属纳税年度起，五年内免征企业所得税，享受至优惠期满为止。本公司符合《目录》 规定的全资子公司、二级子公司以及免征企业所得税年度如下：喀什腾娱信息科技有限公司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全资二级子公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年免征企业所得税；喀什迅腾信息科技有限公司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全资二级子公司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年免征企业所得税；霍尔果斯坚果创娱信息技术有限公司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全资二级子公司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2024</w:t>
      </w:r>
      <w:r>
        <w:rPr>
          <w:color w:val="000000"/>
          <w:spacing w:val="0"/>
          <w:w w:val="100"/>
          <w:position w:val="0"/>
          <w:sz w:val="20"/>
          <w:szCs w:val="20"/>
        </w:rPr>
        <w:t>年免征企业 所得税。</w:t>
      </w:r>
    </w:p>
    <w:p>
      <w:pPr>
        <w:pStyle w:val="Style41"/>
        <w:keepNext w:val="0"/>
        <w:keepLines w:val="0"/>
        <w:widowControl w:val="0"/>
        <w:numPr>
          <w:ilvl w:val="0"/>
          <w:numId w:val="99"/>
        </w:numPr>
        <w:shd w:val="clear" w:color="auto" w:fill="auto"/>
        <w:bidi w:val="0"/>
        <w:spacing w:before="0" w:after="0" w:line="326" w:lineRule="auto"/>
        <w:ind w:left="0" w:right="0" w:firstLine="440"/>
        <w:jc w:val="both"/>
        <w:rPr>
          <w:sz w:val="20"/>
          <w:szCs w:val="20"/>
        </w:rPr>
      </w:pPr>
      <w:bookmarkStart w:id="1052" w:name="bookmark1052"/>
      <w:bookmarkEnd w:id="1052"/>
      <w:r>
        <w:rPr>
          <w:color w:val="000000"/>
          <w:spacing w:val="0"/>
          <w:w w:val="100"/>
          <w:position w:val="0"/>
          <w:sz w:val="20"/>
          <w:szCs w:val="20"/>
        </w:rPr>
        <w:t>增值税</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根据财政部、国家税务总局《关于软件产品增值税政策的通知》</w:t>
      </w:r>
      <w:r>
        <w:rPr>
          <w:color w:val="000000"/>
          <w:spacing w:val="0"/>
          <w:w w:val="100"/>
          <w:position w:val="0"/>
          <w:sz w:val="20"/>
          <w:szCs w:val="20"/>
        </w:rPr>
        <w:t>（</w:t>
      </w:r>
      <w:r>
        <w:rPr>
          <w:color w:val="000000"/>
          <w:spacing w:val="0"/>
          <w:w w:val="100"/>
          <w:position w:val="0"/>
          <w:sz w:val="20"/>
          <w:szCs w:val="20"/>
        </w:rPr>
        <w:t>财税字</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文件规定，本公 司、本公司控股子公司北京高伟达钽云科技有限公司及本公司全资子公司上海睿民互联网科技有限公司自 行开发生产的软件产品收入享受增值税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即征即退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优惠，按</w:t>
      </w:r>
      <w:r>
        <w:rPr>
          <w:rFonts w:ascii="Times New Roman" w:eastAsia="Times New Roman" w:hAnsi="Times New Roman" w:cs="Times New Roman"/>
          <w:color w:val="000000"/>
          <w:spacing w:val="0"/>
          <w:w w:val="100"/>
          <w:position w:val="0"/>
          <w:sz w:val="20"/>
          <w:szCs w:val="20"/>
        </w:rPr>
        <w:t>13.00%</w:t>
      </w:r>
      <w:r>
        <w:rPr>
          <w:color w:val="000000"/>
          <w:spacing w:val="0"/>
          <w:w w:val="100"/>
          <w:position w:val="0"/>
          <w:sz w:val="20"/>
          <w:szCs w:val="20"/>
        </w:rPr>
        <w:t>的法定税率征收增值税后，对实际税负 超过</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的部分实行即征即退。</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根据财税</w:t>
      </w:r>
      <w:r>
        <w:rPr>
          <w:rFonts w:ascii="Times New Roman" w:eastAsia="Times New Roman" w:hAnsi="Times New Roman" w:cs="Times New Roman"/>
          <w:color w:val="000000"/>
          <w:spacing w:val="0"/>
          <w:w w:val="100"/>
          <w:position w:val="0"/>
          <w:sz w:val="20"/>
          <w:szCs w:val="20"/>
        </w:rPr>
        <w:t>[2016]36</w:t>
      </w:r>
      <w:r>
        <w:rPr>
          <w:color w:val="000000"/>
          <w:spacing w:val="0"/>
          <w:w w:val="100"/>
          <w:position w:val="0"/>
          <w:sz w:val="20"/>
          <w:szCs w:val="20"/>
        </w:rPr>
        <w:t>号规定，本公司、本公司全资子公司江苏高伟达信息技术有限公司、上海高伟达计 算机系统工程有限公司及江苏盈达信息技术有限公司提供技术转让、技术开发和与之相关的技术咨询、技 术服务取得的收入，免征增值税。</w:t>
      </w:r>
    </w:p>
    <w:p>
      <w:pPr>
        <w:pStyle w:val="Style41"/>
        <w:keepNext w:val="0"/>
        <w:keepLines w:val="0"/>
        <w:widowControl w:val="0"/>
        <w:shd w:val="clear" w:color="auto" w:fill="auto"/>
        <w:bidi w:val="0"/>
        <w:spacing w:before="0" w:after="340" w:line="313" w:lineRule="exact"/>
        <w:ind w:left="0" w:right="0" w:firstLine="440"/>
        <w:jc w:val="both"/>
        <w:rPr>
          <w:sz w:val="20"/>
          <w:szCs w:val="20"/>
        </w:rPr>
      </w:pPr>
      <w:r>
        <w:rPr>
          <w:color w:val="000000"/>
          <w:spacing w:val="0"/>
          <w:w w:val="100"/>
          <w:position w:val="0"/>
          <w:sz w:val="20"/>
          <w:szCs w:val="20"/>
        </w:rPr>
        <w:t>根据财政部税务总局海关总署《关于深化增值税改革有关政策的公告》</w:t>
      </w:r>
      <w:r>
        <w:rPr>
          <w:color w:val="000000"/>
          <w:spacing w:val="0"/>
          <w:w w:val="100"/>
          <w:position w:val="0"/>
          <w:sz w:val="20"/>
          <w:szCs w:val="20"/>
        </w:rPr>
        <w:t>（</w:t>
      </w:r>
      <w:r>
        <w:rPr>
          <w:color w:val="000000"/>
          <w:spacing w:val="0"/>
          <w:w w:val="100"/>
          <w:position w:val="0"/>
          <w:sz w:val="20"/>
          <w:szCs w:val="20"/>
        </w:rPr>
        <w:t>财政部税务总局海关总署公 告</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日，允许生产、生活性服务业纳税人按照当期可抵扣进 项税额加计</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，抵减应纳税额。</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根据财政部、国家税务总局《关于软件产品增值税政策的通知》（财税字</w:t>
      </w:r>
      <w:r>
        <w:rPr>
          <w:rFonts w:ascii="Times New Roman" w:eastAsia="Times New Roman" w:hAnsi="Times New Roman" w:cs="Times New Roman"/>
          <w:color w:val="000000"/>
          <w:spacing w:val="0"/>
          <w:w w:val="100"/>
          <w:position w:val="0"/>
        </w:rPr>
        <w:t>[2011]100</w:t>
      </w:r>
      <w:r>
        <w:rPr>
          <w:color w:val="000000"/>
          <w:spacing w:val="0"/>
          <w:w w:val="100"/>
          <w:position w:val="0"/>
        </w:rPr>
        <w:t>号）文件规定，本公司及本公司控股 子公司北京高伟达钽云科技有限公司、上海睿民互联网科技有限公司自行开发生产的软件产品收入享受增值税</w:t>
      </w:r>
      <w:r>
        <w:rPr>
          <w:rFonts w:ascii="Times New Roman" w:eastAsia="Times New Roman" w:hAnsi="Times New Roman" w:cs="Times New Roman"/>
          <w:color w:val="000000"/>
          <w:spacing w:val="0"/>
          <w:w w:val="100"/>
          <w:position w:val="0"/>
        </w:rPr>
        <w:t>“</w:t>
      </w:r>
      <w:r>
        <w:rPr>
          <w:color w:val="000000"/>
          <w:spacing w:val="0"/>
          <w:w w:val="100"/>
          <w:position w:val="0"/>
        </w:rPr>
        <w:t>即征即退</w:t>
      </w:r>
      <w:r>
        <w:rPr>
          <w:rFonts w:ascii="Times New Roman" w:eastAsia="Times New Roman" w:hAnsi="Times New Roman" w:cs="Times New Roman"/>
          <w:color w:val="000000"/>
          <w:spacing w:val="0"/>
          <w:w w:val="100"/>
          <w:position w:val="0"/>
        </w:rPr>
        <w:t xml:space="preserve">” </w:t>
      </w:r>
      <w:r>
        <w:rPr>
          <w:color w:val="000000"/>
          <w:spacing w:val="0"/>
          <w:w w:val="100"/>
          <w:position w:val="0"/>
        </w:rPr>
        <w:t>优惠，对实际税负超过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年公司收到增值税</w:t>
      </w:r>
      <w:r>
        <w:rPr>
          <w:rFonts w:ascii="Times New Roman" w:eastAsia="Times New Roman" w:hAnsi="Times New Roman" w:cs="Times New Roman"/>
          <w:color w:val="000000"/>
          <w:spacing w:val="0"/>
          <w:w w:val="100"/>
          <w:position w:val="0"/>
        </w:rPr>
        <w:t>“</w:t>
      </w:r>
      <w:r>
        <w:rPr>
          <w:color w:val="000000"/>
          <w:spacing w:val="0"/>
          <w:w w:val="100"/>
          <w:position w:val="0"/>
        </w:rPr>
        <w:t>即征即退</w:t>
      </w:r>
      <w:r>
        <w:rPr>
          <w:rFonts w:ascii="Times New Roman" w:eastAsia="Times New Roman" w:hAnsi="Times New Roman" w:cs="Times New Roman"/>
          <w:color w:val="000000"/>
          <w:spacing w:val="0"/>
          <w:w w:val="100"/>
          <w:position w:val="0"/>
        </w:rPr>
        <w:t>”</w:t>
      </w:r>
      <w:r>
        <w:rPr>
          <w:color w:val="000000"/>
          <w:spacing w:val="0"/>
          <w:w w:val="100"/>
          <w:position w:val="0"/>
        </w:rPr>
        <w:t>退税金额</w:t>
      </w:r>
      <w:r>
        <w:rPr>
          <w:rFonts w:ascii="Times New Roman" w:eastAsia="Times New Roman" w:hAnsi="Times New Roman" w:cs="Times New Roman"/>
          <w:color w:val="000000"/>
          <w:spacing w:val="0"/>
          <w:w w:val="100"/>
          <w:position w:val="0"/>
        </w:rPr>
        <w:t>805,369.74</w:t>
      </w:r>
      <w:r>
        <w:rPr>
          <w:color w:val="000000"/>
          <w:spacing w:val="0"/>
          <w:w w:val="100"/>
          <w:position w:val="0"/>
        </w:rPr>
        <w:t>元，并计入</w:t>
      </w:r>
      <w:r>
        <w:rPr>
          <w:rFonts w:ascii="Times New Roman" w:eastAsia="Times New Roman" w:hAnsi="Times New Roman" w:cs="Times New Roman"/>
          <w:color w:val="000000"/>
          <w:spacing w:val="0"/>
          <w:w w:val="100"/>
          <w:position w:val="0"/>
        </w:rPr>
        <w:t>“</w:t>
      </w: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科目。</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根据财政部税务总局海关总署《关于深化增值税改革有关政策的公告》</w:t>
      </w:r>
      <w:r>
        <w:rPr>
          <w:color w:val="000000"/>
          <w:spacing w:val="0"/>
          <w:w w:val="100"/>
          <w:position w:val="0"/>
        </w:rPr>
        <w:t>（</w:t>
      </w:r>
      <w:r>
        <w:rPr>
          <w:color w:val="000000"/>
          <w:spacing w:val="0"/>
          <w:w w:val="100"/>
          <w:position w:val="0"/>
        </w:rPr>
        <w:t>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 xml:space="preserve">39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rPr>
        <w:t>10.00%</w:t>
      </w:r>
      <w:r>
        <w:rPr>
          <w:color w:val="000000"/>
          <w:spacing w:val="0"/>
          <w:w w:val="100"/>
          <w:position w:val="0"/>
        </w:rPr>
        <w:t>，抵 减应纳税额。</w:t>
      </w:r>
    </w:p>
    <w:p>
      <w:pPr>
        <w:pStyle w:val="Style23"/>
        <w:keepNext w:val="0"/>
        <w:keepLines w:val="0"/>
        <w:widowControl w:val="0"/>
        <w:shd w:val="clear" w:color="auto" w:fill="auto"/>
        <w:bidi w:val="0"/>
        <w:spacing w:before="0" w:after="740" w:line="312" w:lineRule="exact"/>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年公司享受增值税进项税加计抵减额</w:t>
      </w:r>
      <w:r>
        <w:rPr>
          <w:rFonts w:ascii="Times New Roman" w:eastAsia="Times New Roman" w:hAnsi="Times New Roman" w:cs="Times New Roman"/>
          <w:color w:val="000000"/>
          <w:spacing w:val="0"/>
          <w:w w:val="100"/>
          <w:position w:val="0"/>
        </w:rPr>
        <w:t>10,264,516.98</w:t>
      </w:r>
      <w:r>
        <w:rPr>
          <w:color w:val="000000"/>
          <w:spacing w:val="0"/>
          <w:w w:val="100"/>
          <w:position w:val="0"/>
        </w:rPr>
        <w:t>元，并计入</w:t>
      </w:r>
      <w:r>
        <w:rPr>
          <w:rFonts w:ascii="Times New Roman" w:eastAsia="Times New Roman" w:hAnsi="Times New Roman" w:cs="Times New Roman"/>
          <w:color w:val="000000"/>
          <w:spacing w:val="0"/>
          <w:w w:val="100"/>
          <w:position w:val="0"/>
        </w:rPr>
        <w:t>“</w:t>
      </w: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科目。</w:t>
      </w:r>
    </w:p>
    <w:p>
      <w:pPr>
        <w:pStyle w:val="Style41"/>
        <w:keepNext w:val="0"/>
        <w:keepLines w:val="0"/>
        <w:widowControl w:val="0"/>
        <w:shd w:val="clear" w:color="auto" w:fill="auto"/>
        <w:bidi w:val="0"/>
        <w:spacing w:before="0" w:after="340" w:line="240" w:lineRule="auto"/>
        <w:ind w:left="0" w:right="0" w:firstLine="0"/>
        <w:jc w:val="both"/>
        <w:rPr>
          <w:sz w:val="20"/>
          <w:szCs w:val="20"/>
        </w:rPr>
      </w:pPr>
      <w:bookmarkStart w:id="1053" w:name="bookmark1053"/>
      <w:r>
        <w:rPr>
          <w:rFonts w:ascii="Times New Roman" w:eastAsia="Times New Roman" w:hAnsi="Times New Roman" w:cs="Times New Roman"/>
          <w:b/>
          <w:bCs/>
          <w:color w:val="000000"/>
          <w:spacing w:val="0"/>
          <w:w w:val="100"/>
          <w:position w:val="0"/>
          <w:sz w:val="20"/>
          <w:szCs w:val="20"/>
        </w:rPr>
        <w:t>3</w:t>
      </w:r>
      <w:bookmarkEnd w:id="1053"/>
      <w:r>
        <w:rPr>
          <w:b/>
          <w:bCs/>
          <w:color w:val="000000"/>
          <w:spacing w:val="0"/>
          <w:w w:val="100"/>
          <w:position w:val="0"/>
          <w:sz w:val="20"/>
          <w:szCs w:val="20"/>
        </w:rPr>
        <w:t>、其他</w:t>
      </w:r>
    </w:p>
    <w:p>
      <w:pPr>
        <w:pStyle w:val="Style27"/>
        <w:keepNext/>
        <w:keepLines/>
        <w:widowControl w:val="0"/>
        <w:shd w:val="clear" w:color="auto" w:fill="auto"/>
        <w:bidi w:val="0"/>
        <w:spacing w:before="0" w:after="340" w:line="240" w:lineRule="auto"/>
        <w:ind w:left="0" w:right="0" w:firstLine="0"/>
        <w:jc w:val="both"/>
      </w:pPr>
      <w:bookmarkStart w:id="1054" w:name="bookmark1054"/>
      <w:bookmarkStart w:id="1055" w:name="bookmark1055"/>
      <w:bookmarkStart w:id="1056" w:name="bookmark1056"/>
      <w:bookmarkStart w:id="1057" w:name="bookmark1057"/>
      <w:r>
        <w:rPr>
          <w:color w:val="000000"/>
          <w:spacing w:val="0"/>
          <w:w w:val="100"/>
          <w:position w:val="0"/>
          <w:sz w:val="24"/>
          <w:szCs w:val="24"/>
        </w:rPr>
        <w:t>七</w:t>
      </w:r>
      <w:bookmarkEnd w:id="1056"/>
      <w:r>
        <w:rPr>
          <w:color w:val="000000"/>
          <w:spacing w:val="0"/>
          <w:w w:val="100"/>
          <w:position w:val="0"/>
          <w:sz w:val="24"/>
          <w:szCs w:val="24"/>
        </w:rPr>
        <w:t>、合并财务报表项目注释</w:t>
      </w:r>
      <w:bookmarkEnd w:id="1054"/>
      <w:bookmarkEnd w:id="1055"/>
      <w:bookmarkEnd w:id="1057"/>
    </w:p>
    <w:p>
      <w:pPr>
        <w:pStyle w:val="Style32"/>
        <w:keepNext/>
        <w:keepLines/>
        <w:widowControl w:val="0"/>
        <w:shd w:val="clear" w:color="auto" w:fill="auto"/>
        <w:bidi w:val="0"/>
        <w:spacing w:before="0" w:after="34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1</w:t>
      </w:r>
      <w:bookmarkEnd w:id="1060"/>
      <w:r>
        <w:rPr>
          <w:color w:val="000000"/>
          <w:spacing w:val="0"/>
          <w:w w:val="100"/>
          <w:position w:val="0"/>
        </w:rPr>
        <w:t>、货币资金</w:t>
      </w:r>
      <w:bookmarkEnd w:id="1058"/>
      <w:bookmarkEnd w:id="1059"/>
      <w:bookmarkEnd w:id="10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70,094.76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93,622.70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337,599,250.72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458,910,819.48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36,209,294.32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118,363,621.62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373,878,639.80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577,368,063.80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501,578.85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492,282.43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1"/>
        <w:keepNext w:val="0"/>
        <w:keepLines w:val="0"/>
        <w:widowControl w:val="0"/>
        <w:numPr>
          <w:ilvl w:val="0"/>
          <w:numId w:val="101"/>
        </w:numPr>
        <w:shd w:val="clear" w:color="auto" w:fill="auto"/>
        <w:bidi w:val="0"/>
        <w:spacing w:before="0" w:after="0" w:line="298" w:lineRule="exact"/>
        <w:ind w:left="0" w:right="0" w:firstLine="440"/>
        <w:jc w:val="both"/>
        <w:rPr>
          <w:sz w:val="20"/>
          <w:szCs w:val="20"/>
        </w:rPr>
      </w:pPr>
      <w:bookmarkStart w:id="1062" w:name="bookmark1062"/>
      <w:bookmarkEnd w:id="1062"/>
      <w:r>
        <w:rPr>
          <w:color w:val="000000"/>
          <w:spacing w:val="0"/>
          <w:w w:val="100"/>
          <w:position w:val="0"/>
          <w:sz w:val="20"/>
          <w:szCs w:val="20"/>
        </w:rPr>
        <w:t>抵押、质押、冻结等对使用有限制或存放在境外、或资金汇回受到限制的款项说明</w:t>
      </w:r>
    </w:p>
    <w:p>
      <w:pPr>
        <w:pStyle w:val="Style41"/>
        <w:keepNext w:val="0"/>
        <w:keepLines w:val="0"/>
        <w:widowControl w:val="0"/>
        <w:shd w:val="clear" w:color="auto" w:fill="auto"/>
        <w:bidi w:val="0"/>
        <w:spacing w:before="0" w:after="0" w:line="298" w:lineRule="exact"/>
        <w:ind w:left="0" w:right="0" w:firstLine="440"/>
        <w:jc w:val="both"/>
        <w:rPr>
          <w:sz w:val="20"/>
          <w:szCs w:val="20"/>
        </w:rPr>
      </w:pPr>
      <w:r>
        <w:rPr>
          <w:color w:val="000000"/>
          <w:spacing w:val="0"/>
          <w:w w:val="100"/>
          <w:position w:val="0"/>
          <w:sz w:val="20"/>
          <w:szCs w:val="20"/>
        </w:rPr>
        <w:t>期末存放在境外的货币资金为一级子公司高伟达信息科技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有限公司存放于香港上海汇丰银行港 币储蓄账户</w:t>
      </w:r>
      <w:r>
        <w:rPr>
          <w:rFonts w:ascii="Times New Roman" w:eastAsia="Times New Roman" w:hAnsi="Times New Roman" w:cs="Times New Roman"/>
          <w:color w:val="000000"/>
          <w:spacing w:val="0"/>
          <w:w w:val="100"/>
          <w:position w:val="0"/>
          <w:sz w:val="20"/>
          <w:szCs w:val="20"/>
        </w:rPr>
        <w:t>510,147.14</w:t>
      </w:r>
      <w:r>
        <w:rPr>
          <w:color w:val="000000"/>
          <w:spacing w:val="0"/>
          <w:w w:val="100"/>
          <w:position w:val="0"/>
          <w:sz w:val="20"/>
          <w:szCs w:val="20"/>
        </w:rPr>
        <w:t>港元、二级子公司</w:t>
      </w:r>
      <w:r>
        <w:rPr>
          <w:rFonts w:ascii="Times New Roman" w:eastAsia="Times New Roman" w:hAnsi="Times New Roman" w:cs="Times New Roman"/>
          <w:color w:val="000000"/>
          <w:spacing w:val="0"/>
          <w:w w:val="100"/>
          <w:position w:val="0"/>
          <w:sz w:val="20"/>
          <w:szCs w:val="20"/>
        </w:rPr>
        <w:t>Nuts Information Technology Limited</w:t>
      </w:r>
      <w:r>
        <w:rPr>
          <w:color w:val="000000"/>
          <w:spacing w:val="0"/>
          <w:w w:val="100"/>
          <w:position w:val="0"/>
          <w:sz w:val="20"/>
          <w:szCs w:val="20"/>
        </w:rPr>
        <w:t>存放于平安银行</w:t>
      </w:r>
      <w:r>
        <w:rPr>
          <w:rFonts w:ascii="Times New Roman" w:eastAsia="Times New Roman" w:hAnsi="Times New Roman" w:cs="Times New Roman"/>
          <w:color w:val="000000"/>
          <w:spacing w:val="0"/>
          <w:w w:val="100"/>
          <w:position w:val="0"/>
          <w:sz w:val="20"/>
          <w:szCs w:val="20"/>
        </w:rPr>
        <w:t>OSA</w:t>
      </w:r>
      <w:r>
        <w:rPr>
          <w:color w:val="000000"/>
          <w:spacing w:val="0"/>
          <w:w w:val="100"/>
          <w:position w:val="0"/>
          <w:sz w:val="20"/>
          <w:szCs w:val="20"/>
        </w:rPr>
        <w:t xml:space="preserve">账户和宁 </w:t>
      </w:r>
      <w:r>
        <w:rPr>
          <w:rStyle w:val="CharStyle6"/>
          <w:rFonts w:ascii="SimSun" w:eastAsia="SimSun" w:hAnsi="SimSun" w:cs="SimSun"/>
          <w:b w:val="0"/>
          <w:bCs w:val="0"/>
          <w:color w:val="000000"/>
        </w:rPr>
        <w:t>波银行</w:t>
      </w:r>
      <w:r>
        <w:rPr>
          <w:rStyle w:val="CharStyle6"/>
          <w:b w:val="0"/>
          <w:bCs w:val="0"/>
          <w:color w:val="000000"/>
        </w:rPr>
        <w:t>NRA</w:t>
      </w:r>
      <w:r>
        <w:rPr>
          <w:rStyle w:val="CharStyle6"/>
          <w:rFonts w:ascii="SimSun" w:eastAsia="SimSun" w:hAnsi="SimSun" w:cs="SimSun"/>
          <w:b w:val="0"/>
          <w:bCs w:val="0"/>
          <w:color w:val="000000"/>
        </w:rPr>
        <w:t>账户款项</w:t>
      </w:r>
      <w:r>
        <w:rPr>
          <w:rStyle w:val="CharStyle6"/>
          <w:b w:val="0"/>
          <w:bCs w:val="0"/>
          <w:color w:val="000000"/>
        </w:rPr>
        <w:t>6,750.70</w:t>
      </w:r>
      <w:r>
        <w:rPr>
          <w:rStyle w:val="CharStyle6"/>
          <w:rFonts w:ascii="SimSun" w:eastAsia="SimSun" w:hAnsi="SimSun" w:cs="SimSun"/>
          <w:b w:val="0"/>
          <w:bCs w:val="0"/>
          <w:color w:val="000000"/>
        </w:rPr>
        <w:t>美兀、二级子公司</w:t>
      </w:r>
      <w:r>
        <w:rPr>
          <w:rStyle w:val="CharStyle6"/>
          <w:b w:val="0"/>
          <w:bCs w:val="0"/>
          <w:color w:val="000000"/>
        </w:rPr>
        <w:t>Nuts Information Technology CO., Limited</w:t>
      </w:r>
      <w:r>
        <w:rPr>
          <w:rStyle w:val="CharStyle6"/>
          <w:rFonts w:ascii="SimSun" w:eastAsia="SimSun" w:hAnsi="SimSun" w:cs="SimSun"/>
          <w:b w:val="0"/>
          <w:bCs w:val="0"/>
          <w:color w:val="000000"/>
        </w:rPr>
        <w:t>存放于香港上海汇 丰银行美元结算账户</w:t>
      </w:r>
      <w:r>
        <w:rPr>
          <w:rStyle w:val="CharStyle6"/>
          <w:b w:val="0"/>
          <w:bCs w:val="0"/>
          <w:color w:val="000000"/>
        </w:rPr>
        <w:t>6,500.01</w:t>
      </w:r>
      <w:r>
        <w:rPr>
          <w:rStyle w:val="CharStyle6"/>
          <w:rFonts w:ascii="SimSun" w:eastAsia="SimSun" w:hAnsi="SimSun" w:cs="SimSun"/>
          <w:b w:val="0"/>
          <w:bCs w:val="0"/>
          <w:color w:val="000000"/>
        </w:rPr>
        <w:t>美元。</w:t>
      </w:r>
    </w:p>
    <w:p>
      <w:pPr>
        <w:pStyle w:val="Style41"/>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期末其他货币资金主要系存放在银行用于开具银行保函以及开立银行承兑汇票之保证金</w:t>
      </w:r>
      <w:r>
        <w:rPr>
          <w:color w:val="000000"/>
          <w:spacing w:val="0"/>
          <w:w w:val="100"/>
          <w:position w:val="0"/>
          <w:sz w:val="20"/>
          <w:szCs w:val="20"/>
        </w:rPr>
        <w:t>，</w:t>
      </w:r>
      <w:r>
        <w:rPr>
          <w:color w:val="000000"/>
          <w:spacing w:val="0"/>
          <w:w w:val="100"/>
          <w:position w:val="0"/>
          <w:sz w:val="20"/>
          <w:szCs w:val="20"/>
        </w:rPr>
        <w:t>其中使用受 限金额</w:t>
      </w:r>
      <w:r>
        <w:rPr>
          <w:rFonts w:ascii="Times New Roman" w:eastAsia="Times New Roman" w:hAnsi="Times New Roman" w:cs="Times New Roman"/>
          <w:color w:val="000000"/>
          <w:spacing w:val="0"/>
          <w:w w:val="100"/>
          <w:position w:val="0"/>
          <w:sz w:val="20"/>
          <w:szCs w:val="20"/>
        </w:rPr>
        <w:t>36,209,294.32</w:t>
      </w:r>
      <w:r>
        <w:rPr>
          <w:color w:val="000000"/>
          <w:spacing w:val="0"/>
          <w:w w:val="100"/>
          <w:position w:val="0"/>
          <w:sz w:val="20"/>
          <w:szCs w:val="20"/>
        </w:rPr>
        <w:t>元。</w:t>
      </w:r>
    </w:p>
    <w:p>
      <w:pPr>
        <w:pStyle w:val="Style41"/>
        <w:keepNext w:val="0"/>
        <w:keepLines w:val="0"/>
        <w:widowControl w:val="0"/>
        <w:numPr>
          <w:ilvl w:val="0"/>
          <w:numId w:val="101"/>
        </w:numPr>
        <w:shd w:val="clear" w:color="auto" w:fill="auto"/>
        <w:bidi w:val="0"/>
        <w:spacing w:before="0" w:after="680" w:line="307" w:lineRule="exact"/>
        <w:ind w:left="0" w:right="0" w:firstLine="360"/>
        <w:jc w:val="left"/>
      </w:pPr>
      <w:bookmarkStart w:id="1063" w:name="bookmark1063"/>
      <w:bookmarkEnd w:id="1063"/>
      <w:r>
        <w:rPr>
          <w:color w:val="000000"/>
          <w:spacing w:val="0"/>
          <w:w w:val="100"/>
          <w:position w:val="0"/>
          <w:sz w:val="20"/>
          <w:szCs w:val="20"/>
        </w:rPr>
        <w:t>外币货币资金明细情况详见本附注</w:t>
      </w: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82</w:t>
      </w:r>
      <w:r>
        <w:rPr>
          <w:rFonts w:ascii="Times New Roman" w:eastAsia="Times New Roman" w:hAnsi="Times New Roman" w:cs="Times New Roman"/>
          <w:color w:val="000000"/>
          <w:spacing w:val="0"/>
          <w:w w:val="100"/>
          <w:position w:val="0"/>
        </w:rPr>
        <w:t>“</w:t>
      </w:r>
      <w:r>
        <w:rPr>
          <w:color w:val="000000"/>
          <w:spacing w:val="0"/>
          <w:w w:val="100"/>
          <w:position w:val="0"/>
        </w:rPr>
        <w:t>外币货币性项目</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2"/>
        <w:keepNext/>
        <w:keepLines/>
        <w:widowControl w:val="0"/>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color w:val="000000"/>
          <w:spacing w:val="0"/>
          <w:w w:val="100"/>
          <w:position w:val="0"/>
        </w:rPr>
        <w:t>、交易性金融资产</w:t>
      </w:r>
      <w:bookmarkEnd w:id="1064"/>
      <w:bookmarkEnd w:id="1065"/>
      <w:bookmarkEnd w:id="106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color w:val="000000"/>
          <w:spacing w:val="0"/>
          <w:w w:val="100"/>
          <w:position w:val="0"/>
        </w:rPr>
        <w:t>、衍生金融资产</w:t>
      </w:r>
      <w:bookmarkEnd w:id="1068"/>
      <w:bookmarkEnd w:id="1069"/>
      <w:bookmarkEnd w:id="107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4</w:t>
      </w:r>
      <w:bookmarkEnd w:id="1074"/>
      <w:r>
        <w:rPr>
          <w:color w:val="000000"/>
          <w:spacing w:val="0"/>
          <w:w w:val="100"/>
          <w:position w:val="0"/>
        </w:rPr>
        <w:t>、应收票据</w:t>
      </w:r>
      <w:bookmarkEnd w:id="1072"/>
      <w:bookmarkEnd w:id="1073"/>
      <w:bookmarkEnd w:id="1075"/>
    </w:p>
    <w:p>
      <w:pPr>
        <w:pStyle w:val="Style32"/>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2"/>
      <w:bookmarkEnd w:id="1073"/>
      <w:bookmarkEnd w:id="107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8"/>
      <w:bookmarkEnd w:id="1079"/>
      <w:bookmarkEnd w:id="108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82"/>
      <w:bookmarkEnd w:id="1083"/>
      <w:bookmarkEnd w:id="108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86"/>
      <w:bookmarkEnd w:id="1087"/>
      <w:bookmarkEnd w:id="1089"/>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90"/>
      <w:bookmarkEnd w:id="1091"/>
      <w:bookmarkEnd w:id="1093"/>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94"/>
      <w:bookmarkEnd w:id="1095"/>
      <w:bookmarkEnd w:id="10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2"/>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5</w:t>
      </w:r>
      <w:bookmarkEnd w:id="1100"/>
      <w:r>
        <w:rPr>
          <w:color w:val="000000"/>
          <w:spacing w:val="0"/>
          <w:w w:val="100"/>
          <w:position w:val="0"/>
        </w:rPr>
        <w:t>、应收账款</w:t>
      </w:r>
      <w:bookmarkEnd w:id="1098"/>
      <w:bookmarkEnd w:id="1099"/>
      <w:bookmarkEnd w:id="1101"/>
    </w:p>
    <w:p>
      <w:pPr>
        <w:pStyle w:val="Style32"/>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8"/>
      <w:bookmarkEnd w:id="1099"/>
      <w:bookmarkEnd w:id="1103"/>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473,401,</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217.14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81,622,1</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391,779,0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441,372,7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77,575,73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363,796,97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473,401,</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217.14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81,622,1</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391,779,0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441,372,7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77,575,73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363,796,97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81,622,154.32</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318,730,955.95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9,561,928.69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86,580,940.46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8,658,094.05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6,695,984.50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2,008,795.35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61,393,336.23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61,393,336.23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473,401,217.14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81,622,154.32</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00" w:line="346" w:lineRule="exact"/>
        <w:ind w:left="0" w:right="0" w:firstLine="0"/>
        <w:jc w:val="left"/>
      </w:pPr>
      <w:r>
        <w:rPr>
          <w:color w:val="000000"/>
          <w:spacing w:val="0"/>
          <w:w w:val="100"/>
          <w:position w:val="0"/>
        </w:rPr>
        <w:t>确定该组合依据的说明: 按组合计提坏账准备：</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318,730,955.95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86,580,940.46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6,695,984.50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61,393,336.23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7,611,391.83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33,135,171.87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20,646,772.53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473,401,217.14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4"/>
      <w:bookmarkEnd w:id="1105"/>
      <w:bookmarkEnd w:id="1107"/>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77,575,739.13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4,046,415.19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81,622,154.32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77,575,739.13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4,046,415.19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81,622,154.32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8"/>
      <w:bookmarkEnd w:id="1109"/>
      <w:bookmarkEnd w:id="1111"/>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2"/>
      <w:bookmarkEnd w:id="1113"/>
      <w:bookmarkEnd w:id="111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139,267,790.70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4,588,639.50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45,543,143.37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1,409,247.55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28,877,231.57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1,057,112.75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24,700,000.00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24,582,650.72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24,154,627.55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262,970,816.36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493" w:val="left"/>
        </w:tabs>
        <w:bidi w:val="0"/>
        <w:spacing w:before="0" w:after="380" w:line="240" w:lineRule="auto"/>
        <w:ind w:left="0" w:right="0" w:firstLine="0"/>
        <w:jc w:val="both"/>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16"/>
      <w:bookmarkEnd w:id="1117"/>
      <w:bookmarkEnd w:id="1119"/>
    </w:p>
    <w:p>
      <w:pPr>
        <w:pStyle w:val="Style41"/>
        <w:keepNext w:val="0"/>
        <w:keepLines w:val="0"/>
        <w:widowControl w:val="0"/>
        <w:shd w:val="clear" w:color="auto" w:fill="auto"/>
        <w:bidi w:val="0"/>
        <w:spacing w:before="0" w:after="680" w:line="240" w:lineRule="auto"/>
        <w:ind w:left="0" w:right="0" w:firstLine="0"/>
        <w:jc w:val="both"/>
        <w:rPr>
          <w:sz w:val="20"/>
          <w:szCs w:val="20"/>
        </w:rPr>
      </w:pPr>
      <w:r>
        <w:rPr>
          <w:color w:val="000000"/>
          <w:spacing w:val="0"/>
          <w:w w:val="100"/>
          <w:position w:val="0"/>
          <w:sz w:val="20"/>
          <w:szCs w:val="20"/>
        </w:rPr>
        <w:t>本期无因金融资产转移而终止确认的应收账款。</w:t>
      </w:r>
    </w:p>
    <w:p>
      <w:pPr>
        <w:pStyle w:val="Style32"/>
        <w:keepNext/>
        <w:keepLines/>
        <w:widowControl w:val="0"/>
        <w:shd w:val="clear" w:color="auto" w:fill="auto"/>
        <w:tabs>
          <w:tab w:pos="493" w:val="left"/>
        </w:tabs>
        <w:bidi w:val="0"/>
        <w:spacing w:before="0" w:after="380" w:line="240" w:lineRule="auto"/>
        <w:ind w:left="0" w:right="0" w:firstLine="0"/>
        <w:jc w:val="both"/>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20"/>
      <w:bookmarkEnd w:id="1121"/>
      <w:bookmarkEnd w:id="1123"/>
    </w:p>
    <w:p>
      <w:pPr>
        <w:pStyle w:val="Style41"/>
        <w:keepNext w:val="0"/>
        <w:keepLines w:val="0"/>
        <w:widowControl w:val="0"/>
        <w:shd w:val="clear" w:color="auto" w:fill="auto"/>
        <w:bidi w:val="0"/>
        <w:spacing w:before="0" w:after="440" w:line="240" w:lineRule="auto"/>
        <w:ind w:left="0" w:right="0" w:firstLine="0"/>
        <w:jc w:val="both"/>
        <w:rPr>
          <w:sz w:val="20"/>
          <w:szCs w:val="20"/>
        </w:rPr>
      </w:pPr>
      <w:r>
        <w:rPr>
          <w:color w:val="000000"/>
          <w:spacing w:val="0"/>
          <w:w w:val="100"/>
          <w:position w:val="0"/>
          <w:sz w:val="20"/>
          <w:szCs w:val="20"/>
        </w:rPr>
        <w:t>本期无转移应收账款且继续涉入形成的资产、负债。</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6</w:t>
      </w:r>
      <w:bookmarkEnd w:id="1126"/>
      <w:r>
        <w:rPr>
          <w:color w:val="000000"/>
          <w:spacing w:val="0"/>
          <w:w w:val="100"/>
          <w:position w:val="0"/>
        </w:rPr>
        <w:t>、应收款项融资</w:t>
      </w:r>
      <w:bookmarkEnd w:id="1124"/>
      <w:bookmarkEnd w:id="1125"/>
      <w:bookmarkEnd w:id="112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7</w:t>
      </w:r>
      <w:bookmarkEnd w:id="1130"/>
      <w:r>
        <w:rPr>
          <w:color w:val="000000"/>
          <w:spacing w:val="0"/>
          <w:w w:val="100"/>
          <w:position w:val="0"/>
        </w:rPr>
        <w:t>、预付款项</w:t>
      </w:r>
      <w:bookmarkEnd w:id="1128"/>
      <w:bookmarkEnd w:id="1129"/>
      <w:bookmarkEnd w:id="1131"/>
    </w:p>
    <w:p>
      <w:pPr>
        <w:pStyle w:val="Style32"/>
        <w:keepNext/>
        <w:keepLines/>
        <w:widowControl w:val="0"/>
        <w:numPr>
          <w:ilvl w:val="0"/>
          <w:numId w:val="103"/>
        </w:numPr>
        <w:shd w:val="clear" w:color="auto" w:fill="auto"/>
        <w:bidi w:val="0"/>
        <w:spacing w:before="0" w:line="240" w:lineRule="auto"/>
        <w:ind w:left="0" w:right="0" w:firstLine="0"/>
        <w:jc w:val="both"/>
      </w:pPr>
      <w:bookmarkStart w:id="1128" w:name="bookmark1128"/>
      <w:bookmarkStart w:id="1129" w:name="bookmark1129"/>
      <w:bookmarkStart w:id="1132" w:name="bookmark1132"/>
      <w:bookmarkStart w:id="1133" w:name="bookmark1133"/>
      <w:bookmarkEnd w:id="1132"/>
      <w:r>
        <w:rPr>
          <w:color w:val="000000"/>
          <w:spacing w:val="0"/>
          <w:w w:val="100"/>
          <w:position w:val="0"/>
        </w:rPr>
        <w:t>预付款项按账龄列示</w:t>
      </w:r>
      <w:bookmarkEnd w:id="1128"/>
      <w:bookmarkEnd w:id="1129"/>
      <w:bookmarkEnd w:id="11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30,776,126.33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81.91%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132,310,042.50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4,308,494.06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2,100,664.48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2,081,809.83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278,596.43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405,434.05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126,837.62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37,571,864.27</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134,816,141.03</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left"/>
        <w:tblLayout w:type="fixed"/>
      </w:tblPr>
      <w:tblGrid>
        <w:gridCol w:w="2856"/>
        <w:gridCol w:w="2846"/>
        <w:gridCol w:w="2856"/>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未及时结算的原因</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北京腾讯文化传媒有限公司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2,420,992.33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预付推广费，尚未消耗</w:t>
            </w:r>
          </w:p>
        </w:tc>
      </w:tr>
    </w:tbl>
    <w:p>
      <w:pPr>
        <w:widowControl w:val="0"/>
        <w:spacing w:after="639" w:line="1" w:lineRule="exact"/>
      </w:pPr>
    </w:p>
    <w:p>
      <w:pPr>
        <w:pStyle w:val="Style32"/>
        <w:keepNext/>
        <w:keepLines/>
        <w:widowControl w:val="0"/>
        <w:numPr>
          <w:ilvl w:val="0"/>
          <w:numId w:val="103"/>
        </w:numPr>
        <w:shd w:val="clear" w:color="auto" w:fill="auto"/>
        <w:bidi w:val="0"/>
        <w:spacing w:before="0" w:line="240" w:lineRule="auto"/>
        <w:ind w:left="0" w:right="0" w:firstLine="0"/>
        <w:jc w:val="both"/>
      </w:pPr>
      <w:bookmarkStart w:id="1134" w:name="bookmark1134"/>
      <w:bookmarkStart w:id="1135" w:name="bookmark1135"/>
      <w:bookmarkStart w:id="1136" w:name="bookmark1136"/>
      <w:bookmarkStart w:id="1137" w:name="bookmark1137"/>
      <w:bookmarkEnd w:id="1136"/>
      <w:r>
        <w:rPr>
          <w:color w:val="000000"/>
          <w:spacing w:val="0"/>
          <w:w w:val="100"/>
          <w:position w:val="0"/>
        </w:rPr>
        <w:t>按预付对象归集的期末余额前五名的预付款情况</w:t>
      </w:r>
      <w:bookmarkEnd w:id="1134"/>
      <w:bookmarkEnd w:id="1135"/>
      <w:bookmarkEnd w:id="1137"/>
    </w:p>
    <w:tbl>
      <w:tblPr>
        <w:tblOverlap w:val="never"/>
        <w:jc w:val="left"/>
        <w:tblLayout w:type="fixed"/>
      </w:tblPr>
      <w:tblGrid>
        <w:gridCol w:w="1853"/>
        <w:gridCol w:w="1699"/>
        <w:gridCol w:w="1531"/>
        <w:gridCol w:w="1843"/>
        <w:gridCol w:w="1632"/>
      </w:tblGrid>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占预付款项期末余额合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未结算原因</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6,593,083.11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预付推广费</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5,165,483.73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预付推广费</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3,454,142.76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预付推广费</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2,949,852.52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预付版权使用费</w:t>
            </w:r>
          </w:p>
        </w:tc>
      </w:tr>
      <w:tr>
        <w:trPr>
          <w:trHeight w:val="341"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2,065,119.08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预付推广费</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355,873.25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预付推广费</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20,583,554.45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41"/>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rPr>
        <w:t>期末未发现预付款项存在明显减值迹象，故未计提减值准备。</w:t>
      </w:r>
    </w:p>
    <w:p>
      <w:pPr>
        <w:pStyle w:val="Style32"/>
        <w:keepNext/>
        <w:keepLines/>
        <w:widowControl w:val="0"/>
        <w:shd w:val="clear" w:color="auto" w:fill="auto"/>
        <w:bidi w:val="0"/>
        <w:spacing w:before="0" w:line="240"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8</w:t>
      </w:r>
      <w:bookmarkEnd w:id="1140"/>
      <w:r>
        <w:rPr>
          <w:color w:val="000000"/>
          <w:spacing w:val="0"/>
          <w:w w:val="100"/>
          <w:position w:val="0"/>
        </w:rPr>
        <w:t>、其他应收款</w:t>
      </w:r>
      <w:bookmarkEnd w:id="1138"/>
      <w:bookmarkEnd w:id="1139"/>
      <w:bookmarkEnd w:id="1141"/>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14,679,600.63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16,401,003.30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14,679,600.63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16,401,003.30</w:t>
            </w:r>
          </w:p>
        </w:tc>
      </w:tr>
    </w:tbl>
    <w:p>
      <w:pPr>
        <w:pStyle w:val="Style32"/>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42"/>
      <w:bookmarkEnd w:id="1143"/>
      <w:bookmarkEnd w:id="1145"/>
    </w:p>
    <w:p>
      <w:pPr>
        <w:pStyle w:val="Style32"/>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color w:val="000000"/>
          <w:spacing w:val="0"/>
          <w:w w:val="100"/>
          <w:position w:val="0"/>
        </w:rPr>
        <w:t>）应收利息分类</w:t>
      </w:r>
      <w:bookmarkEnd w:id="1142"/>
      <w:bookmarkEnd w:id="1143"/>
      <w:bookmarkEnd w:id="11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7" w:hRule="exact"/>
        </w:trPr>
        <w:tc>
          <w:tcPr>
            <w:gridSpan w:val="7"/>
            <w:tcBorders>
              <w:top w:val="single" w:sz="4"/>
            </w:tcBorders>
            <w:shd w:val="clear" w:color="auto" w:fill="FFFFFF"/>
            <w:vAlign w:val="bottom"/>
          </w:tcPr>
          <w:p>
            <w:pPr>
              <w:pStyle w:val="Style17"/>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bookmarkStart w:id="1148" w:name="bookmark1148"/>
      <w:r>
        <w:rPr>
          <w:color w:val="000000"/>
          <w:spacing w:val="0"/>
          <w:w w:val="100"/>
          <w:position w:val="0"/>
        </w:rPr>
        <w:t>其</w:t>
      </w:r>
      <w:bookmarkEnd w:id="1148"/>
      <w:r>
        <w:rPr>
          <w:color w:val="000000"/>
          <w:spacing w:val="0"/>
          <w:w w:val="100"/>
          <w:position w:val="0"/>
        </w:rPr>
        <w:t>他说明：</w:t>
      </w:r>
    </w:p>
    <w:p>
      <w:pPr>
        <w:pStyle w:val="Style32"/>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color w:val="000000"/>
          <w:spacing w:val="0"/>
          <w:w w:val="100"/>
          <w:position w:val="0"/>
        </w:rPr>
        <w:t>）坏账准备计提情况</w:t>
      </w:r>
      <w:bookmarkEnd w:id="1149"/>
      <w:bookmarkEnd w:id="1150"/>
      <w:bookmarkEnd w:id="115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53"/>
      <w:bookmarkEnd w:id="1154"/>
      <w:bookmarkEnd w:id="1156"/>
    </w:p>
    <w:p>
      <w:pPr>
        <w:pStyle w:val="Style32"/>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color w:val="000000"/>
          <w:spacing w:val="0"/>
          <w:w w:val="100"/>
          <w:position w:val="0"/>
        </w:rPr>
        <w:t>）应收股利分类</w:t>
      </w:r>
      <w:bookmarkEnd w:id="1153"/>
      <w:bookmarkEnd w:id="1154"/>
      <w:bookmarkEnd w:id="1158"/>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59"/>
      <w:bookmarkEnd w:id="1160"/>
      <w:bookmarkEnd w:id="116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color w:val="000000"/>
          <w:spacing w:val="0"/>
          <w:w w:val="100"/>
          <w:position w:val="0"/>
        </w:rPr>
        <w:t>）坏账准备计提情况</w:t>
      </w:r>
      <w:bookmarkEnd w:id="1163"/>
      <w:bookmarkEnd w:id="1164"/>
      <w:bookmarkEnd w:id="1166"/>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67"/>
      <w:bookmarkEnd w:id="1168"/>
      <w:bookmarkEnd w:id="1170"/>
    </w:p>
    <w:p>
      <w:pPr>
        <w:pStyle w:val="Style32"/>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color w:val="000000"/>
          <w:spacing w:val="0"/>
          <w:w w:val="100"/>
          <w:position w:val="0"/>
        </w:rPr>
        <w:t>）其他应收款按款项性质分类情况</w:t>
      </w:r>
      <w:bookmarkEnd w:id="1167"/>
      <w:bookmarkEnd w:id="1168"/>
      <w:bookmarkEnd w:id="117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14,041,241.33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13,518,973.92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1,741,518.58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1,164,072.21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27,660.83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56,986.01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969,305.41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3,212,810.44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16,779,726.15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17,952,842.58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color w:val="000000"/>
          <w:spacing w:val="0"/>
          <w:w w:val="100"/>
          <w:position w:val="0"/>
        </w:rPr>
        <w:t>）坏账准备计提情况</w:t>
      </w:r>
      <w:bookmarkEnd w:id="1173"/>
      <w:bookmarkEnd w:id="1174"/>
      <w:bookmarkEnd w:id="1176"/>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1,551,839.28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1,551,839.28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548,286.24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548,286.24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2,100,125.52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2,100,125.52</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6,894,884.34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7,576,571.96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1,675,211.50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633,058.35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282,450.00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142,458.35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208,150.00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16,779,726.15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3</w:t>
      </w:r>
      <w:bookmarkEnd w:id="1179"/>
      <w:r>
        <w:rPr>
          <w:color w:val="000000"/>
          <w:spacing w:val="0"/>
          <w:w w:val="100"/>
          <w:position w:val="0"/>
        </w:rPr>
        <w:t>）本期计提、收回或转回的坏账准备情况</w:t>
      </w:r>
      <w:bookmarkEnd w:id="1177"/>
      <w:bookmarkEnd w:id="1178"/>
      <w:bookmarkEnd w:id="1180"/>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26"/>
        <w:gridCol w:w="1094"/>
        <w:gridCol w:w="1339"/>
        <w:gridCol w:w="1334"/>
        <w:gridCol w:w="1330"/>
        <w:gridCol w:w="1325"/>
        <w:gridCol w:w="1738"/>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1,551,839.28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2,100,125.52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1,551,839.28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548,286.24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2,100,125.52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99" w:line="1" w:lineRule="exact"/>
      </w:pPr>
    </w:p>
    <w:p>
      <w:pPr>
        <w:pStyle w:val="Style41"/>
        <w:keepNext w:val="0"/>
        <w:keepLines w:val="0"/>
        <w:widowControl w:val="0"/>
        <w:shd w:val="clear" w:color="auto" w:fill="auto"/>
        <w:bidi w:val="0"/>
        <w:spacing w:before="0" w:after="680" w:line="240" w:lineRule="auto"/>
        <w:ind w:left="0" w:right="0" w:firstLine="160"/>
        <w:jc w:val="left"/>
        <w:rPr>
          <w:sz w:val="20"/>
          <w:szCs w:val="20"/>
        </w:rPr>
      </w:pPr>
      <w:r>
        <w:rPr>
          <w:color w:val="000000"/>
          <w:spacing w:val="0"/>
          <w:w w:val="100"/>
          <w:position w:val="0"/>
          <w:sz w:val="20"/>
          <w:szCs w:val="20"/>
        </w:rPr>
        <w:t>本期无收回或转回金额重要的坏账准备。</w:t>
      </w:r>
    </w:p>
    <w:p>
      <w:pPr>
        <w:pStyle w:val="Style32"/>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4</w:t>
      </w:r>
      <w:bookmarkEnd w:id="1183"/>
      <w:r>
        <w:rPr>
          <w:color w:val="000000"/>
          <w:spacing w:val="0"/>
          <w:w w:val="100"/>
          <w:position w:val="0"/>
        </w:rPr>
        <w:t>）本期实际核销的其他应收款情况</w:t>
      </w:r>
      <w:bookmarkEnd w:id="1181"/>
      <w:bookmarkEnd w:id="1182"/>
      <w:bookmarkEnd w:id="11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99" w:line="1" w:lineRule="exact"/>
      </w:pPr>
    </w:p>
    <w:p>
      <w:pPr>
        <w:pStyle w:val="Style41"/>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本期无实际核销的其他应收款。</w:t>
      </w:r>
    </w:p>
    <w:p>
      <w:pPr>
        <w:pStyle w:val="Style32"/>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5</w:t>
      </w:r>
      <w:bookmarkEnd w:id="1187"/>
      <w:r>
        <w:rPr>
          <w:color w:val="000000"/>
          <w:spacing w:val="0"/>
          <w:w w:val="100"/>
          <w:position w:val="0"/>
        </w:rPr>
        <w:t>）按欠款方归集的期末余额前五名的其他应收款情况</w:t>
      </w:r>
      <w:bookmarkEnd w:id="1185"/>
      <w:bookmarkEnd w:id="1186"/>
      <w:bookmarkEnd w:id="1188"/>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709"/>
        <w:gridCol w:w="1488"/>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北京市文化科技融资 租赁股份有限公司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中捷通信有限公司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北京高斓汉威物业管 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1,101,368.00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144,922.05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江苏常熟农村商业银 行股份有限公司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938,650.00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93,865.00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 限公司四川省分行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309,531.00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30,285.93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8,549,549.00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805,072.98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6</w:t>
      </w:r>
      <w:bookmarkEnd w:id="1191"/>
      <w:r>
        <w:rPr>
          <w:color w:val="000000"/>
          <w:spacing w:val="0"/>
          <w:w w:val="100"/>
          <w:position w:val="0"/>
        </w:rPr>
        <w:t>）涉及政府补助的应收款项</w:t>
      </w:r>
      <w:bookmarkEnd w:id="1189"/>
      <w:bookmarkEnd w:id="1190"/>
      <w:bookmarkEnd w:id="1192"/>
    </w:p>
    <w:p>
      <w:pPr>
        <w:pStyle w:val="Style23"/>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32"/>
        <w:keepNext/>
        <w:keepLines/>
        <w:widowControl w:val="0"/>
        <w:shd w:val="clear" w:color="auto" w:fill="auto"/>
        <w:tabs>
          <w:tab w:pos="392" w:val="left"/>
        </w:tabs>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7</w:t>
      </w:r>
      <w:bookmarkEnd w:id="1195"/>
      <w:r>
        <w:rPr>
          <w:color w:val="000000"/>
          <w:spacing w:val="0"/>
          <w:w w:val="100"/>
          <w:position w:val="0"/>
        </w:rPr>
        <w:t>）</w:t>
        <w:tab/>
        <w:t>因金融资产转移而终止确认的其他应收款</w:t>
      </w:r>
      <w:bookmarkEnd w:id="1193"/>
      <w:bookmarkEnd w:id="1194"/>
      <w:bookmarkEnd w:id="1196"/>
    </w:p>
    <w:p>
      <w:pPr>
        <w:pStyle w:val="Style41"/>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本期无因金融资产转移而终止确认的其他应收款。</w:t>
      </w:r>
    </w:p>
    <w:p>
      <w:pPr>
        <w:pStyle w:val="Style32"/>
        <w:keepNext/>
        <w:keepLines/>
        <w:widowControl w:val="0"/>
        <w:shd w:val="clear" w:color="auto" w:fill="auto"/>
        <w:tabs>
          <w:tab w:pos="397" w:val="left"/>
        </w:tabs>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8</w:t>
      </w:r>
      <w:bookmarkEnd w:id="1199"/>
      <w:r>
        <w:rPr>
          <w:color w:val="000000"/>
          <w:spacing w:val="0"/>
          <w:w w:val="100"/>
          <w:position w:val="0"/>
        </w:rPr>
        <w:t>）</w:t>
        <w:tab/>
        <w:t>转移其他应收款且继续涉入形成的资产、负债金额</w:t>
      </w:r>
      <w:bookmarkEnd w:id="1197"/>
      <w:bookmarkEnd w:id="1198"/>
      <w:bookmarkEnd w:id="1200"/>
    </w:p>
    <w:p>
      <w:pPr>
        <w:pStyle w:val="Style41"/>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rPr>
        <w:t>本期无转移其他应收款且继续涉入形成的资产、负债。</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9</w:t>
      </w:r>
      <w:bookmarkEnd w:id="1203"/>
      <w:r>
        <w:rPr>
          <w:color w:val="000000"/>
          <w:spacing w:val="0"/>
          <w:w w:val="100"/>
          <w:position w:val="0"/>
        </w:rPr>
        <w:t>、存货</w:t>
      </w:r>
      <w:bookmarkEnd w:id="1201"/>
      <w:bookmarkEnd w:id="1202"/>
      <w:bookmarkEnd w:id="120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5"/>
      <w:bookmarkEnd w:id="1206"/>
      <w:bookmarkEnd w:id="12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422,937,258.70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422,937,258.70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347,768,768.75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347,768,768.75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21,977,055.82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21,977,055.82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88,845,339.23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88,845,339.23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444,914,314.52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444,914,314.52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436,614,107.98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436,614,107.98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09"/>
      <w:bookmarkEnd w:id="1210"/>
      <w:bookmarkEnd w:id="12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9" w:line="1" w:lineRule="exact"/>
      </w:pPr>
    </w:p>
    <w:p>
      <w:pPr>
        <w:pStyle w:val="Style4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期末未发现存货存在明显减值迹象，故未计提存货跌价准备和合同履约成本减值准备</w:t>
      </w:r>
    </w:p>
    <w:p>
      <w:pPr>
        <w:pStyle w:val="Style32"/>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13"/>
      <w:bookmarkEnd w:id="1214"/>
      <w:bookmarkEnd w:id="1216"/>
    </w:p>
    <w:p>
      <w:pPr>
        <w:pStyle w:val="Style4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期末存货余额中无资本化利息金额。</w:t>
      </w:r>
      <w:r>
        <w:br w:type="page"/>
      </w:r>
    </w:p>
    <w:p>
      <w:pPr>
        <w:pStyle w:val="Style32"/>
        <w:keepNext/>
        <w:keepLines/>
        <w:widowControl w:val="0"/>
        <w:numPr>
          <w:ilvl w:val="0"/>
          <w:numId w:val="105"/>
        </w:numPr>
        <w:shd w:val="clear" w:color="auto" w:fill="auto"/>
        <w:bidi w:val="0"/>
        <w:spacing w:before="0" w:line="240" w:lineRule="auto"/>
        <w:ind w:left="0" w:right="0" w:firstLine="0"/>
        <w:jc w:val="both"/>
      </w:pPr>
      <w:bookmarkStart w:id="1217" w:name="bookmark1217"/>
      <w:bookmarkStart w:id="1218" w:name="bookmark1218"/>
      <w:bookmarkStart w:id="1219" w:name="bookmark1219"/>
      <w:bookmarkStart w:id="1220" w:name="bookmark1220"/>
      <w:bookmarkEnd w:id="1219"/>
      <w:r>
        <w:rPr>
          <w:color w:val="000000"/>
          <w:spacing w:val="0"/>
          <w:w w:val="100"/>
          <w:position w:val="0"/>
        </w:rPr>
        <w:t>合同履约成本本期摊销金额的说明</w:t>
      </w:r>
      <w:bookmarkEnd w:id="1217"/>
      <w:bookmarkEnd w:id="1218"/>
      <w:bookmarkEnd w:id="1220"/>
    </w:p>
    <w:p>
      <w:pPr>
        <w:pStyle w:val="Style32"/>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17"/>
      <w:bookmarkEnd w:id="1218"/>
      <w:bookmarkEnd w:id="1222"/>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24,802,699.55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744,080.98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24,058,618.57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24,802,699.55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744,080.98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24,058,618.57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24,058,618.57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合同质保金</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24,058,618.57</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744,080.98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23"/>
      <w:bookmarkEnd w:id="1224"/>
      <w:bookmarkEnd w:id="12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21,857,434.30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21,857,434.30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21,857,434.30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21,857,434.30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2"/>
        <w:keepNext/>
        <w:keepLines/>
        <w:widowControl w:val="0"/>
        <w:numPr>
          <w:ilvl w:val="0"/>
          <w:numId w:val="107"/>
        </w:numPr>
        <w:shd w:val="clear" w:color="auto" w:fill="auto"/>
        <w:bidi w:val="0"/>
        <w:spacing w:before="0" w:after="0" w:line="240" w:lineRule="auto"/>
        <w:ind w:left="0" w:right="0" w:firstLine="440"/>
        <w:jc w:val="both"/>
      </w:pPr>
      <w:bookmarkStart w:id="1227" w:name="bookmark1227"/>
      <w:bookmarkStart w:id="1228" w:name="bookmark1228"/>
      <w:bookmarkStart w:id="1229" w:name="bookmark1229"/>
      <w:bookmarkStart w:id="1230" w:name="bookmark1230"/>
      <w:bookmarkEnd w:id="1229"/>
      <w:r>
        <w:rPr>
          <w:b w:val="0"/>
          <w:bCs w:val="0"/>
          <w:color w:val="000000"/>
          <w:spacing w:val="0"/>
          <w:w w:val="100"/>
          <w:position w:val="0"/>
        </w:rPr>
        <w:t>持有待售的非流动资产</w:t>
      </w:r>
      <w:bookmarkEnd w:id="1227"/>
      <w:bookmarkEnd w:id="1228"/>
      <w:bookmarkEnd w:id="1230"/>
    </w:p>
    <w:tbl>
      <w:tblPr>
        <w:tblOverlap w:val="never"/>
        <w:jc w:val="center"/>
        <w:tblLayout w:type="fixed"/>
      </w:tblPr>
      <w:tblGrid>
        <w:gridCol w:w="1723"/>
        <w:gridCol w:w="1594"/>
        <w:gridCol w:w="1584"/>
        <w:gridCol w:w="1253"/>
        <w:gridCol w:w="1104"/>
        <w:gridCol w:w="1171"/>
        <w:gridCol w:w="1339"/>
      </w:tblGrid>
      <w:tr>
        <w:trPr>
          <w:trHeight w:val="6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预计出售费用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出售原因及方 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其他综合收益累 计金额</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21,857,434.30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25,188,385.00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31"/>
      <w:bookmarkEnd w:id="1232"/>
      <w:bookmarkEnd w:id="1234"/>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35"/>
      <w:bookmarkEnd w:id="1236"/>
      <w:bookmarkEnd w:id="1238"/>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待认证抵扣进项税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8,640,589.29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7,561,498.55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预缴流转税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1,290,644.23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668,938.96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9,932,171.43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138,230,863.38</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期末未发现其他流动资产存在明显减值迹象，故未计提减值准备。</w:t>
      </w:r>
    </w:p>
    <w:p>
      <w:pPr>
        <w:pStyle w:val="Style3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39"/>
      <w:bookmarkEnd w:id="1240"/>
      <w:bookmarkEnd w:id="12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43"/>
      <w:bookmarkEnd w:id="1244"/>
      <w:bookmarkEnd w:id="12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47"/>
      <w:bookmarkEnd w:id="1248"/>
      <w:bookmarkEnd w:id="1250"/>
    </w:p>
    <w:p>
      <w:pPr>
        <w:pStyle w:val="Style32"/>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47"/>
      <w:bookmarkEnd w:id="1248"/>
      <w:bookmarkEnd w:id="1252"/>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109"/>
        </w:numPr>
        <w:shd w:val="clear" w:color="auto" w:fill="auto"/>
        <w:tabs>
          <w:tab w:pos="493" w:val="left"/>
        </w:tabs>
        <w:bidi w:val="0"/>
        <w:spacing w:before="0" w:after="38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因金融资产转移而终止确认的长期应收款</w:t>
      </w:r>
      <w:bookmarkEnd w:id="1253"/>
      <w:bookmarkEnd w:id="1254"/>
      <w:bookmarkEnd w:id="1256"/>
    </w:p>
    <w:p>
      <w:pPr>
        <w:pStyle w:val="Style32"/>
        <w:keepNext/>
        <w:keepLines/>
        <w:widowControl w:val="0"/>
        <w:numPr>
          <w:ilvl w:val="0"/>
          <w:numId w:val="109"/>
        </w:numPr>
        <w:shd w:val="clear" w:color="auto" w:fill="auto"/>
        <w:tabs>
          <w:tab w:pos="493" w:val="left"/>
        </w:tabs>
        <w:bidi w:val="0"/>
        <w:spacing w:before="0" w:after="380" w:line="240" w:lineRule="auto"/>
        <w:ind w:left="0" w:right="0" w:firstLine="0"/>
        <w:jc w:val="left"/>
      </w:pPr>
      <w:bookmarkStart w:id="1253" w:name="bookmark1253"/>
      <w:bookmarkStart w:id="1254" w:name="bookmark1254"/>
      <w:bookmarkStart w:id="1257" w:name="bookmark1257"/>
      <w:bookmarkStart w:id="1258" w:name="bookmark1258"/>
      <w:bookmarkEnd w:id="1257"/>
      <w:r>
        <w:rPr>
          <w:color w:val="000000"/>
          <w:spacing w:val="0"/>
          <w:w w:val="100"/>
          <w:position w:val="0"/>
        </w:rPr>
        <w:t>转移长期应收款且继续涉入形成的资产、负债金额</w:t>
      </w:r>
      <w:bookmarkEnd w:id="1253"/>
      <w:bookmarkEnd w:id="1254"/>
      <w:bookmarkEnd w:id="125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59"/>
      <w:bookmarkEnd w:id="1260"/>
      <w:bookmarkEnd w:id="12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1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中信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科技发展</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7,463,551</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4,219,363</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-3,244,18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⑵北京 睿斓科技 有限责任 公司</w:t>
            </w:r>
            <w:r>
              <w:rPr>
                <w:rFonts w:ascii="Times New Roman" w:eastAsia="Times New Roman" w:hAnsi="Times New Roman" w:cs="Times New Roman"/>
                <w:color w:val="000000"/>
                <w:spacing w:val="0"/>
                <w:w w:val="100"/>
                <w:position w:val="0"/>
              </w:rPr>
              <w:t>(</w:t>
            </w:r>
            <w:r>
              <w:rPr>
                <w:color w:val="000000"/>
                <w:spacing w:val="0"/>
                <w:w w:val="100"/>
                <w:position w:val="0"/>
              </w:rPr>
              <w:t>曾 用名''北 京高伟达 保科技有 限责任公 司</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4,773,370</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2,740,451</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-2,032,91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北京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数微科技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339,060.2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-339,060.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12,575,98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6,959,814</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-5,616,16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12,575,98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6,959,814</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-5,616,16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1"/>
        <w:keepNext w:val="0"/>
        <w:keepLines w:val="0"/>
        <w:widowControl w:val="0"/>
        <w:numPr>
          <w:ilvl w:val="0"/>
          <w:numId w:val="111"/>
        </w:numPr>
        <w:shd w:val="clear" w:color="auto" w:fill="auto"/>
        <w:tabs>
          <w:tab w:pos="794" w:val="left"/>
        </w:tabs>
        <w:bidi w:val="0"/>
        <w:spacing w:before="0" w:after="60" w:line="240" w:lineRule="auto"/>
        <w:ind w:left="0" w:right="0" w:firstLine="440"/>
        <w:jc w:val="both"/>
        <w:rPr>
          <w:sz w:val="20"/>
          <w:szCs w:val="20"/>
        </w:rPr>
      </w:pPr>
      <w:bookmarkStart w:id="1263" w:name="bookmark1263"/>
      <w:bookmarkEnd w:id="1263"/>
      <w:r>
        <w:rPr>
          <w:color w:val="000000"/>
          <w:spacing w:val="0"/>
          <w:w w:val="100"/>
          <w:position w:val="0"/>
          <w:sz w:val="20"/>
          <w:szCs w:val="20"/>
        </w:rPr>
        <w:t>期末未发现长期股权投资存在明显减值迹象，故未计提减值准备。</w:t>
      </w:r>
    </w:p>
    <w:p>
      <w:pPr>
        <w:pStyle w:val="Style41"/>
        <w:keepNext w:val="0"/>
        <w:keepLines w:val="0"/>
        <w:widowControl w:val="0"/>
        <w:numPr>
          <w:ilvl w:val="0"/>
          <w:numId w:val="111"/>
        </w:numPr>
        <w:shd w:val="clear" w:color="auto" w:fill="auto"/>
        <w:tabs>
          <w:tab w:pos="794" w:val="left"/>
        </w:tabs>
        <w:bidi w:val="0"/>
        <w:spacing w:before="0" w:after="60" w:line="240" w:lineRule="auto"/>
        <w:ind w:left="0" w:right="0" w:firstLine="440"/>
        <w:jc w:val="both"/>
        <w:rPr>
          <w:sz w:val="20"/>
          <w:szCs w:val="20"/>
        </w:rPr>
      </w:pPr>
      <w:bookmarkStart w:id="1264" w:name="bookmark1264"/>
      <w:bookmarkEnd w:id="1264"/>
      <w:r>
        <w:rPr>
          <w:color w:val="000000"/>
          <w:spacing w:val="0"/>
          <w:w w:val="100"/>
          <w:position w:val="0"/>
          <w:sz w:val="20"/>
          <w:szCs w:val="20"/>
        </w:rPr>
        <w:t>期末不存在向投资企业转移资金的能力受到限制的情况。</w:t>
      </w:r>
    </w:p>
    <w:p>
      <w:pPr>
        <w:pStyle w:val="Style41"/>
        <w:keepNext w:val="0"/>
        <w:keepLines w:val="0"/>
        <w:widowControl w:val="0"/>
        <w:numPr>
          <w:ilvl w:val="0"/>
          <w:numId w:val="111"/>
        </w:numPr>
        <w:shd w:val="clear" w:color="auto" w:fill="auto"/>
        <w:tabs>
          <w:tab w:pos="794" w:val="left"/>
        </w:tabs>
        <w:bidi w:val="0"/>
        <w:spacing w:before="0" w:after="380" w:line="240" w:lineRule="auto"/>
        <w:ind w:left="0" w:right="0" w:firstLine="440"/>
        <w:jc w:val="both"/>
        <w:rPr>
          <w:sz w:val="20"/>
          <w:szCs w:val="20"/>
        </w:rPr>
      </w:pPr>
      <w:bookmarkStart w:id="1265" w:name="bookmark1265"/>
      <w:bookmarkEnd w:id="1265"/>
      <w:r>
        <w:rPr>
          <w:color w:val="000000"/>
          <w:spacing w:val="0"/>
          <w:w w:val="100"/>
          <w:position w:val="0"/>
          <w:sz w:val="20"/>
          <w:szCs w:val="20"/>
        </w:rPr>
        <w:t>期末不存在有限售条件的长期股权投资。</w:t>
      </w:r>
      <w:r>
        <w:br w:type="page"/>
      </w:r>
    </w:p>
    <w:p>
      <w:pPr>
        <w:pStyle w:val="Style32"/>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66"/>
      <w:bookmarkEnd w:id="1267"/>
      <w:bookmarkEnd w:id="1269"/>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北京伟达助云企业管理中心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北京伟达聚才企业管理中心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盈行金融信息技术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值计量且其变动 计入其他综合收 益的原因</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北京伟达助云 企业管理中心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持有目的并非是 交易性的，本公 司对此项不具有 重大影响的非交 易性权益投资指 定为以公允价值 计量且其变动计 入其他综合收益 的金融资产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北京伟达聚才 企业管理中心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持有目的并非是 交易性的，本公 司对此项不具有 重大影响的非交 易性权益投资指 定为以公允价值 计量且其变动计 入其他综合收益 的金融资产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盈行金融信息 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持有目的并非是 交易性的，本公 司对此项不具有 重大影响的非交 易性权益投资指 定为以公允价值 计量且其变动计 入其他综合收益 的金融资产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70"/>
      <w:bookmarkEnd w:id="1271"/>
      <w:bookmarkEnd w:id="127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74"/>
      <w:bookmarkEnd w:id="1275"/>
      <w:bookmarkEnd w:id="1277"/>
    </w:p>
    <w:p>
      <w:pPr>
        <w:pStyle w:val="Style32"/>
        <w:keepNext/>
        <w:keepLines/>
        <w:widowControl w:val="0"/>
        <w:shd w:val="clear" w:color="auto" w:fill="auto"/>
        <w:tabs>
          <w:tab w:pos="493" w:val="left"/>
        </w:tabs>
        <w:bidi w:val="0"/>
        <w:spacing w:before="0" w:line="240" w:lineRule="auto"/>
        <w:ind w:left="0" w:right="0" w:firstLine="0"/>
        <w:jc w:val="left"/>
      </w:pPr>
      <w:bookmarkStart w:id="1274" w:name="bookmark1274"/>
      <w:bookmarkStart w:id="1275" w:name="bookmark1275"/>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74"/>
      <w:bookmarkEnd w:id="1275"/>
      <w:bookmarkEnd w:id="127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80"/>
      <w:bookmarkEnd w:id="1281"/>
      <w:bookmarkEnd w:id="128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84"/>
      <w:bookmarkEnd w:id="1285"/>
      <w:bookmarkEnd w:id="128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88"/>
      <w:bookmarkEnd w:id="1289"/>
      <w:bookmarkEnd w:id="129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8,503,245.42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64,356,403.06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8,503,245.42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64,356,403.06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92"/>
      <w:bookmarkEnd w:id="1293"/>
      <w:bookmarkEnd w:id="129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61,990,268.66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15,089,297.30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6,481,915.96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1,300,942.83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84,862,424.75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3,927,082.70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353,699.12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192,030.73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4,472,812.55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3,927,082.70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353,699.12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192,030.73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4,472,812.55</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61,990,268.66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1,921,336.81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68,754.85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39,957,723.83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37,967,632.17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1,921,336.81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68,754.85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39,957,723.83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24,022,636.49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24,022,636.49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17,095,043.19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6,835,615.08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1,424,218.71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25,354,876.98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5,010,140.10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9,571,576.56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4,850,744.71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1,073,560.32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20,506,021.69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577,150.92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2,649,590.37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381,343.33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88,179.37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3,696,263.99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577,150.92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2,649,590.37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381,343.33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88,179.37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3,696,263.99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3,422,088.83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1,703,819.25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59,543.85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5,185,451.93</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3,422,088.83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1,703,819.25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59,543.85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5,185,451.93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2,165,202.19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2,165,202.19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10,517,347.68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5,232,088.04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1,102,195.84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16,851,631.56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6,577,695.51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1,603,527.04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322,022.87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8,503,245.42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56,980,128.56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5,517,720.74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1,631,171.25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227,382.51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64,356,403.06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96"/>
      <w:bookmarkEnd w:id="1297"/>
      <w:bookmarkEnd w:id="129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2"/>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00"/>
      <w:bookmarkEnd w:id="1301"/>
      <w:bookmarkEnd w:id="130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04"/>
      <w:bookmarkEnd w:id="1305"/>
      <w:bookmarkEnd w:id="130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08"/>
      <w:bookmarkEnd w:id="1309"/>
      <w:bookmarkEnd w:id="131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1"/>
        <w:keepNext w:val="0"/>
        <w:keepLines w:val="0"/>
        <w:widowControl w:val="0"/>
        <w:numPr>
          <w:ilvl w:val="0"/>
          <w:numId w:val="113"/>
        </w:numPr>
        <w:shd w:val="clear" w:color="auto" w:fill="auto"/>
        <w:tabs>
          <w:tab w:pos="835" w:val="left"/>
        </w:tabs>
        <w:bidi w:val="0"/>
        <w:spacing w:before="0" w:after="80" w:line="240" w:lineRule="auto"/>
        <w:ind w:left="0" w:right="0" w:firstLine="520"/>
        <w:jc w:val="left"/>
        <w:rPr>
          <w:sz w:val="20"/>
          <w:szCs w:val="20"/>
        </w:rPr>
      </w:pPr>
      <w:bookmarkStart w:id="1312" w:name="bookmark1312"/>
      <w:bookmarkEnd w:id="1312"/>
      <w:r>
        <w:rPr>
          <w:color w:val="000000"/>
          <w:spacing w:val="0"/>
          <w:w w:val="100"/>
          <w:position w:val="0"/>
          <w:sz w:val="20"/>
          <w:szCs w:val="20"/>
        </w:rPr>
        <w:t>期末已提足折旧仍继续使用的固定资产原值</w:t>
      </w:r>
      <w:r>
        <w:rPr>
          <w:rFonts w:ascii="Times New Roman" w:eastAsia="Times New Roman" w:hAnsi="Times New Roman" w:cs="Times New Roman"/>
          <w:color w:val="000000"/>
          <w:spacing w:val="0"/>
          <w:w w:val="100"/>
          <w:position w:val="0"/>
          <w:sz w:val="20"/>
          <w:szCs w:val="20"/>
        </w:rPr>
        <w:t>13,268,870.80</w:t>
      </w:r>
      <w:r>
        <w:rPr>
          <w:color w:val="000000"/>
          <w:spacing w:val="0"/>
          <w:w w:val="100"/>
          <w:position w:val="0"/>
          <w:sz w:val="20"/>
          <w:szCs w:val="20"/>
        </w:rPr>
        <w:t>元。</w:t>
      </w:r>
    </w:p>
    <w:p>
      <w:pPr>
        <w:pStyle w:val="Style41"/>
        <w:keepNext w:val="0"/>
        <w:keepLines w:val="0"/>
        <w:widowControl w:val="0"/>
        <w:numPr>
          <w:ilvl w:val="0"/>
          <w:numId w:val="113"/>
        </w:numPr>
        <w:shd w:val="clear" w:color="auto" w:fill="auto"/>
        <w:tabs>
          <w:tab w:pos="854" w:val="left"/>
        </w:tabs>
        <w:bidi w:val="0"/>
        <w:spacing w:before="0" w:after="80" w:line="240" w:lineRule="auto"/>
        <w:ind w:left="0" w:right="0" w:firstLine="520"/>
        <w:jc w:val="left"/>
        <w:rPr>
          <w:sz w:val="20"/>
          <w:szCs w:val="20"/>
        </w:rPr>
      </w:pPr>
      <w:bookmarkStart w:id="1313" w:name="bookmark1313"/>
      <w:bookmarkEnd w:id="1313"/>
      <w:r>
        <w:rPr>
          <w:color w:val="000000"/>
          <w:spacing w:val="0"/>
          <w:w w:val="100"/>
          <w:position w:val="0"/>
          <w:sz w:val="20"/>
          <w:szCs w:val="20"/>
        </w:rPr>
        <w:t>本期其他减少系将预计一年内处置的房屋建筑物重分类至持有待售资产所致</w:t>
      </w:r>
    </w:p>
    <w:p>
      <w:pPr>
        <w:pStyle w:val="Style41"/>
        <w:keepNext w:val="0"/>
        <w:keepLines w:val="0"/>
        <w:widowControl w:val="0"/>
        <w:numPr>
          <w:ilvl w:val="0"/>
          <w:numId w:val="113"/>
        </w:numPr>
        <w:shd w:val="clear" w:color="auto" w:fill="auto"/>
        <w:tabs>
          <w:tab w:pos="774" w:val="left"/>
        </w:tabs>
        <w:bidi w:val="0"/>
        <w:spacing w:before="0" w:after="80" w:line="240" w:lineRule="auto"/>
        <w:ind w:left="0" w:right="0" w:firstLine="440"/>
        <w:jc w:val="left"/>
        <w:rPr>
          <w:sz w:val="20"/>
          <w:szCs w:val="20"/>
        </w:rPr>
      </w:pPr>
      <w:bookmarkStart w:id="1314" w:name="bookmark1314"/>
      <w:bookmarkEnd w:id="1314"/>
      <w:r>
        <w:rPr>
          <w:color w:val="000000"/>
          <w:spacing w:val="0"/>
          <w:w w:val="100"/>
          <w:position w:val="0"/>
          <w:sz w:val="20"/>
          <w:szCs w:val="20"/>
        </w:rPr>
        <w:t>期末未发现固定资产存在明显减值迹象，故未计提减值准备。</w:t>
      </w:r>
    </w:p>
    <w:p>
      <w:pPr>
        <w:pStyle w:val="Style41"/>
        <w:keepNext w:val="0"/>
        <w:keepLines w:val="0"/>
        <w:widowControl w:val="0"/>
        <w:numPr>
          <w:ilvl w:val="0"/>
          <w:numId w:val="113"/>
        </w:numPr>
        <w:shd w:val="clear" w:color="auto" w:fill="auto"/>
        <w:tabs>
          <w:tab w:pos="774" w:val="left"/>
        </w:tabs>
        <w:bidi w:val="0"/>
        <w:spacing w:before="0" w:after="80" w:line="240" w:lineRule="auto"/>
        <w:ind w:left="0" w:right="0" w:firstLine="440"/>
        <w:jc w:val="left"/>
        <w:rPr>
          <w:sz w:val="20"/>
          <w:szCs w:val="20"/>
        </w:rPr>
      </w:pPr>
      <w:bookmarkStart w:id="1315" w:name="bookmark1315"/>
      <w:bookmarkEnd w:id="1315"/>
      <w:r>
        <w:rPr>
          <w:color w:val="000000"/>
          <w:spacing w:val="0"/>
          <w:w w:val="100"/>
          <w:position w:val="0"/>
          <w:sz w:val="20"/>
          <w:szCs w:val="20"/>
        </w:rPr>
        <w:t>期末不存在暂时闲置的固定资产。</w:t>
      </w:r>
    </w:p>
    <w:p>
      <w:pPr>
        <w:pStyle w:val="Style41"/>
        <w:keepNext w:val="0"/>
        <w:keepLines w:val="0"/>
        <w:widowControl w:val="0"/>
        <w:numPr>
          <w:ilvl w:val="0"/>
          <w:numId w:val="113"/>
        </w:numPr>
        <w:shd w:val="clear" w:color="auto" w:fill="auto"/>
        <w:tabs>
          <w:tab w:pos="774" w:val="left"/>
        </w:tabs>
        <w:bidi w:val="0"/>
        <w:spacing w:before="0" w:after="80" w:line="240" w:lineRule="auto"/>
        <w:ind w:left="0" w:right="0" w:firstLine="440"/>
        <w:jc w:val="left"/>
        <w:rPr>
          <w:sz w:val="20"/>
          <w:szCs w:val="20"/>
        </w:rPr>
      </w:pPr>
      <w:bookmarkStart w:id="1316" w:name="bookmark1316"/>
      <w:bookmarkEnd w:id="1316"/>
      <w:r>
        <w:rPr>
          <w:color w:val="000000"/>
          <w:spacing w:val="0"/>
          <w:w w:val="100"/>
          <w:position w:val="0"/>
          <w:sz w:val="20"/>
          <w:szCs w:val="20"/>
        </w:rPr>
        <w:t>期末无经营租赁租出的固定资产。</w:t>
      </w:r>
    </w:p>
    <w:p>
      <w:pPr>
        <w:pStyle w:val="Style41"/>
        <w:keepNext w:val="0"/>
        <w:keepLines w:val="0"/>
        <w:widowControl w:val="0"/>
        <w:numPr>
          <w:ilvl w:val="0"/>
          <w:numId w:val="113"/>
        </w:numPr>
        <w:shd w:val="clear" w:color="auto" w:fill="auto"/>
        <w:tabs>
          <w:tab w:pos="774" w:val="left"/>
        </w:tabs>
        <w:bidi w:val="0"/>
        <w:spacing w:before="0" w:after="80" w:line="240" w:lineRule="auto"/>
        <w:ind w:left="0" w:right="0" w:firstLine="440"/>
        <w:jc w:val="left"/>
        <w:rPr>
          <w:sz w:val="20"/>
          <w:szCs w:val="20"/>
        </w:rPr>
      </w:pPr>
      <w:bookmarkStart w:id="1317" w:name="bookmark1317"/>
      <w:bookmarkEnd w:id="1317"/>
      <w:r>
        <w:rPr>
          <w:color w:val="000000"/>
          <w:spacing w:val="0"/>
          <w:w w:val="100"/>
          <w:position w:val="0"/>
          <w:sz w:val="20"/>
          <w:szCs w:val="20"/>
        </w:rPr>
        <w:t>期末不存在未办妥产权证书的固定资产情况。</w:t>
      </w:r>
    </w:p>
    <w:p>
      <w:pPr>
        <w:pStyle w:val="Style41"/>
        <w:keepNext w:val="0"/>
        <w:keepLines w:val="0"/>
        <w:widowControl w:val="0"/>
        <w:numPr>
          <w:ilvl w:val="0"/>
          <w:numId w:val="113"/>
        </w:numPr>
        <w:shd w:val="clear" w:color="auto" w:fill="auto"/>
        <w:tabs>
          <w:tab w:pos="774" w:val="left"/>
        </w:tabs>
        <w:bidi w:val="0"/>
        <w:spacing w:before="0" w:line="240" w:lineRule="auto"/>
        <w:ind w:left="0" w:right="0" w:firstLine="440"/>
        <w:jc w:val="left"/>
        <w:rPr>
          <w:sz w:val="20"/>
          <w:szCs w:val="20"/>
        </w:rPr>
      </w:pPr>
      <w:bookmarkStart w:id="1318" w:name="bookmark1318"/>
      <w:bookmarkEnd w:id="1318"/>
      <w:r>
        <w:rPr>
          <w:color w:val="000000"/>
          <w:spacing w:val="0"/>
          <w:w w:val="100"/>
          <w:position w:val="0"/>
          <w:sz w:val="20"/>
          <w:szCs w:val="20"/>
        </w:rPr>
        <w:t>期末不存在用于借款抵押的固定资产。</w:t>
      </w:r>
    </w:p>
    <w:p>
      <w:pPr>
        <w:pStyle w:val="Style32"/>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19"/>
      <w:bookmarkEnd w:id="1320"/>
      <w:bookmarkEnd w:id="132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23"/>
      <w:bookmarkEnd w:id="1324"/>
      <w:bookmarkEnd w:id="13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27"/>
      <w:bookmarkEnd w:id="1328"/>
      <w:bookmarkEnd w:id="133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入固定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31"/>
      <w:bookmarkEnd w:id="1332"/>
      <w:bookmarkEnd w:id="133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35"/>
      <w:bookmarkEnd w:id="1336"/>
      <w:bookmarkEnd w:id="133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39"/>
      <w:bookmarkEnd w:id="1340"/>
      <w:bookmarkEnd w:id="1342"/>
    </w:p>
    <w:p>
      <w:pPr>
        <w:pStyle w:val="Style32"/>
        <w:keepNext/>
        <w:keepLines/>
        <w:widowControl w:val="0"/>
        <w:shd w:val="clear" w:color="auto" w:fill="auto"/>
        <w:tabs>
          <w:tab w:pos="493" w:val="left"/>
        </w:tabs>
        <w:bidi w:val="0"/>
        <w:spacing w:before="0" w:after="380" w:line="240" w:lineRule="auto"/>
        <w:ind w:left="0" w:right="0" w:firstLine="0"/>
        <w:jc w:val="left"/>
      </w:pPr>
      <w:bookmarkStart w:id="1339" w:name="bookmark1339"/>
      <w:bookmarkStart w:id="1340" w:name="bookmark1340"/>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39"/>
      <w:bookmarkEnd w:id="1340"/>
      <w:bookmarkEnd w:id="1344"/>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45"/>
      <w:bookmarkEnd w:id="1346"/>
      <w:bookmarkEnd w:id="1348"/>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49"/>
      <w:bookmarkEnd w:id="1350"/>
      <w:bookmarkEnd w:id="1352"/>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53"/>
      <w:bookmarkEnd w:id="1354"/>
      <w:bookmarkEnd w:id="13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9,612,518.32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9,612,518.32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4,533,253.00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4,533,253.00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14,145,771.32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14,145,771.32</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3,810,136.45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3,810,136.45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3,810,136.45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3,810,136.45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3,810,136.45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3,810,136.45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10,335,634.87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10,335,634.87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9,612,518.32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9,612,518.32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1"/>
        <w:keepNext w:val="0"/>
        <w:keepLines w:val="0"/>
        <w:widowControl w:val="0"/>
        <w:shd w:val="clear" w:color="auto" w:fill="auto"/>
        <w:bidi w:val="0"/>
        <w:spacing w:before="0" w:after="98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期初数与上年末余额差异详见本附注五</w:t>
      </w: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）之说明。</w:t>
      </w:r>
    </w:p>
    <w:p>
      <w:pPr>
        <w:pStyle w:val="Style32"/>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57"/>
      <w:bookmarkEnd w:id="1358"/>
      <w:bookmarkEnd w:id="1360"/>
    </w:p>
    <w:p>
      <w:pPr>
        <w:pStyle w:val="Style32"/>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7"/>
      <w:bookmarkEnd w:id="1358"/>
      <w:bookmarkEnd w:id="136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专用软件</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软件著作权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7,572,443.46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99,992,416.81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107,564,860.27</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471,088.60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471,088.60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8,043,532.06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99,992,416.81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108,035,948.87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5,766,069.11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76,055,928.17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81,821,997.28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769,944.65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16,628,400.58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17,398,345.23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769,944.65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16,628,400.58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17,398,345.23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6,536,013.76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92,684,328.75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99,220,342.51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1,507,518.30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7,308,088.06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8,815,606.36</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1,806,374.35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23,936,488.64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25,742,862.99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2"/>
        <w:keepNext/>
        <w:keepLines/>
        <w:widowControl w:val="0"/>
        <w:numPr>
          <w:ilvl w:val="0"/>
          <w:numId w:val="115"/>
        </w:numPr>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未办妥产权证书的土地使用权情况</w:t>
      </w:r>
      <w:bookmarkEnd w:id="1363"/>
      <w:bookmarkEnd w:id="1364"/>
      <w:bookmarkEnd w:id="136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41"/>
        <w:keepNext w:val="0"/>
        <w:keepLines w:val="0"/>
        <w:widowControl w:val="0"/>
        <w:shd w:val="clear" w:color="auto" w:fill="auto"/>
        <w:bidi w:val="0"/>
        <w:spacing w:before="0" w:after="8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本期末通过公司内部研发形成的无形资产占无形资产余额的比例为</w:t>
      </w:r>
      <w:r>
        <w:rPr>
          <w:rFonts w:ascii="Times New Roman" w:eastAsia="Times New Roman" w:hAnsi="Times New Roman" w:cs="Times New Roman"/>
          <w:color w:val="000000"/>
          <w:spacing w:val="0"/>
          <w:w w:val="100"/>
          <w:position w:val="0"/>
          <w:sz w:val="20"/>
          <w:szCs w:val="20"/>
        </w:rPr>
        <w:t>76.30%</w:t>
      </w:r>
      <w:r>
        <w:rPr>
          <w:color w:val="000000"/>
          <w:spacing w:val="0"/>
          <w:w w:val="100"/>
          <w:position w:val="0"/>
          <w:sz w:val="20"/>
          <w:szCs w:val="20"/>
        </w:rPr>
        <w:t>。</w:t>
      </w:r>
    </w:p>
    <w:p>
      <w:pPr>
        <w:pStyle w:val="Style41"/>
        <w:keepNext w:val="0"/>
        <w:keepLines w:val="0"/>
        <w:widowControl w:val="0"/>
        <w:numPr>
          <w:ilvl w:val="0"/>
          <w:numId w:val="117"/>
        </w:numPr>
        <w:shd w:val="clear" w:color="auto" w:fill="auto"/>
        <w:tabs>
          <w:tab w:pos="794" w:val="left"/>
        </w:tabs>
        <w:bidi w:val="0"/>
        <w:spacing w:before="0" w:after="80" w:line="240" w:lineRule="auto"/>
        <w:ind w:left="0" w:right="0" w:firstLine="440"/>
        <w:jc w:val="left"/>
        <w:rPr>
          <w:sz w:val="20"/>
          <w:szCs w:val="20"/>
        </w:rPr>
      </w:pPr>
      <w:bookmarkStart w:id="1367" w:name="bookmark1367"/>
      <w:bookmarkEnd w:id="1367"/>
      <w:r>
        <w:rPr>
          <w:color w:val="000000"/>
          <w:spacing w:val="0"/>
          <w:w w:val="100"/>
          <w:position w:val="0"/>
          <w:sz w:val="20"/>
          <w:szCs w:val="20"/>
        </w:rPr>
        <w:t>期末未发现无形资产存在明显减值迹象，故未计提减值准备。</w:t>
      </w:r>
    </w:p>
    <w:p>
      <w:pPr>
        <w:pStyle w:val="Style41"/>
        <w:keepNext w:val="0"/>
        <w:keepLines w:val="0"/>
        <w:widowControl w:val="0"/>
        <w:numPr>
          <w:ilvl w:val="0"/>
          <w:numId w:val="117"/>
        </w:numPr>
        <w:shd w:val="clear" w:color="auto" w:fill="auto"/>
        <w:tabs>
          <w:tab w:pos="794" w:val="left"/>
        </w:tabs>
        <w:bidi w:val="0"/>
        <w:spacing w:before="0" w:after="80" w:line="240" w:lineRule="auto"/>
        <w:ind w:left="0" w:right="0" w:firstLine="440"/>
        <w:jc w:val="left"/>
        <w:rPr>
          <w:sz w:val="20"/>
          <w:szCs w:val="20"/>
        </w:rPr>
      </w:pPr>
      <w:bookmarkStart w:id="1368" w:name="bookmark1368"/>
      <w:bookmarkEnd w:id="1368"/>
      <w:r>
        <w:rPr>
          <w:color w:val="000000"/>
          <w:spacing w:val="0"/>
          <w:w w:val="100"/>
          <w:position w:val="0"/>
          <w:sz w:val="20"/>
          <w:szCs w:val="20"/>
        </w:rPr>
        <w:t>期末无用于抵押或担保的无形资产。</w:t>
      </w:r>
    </w:p>
    <w:p>
      <w:pPr>
        <w:pStyle w:val="Style41"/>
        <w:keepNext w:val="0"/>
        <w:keepLines w:val="0"/>
        <w:widowControl w:val="0"/>
        <w:numPr>
          <w:ilvl w:val="0"/>
          <w:numId w:val="117"/>
        </w:numPr>
        <w:shd w:val="clear" w:color="auto" w:fill="auto"/>
        <w:tabs>
          <w:tab w:pos="794" w:val="left"/>
        </w:tabs>
        <w:bidi w:val="0"/>
        <w:spacing w:before="0" w:after="680" w:line="240" w:lineRule="auto"/>
        <w:ind w:left="0" w:right="0" w:firstLine="440"/>
        <w:jc w:val="left"/>
        <w:rPr>
          <w:sz w:val="20"/>
          <w:szCs w:val="20"/>
        </w:rPr>
      </w:pPr>
      <w:bookmarkStart w:id="1369" w:name="bookmark1369"/>
      <w:bookmarkEnd w:id="1369"/>
      <w:r>
        <w:rPr>
          <w:color w:val="000000"/>
          <w:spacing w:val="0"/>
          <w:w w:val="100"/>
          <w:position w:val="0"/>
          <w:sz w:val="20"/>
          <w:szCs w:val="20"/>
        </w:rPr>
        <w:t>期末无未办妥权证的无形资产。</w:t>
      </w:r>
    </w:p>
    <w:p>
      <w:pPr>
        <w:pStyle w:val="Style32"/>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70"/>
      <w:bookmarkEnd w:id="1371"/>
      <w:bookmarkEnd w:id="137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133"/>
        <w:gridCol w:w="994"/>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确认为无形</w:t>
            </w:r>
          </w:p>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76,050,766.95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76,050,766.9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76,050,766.95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76,050,766.9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374"/>
      <w:bookmarkEnd w:id="1375"/>
      <w:bookmarkEnd w:id="1377"/>
    </w:p>
    <w:p>
      <w:pPr>
        <w:pStyle w:val="Style32"/>
        <w:keepNext/>
        <w:keepLines/>
        <w:widowControl w:val="0"/>
        <w:numPr>
          <w:ilvl w:val="0"/>
          <w:numId w:val="119"/>
        </w:numPr>
        <w:shd w:val="clear" w:color="auto" w:fill="auto"/>
        <w:bidi w:val="0"/>
        <w:spacing w:before="0" w:after="380" w:line="240" w:lineRule="auto"/>
        <w:ind w:left="0" w:right="0" w:firstLine="0"/>
        <w:jc w:val="both"/>
      </w:pPr>
      <w:bookmarkStart w:id="1374" w:name="bookmark1374"/>
      <w:bookmarkStart w:id="1375" w:name="bookmark1375"/>
      <w:bookmarkStart w:id="1378" w:name="bookmark1378"/>
      <w:bookmarkStart w:id="1379" w:name="bookmark1379"/>
      <w:bookmarkEnd w:id="1378"/>
      <w:r>
        <w:rPr>
          <w:color w:val="000000"/>
          <w:spacing w:val="0"/>
          <w:w w:val="100"/>
          <w:position w:val="0"/>
        </w:rPr>
        <w:t>商誉账面原值</w:t>
      </w:r>
      <w:bookmarkEnd w:id="1374"/>
      <w:bookmarkEnd w:id="1375"/>
      <w:bookmarkEnd w:id="137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深圳市快读科技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440,212,450.88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440,212,450.88</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海南坚果创娱信 息技术有限公司 资产组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243,380,576.73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243,380,576.73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上海睿民互联网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235,429,130.86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235,429,130.86</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科技有限公司资 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919,022,158.47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919,022,158.47</w:t>
            </w:r>
          </w:p>
        </w:tc>
      </w:tr>
    </w:tbl>
    <w:p>
      <w:pPr>
        <w:widowControl w:val="0"/>
        <w:spacing w:after="319" w:line="1" w:lineRule="exact"/>
      </w:pPr>
    </w:p>
    <w:p>
      <w:pPr>
        <w:pStyle w:val="Style32"/>
        <w:keepNext/>
        <w:keepLines/>
        <w:widowControl w:val="0"/>
        <w:numPr>
          <w:ilvl w:val="0"/>
          <w:numId w:val="119"/>
        </w:numPr>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商誉减值准备</w:t>
      </w:r>
      <w:bookmarkEnd w:id="1380"/>
      <w:bookmarkEnd w:id="1381"/>
      <w:bookmarkEnd w:id="138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深圳市快读科技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有限公司资产组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388,730,933.94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388,730,933.94</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海南坚果创娱信 息技术有限公司 资产组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233,544,190.84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1,107,955.16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234,652,146.00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上海睿民互联网 科技有限公司资 产组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155,553,277.15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7,889,365.73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163,442,642.88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777,828,401.93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8,997,320.89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786,825,722.82</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商誉所在资产组或资产组组合的相关信息</w:t>
      </w:r>
    </w:p>
    <w:p>
      <w:pPr>
        <w:pStyle w:val="Style41"/>
        <w:keepNext w:val="0"/>
        <w:keepLines w:val="0"/>
        <w:widowControl w:val="0"/>
        <w:numPr>
          <w:ilvl w:val="0"/>
          <w:numId w:val="121"/>
        </w:numPr>
        <w:shd w:val="clear" w:color="auto" w:fill="auto"/>
        <w:bidi w:val="0"/>
        <w:spacing w:before="0" w:after="0" w:line="240" w:lineRule="auto"/>
        <w:ind w:left="0" w:right="0" w:firstLine="420"/>
        <w:jc w:val="left"/>
        <w:rPr>
          <w:sz w:val="20"/>
          <w:szCs w:val="20"/>
        </w:rPr>
      </w:pPr>
      <w:bookmarkStart w:id="1384" w:name="bookmark1384"/>
      <w:bookmarkEnd w:id="1384"/>
      <w:r>
        <w:rPr>
          <w:color w:val="000000"/>
          <w:spacing w:val="0"/>
          <w:w w:val="100"/>
          <w:position w:val="0"/>
          <w:sz w:val="20"/>
          <w:szCs w:val="20"/>
        </w:rPr>
        <w:t>深圳市快读科技有限公司资产组</w:t>
      </w:r>
    </w:p>
    <w:tbl>
      <w:tblPr>
        <w:tblOverlap w:val="never"/>
        <w:jc w:val="center"/>
        <w:tblLayout w:type="fixed"/>
      </w:tblPr>
      <w:tblGrid>
        <w:gridCol w:w="3907"/>
        <w:gridCol w:w="5702"/>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深圳市快读科技有限公司资产组</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深圳市快读科技有限公司长期资产</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463,052.42</w:t>
            </w:r>
            <w:r>
              <w:rPr>
                <w:color w:val="000000"/>
                <w:spacing w:val="0"/>
                <w:w w:val="100"/>
                <w:position w:val="0"/>
              </w:rPr>
              <w:t>元</w:t>
            </w:r>
          </w:p>
        </w:tc>
      </w:tr>
      <w:tr>
        <w:trPr>
          <w:trHeight w:val="65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资产组或资产组组合的确定方法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深圳市快读科技有限公司业务存在活跃市场，可以带来独立的现金流， 可将其认定为一个单独的资产组。</w:t>
            </w:r>
          </w:p>
        </w:tc>
      </w:tr>
      <w:tr>
        <w:trPr>
          <w:trHeight w:val="95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资产组或资产组组合是否与购买日、以前年度商誉 减值测试时所确定的资产组或资产组组合一致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上一会计期间资产组或资产组组合构成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深圳市快读科技有限公司长期资产</w:t>
            </w:r>
          </w:p>
        </w:tc>
      </w:tr>
      <w:tr>
        <w:trPr>
          <w:trHeight w:val="15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前后会计期间资产组或资产组组合构成变化的主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要事实与依据</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numPr>
                <w:ilvl w:val="0"/>
                <w:numId w:val="123"/>
              </w:numPr>
              <w:shd w:val="clear" w:color="auto" w:fill="auto"/>
              <w:tabs>
                <w:tab w:pos="144"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年度喀什尚河信息科技有限公司将全部业务平行划转至喀什迅腾 信息科技有限公司；</w:t>
            </w:r>
          </w:p>
          <w:p>
            <w:pPr>
              <w:pStyle w:val="Style17"/>
              <w:keepNext w:val="0"/>
              <w:keepLines w:val="0"/>
              <w:widowControl w:val="0"/>
              <w:numPr>
                <w:ilvl w:val="0"/>
                <w:numId w:val="123"/>
              </w:numPr>
              <w:shd w:val="clear" w:color="auto" w:fill="auto"/>
              <w:tabs>
                <w:tab w:pos="149"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年度喀什尚河信息科技有限公司注销，喀什迅腾信息科技有限公司 由高伟达软件股份有限公司全资子公司变更为深圳市快读科技有限公司 全资子公司。</w:t>
            </w:r>
          </w:p>
        </w:tc>
      </w:tr>
    </w:tbl>
    <w:p>
      <w:pPr>
        <w:pStyle w:val="Style41"/>
        <w:keepNext w:val="0"/>
        <w:keepLines w:val="0"/>
        <w:widowControl w:val="0"/>
        <w:numPr>
          <w:ilvl w:val="0"/>
          <w:numId w:val="121"/>
        </w:numPr>
        <w:shd w:val="clear" w:color="auto" w:fill="auto"/>
        <w:bidi w:val="0"/>
        <w:spacing w:before="0" w:after="0" w:line="240" w:lineRule="auto"/>
        <w:ind w:left="0" w:right="0" w:firstLine="420"/>
        <w:jc w:val="left"/>
        <w:rPr>
          <w:sz w:val="20"/>
          <w:szCs w:val="20"/>
        </w:rPr>
      </w:pPr>
      <w:bookmarkStart w:id="1385" w:name="bookmark1385"/>
      <w:bookmarkEnd w:id="1385"/>
      <w:r>
        <w:rPr>
          <w:color w:val="000000"/>
          <w:spacing w:val="0"/>
          <w:w w:val="100"/>
          <w:position w:val="0"/>
          <w:sz w:val="20"/>
          <w:szCs w:val="20"/>
        </w:rPr>
        <w:t>海南坚果创娱信息技术有限公司资产组</w:t>
      </w:r>
    </w:p>
    <w:tbl>
      <w:tblPr>
        <w:tblOverlap w:val="never"/>
        <w:jc w:val="center"/>
        <w:tblLayout w:type="fixed"/>
      </w:tblPr>
      <w:tblGrid>
        <w:gridCol w:w="3912"/>
        <w:gridCol w:w="2659"/>
        <w:gridCol w:w="3077"/>
      </w:tblGrid>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海南坚果创娱信息技术有限公司资产组</w:t>
            </w:r>
          </w:p>
        </w:tc>
      </w:tr>
      <w:tr>
        <w:trPr>
          <w:trHeight w:val="65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海南坚果创娱信息技术有限公司 长期资产</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上海魔力果信息技术有限公司长期资 产</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395,022.83 </w:t>
            </w:r>
            <w:r>
              <w:rPr>
                <w:color w:val="000000"/>
                <w:spacing w:val="0"/>
                <w:w w:val="100"/>
                <w:position w:val="0"/>
              </w:rPr>
              <w:t>元</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资产组或资产组组合的确定方法</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商誉所在的资产组业务存在活跃市场，可以带来独立的现金流，可将其认</w:t>
            </w:r>
          </w:p>
        </w:tc>
      </w:tr>
    </w:tbl>
    <w:p>
      <w:pPr>
        <w:widowControl w:val="0"/>
        <w:spacing w:line="1" w:lineRule="exact"/>
      </w:pPr>
      <w:r>
        <w:br w:type="page"/>
      </w:r>
    </w:p>
    <w:tbl>
      <w:tblPr>
        <w:tblOverlap w:val="never"/>
        <w:jc w:val="center"/>
        <w:tblLayout w:type="fixed"/>
      </w:tblPr>
      <w:tblGrid>
        <w:gridCol w:w="3912"/>
        <w:gridCol w:w="5736"/>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定为一个单独的资产组。</w:t>
            </w:r>
          </w:p>
        </w:tc>
      </w:tr>
      <w:tr>
        <w:trPr>
          <w:trHeight w:val="95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资产组或资产组组合是否与购买日、以前年度商誉 减值测试时所确定的资产组或资产组组合一致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上一会计期间资产组或资产组组合构成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海南坚果创娱信息技术有限公司长期资产</w:t>
            </w:r>
            <w:r>
              <w:rPr>
                <w:rFonts w:ascii="Times New Roman" w:eastAsia="Times New Roman" w:hAnsi="Times New Roman" w:cs="Times New Roman"/>
                <w:color w:val="000000"/>
                <w:spacing w:val="0"/>
                <w:w w:val="100"/>
                <w:position w:val="0"/>
              </w:rPr>
              <w:t>（</w:t>
            </w:r>
            <w:r>
              <w:rPr>
                <w:color w:val="000000"/>
                <w:spacing w:val="0"/>
                <w:w w:val="100"/>
                <w:position w:val="0"/>
              </w:rPr>
              <w:t>含上海魔力果信息技术有限公 司长期资产</w:t>
            </w:r>
            <w:r>
              <w:rPr>
                <w:color w:val="000000"/>
                <w:spacing w:val="0"/>
                <w:w w:val="100"/>
                <w:position w:val="0"/>
              </w:rPr>
              <w:t>）</w:t>
            </w:r>
          </w:p>
        </w:tc>
      </w:tr>
      <w:tr>
        <w:trPr>
          <w:trHeight w:val="96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前后会计期间资产组或资产组组合构成变化的主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要事实与依据</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年度上海魔力果信息技术有限公司由海南坚果创娱信息技术有限公 司全资子公司变更为高伟达软件股份有限公司全资子公司。</w:t>
            </w:r>
          </w:p>
        </w:tc>
      </w:tr>
    </w:tbl>
    <w:p>
      <w:pPr>
        <w:pStyle w:val="Style41"/>
        <w:keepNext w:val="0"/>
        <w:keepLines w:val="0"/>
        <w:widowControl w:val="0"/>
        <w:numPr>
          <w:ilvl w:val="0"/>
          <w:numId w:val="121"/>
        </w:numPr>
        <w:shd w:val="clear" w:color="auto" w:fill="auto"/>
        <w:bidi w:val="0"/>
        <w:spacing w:before="0" w:after="0" w:line="240" w:lineRule="auto"/>
        <w:ind w:left="0" w:right="0" w:firstLine="440"/>
        <w:jc w:val="left"/>
        <w:rPr>
          <w:sz w:val="20"/>
          <w:szCs w:val="20"/>
        </w:rPr>
      </w:pPr>
      <w:bookmarkStart w:id="1386" w:name="bookmark1386"/>
      <w:bookmarkEnd w:id="1386"/>
      <w:r>
        <w:rPr>
          <w:color w:val="000000"/>
          <w:spacing w:val="0"/>
          <w:w w:val="100"/>
          <w:position w:val="0"/>
          <w:sz w:val="20"/>
          <w:szCs w:val="20"/>
        </w:rPr>
        <w:t>上海睿民互联网科技有限公司资产组</w:t>
      </w:r>
    </w:p>
    <w:tbl>
      <w:tblPr>
        <w:tblOverlap w:val="never"/>
        <w:jc w:val="center"/>
        <w:tblLayout w:type="fixed"/>
      </w:tblPr>
      <w:tblGrid>
        <w:gridCol w:w="3907"/>
        <w:gridCol w:w="1560"/>
        <w:gridCol w:w="1411"/>
        <w:gridCol w:w="1306"/>
        <w:gridCol w:w="1440"/>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上海睿民互联网科技有限公司资产组</w:t>
            </w:r>
          </w:p>
        </w:tc>
      </w:tr>
      <w:tr>
        <w:trPr>
          <w:trHeight w:val="97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上海睿民互联网科 技有限公司长期资 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深圳瑞云互联科 技有限公司长期 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上海瑞车信息科 技有限公司长期 资产</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高伟达软件股份 有限公司集成</w:t>
            </w:r>
            <w:r>
              <w:rPr>
                <w:rFonts w:ascii="Times New Roman" w:eastAsia="Times New Roman" w:hAnsi="Times New Roman" w:cs="Times New Roman"/>
                <w:color w:val="000000"/>
                <w:spacing w:val="0"/>
                <w:w w:val="100"/>
                <w:position w:val="0"/>
              </w:rPr>
              <w:t>B</w:t>
            </w:r>
            <w:r>
              <w:rPr>
                <w:color w:val="000000"/>
                <w:spacing w:val="0"/>
                <w:w w:val="100"/>
                <w:position w:val="0"/>
              </w:rPr>
              <w:t>组 长期资产</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3,306,909.46 </w:t>
            </w:r>
            <w:r>
              <w:rPr>
                <w:color w:val="000000"/>
                <w:spacing w:val="0"/>
                <w:w w:val="100"/>
                <w:position w:val="0"/>
              </w:rPr>
              <w:t>元</w:t>
            </w:r>
          </w:p>
        </w:tc>
      </w:tr>
      <w:tr>
        <w:trPr>
          <w:trHeight w:val="65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资产组或资产组组合的确定方法</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商誉所在的资产组业务存在活跃市场， 定为一个单独的资产组。</w:t>
            </w:r>
          </w:p>
        </w:tc>
        <w:tc>
          <w:tcPr>
            <w:gridSpan w:val="2"/>
            <w:tcBorders>
              <w:top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可以带来独立的现金流，可将其认</w:t>
            </w:r>
          </w:p>
        </w:tc>
      </w:tr>
      <w:tr>
        <w:trPr>
          <w:trHeight w:val="93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资产组或资产组组合是否与购买日、以前年度商誉 减值测试时所确定的资产组或资产组组合一致</w:t>
            </w:r>
          </w:p>
        </w:tc>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6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上一会计期间资产组或资产组组合构成</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上海睿民互联网科技有限公司长期资产</w:t>
            </w:r>
            <w:r>
              <w:rPr>
                <w:rFonts w:ascii="Times New Roman" w:eastAsia="Times New Roman" w:hAnsi="Times New Roman" w:cs="Times New Roman"/>
                <w:color w:val="000000"/>
                <w:spacing w:val="0"/>
                <w:w w:val="100"/>
                <w:position w:val="0"/>
              </w:rPr>
              <w:t>（</w:t>
            </w:r>
            <w:r>
              <w:rPr>
                <w:color w:val="000000"/>
                <w:spacing w:val="0"/>
                <w:w w:val="100"/>
                <w:position w:val="0"/>
              </w:rPr>
              <w:t>含深圳瑞云互联科技有限公司长 期资产、上海瑞车信息科技有限公司长期资产、高伟达软件股份有限公司 集成</w:t>
            </w:r>
            <w:r>
              <w:rPr>
                <w:rFonts w:ascii="Times New Roman" w:eastAsia="Times New Roman" w:hAnsi="Times New Roman" w:cs="Times New Roman"/>
                <w:color w:val="000000"/>
                <w:spacing w:val="0"/>
                <w:w w:val="100"/>
                <w:position w:val="0"/>
              </w:rPr>
              <w:t>B</w:t>
            </w:r>
            <w:r>
              <w:rPr>
                <w:color w:val="000000"/>
                <w:spacing w:val="0"/>
                <w:w w:val="100"/>
                <w:position w:val="0"/>
              </w:rPr>
              <w:t>组长期资产</w:t>
            </w:r>
            <w:r>
              <w:rPr>
                <w:color w:val="000000"/>
                <w:spacing w:val="0"/>
                <w:w w:val="100"/>
                <w:position w:val="0"/>
              </w:rPr>
              <w:t>）</w:t>
            </w:r>
          </w:p>
        </w:tc>
      </w:tr>
      <w:tr>
        <w:trPr>
          <w:trHeight w:val="217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前后会计期间资产组或资产组组合构成变化的主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要事实与依据</w:t>
            </w:r>
          </w:p>
        </w:tc>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tabs>
                <w:tab w:pos="14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1）</w:t>
              <w:tab/>
              <w:t>2019</w:t>
            </w:r>
            <w:r>
              <w:rPr>
                <w:color w:val="000000"/>
                <w:spacing w:val="0"/>
                <w:w w:val="100"/>
                <w:position w:val="0"/>
              </w:rPr>
              <w:t>年度深圳瑞云互联科技有限公司由上海睿民互联网科技有限公司 全资子公司变更为高伟达软件股份有限公司全资子公司，并将部分业务转 移至高伟达软件股份有限公司集成</w:t>
            </w:r>
            <w:r>
              <w:rPr>
                <w:rFonts w:ascii="Times New Roman" w:eastAsia="Times New Roman" w:hAnsi="Times New Roman" w:cs="Times New Roman"/>
                <w:color w:val="000000"/>
                <w:spacing w:val="0"/>
                <w:w w:val="100"/>
                <w:position w:val="0"/>
              </w:rPr>
              <w:t>B</w:t>
            </w:r>
            <w:r>
              <w:rPr>
                <w:color w:val="000000"/>
                <w:spacing w:val="0"/>
                <w:w w:val="100"/>
                <w:position w:val="0"/>
              </w:rPr>
              <w:t>组实施；</w:t>
            </w:r>
          </w:p>
          <w:p>
            <w:pPr>
              <w:pStyle w:val="Style17"/>
              <w:keepNext w:val="0"/>
              <w:keepLines w:val="0"/>
              <w:widowControl w:val="0"/>
              <w:shd w:val="clear" w:color="auto" w:fill="auto"/>
              <w:tabs>
                <w:tab w:pos="149"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w:t>
              <w:tab/>
              <w:t>2020</w:t>
            </w:r>
            <w:r>
              <w:rPr>
                <w:color w:val="000000"/>
                <w:spacing w:val="0"/>
                <w:w w:val="100"/>
                <w:position w:val="0"/>
              </w:rPr>
              <w:t>年度上海睿民互联网科技有限公司将其汽车金融业务转移至高伟 达软件股份有限公司新设子公司上海瑞车信息科技有限公司实施。</w:t>
            </w:r>
          </w:p>
        </w:tc>
      </w:tr>
    </w:tbl>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本公司采用预计未来现金流现值的方法计算资产组的可收回金额。本公司根据管理层批准的财务预算 并预计未来</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年的现金流量，并假设其后年度保持预测期第</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年的现金流量水平。管理层根据过往表现及其 对市场发展的预期编制上述财务预算。本年度，管理层委聘外部估值专家基于管理层编制的现金流量预测 采用预计未来现金流量折现的模型计算各相关资产及资产组的预计未来现金流量现值。</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预计未来现金流量现值时的关键参数：预测期增长率、稳定期增长率、利润率、折现率、预测期；减 值测试中采用的其他关键数据包括：预期收入、营业成本及其他相关费用。公司根据历史经验及对市场发 展的预测确定上述关键数据。</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计算未来现金流现值所采用的税前折现率考虑了本公司的普通权益资本成本、债务资本成本、权益和 债务在资本结构中的占比等因素，已反映了各资产组的风险。</w:t>
      </w:r>
    </w:p>
    <w:p>
      <w:pPr>
        <w:pStyle w:val="Style41"/>
        <w:keepNext w:val="0"/>
        <w:keepLines w:val="0"/>
        <w:widowControl w:val="0"/>
        <w:numPr>
          <w:ilvl w:val="0"/>
          <w:numId w:val="125"/>
        </w:numPr>
        <w:shd w:val="clear" w:color="auto" w:fill="auto"/>
        <w:bidi w:val="0"/>
        <w:spacing w:before="0" w:after="0" w:line="313" w:lineRule="exact"/>
        <w:ind w:left="0" w:right="0" w:firstLine="440"/>
        <w:jc w:val="left"/>
        <w:rPr>
          <w:sz w:val="20"/>
          <w:szCs w:val="20"/>
        </w:rPr>
      </w:pPr>
      <w:bookmarkStart w:id="1387" w:name="bookmark1387"/>
      <w:bookmarkEnd w:id="1387"/>
      <w:r>
        <w:rPr>
          <w:color w:val="000000"/>
          <w:spacing w:val="0"/>
          <w:w w:val="100"/>
          <w:position w:val="0"/>
          <w:sz w:val="20"/>
          <w:szCs w:val="20"/>
        </w:rPr>
        <w:t>商誉减值测试情况：</w:t>
      </w:r>
      <w:r>
        <w:br w:type="page"/>
      </w:r>
    </w:p>
    <w:tbl>
      <w:tblPr>
        <w:tblOverlap w:val="never"/>
        <w:jc w:val="center"/>
        <w:tblLayout w:type="fixed"/>
      </w:tblPr>
      <w:tblGrid>
        <w:gridCol w:w="1190"/>
        <w:gridCol w:w="2645"/>
        <w:gridCol w:w="3077"/>
        <w:gridCol w:w="2971"/>
      </w:tblGrid>
      <w:tr>
        <w:trPr>
          <w:trHeight w:val="6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深圳市快读科技有限公司资产组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海南坚果创娱信息技术有限公司资产</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组</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上海睿民互联网科技有限公司资产组</w:t>
            </w:r>
          </w:p>
        </w:tc>
      </w:tr>
      <w:tr>
        <w:trPr>
          <w:trHeight w:val="65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商誉账面余额</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440,212,450.88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243,380,576.73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235,429,130.86</w:t>
            </w:r>
          </w:p>
        </w:tc>
      </w:tr>
      <w:tr>
        <w:trPr>
          <w:trHeight w:val="65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商誉减值准备</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388,730,933.94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233,544,190.84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155,553,277.15</w:t>
            </w:r>
          </w:p>
        </w:tc>
      </w:tr>
      <w:tr>
        <w:trPr>
          <w:trHeight w:val="7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商誉的账面价 值③=①</w:t>
            </w:r>
            <w:r>
              <w:rPr>
                <w:rFonts w:ascii="Times New Roman" w:eastAsia="Times New Roman" w:hAnsi="Times New Roman" w:cs="Times New Roman"/>
                <w:color w:val="000000"/>
                <w:spacing w:val="0"/>
                <w:w w:val="100"/>
                <w:position w:val="0"/>
              </w:rPr>
              <w:t>-</w:t>
            </w:r>
            <w:r>
              <w:rPr>
                <w:color w:val="000000"/>
                <w:spacing w:val="0"/>
                <w:w w:val="100"/>
                <w:position w:val="0"/>
              </w:rPr>
              <w:t>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51,481,516.94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9,836,385.89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79,875,853.71</w:t>
            </w:r>
          </w:p>
        </w:tc>
      </w:tr>
      <w:tr>
        <w:trPr>
          <w:trHeight w:val="9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未确认归属于 少数股东权益 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包含未确认归 属于少数股东 权益的商誉价 值⑤</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51,481,516.94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9,836,385.89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79,875,853.71</w:t>
            </w:r>
          </w:p>
        </w:tc>
      </w:tr>
      <w:tr>
        <w:trPr>
          <w:trHeight w:val="190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8" w:lineRule="exact"/>
              <w:ind w:left="0" w:right="0" w:firstLine="0"/>
              <w:jc w:val="both"/>
            </w:pPr>
            <w:r>
              <w:rPr>
                <w:color w:val="000000"/>
                <w:spacing w:val="0"/>
                <w:w w:val="100"/>
                <w:position w:val="0"/>
              </w:rPr>
              <w:t>拆分后分摊至 各资产组的包 含未确认归属 于少数股东权 益的商誉价值</w:t>
            </w:r>
          </w:p>
          <w:p>
            <w:pPr>
              <w:pStyle w:val="Style17"/>
              <w:keepNext w:val="0"/>
              <w:keepLines w:val="0"/>
              <w:widowControl w:val="0"/>
              <w:shd w:val="clear" w:color="auto" w:fill="auto"/>
              <w:bidi w:val="0"/>
              <w:spacing w:before="0" w:after="0" w:line="308" w:lineRule="exact"/>
              <w:ind w:left="0" w:right="0" w:firstLine="0"/>
              <w:jc w:val="both"/>
            </w:pPr>
            <w:r>
              <w:rPr>
                <w:color w:val="000000"/>
                <w:spacing w:val="0"/>
                <w:w w:val="100"/>
                <w:position w:val="0"/>
              </w:rPr>
              <w:t>⑥</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51,481,516.94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9,836,385.89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79,875,853.71</w:t>
            </w:r>
          </w:p>
        </w:tc>
      </w:tr>
      <w:tr>
        <w:trPr>
          <w:trHeight w:val="6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资产组的账面</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463,052.42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395,022.83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3,306,909.46</w:t>
            </w:r>
          </w:p>
        </w:tc>
      </w:tr>
      <w:tr>
        <w:trPr>
          <w:trHeight w:val="127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包含整体商誉 的资产组的账 面价值⑧</w:t>
            </w:r>
            <w:r>
              <w:rPr>
                <w:color w:val="000000"/>
                <w:spacing w:val="0"/>
                <w:w w:val="100"/>
                <w:position w:val="0"/>
              </w:rPr>
              <w:t>二</w:t>
            </w:r>
            <w:r>
              <w:rPr>
                <w:color w:val="000000"/>
                <w:spacing w:val="0"/>
                <w:w w:val="100"/>
                <w:position w:val="0"/>
              </w:rPr>
              <w:t>⑥</w:t>
            </w:r>
            <w:r>
              <w:rPr>
                <w:color w:val="000000"/>
                <w:spacing w:val="0"/>
                <w:w w:val="100"/>
                <w:position w:val="0"/>
              </w:rPr>
              <w:t>十</w:t>
            </w:r>
            <w:r>
              <w:rPr>
                <w:rFonts w:ascii="Times New Roman" w:eastAsia="Times New Roman" w:hAnsi="Times New Roman" w:cs="Times New Roman"/>
                <w:color w:val="000000"/>
                <w:spacing w:val="0"/>
                <w:w w:val="100"/>
                <w:position w:val="0"/>
              </w:rPr>
              <w:t xml:space="preserve"> </w:t>
            </w:r>
            <w:r>
              <w:rPr>
                <w:color w:val="000000"/>
                <w:spacing w:val="0"/>
                <w:w w:val="100"/>
                <w:position w:val="0"/>
              </w:rPr>
              <w:t>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51,944,569.36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10,231,408.72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83,182,763.17</w:t>
            </w:r>
          </w:p>
        </w:tc>
      </w:tr>
      <w:tr>
        <w:trPr>
          <w:trHeight w:val="9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资产组或资产</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组组合可收回</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金额⑨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59,966,285.13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9,123,453.56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75,293,397.44</w:t>
            </w:r>
          </w:p>
        </w:tc>
      </w:tr>
      <w:tr>
        <w:trPr>
          <w:trHeight w:val="9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商誉减值损失 </w:t>
            </w:r>
            <w:r>
              <w:rPr>
                <w:rFonts w:ascii="Times New Roman" w:eastAsia="Times New Roman" w:hAnsi="Times New Roman" w:cs="Times New Roman"/>
                <w:color w:val="000000"/>
                <w:spacing w:val="0"/>
                <w:w w:val="100"/>
                <w:position w:val="0"/>
              </w:rPr>
              <w:t>（</w:t>
            </w:r>
            <w:r>
              <w:rPr>
                <w:color w:val="000000"/>
                <w:spacing w:val="0"/>
                <w:w w:val="100"/>
                <w:position w:val="0"/>
              </w:rPr>
              <w:t>⑩大于</w:t>
            </w:r>
            <w:r>
              <w:rPr>
                <w:rFonts w:ascii="Times New Roman" w:eastAsia="Times New Roman" w:hAnsi="Times New Roman" w:cs="Times New Roman"/>
                <w:color w:val="000000"/>
                <w:spacing w:val="0"/>
                <w:w w:val="100"/>
                <w:position w:val="0"/>
              </w:rPr>
              <w:t>0</w:t>
            </w:r>
            <w:r>
              <w:rPr>
                <w:color w:val="000000"/>
                <w:spacing w:val="0"/>
                <w:w w:val="100"/>
                <w:position w:val="0"/>
              </w:rPr>
              <w:t>时</w:t>
            </w:r>
            <w:r>
              <w:rPr>
                <w:rFonts w:ascii="Times New Roman" w:eastAsia="Times New Roman" w:hAnsi="Times New Roman" w:cs="Times New Roman"/>
                <w:color w:val="000000"/>
                <w:spacing w:val="0"/>
                <w:w w:val="100"/>
                <w:position w:val="0"/>
              </w:rPr>
              <w:t>）</w:t>
            </w:r>
            <w:r>
              <w:rPr>
                <w:color w:val="000000"/>
                <w:spacing w:val="0"/>
                <w:w w:val="100"/>
                <w:position w:val="0"/>
              </w:rPr>
              <w:t xml:space="preserve">⑩ </w:t>
            </w:r>
            <w:r>
              <w:rPr>
                <w:rFonts w:ascii="Times New Roman" w:eastAsia="Times New Roman" w:hAnsi="Times New Roman" w:cs="Times New Roman"/>
                <w:color w:val="000000"/>
                <w:spacing w:val="0"/>
                <w:w w:val="100"/>
                <w:position w:val="0"/>
              </w:rPr>
              <w:t>=</w:t>
            </w:r>
            <w:r>
              <w:rPr>
                <w:color w:val="000000"/>
                <w:spacing w:val="0"/>
                <w:w w:val="100"/>
                <w:position w:val="0"/>
              </w:rPr>
              <w:t>⑧</w:t>
            </w:r>
            <w:r>
              <w:rPr>
                <w:rFonts w:ascii="Times New Roman" w:eastAsia="Times New Roman" w:hAnsi="Times New Roman" w:cs="Times New Roman"/>
                <w:color w:val="000000"/>
                <w:spacing w:val="0"/>
                <w:w w:val="100"/>
                <w:position w:val="0"/>
              </w:rPr>
              <w:t>-</w:t>
            </w:r>
            <w:r>
              <w:rPr>
                <w:color w:val="000000"/>
                <w:spacing w:val="0"/>
                <w:w w:val="100"/>
                <w:position w:val="0"/>
              </w:rPr>
              <w:t>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1,107,955.16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7,889,365.73</w:t>
            </w:r>
          </w:p>
        </w:tc>
      </w:tr>
      <w:tr>
        <w:trPr>
          <w:trHeight w:val="97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归属于本公司 的商誉减值损 失</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1,107,955.16</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7,889,365.73</w:t>
            </w:r>
          </w:p>
        </w:tc>
      </w:tr>
    </w:tbl>
    <w:p>
      <w:pPr>
        <w:pStyle w:val="Style41"/>
        <w:keepNext w:val="0"/>
        <w:keepLines w:val="0"/>
        <w:widowControl w:val="0"/>
        <w:numPr>
          <w:ilvl w:val="0"/>
          <w:numId w:val="127"/>
        </w:numPr>
        <w:shd w:val="clear" w:color="auto" w:fill="auto"/>
        <w:bidi w:val="0"/>
        <w:spacing w:before="0" w:after="0" w:line="240" w:lineRule="auto"/>
        <w:ind w:left="0" w:right="0" w:firstLine="440"/>
        <w:jc w:val="left"/>
        <w:rPr>
          <w:sz w:val="20"/>
          <w:szCs w:val="20"/>
        </w:rPr>
      </w:pPr>
      <w:bookmarkStart w:id="1388" w:name="bookmark1388"/>
      <w:bookmarkEnd w:id="1388"/>
      <w:r>
        <w:rPr>
          <w:color w:val="000000"/>
          <w:spacing w:val="0"/>
          <w:w w:val="100"/>
          <w:position w:val="0"/>
          <w:sz w:val="20"/>
          <w:szCs w:val="20"/>
        </w:rPr>
        <w:t>可收回金额的确定方法及依据</w:t>
      </w:r>
    </w:p>
    <w:p>
      <w:pPr>
        <w:pStyle w:val="Style41"/>
        <w:keepNext w:val="0"/>
        <w:keepLines w:val="0"/>
        <w:widowControl w:val="0"/>
        <w:shd w:val="clear" w:color="auto" w:fill="auto"/>
        <w:bidi w:val="0"/>
        <w:spacing w:before="0" w:after="0" w:line="276" w:lineRule="exact"/>
        <w:ind w:left="0" w:right="0" w:firstLine="440"/>
        <w:jc w:val="left"/>
        <w:rPr>
          <w:sz w:val="20"/>
          <w:szCs w:val="20"/>
        </w:rPr>
      </w:pPr>
      <w:r>
        <w:rPr>
          <w:color w:val="000000"/>
          <w:spacing w:val="0"/>
          <w:w w:val="100"/>
          <w:position w:val="0"/>
          <w:sz w:val="20"/>
          <w:szCs w:val="20"/>
        </w:rPr>
        <w:t>深圳市快读科技有限公司资产组的可收回金额参考利用北京中林资产评估有限公司于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 出具的中林评字</w:t>
      </w:r>
      <w:r>
        <w:rPr>
          <w:color w:val="000000"/>
          <w:spacing w:val="0"/>
          <w:w w:val="100"/>
          <w:position w:val="0"/>
          <w:sz w:val="20"/>
          <w:szCs w:val="20"/>
        </w:rPr>
        <w:t>［2022］124</w:t>
      </w:r>
      <w:r>
        <w:rPr>
          <w:color w:val="000000"/>
          <w:spacing w:val="0"/>
          <w:w w:val="100"/>
          <w:position w:val="0"/>
          <w:sz w:val="20"/>
          <w:szCs w:val="20"/>
        </w:rPr>
        <w:t>号《高伟达软件股份有限公司拟对合并深圳市快读科技有限公司股权形成的包 含商誉资产组可收回金额》评估报告，按其预计未来现金流量的现值确定。</w:t>
      </w:r>
    </w:p>
    <w:p>
      <w:pPr>
        <w:pStyle w:val="Style41"/>
        <w:keepNext w:val="0"/>
        <w:keepLines w:val="0"/>
        <w:widowControl w:val="0"/>
        <w:shd w:val="clear" w:color="auto" w:fill="auto"/>
        <w:bidi w:val="0"/>
        <w:spacing w:before="0" w:after="0" w:line="276" w:lineRule="exact"/>
        <w:ind w:left="0" w:right="0" w:firstLine="440"/>
        <w:jc w:val="left"/>
        <w:rPr>
          <w:sz w:val="20"/>
          <w:szCs w:val="20"/>
        </w:rPr>
      </w:pPr>
      <w:r>
        <w:rPr>
          <w:color w:val="000000"/>
          <w:spacing w:val="0"/>
          <w:w w:val="100"/>
          <w:position w:val="0"/>
          <w:sz w:val="20"/>
          <w:szCs w:val="20"/>
        </w:rPr>
        <w:t>海南坚果创娱信息技术有限公司资产组的可收回金额参考利用北京中林资产评估有限公司于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 xml:space="preserve">4 </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日出具的中林评字</w:t>
      </w:r>
      <w:r>
        <w:rPr>
          <w:color w:val="000000"/>
          <w:spacing w:val="0"/>
          <w:w w:val="100"/>
          <w:position w:val="0"/>
          <w:sz w:val="20"/>
          <w:szCs w:val="20"/>
        </w:rPr>
        <w:t xml:space="preserve">［2022］ </w:t>
      </w:r>
      <w:r>
        <w:rPr>
          <w:color w:val="000000"/>
          <w:spacing w:val="0"/>
          <w:w w:val="100"/>
          <w:position w:val="0"/>
          <w:sz w:val="20"/>
          <w:szCs w:val="20"/>
        </w:rPr>
        <w:t>122</w:t>
      </w:r>
      <w:r>
        <w:rPr>
          <w:color w:val="000000"/>
          <w:spacing w:val="0"/>
          <w:w w:val="100"/>
          <w:position w:val="0"/>
          <w:sz w:val="20"/>
          <w:szCs w:val="20"/>
        </w:rPr>
        <w:t>号《高伟达软件股份有限公司拟对合并海南坚果创娱信息技术有限公司 股权形成的包含商誉资产组可收回金额》评估报告，按其预计未来现金流量的现值确定。</w:t>
      </w:r>
    </w:p>
    <w:p>
      <w:pPr>
        <w:pStyle w:val="Style41"/>
        <w:keepNext w:val="0"/>
        <w:keepLines w:val="0"/>
        <w:widowControl w:val="0"/>
        <w:shd w:val="clear" w:color="auto" w:fill="auto"/>
        <w:bidi w:val="0"/>
        <w:spacing w:before="0" w:after="0" w:line="276" w:lineRule="exact"/>
        <w:ind w:left="0" w:right="0" w:firstLine="440"/>
        <w:jc w:val="left"/>
        <w:rPr>
          <w:sz w:val="20"/>
          <w:szCs w:val="20"/>
        </w:rPr>
      </w:pPr>
      <w:r>
        <w:rPr>
          <w:color w:val="000000"/>
          <w:spacing w:val="0"/>
          <w:w w:val="100"/>
          <w:position w:val="0"/>
          <w:sz w:val="20"/>
          <w:szCs w:val="20"/>
        </w:rPr>
        <w:t>上海睿民互联网科技有限公司资产组的可收回金额参考利用北京中林资产评估有限公司于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p>
      <w:pPr>
        <w:pStyle w:val="Style41"/>
        <w:keepNext w:val="0"/>
        <w:keepLines w:val="0"/>
        <w:widowControl w:val="0"/>
        <w:shd w:val="clear" w:color="auto" w:fill="auto"/>
        <w:tabs>
          <w:tab w:pos="2590" w:val="left"/>
        </w:tabs>
        <w:bidi w:val="0"/>
        <w:spacing w:before="0" w:after="0" w:line="278" w:lineRule="exact"/>
        <w:ind w:left="0" w:right="0" w:firstLine="0"/>
        <w:jc w:val="left"/>
        <w:rPr>
          <w:sz w:val="20"/>
          <w:szCs w:val="20"/>
        </w:rPr>
      </w:pPr>
      <w:r>
        <w:rPr>
          <w:color w:val="000000"/>
          <w:spacing w:val="0"/>
          <w:w w:val="100"/>
          <w:position w:val="0"/>
          <w:sz w:val="20"/>
          <w:szCs w:val="20"/>
        </w:rPr>
        <w:t>8</w:t>
      </w:r>
      <w:r>
        <w:rPr>
          <w:color w:val="000000"/>
          <w:spacing w:val="0"/>
          <w:w w:val="100"/>
          <w:position w:val="0"/>
          <w:sz w:val="20"/>
          <w:szCs w:val="20"/>
        </w:rPr>
        <w:t>日出具的中林评字</w:t>
      </w:r>
      <w:r>
        <w:rPr>
          <w:color w:val="000000"/>
          <w:spacing w:val="0"/>
          <w:w w:val="100"/>
          <w:position w:val="0"/>
          <w:sz w:val="20"/>
          <w:szCs w:val="20"/>
        </w:rPr>
        <w:t>［2022］</w:t>
        <w:tab/>
      </w:r>
      <w:r>
        <w:rPr>
          <w:color w:val="000000"/>
          <w:spacing w:val="0"/>
          <w:w w:val="100"/>
          <w:position w:val="0"/>
          <w:sz w:val="20"/>
          <w:szCs w:val="20"/>
        </w:rPr>
        <w:t>127</w:t>
      </w:r>
      <w:r>
        <w:rPr>
          <w:color w:val="000000"/>
          <w:spacing w:val="0"/>
          <w:w w:val="100"/>
          <w:position w:val="0"/>
          <w:sz w:val="20"/>
          <w:szCs w:val="20"/>
        </w:rPr>
        <w:t>号《高伟达软件股份有限公司拟对合并上海睿民互联网科技有限公司股权</w:t>
      </w:r>
    </w:p>
    <w:p>
      <w:pPr>
        <w:pStyle w:val="Style4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形成的包含商誉资产组可收回金额》评估报告，按其预计未来现金流量的现值确定。</w:t>
      </w:r>
    </w:p>
    <w:p>
      <w:pPr>
        <w:pStyle w:val="Style41"/>
        <w:keepNext w:val="0"/>
        <w:keepLines w:val="0"/>
        <w:widowControl w:val="0"/>
        <w:numPr>
          <w:ilvl w:val="0"/>
          <w:numId w:val="127"/>
        </w:numPr>
        <w:shd w:val="clear" w:color="auto" w:fill="auto"/>
        <w:tabs>
          <w:tab w:pos="774" w:val="left"/>
        </w:tabs>
        <w:bidi w:val="0"/>
        <w:spacing w:before="0" w:after="0" w:line="278" w:lineRule="exact"/>
        <w:ind w:left="0" w:right="0" w:firstLine="440"/>
        <w:jc w:val="both"/>
        <w:rPr>
          <w:sz w:val="20"/>
          <w:szCs w:val="20"/>
        </w:rPr>
      </w:pPr>
      <w:bookmarkStart w:id="1389" w:name="bookmark1389"/>
      <w:bookmarkEnd w:id="1389"/>
      <w:r>
        <w:rPr>
          <w:color w:val="000000"/>
          <w:spacing w:val="0"/>
          <w:w w:val="100"/>
          <w:position w:val="0"/>
          <w:sz w:val="20"/>
          <w:szCs w:val="20"/>
        </w:rPr>
        <w:t>重要假设及依据</w:t>
      </w:r>
    </w:p>
    <w:p>
      <w:pPr>
        <w:pStyle w:val="Style41"/>
        <w:keepNext w:val="0"/>
        <w:keepLines w:val="0"/>
        <w:widowControl w:val="0"/>
        <w:numPr>
          <w:ilvl w:val="0"/>
          <w:numId w:val="129"/>
        </w:numPr>
        <w:shd w:val="clear" w:color="auto" w:fill="auto"/>
        <w:tabs>
          <w:tab w:pos="809" w:val="left"/>
        </w:tabs>
        <w:bidi w:val="0"/>
        <w:spacing w:before="0" w:after="0" w:line="240" w:lineRule="exact"/>
        <w:ind w:left="0" w:right="0" w:firstLine="440"/>
        <w:jc w:val="both"/>
        <w:rPr>
          <w:sz w:val="20"/>
          <w:szCs w:val="20"/>
        </w:rPr>
      </w:pPr>
      <w:bookmarkStart w:id="1390" w:name="bookmark1390"/>
      <w:bookmarkEnd w:id="1390"/>
      <w:r>
        <w:rPr>
          <w:color w:val="000000"/>
          <w:spacing w:val="0"/>
          <w:w w:val="100"/>
          <w:position w:val="0"/>
          <w:sz w:val="20"/>
          <w:szCs w:val="20"/>
        </w:rPr>
        <w:t>持续经营假设：假设上述资产组作为经营主体，在所处的外部环境下，按照经营目标，持续经营下 去。经营者负责并有能力担当责任；资产组合法经营，并能够获取适当利润，以维持持续经营能力。</w:t>
      </w:r>
    </w:p>
    <w:p>
      <w:pPr>
        <w:pStyle w:val="Style41"/>
        <w:keepNext w:val="0"/>
        <w:keepLines w:val="0"/>
        <w:widowControl w:val="0"/>
        <w:numPr>
          <w:ilvl w:val="0"/>
          <w:numId w:val="129"/>
        </w:numPr>
        <w:shd w:val="clear" w:color="auto" w:fill="auto"/>
        <w:tabs>
          <w:tab w:pos="814" w:val="left"/>
        </w:tabs>
        <w:bidi w:val="0"/>
        <w:spacing w:before="0" w:after="0" w:line="278" w:lineRule="exact"/>
        <w:ind w:left="0" w:right="0" w:firstLine="440"/>
        <w:jc w:val="both"/>
        <w:rPr>
          <w:sz w:val="20"/>
          <w:szCs w:val="20"/>
        </w:rPr>
      </w:pPr>
      <w:bookmarkStart w:id="1391" w:name="bookmark1391"/>
      <w:bookmarkEnd w:id="1391"/>
      <w:r>
        <w:rPr>
          <w:color w:val="000000"/>
          <w:spacing w:val="0"/>
          <w:w w:val="100"/>
          <w:position w:val="0"/>
          <w:sz w:val="20"/>
          <w:szCs w:val="20"/>
        </w:rPr>
        <w:t>国家现行的有关法律、法规及政策，国家宏观经济形势无重大变化；本次交易各方所处地区的政治、 经济和社会环境无重大变化；无其他不可预测和不可抗力因素造成的重大不利影响。</w:t>
      </w:r>
    </w:p>
    <w:p>
      <w:pPr>
        <w:pStyle w:val="Style41"/>
        <w:keepNext w:val="0"/>
        <w:keepLines w:val="0"/>
        <w:widowControl w:val="0"/>
        <w:numPr>
          <w:ilvl w:val="0"/>
          <w:numId w:val="129"/>
        </w:numPr>
        <w:shd w:val="clear" w:color="auto" w:fill="auto"/>
        <w:tabs>
          <w:tab w:pos="837" w:val="left"/>
        </w:tabs>
        <w:bidi w:val="0"/>
        <w:spacing w:before="0" w:after="0" w:line="278" w:lineRule="exact"/>
        <w:ind w:left="0" w:right="0" w:firstLine="440"/>
        <w:jc w:val="both"/>
        <w:rPr>
          <w:sz w:val="20"/>
          <w:szCs w:val="20"/>
        </w:rPr>
      </w:pPr>
      <w:bookmarkStart w:id="1392" w:name="bookmark1392"/>
      <w:bookmarkEnd w:id="1392"/>
      <w:r>
        <w:rPr>
          <w:color w:val="000000"/>
          <w:spacing w:val="0"/>
          <w:w w:val="100"/>
          <w:position w:val="0"/>
          <w:sz w:val="20"/>
          <w:szCs w:val="20"/>
        </w:rPr>
        <w:t>假设上述资产组经营者是负责的，且管理层有能力担当其职务；管理团队在预测期内能保持稳定。</w:t>
      </w:r>
    </w:p>
    <w:p>
      <w:pPr>
        <w:pStyle w:val="Style41"/>
        <w:keepNext w:val="0"/>
        <w:keepLines w:val="0"/>
        <w:widowControl w:val="0"/>
        <w:numPr>
          <w:ilvl w:val="0"/>
          <w:numId w:val="129"/>
        </w:numPr>
        <w:shd w:val="clear" w:color="auto" w:fill="auto"/>
        <w:tabs>
          <w:tab w:pos="837" w:val="left"/>
        </w:tabs>
        <w:bidi w:val="0"/>
        <w:spacing w:before="0" w:after="0" w:line="278" w:lineRule="exact"/>
        <w:ind w:left="0" w:right="0" w:firstLine="440"/>
        <w:jc w:val="left"/>
        <w:rPr>
          <w:sz w:val="20"/>
          <w:szCs w:val="20"/>
        </w:rPr>
      </w:pPr>
      <w:bookmarkStart w:id="1393" w:name="bookmark1393"/>
      <w:bookmarkEnd w:id="1393"/>
      <w:r>
        <w:rPr>
          <w:color w:val="000000"/>
          <w:spacing w:val="0"/>
          <w:w w:val="100"/>
          <w:position w:val="0"/>
          <w:sz w:val="20"/>
          <w:szCs w:val="20"/>
        </w:rPr>
        <w:t>假设有关利率、汇率、赋税基准及税率，政策性征收费用等不发生重大变化。</w:t>
      </w:r>
    </w:p>
    <w:p>
      <w:pPr>
        <w:pStyle w:val="Style41"/>
        <w:keepNext w:val="0"/>
        <w:keepLines w:val="0"/>
        <w:widowControl w:val="0"/>
        <w:numPr>
          <w:ilvl w:val="0"/>
          <w:numId w:val="129"/>
        </w:numPr>
        <w:shd w:val="clear" w:color="auto" w:fill="auto"/>
        <w:tabs>
          <w:tab w:pos="837" w:val="left"/>
        </w:tabs>
        <w:bidi w:val="0"/>
        <w:spacing w:before="0" w:after="0" w:line="278" w:lineRule="exact"/>
        <w:ind w:left="0" w:right="0" w:firstLine="440"/>
        <w:jc w:val="left"/>
        <w:rPr>
          <w:sz w:val="20"/>
          <w:szCs w:val="20"/>
        </w:rPr>
      </w:pPr>
      <w:bookmarkStart w:id="1394" w:name="bookmark1394"/>
      <w:bookmarkEnd w:id="1394"/>
      <w:r>
        <w:rPr>
          <w:color w:val="000000"/>
          <w:spacing w:val="0"/>
          <w:w w:val="100"/>
          <w:position w:val="0"/>
          <w:sz w:val="20"/>
          <w:szCs w:val="20"/>
        </w:rPr>
        <w:t>假设企业在现有的管理方式和管理水平的基础上，经营范围、经营模式及经营规模不发生重大变化。</w:t>
      </w:r>
    </w:p>
    <w:p>
      <w:pPr>
        <w:pStyle w:val="Style41"/>
        <w:keepNext w:val="0"/>
        <w:keepLines w:val="0"/>
        <w:widowControl w:val="0"/>
        <w:numPr>
          <w:ilvl w:val="0"/>
          <w:numId w:val="127"/>
        </w:numPr>
        <w:shd w:val="clear" w:color="auto" w:fill="auto"/>
        <w:tabs>
          <w:tab w:pos="774" w:val="left"/>
        </w:tabs>
        <w:bidi w:val="0"/>
        <w:spacing w:before="0" w:after="0" w:line="278" w:lineRule="exact"/>
        <w:ind w:left="0" w:right="0" w:firstLine="440"/>
        <w:jc w:val="both"/>
        <w:rPr>
          <w:sz w:val="20"/>
          <w:szCs w:val="20"/>
        </w:rPr>
      </w:pPr>
      <w:bookmarkStart w:id="1395" w:name="bookmark1395"/>
      <w:bookmarkEnd w:id="1395"/>
      <w:r>
        <w:rPr>
          <w:color w:val="000000"/>
          <w:spacing w:val="0"/>
          <w:w w:val="100"/>
          <w:position w:val="0"/>
          <w:sz w:val="20"/>
          <w:szCs w:val="20"/>
        </w:rPr>
        <w:t>关键参数</w:t>
      </w:r>
    </w:p>
    <w:tbl>
      <w:tblPr>
        <w:tblOverlap w:val="never"/>
        <w:jc w:val="center"/>
        <w:tblLayout w:type="fixed"/>
      </w:tblPr>
      <w:tblGrid>
        <w:gridCol w:w="3802"/>
        <w:gridCol w:w="1762"/>
        <w:gridCol w:w="955"/>
        <w:gridCol w:w="960"/>
        <w:gridCol w:w="955"/>
        <w:gridCol w:w="1200"/>
      </w:tblGrid>
      <w:tr>
        <w:trPr>
          <w:trHeight w:val="346"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预测期增长 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稳定期增长 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w:t>
            </w:r>
          </w:p>
        </w:tc>
      </w:tr>
      <w:tr>
        <w:trPr>
          <w:trHeight w:val="6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深圳市快读科技有限公司资产组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后续 为稳定期</w:t>
            </w: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w:t>
            </w:r>
          </w:p>
        </w:tc>
      </w:tr>
      <w:tr>
        <w:trPr>
          <w:trHeight w:val="65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海南坚果创娱信息技术有限公司资产组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color w:val="000000"/>
                <w:spacing w:val="0"/>
                <w:w w:val="100"/>
                <w:position w:val="0"/>
              </w:rPr>
              <w:t>（</w:t>
            </w:r>
            <w:r>
              <w:rPr>
                <w:color w:val="000000"/>
                <w:spacing w:val="0"/>
                <w:w w:val="100"/>
                <w:position w:val="0"/>
              </w:rPr>
              <w:t>后续 为稳定期</w:t>
            </w: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w:t>
            </w:r>
          </w:p>
        </w:tc>
      </w:tr>
      <w:tr>
        <w:trPr>
          <w:trHeight w:val="6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上海睿民互联网科技有限公司资产组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color w:val="000000"/>
                <w:spacing w:val="0"/>
                <w:w w:val="100"/>
                <w:position w:val="0"/>
              </w:rPr>
              <w:t>（</w:t>
            </w:r>
            <w:r>
              <w:rPr>
                <w:color w:val="000000"/>
                <w:spacing w:val="0"/>
                <w:w w:val="100"/>
                <w:position w:val="0"/>
              </w:rPr>
              <w:t>后续 为稳定期</w:t>
            </w: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w:t>
            </w:r>
          </w:p>
        </w:tc>
      </w:tr>
    </w:tbl>
    <w:p>
      <w:pPr>
        <w:pStyle w:val="Style41"/>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深圳市快读科技有限公司资产组主要业务为专有品牌推广、自有平台广告、第三方平台业务、小 说代理业务，根据公司已签订的合同、协议、发展规划、历年经营趋势、行业发展趋势、市场竞争情况等 因素的综合分析，对评估基准日未来五年的主营业务收入及其相关的成本、费用、利润忽略经营的波动性 进行预测，深圳市快读科技有限公司资产组</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年预计销售收入增长率为</w:t>
      </w:r>
      <w:r>
        <w:rPr>
          <w:rFonts w:ascii="Times New Roman" w:eastAsia="Times New Roman" w:hAnsi="Times New Roman" w:cs="Times New Roman"/>
          <w:color w:val="000000"/>
          <w:spacing w:val="0"/>
          <w:w w:val="100"/>
          <w:position w:val="0"/>
          <w:sz w:val="20"/>
          <w:szCs w:val="20"/>
        </w:rPr>
        <w:t>7.00%-10.00%</w:t>
      </w:r>
      <w:r>
        <w:rPr>
          <w:color w:val="000000"/>
          <w:spacing w:val="0"/>
          <w:w w:val="100"/>
          <w:position w:val="0"/>
          <w:sz w:val="20"/>
          <w:szCs w:val="20"/>
        </w:rPr>
        <w:t>。采用的 折现率是反映当前市场货币时间价值和相关资产组特定风险的税前利率。</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海南坚果创娱信息技术有限公司资产组主要业务为移动数据推广，根据公司已签订的合同、协议、 发展规划、历年经营趋势、行业发展趋势、市场竞争情况等因素的综合分析，对评估基准日未来五年的主 营业务收入及其相关的成本、费用、利润忽略经营的波动性进行预测，海南坚果创娱信息技术有限公司资 产组</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年预计销售收入增长率为</w:t>
      </w:r>
      <w:r>
        <w:rPr>
          <w:rFonts w:ascii="Times New Roman" w:eastAsia="Times New Roman" w:hAnsi="Times New Roman" w:cs="Times New Roman"/>
          <w:color w:val="000000"/>
          <w:spacing w:val="0"/>
          <w:w w:val="100"/>
          <w:position w:val="0"/>
          <w:sz w:val="20"/>
          <w:szCs w:val="20"/>
        </w:rPr>
        <w:t>6.00%-9.00%</w:t>
      </w:r>
      <w:r>
        <w:rPr>
          <w:color w:val="000000"/>
          <w:spacing w:val="0"/>
          <w:w w:val="100"/>
          <w:position w:val="0"/>
          <w:sz w:val="20"/>
          <w:szCs w:val="20"/>
        </w:rPr>
        <w:t>。采用的折现率是反映当前市场货币时间价值和 相关资产组特定风险的税前利率。</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上海睿民互联网科技有限公司资产组主要业务为软件开发及服务和系统集成及服务，根据公司已 签订的合同、协议、发展规划、历年经营趋势、行业发展趋势、市场竞争情况等因素的综合分析，对评估 基准日未来五年的主营业务收入及其相关的成本、费用、利润忽略经营的波动性进行预测，上海睿民互联 网科技有限公司资产组</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年预计销售收入增长率为</w:t>
      </w:r>
      <w:r>
        <w:rPr>
          <w:rFonts w:ascii="Times New Roman" w:eastAsia="Times New Roman" w:hAnsi="Times New Roman" w:cs="Times New Roman"/>
          <w:color w:val="000000"/>
          <w:spacing w:val="0"/>
          <w:w w:val="100"/>
          <w:position w:val="0"/>
          <w:sz w:val="20"/>
          <w:szCs w:val="20"/>
        </w:rPr>
        <w:t>5.17%-7.83%</w:t>
      </w:r>
      <w:r>
        <w:rPr>
          <w:color w:val="000000"/>
          <w:spacing w:val="0"/>
          <w:w w:val="100"/>
          <w:position w:val="0"/>
          <w:sz w:val="20"/>
          <w:szCs w:val="20"/>
        </w:rPr>
        <w:t>。采用的折现率是反映当前市 场货币时间价值和相关资产组特定风险的税前利率。</w:t>
      </w:r>
    </w:p>
    <w:p>
      <w:pPr>
        <w:pStyle w:val="Style41"/>
        <w:keepNext w:val="0"/>
        <w:keepLines w:val="0"/>
        <w:widowControl w:val="0"/>
        <w:shd w:val="clear" w:color="auto" w:fill="auto"/>
        <w:bidi w:val="0"/>
        <w:spacing w:before="0" w:after="42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预测期利润率系根据各期预测的营业收入、营业成本、各项税费等相关组成部分计算的结果。</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20" w:line="314" w:lineRule="exact"/>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96"/>
      <w:bookmarkEnd w:id="1397"/>
      <w:bookmarkEnd w:id="13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2,521,786.34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679,023.50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1,837,223.75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1,363,586.09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邮箱服务费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252,213.80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126,672.02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231,221.17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6,274,000.14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805,695.52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3,484,888.40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3,594,807.26</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0"/>
      <w:bookmarkEnd w:id="1401"/>
      <w:bookmarkEnd w:id="1403"/>
    </w:p>
    <w:p>
      <w:pPr>
        <w:pStyle w:val="Style32"/>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0"/>
      <w:bookmarkEnd w:id="1401"/>
      <w:bookmarkEnd w:id="14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744,080.98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1,584,061.96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83,722,279.84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11,377,865.16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79,127,578.41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10,967,487.59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计入其他综合收益的公 允价值变动</w:t>
            </w:r>
            <w:r>
              <w:rPr>
                <w:rFonts w:ascii="Times New Roman" w:eastAsia="Times New Roman" w:hAnsi="Times New Roman" w:cs="Times New Roman"/>
                <w:color w:val="000000"/>
                <w:spacing w:val="0"/>
                <w:w w:val="100"/>
                <w:position w:val="0"/>
              </w:rPr>
              <w:t>（</w:t>
            </w:r>
            <w:r>
              <w:rPr>
                <w:color w:val="000000"/>
                <w:spacing w:val="0"/>
                <w:w w:val="100"/>
                <w:position w:val="0"/>
              </w:rPr>
              <w:t>减少</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计入当期损益的公允价 值变动</w:t>
            </w:r>
            <w:r>
              <w:rPr>
                <w:rFonts w:ascii="Times New Roman" w:eastAsia="Times New Roman" w:hAnsi="Times New Roman" w:cs="Times New Roman"/>
                <w:color w:val="000000"/>
                <w:spacing w:val="0"/>
                <w:w w:val="100"/>
                <w:position w:val="0"/>
              </w:rPr>
              <w:t>（</w:t>
            </w:r>
            <w:r>
              <w:rPr>
                <w:color w:val="000000"/>
                <w:spacing w:val="0"/>
                <w:w w:val="100"/>
                <w:position w:val="0"/>
              </w:rPr>
              <w:t>减少</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3,759,931.96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563,989.79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3,759,931.96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563,989.79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46,225,445.41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6,933,816.80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44,635,700.08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6,695,355.02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155,535,800.15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22,149,520.86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147,023,210.45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21,151,832.40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5"/>
      <w:bookmarkEnd w:id="1406"/>
      <w:bookmarkEnd w:id="14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计入当期损益的公允价 值变动</w:t>
            </w:r>
            <w:r>
              <w:rPr>
                <w:rFonts w:ascii="Times New Roman" w:eastAsia="Times New Roman" w:hAnsi="Times New Roman" w:cs="Times New Roman"/>
                <w:color w:val="000000"/>
                <w:spacing w:val="0"/>
                <w:w w:val="100"/>
                <w:position w:val="0"/>
              </w:rPr>
              <w:t>（</w:t>
            </w:r>
            <w:r>
              <w:rPr>
                <w:color w:val="000000"/>
                <w:spacing w:val="0"/>
                <w:w w:val="100"/>
                <w:position w:val="0"/>
              </w:rPr>
              <w:t>增加</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24,412,084.10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3,661,812.61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24,412,084.10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3,661,812.61</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3,872,475.00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580,871.25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24,807,084.10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3,721,062.61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28,284,559.10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4,242,683.86</w:t>
            </w:r>
          </w:p>
        </w:tc>
      </w:tr>
      <w:tr>
        <w:trPr>
          <w:trHeight w:val="1272" w:hRule="exact"/>
        </w:trPr>
        <w:tc>
          <w:tcPr>
            <w:gridSpan w:val="5"/>
            <w:tcBorders>
              <w:top w:val="single" w:sz="4"/>
            </w:tcBorders>
            <w:shd w:val="clear" w:color="auto" w:fill="FFFFFF"/>
            <w:vAlign w:val="bottom"/>
          </w:tcPr>
          <w:p>
            <w:pPr>
              <w:pStyle w:val="Style17"/>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）以抵销后净额列示的递延所得税资产或负债</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递延所得税资产和负债</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22,149,520.86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21,151,832.40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3,721,062.61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4,242,683.86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09"/>
      <w:bookmarkEnd w:id="1410"/>
      <w:bookmarkEnd w:id="141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20,962,424.66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34,422,923.05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20,962,424.66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34,422,923.05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13"/>
      <w:bookmarkEnd w:id="1414"/>
      <w:bookmarkEnd w:id="141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8,065,468.16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8,455,750.03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611,659.37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2,159,983.74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4,144,227.77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3,390,530.76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2,157,697.88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1,140,436.50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1,974,418.35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2,713,455.07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2,713,455.07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2,249,538.64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15,117,125.73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491,600.64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20,962,424.66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34,422,923.05</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17"/>
      <w:bookmarkEnd w:id="1418"/>
      <w:bookmarkEnd w:id="142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21"/>
      <w:bookmarkEnd w:id="1422"/>
      <w:bookmarkEnd w:id="1424"/>
    </w:p>
    <w:p>
      <w:pPr>
        <w:pStyle w:val="Style3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21"/>
      <w:bookmarkEnd w:id="1422"/>
      <w:bookmarkEnd w:id="1425"/>
    </w:p>
    <w:p>
      <w:pPr>
        <w:pStyle w:val="Style23"/>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208,690,585.70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261,013,670.00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8,470,000.00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226,040,585.70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269,483,670.00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26"/>
      <w:bookmarkEnd w:id="1427"/>
      <w:bookmarkEnd w:id="1428"/>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41"/>
        <w:keepNext w:val="0"/>
        <w:keepLines w:val="0"/>
        <w:widowControl w:val="0"/>
        <w:numPr>
          <w:ilvl w:val="0"/>
          <w:numId w:val="131"/>
        </w:numPr>
        <w:shd w:val="clear" w:color="auto" w:fill="auto"/>
        <w:tabs>
          <w:tab w:pos="793" w:val="left"/>
        </w:tabs>
        <w:bidi w:val="0"/>
        <w:spacing w:before="0" w:after="80" w:line="240" w:lineRule="auto"/>
        <w:ind w:left="0" w:right="0" w:firstLine="440"/>
        <w:jc w:val="left"/>
        <w:rPr>
          <w:sz w:val="20"/>
          <w:szCs w:val="20"/>
        </w:rPr>
      </w:pPr>
      <w:bookmarkStart w:id="1429" w:name="bookmark1429"/>
      <w:bookmarkEnd w:id="1429"/>
      <w:r>
        <w:rPr>
          <w:color w:val="000000"/>
          <w:spacing w:val="0"/>
          <w:w w:val="100"/>
          <w:position w:val="0"/>
          <w:sz w:val="20"/>
          <w:szCs w:val="20"/>
        </w:rPr>
        <w:t>期末无已逾期未偿还的短期借款。</w:t>
      </w:r>
    </w:p>
    <w:p>
      <w:pPr>
        <w:pStyle w:val="Style41"/>
        <w:keepNext w:val="0"/>
        <w:keepLines w:val="0"/>
        <w:widowControl w:val="0"/>
        <w:numPr>
          <w:ilvl w:val="0"/>
          <w:numId w:val="131"/>
        </w:numPr>
        <w:shd w:val="clear" w:color="auto" w:fill="auto"/>
        <w:tabs>
          <w:tab w:pos="793" w:val="left"/>
        </w:tabs>
        <w:bidi w:val="0"/>
        <w:spacing w:before="0" w:after="680" w:line="240" w:lineRule="auto"/>
        <w:ind w:left="0" w:right="0" w:firstLine="440"/>
        <w:jc w:val="left"/>
        <w:rPr>
          <w:sz w:val="20"/>
          <w:szCs w:val="20"/>
        </w:rPr>
      </w:pPr>
      <w:bookmarkStart w:id="1430" w:name="bookmark1430"/>
      <w:bookmarkEnd w:id="1430"/>
      <w:r>
        <w:rPr>
          <w:color w:val="000000"/>
          <w:spacing w:val="0"/>
          <w:w w:val="100"/>
          <w:position w:val="0"/>
          <w:sz w:val="20"/>
          <w:szCs w:val="20"/>
        </w:rPr>
        <w:t>期末无展期的短期借款。</w:t>
      </w:r>
    </w:p>
    <w:p>
      <w:pPr>
        <w:pStyle w:val="Style32"/>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31"/>
      <w:bookmarkEnd w:id="1432"/>
      <w:bookmarkEnd w:id="143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指定为以公允价值计量且其变动计入当</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1,571,979.20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2,467,543.25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超额业绩对价款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1,571,979.20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2,467,543.25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1,571,979.20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2,467,543.25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1"/>
        <w:keepNext w:val="0"/>
        <w:keepLines w:val="0"/>
        <w:widowControl w:val="0"/>
        <w:shd w:val="clear" w:color="auto" w:fill="auto"/>
        <w:bidi w:val="0"/>
        <w:spacing w:before="0" w:after="680" w:line="31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期末指定为以公允价值计量且其变动计入当期损益的金融负债系本公司需支付给被投资单位原股 东的超额业绩对价款，指定为以公允价值计量且其变动计入当期损益的金融负债的公允价值按照协议约定 确定。</w:t>
      </w:r>
    </w:p>
    <w:p>
      <w:pPr>
        <w:pStyle w:val="Style32"/>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35"/>
      <w:bookmarkEnd w:id="1436"/>
      <w:bookmarkEnd w:id="143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39"/>
      <w:bookmarkEnd w:id="1440"/>
      <w:bookmarkEnd w:id="144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16,072,461.00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214,987,261.00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16,072,461.00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214,987,261.00</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43"/>
      <w:bookmarkEnd w:id="1444"/>
      <w:bookmarkEnd w:id="1446"/>
    </w:p>
    <w:p>
      <w:pPr>
        <w:pStyle w:val="Style32"/>
        <w:keepNext/>
        <w:keepLines/>
        <w:widowControl w:val="0"/>
        <w:shd w:val="clear" w:color="auto" w:fill="auto"/>
        <w:bidi w:val="0"/>
        <w:spacing w:before="0" w:line="240" w:lineRule="auto"/>
        <w:ind w:left="0" w:right="0" w:firstLine="0"/>
        <w:jc w:val="both"/>
      </w:pPr>
      <w:bookmarkStart w:id="1443" w:name="bookmark1443"/>
      <w:bookmarkStart w:id="1444" w:name="bookmark1444"/>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3"/>
      <w:bookmarkEnd w:id="1444"/>
      <w:bookmarkEnd w:id="1447"/>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68,673,652.78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309,368,632.43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23,214,454.21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21,052,983.25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91,888,106.99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330,421,615.68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48"/>
      <w:bookmarkEnd w:id="1449"/>
      <w:bookmarkEnd w:id="1450"/>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1"/>
        <w:keepNext w:val="0"/>
        <w:keepLines w:val="0"/>
        <w:widowControl w:val="0"/>
        <w:numPr>
          <w:ilvl w:val="0"/>
          <w:numId w:val="133"/>
        </w:numPr>
        <w:shd w:val="clear" w:color="auto" w:fill="auto"/>
        <w:bidi w:val="0"/>
        <w:spacing w:before="0" w:after="680" w:line="240" w:lineRule="auto"/>
        <w:ind w:left="0" w:right="0" w:firstLine="440"/>
        <w:jc w:val="left"/>
        <w:rPr>
          <w:sz w:val="20"/>
          <w:szCs w:val="20"/>
        </w:rPr>
      </w:pPr>
      <w:bookmarkStart w:id="1451" w:name="bookmark1451"/>
      <w:bookmarkEnd w:id="1451"/>
      <w:r>
        <w:rPr>
          <w:color w:val="000000"/>
          <w:spacing w:val="0"/>
          <w:w w:val="100"/>
          <w:position w:val="0"/>
          <w:sz w:val="20"/>
          <w:szCs w:val="20"/>
        </w:rPr>
        <w:t>期末无账龄超过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年的大额应付账款。</w:t>
      </w:r>
    </w:p>
    <w:p>
      <w:pPr>
        <w:pStyle w:val="Style32"/>
        <w:keepNext/>
        <w:keepLines/>
        <w:widowControl w:val="0"/>
        <w:shd w:val="clear" w:color="auto" w:fill="auto"/>
        <w:bidi w:val="0"/>
        <w:spacing w:before="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52"/>
      <w:bookmarkEnd w:id="1453"/>
      <w:bookmarkEnd w:id="1455"/>
    </w:p>
    <w:p>
      <w:pPr>
        <w:pStyle w:val="Style32"/>
        <w:keepNext/>
        <w:keepLines/>
        <w:widowControl w:val="0"/>
        <w:shd w:val="clear" w:color="auto" w:fill="auto"/>
        <w:bidi w:val="0"/>
        <w:spacing w:before="0" w:line="240" w:lineRule="auto"/>
        <w:ind w:left="0" w:right="0" w:firstLine="0"/>
        <w:jc w:val="both"/>
      </w:pPr>
      <w:bookmarkStart w:id="1452" w:name="bookmark1452"/>
      <w:bookmarkStart w:id="1453" w:name="bookmark1453"/>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52"/>
      <w:bookmarkEnd w:id="1453"/>
      <w:bookmarkEnd w:id="1456"/>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25,188,385.00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25,188,385.00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57"/>
      <w:bookmarkEnd w:id="1458"/>
      <w:bookmarkEnd w:id="1459"/>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60"/>
      <w:bookmarkEnd w:id="1461"/>
      <w:bookmarkEnd w:id="146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160,486,379.14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138,139,604.12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41,653,855.92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50,684,490.34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202,140,235.06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188,824,094.46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64"/>
      <w:bookmarkEnd w:id="1465"/>
      <w:bookmarkEnd w:id="1467"/>
    </w:p>
    <w:p>
      <w:pPr>
        <w:pStyle w:val="Style32"/>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4"/>
      <w:bookmarkEnd w:id="1465"/>
      <w:bookmarkEnd w:id="14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37,926,765.08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745,815,429.89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721,602,503.86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62,139,691.11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1,009,243.66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53,949,781.15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51,729,148.23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3,229,876.58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1,161,363.83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1,161,363.83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38,936,008.74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800,926,574.87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774,493,015.92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65,369,567.69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9"/>
      <w:bookmarkEnd w:id="1470"/>
      <w:bookmarkEnd w:id="14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34,827,917.47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687,179,011.02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663,148,873.16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58,858,055.33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1,645,287.39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1,645,287.39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1,637,665.90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31,723,555.55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31,377,144.45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1,984,077.00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1,571,000.44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29,508,926.73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29,203,718.20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1,876,208.97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18,124.43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889,730.71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852,004.65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55,850.49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1,324,898.11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1,321,421.60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52,017.54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1,282,346.39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23,190,303.42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23,281,019.52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1,191,630.29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69.74</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、其他短期薪酬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178,387.56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2,075,559.07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2,148,087.88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105,858.75</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37,926,765.08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745,815,429.89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721,602,503.86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62,139,691.11</w:t>
            </w:r>
          </w:p>
        </w:tc>
      </w:tr>
    </w:tbl>
    <w:p>
      <w:pPr>
        <w:widowControl w:val="0"/>
        <w:spacing w:after="359" w:line="1" w:lineRule="exact"/>
      </w:pPr>
    </w:p>
    <w:p>
      <w:pPr>
        <w:pStyle w:val="Style32"/>
        <w:keepNext/>
        <w:keepLines/>
        <w:widowControl w:val="0"/>
        <w:numPr>
          <w:ilvl w:val="0"/>
          <w:numId w:val="119"/>
        </w:numPr>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设定提存计划列示</w:t>
      </w:r>
      <w:bookmarkEnd w:id="1472"/>
      <w:bookmarkEnd w:id="1473"/>
      <w:bookmarkEnd w:id="14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964,312.68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52,146,598.20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49,979,593.92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3,131,316.96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1,803,182.95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1,749,554.31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98,559.62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1,009,243.66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53,949,781.15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51,729,148.23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3,229,876.58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1"/>
        <w:keepNext w:val="0"/>
        <w:keepLines w:val="0"/>
        <w:widowControl w:val="0"/>
        <w:numPr>
          <w:ilvl w:val="0"/>
          <w:numId w:val="135"/>
        </w:numPr>
        <w:shd w:val="clear" w:color="auto" w:fill="auto"/>
        <w:tabs>
          <w:tab w:pos="798" w:val="left"/>
        </w:tabs>
        <w:bidi w:val="0"/>
        <w:spacing w:before="0" w:after="80" w:line="240" w:lineRule="auto"/>
        <w:ind w:left="0" w:right="0" w:firstLine="440"/>
        <w:jc w:val="left"/>
        <w:rPr>
          <w:sz w:val="20"/>
          <w:szCs w:val="20"/>
        </w:rPr>
      </w:pPr>
      <w:bookmarkStart w:id="1476" w:name="bookmark1476"/>
      <w:bookmarkEnd w:id="1476"/>
      <w:r>
        <w:rPr>
          <w:color w:val="000000"/>
          <w:spacing w:val="0"/>
          <w:w w:val="100"/>
          <w:position w:val="0"/>
          <w:sz w:val="20"/>
          <w:szCs w:val="20"/>
        </w:rPr>
        <w:t>应付职工薪酬期末数中无拖欠性质的职工薪酬。</w:t>
      </w:r>
    </w:p>
    <w:p>
      <w:pPr>
        <w:pStyle w:val="Style41"/>
        <w:keepNext w:val="0"/>
        <w:keepLines w:val="0"/>
        <w:widowControl w:val="0"/>
        <w:numPr>
          <w:ilvl w:val="0"/>
          <w:numId w:val="135"/>
        </w:numPr>
        <w:shd w:val="clear" w:color="auto" w:fill="auto"/>
        <w:tabs>
          <w:tab w:pos="798" w:val="left"/>
        </w:tabs>
        <w:bidi w:val="0"/>
        <w:spacing w:before="0" w:after="680" w:line="240" w:lineRule="auto"/>
        <w:ind w:left="0" w:right="0" w:firstLine="440"/>
        <w:jc w:val="left"/>
        <w:rPr>
          <w:sz w:val="20"/>
          <w:szCs w:val="20"/>
        </w:rPr>
      </w:pPr>
      <w:bookmarkStart w:id="1477" w:name="bookmark1477"/>
      <w:bookmarkEnd w:id="1477"/>
      <w:r>
        <w:rPr>
          <w:color w:val="000000"/>
          <w:spacing w:val="0"/>
          <w:w w:val="100"/>
          <w:position w:val="0"/>
          <w:sz w:val="20"/>
          <w:szCs w:val="20"/>
        </w:rPr>
        <w:t>公司参与的设定提存计划为基本养老保险和失业保险，按照当地规定比例进行缴纳。</w:t>
      </w:r>
    </w:p>
    <w:p>
      <w:pPr>
        <w:pStyle w:val="Style32"/>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78"/>
      <w:bookmarkEnd w:id="1479"/>
      <w:bookmarkEnd w:id="148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20,969,365.03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23,301,025.24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4,790,181.72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1,345,486.38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3,817,031.22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2,455,577.86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300,684.28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468,608.02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133,333.57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366,778.09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131,451.22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213,666.11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87,634.17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142,444.08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30,229,681.21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28,293,585.78</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82"/>
      <w:bookmarkEnd w:id="1483"/>
      <w:bookmarkEnd w:id="148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4,447,787.34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3,174,111.72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4,447,787.34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3,174,111.72</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86"/>
      <w:bookmarkEnd w:id="1487"/>
      <w:bookmarkEnd w:id="1488"/>
    </w:p>
    <w:p>
      <w:pPr>
        <w:pStyle w:val="Style2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3221"/>
        <w:gridCol w:w="3192"/>
        <w:gridCol w:w="3293"/>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89"/>
      <w:bookmarkEnd w:id="1490"/>
      <w:bookmarkEnd w:id="149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92"/>
      <w:bookmarkEnd w:id="1493"/>
      <w:bookmarkEnd w:id="1495"/>
    </w:p>
    <w:p>
      <w:pPr>
        <w:pStyle w:val="Style32"/>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6" w:name="bookmark1496"/>
      <w:bookmarkStart w:id="1497" w:name="bookmark1497"/>
      <w:r>
        <w:rPr>
          <w:rFonts w:ascii="Times New Roman" w:eastAsia="Times New Roman" w:hAnsi="Times New Roman" w:cs="Times New Roman"/>
          <w:color w:val="000000"/>
          <w:spacing w:val="0"/>
          <w:w w:val="100"/>
          <w:position w:val="0"/>
        </w:rPr>
        <w:t>1</w:t>
      </w:r>
      <w:bookmarkEnd w:id="1496"/>
      <w:r>
        <w:rPr>
          <w:color w:val="000000"/>
          <w:spacing w:val="0"/>
          <w:w w:val="100"/>
          <w:position w:val="0"/>
        </w:rPr>
        <w:t>）按款项性质列示其他应付款</w:t>
      </w:r>
      <w:bookmarkEnd w:id="1492"/>
      <w:bookmarkEnd w:id="1493"/>
      <w:bookmarkEnd w:id="149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3,186,451.53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2,491,580.60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1,261,335.81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679,131.12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4,447,787.34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3,174,111.72</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bookmarkEnd w:id="150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8"/>
      <w:bookmarkEnd w:id="1499"/>
      <w:bookmarkEnd w:id="150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60" w:line="240" w:lineRule="auto"/>
        <w:ind w:left="0" w:right="0" w:firstLine="0"/>
        <w:jc w:val="left"/>
        <w:rPr>
          <w:sz w:val="20"/>
          <w:szCs w:val="20"/>
        </w:rPr>
      </w:pPr>
      <w:r>
        <w:rPr>
          <w:color w:val="000000"/>
          <w:spacing w:val="0"/>
          <w:w w:val="100"/>
          <w:position w:val="0"/>
          <w:sz w:val="20"/>
          <w:szCs w:val="20"/>
        </w:rPr>
        <w:t>期末无账龄超过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年的大额其他应付款。</w:t>
      </w:r>
    </w:p>
    <w:p>
      <w:pPr>
        <w:pStyle w:val="Style32"/>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02"/>
      <w:bookmarkEnd w:id="1503"/>
      <w:bookmarkEnd w:id="150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06"/>
      <w:bookmarkEnd w:id="1507"/>
      <w:bookmarkEnd w:id="1509"/>
    </w:p>
    <w:p>
      <w:pPr>
        <w:pStyle w:val="Style2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84,856,860.99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179,143,615.66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4,134,845.47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3,029,873.02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88,991,706.46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190,973,488.68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41"/>
        <w:keepNext w:val="0"/>
        <w:keepLines w:val="0"/>
        <w:widowControl w:val="0"/>
        <w:numPr>
          <w:ilvl w:val="0"/>
          <w:numId w:val="137"/>
        </w:numPr>
        <w:shd w:val="clear" w:color="auto" w:fill="auto"/>
        <w:tabs>
          <w:tab w:pos="765" w:val="left"/>
        </w:tabs>
        <w:bidi w:val="0"/>
        <w:spacing w:before="0" w:after="0" w:line="240" w:lineRule="auto"/>
        <w:ind w:left="0" w:right="0" w:firstLine="440"/>
        <w:jc w:val="left"/>
        <w:rPr>
          <w:sz w:val="20"/>
          <w:szCs w:val="20"/>
        </w:rPr>
      </w:pPr>
      <w:bookmarkStart w:id="1510" w:name="bookmark1510"/>
      <w:bookmarkEnd w:id="1510"/>
      <w:r>
        <w:rPr>
          <w:color w:val="000000"/>
          <w:spacing w:val="0"/>
          <w:w w:val="100"/>
          <w:position w:val="0"/>
          <w:sz w:val="20"/>
          <w:szCs w:val="20"/>
        </w:rPr>
        <w:t>一年内到期的长期借款</w:t>
      </w:r>
    </w:p>
    <w:tbl>
      <w:tblPr>
        <w:tblOverlap w:val="never"/>
        <w:jc w:val="center"/>
        <w:tblLayout w:type="fixed"/>
      </w:tblPr>
      <w:tblGrid>
        <w:gridCol w:w="3202"/>
        <w:gridCol w:w="3192"/>
        <w:gridCol w:w="3206"/>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8,800,000.00</w:t>
            </w:r>
          </w:p>
        </w:tc>
      </w:tr>
    </w:tbl>
    <w:p>
      <w:pPr>
        <w:pStyle w:val="Style41"/>
        <w:keepNext w:val="0"/>
        <w:keepLines w:val="0"/>
        <w:widowControl w:val="0"/>
        <w:numPr>
          <w:ilvl w:val="0"/>
          <w:numId w:val="137"/>
        </w:numPr>
        <w:shd w:val="clear" w:color="auto" w:fill="auto"/>
        <w:bidi w:val="0"/>
        <w:spacing w:before="0" w:after="0" w:line="240" w:lineRule="auto"/>
        <w:ind w:left="0" w:right="0" w:firstLine="440"/>
        <w:jc w:val="left"/>
        <w:rPr>
          <w:sz w:val="20"/>
          <w:szCs w:val="20"/>
        </w:rPr>
      </w:pPr>
      <w:bookmarkStart w:id="1511" w:name="bookmark1511"/>
      <w:bookmarkEnd w:id="1511"/>
      <w:r>
        <w:rPr>
          <w:color w:val="000000"/>
          <w:spacing w:val="0"/>
          <w:w w:val="100"/>
          <w:position w:val="0"/>
          <w:sz w:val="20"/>
          <w:szCs w:val="20"/>
        </w:rPr>
        <w:t>一年内到期的长期应付款</w:t>
      </w:r>
    </w:p>
    <w:tbl>
      <w:tblPr>
        <w:tblOverlap w:val="never"/>
        <w:jc w:val="center"/>
        <w:tblLayout w:type="fixed"/>
      </w:tblPr>
      <w:tblGrid>
        <w:gridCol w:w="4094"/>
        <w:gridCol w:w="2741"/>
        <w:gridCol w:w="2750"/>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五莲恒力智信股权投资合伙企业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51,008,292.39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143,484,444.51</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515,235.28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1,449,337.83</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北京市文化科技融资租赁股份有限公司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33,333,333.32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33,333,333.32</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海南欢乐坚果信息咨询中心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867,735.00</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8,765.00</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84,856,860.99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179,143,615.66</w:t>
            </w:r>
          </w:p>
        </w:tc>
      </w:tr>
    </w:tbl>
    <w:p>
      <w:pPr>
        <w:widowControl w:val="0"/>
        <w:spacing w:after="619" w:line="1" w:lineRule="exact"/>
      </w:pPr>
    </w:p>
    <w:p>
      <w:pPr>
        <w:pStyle w:val="Style32"/>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12"/>
      <w:bookmarkEnd w:id="1513"/>
      <w:bookmarkEnd w:id="1515"/>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26,041,001.53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15,752,899.51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26,041,001.53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15,752,899.51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16"/>
      <w:bookmarkEnd w:id="1517"/>
      <w:bookmarkEnd w:id="1519"/>
    </w:p>
    <w:p>
      <w:pPr>
        <w:pStyle w:val="Style32"/>
        <w:keepNext/>
        <w:keepLines/>
        <w:widowControl w:val="0"/>
        <w:shd w:val="clear" w:color="auto" w:fill="auto"/>
        <w:bidi w:val="0"/>
        <w:spacing w:before="0" w:line="240" w:lineRule="auto"/>
        <w:ind w:left="0" w:right="0" w:firstLine="0"/>
        <w:jc w:val="both"/>
      </w:pPr>
      <w:bookmarkStart w:id="1516" w:name="bookmark1516"/>
      <w:bookmarkStart w:id="1517" w:name="bookmark1517"/>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6"/>
      <w:bookmarkEnd w:id="1517"/>
      <w:bookmarkEnd w:id="1520"/>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30,800,000.00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长期借款分类的说明：</w:t>
      </w: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其他说明，包括利率区间：</w:t>
      </w:r>
    </w:p>
    <w:p>
      <w:pPr>
        <w:pStyle w:val="Style32"/>
        <w:keepNext/>
        <w:keepLines/>
        <w:widowControl w:val="0"/>
        <w:shd w:val="clear" w:color="auto" w:fill="auto"/>
        <w:bidi w:val="0"/>
        <w:spacing w:before="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21"/>
      <w:bookmarkEnd w:id="1522"/>
      <w:bookmarkEnd w:id="1524"/>
    </w:p>
    <w:p>
      <w:pPr>
        <w:pStyle w:val="Style32"/>
        <w:keepNext/>
        <w:keepLines/>
        <w:widowControl w:val="0"/>
        <w:shd w:val="clear" w:color="auto" w:fill="auto"/>
        <w:bidi w:val="0"/>
        <w:spacing w:before="0" w:after="400" w:line="240" w:lineRule="auto"/>
        <w:ind w:left="0" w:right="0" w:firstLine="0"/>
        <w:jc w:val="both"/>
      </w:pPr>
      <w:bookmarkStart w:id="1521" w:name="bookmark1521"/>
      <w:bookmarkStart w:id="1522" w:name="bookmark1522"/>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21"/>
      <w:bookmarkEnd w:id="1522"/>
      <w:bookmarkEnd w:id="152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26"/>
      <w:bookmarkEnd w:id="1527"/>
      <w:bookmarkEnd w:id="15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29"/>
      <w:bookmarkEnd w:id="1530"/>
      <w:bookmarkEnd w:id="1532"/>
    </w:p>
    <w:p>
      <w:pPr>
        <w:pStyle w:val="Style32"/>
        <w:keepNext/>
        <w:keepLines/>
        <w:widowControl w:val="0"/>
        <w:shd w:val="clear" w:color="auto" w:fill="auto"/>
        <w:tabs>
          <w:tab w:pos="493" w:val="left"/>
        </w:tabs>
        <w:bidi w:val="0"/>
        <w:spacing w:before="0" w:after="400" w:line="240" w:lineRule="auto"/>
        <w:ind w:left="0" w:right="0" w:firstLine="0"/>
        <w:jc w:val="left"/>
      </w:pPr>
      <w:bookmarkStart w:id="1529" w:name="bookmark1529"/>
      <w:bookmarkStart w:id="1530" w:name="bookmark1530"/>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29"/>
      <w:bookmarkEnd w:id="1530"/>
      <w:bookmarkEnd w:id="1534"/>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期末发行在外的优先股、永续债等其他金融工具基本情况</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35"/>
      <w:bookmarkEnd w:id="1536"/>
      <w:bookmarkEnd w:id="1538"/>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6,206,315.52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6,498,507.81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6,206,315.52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6,498,507.81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41"/>
        <w:keepNext w:val="0"/>
        <w:keepLines w:val="0"/>
        <w:widowControl w:val="0"/>
        <w:shd w:val="clear" w:color="auto" w:fill="auto"/>
        <w:bidi w:val="0"/>
        <w:spacing w:before="0" w:after="24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期初数与上年末余额差异详见本附注五</w:t>
      </w: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）之说明。</w:t>
      </w:r>
      <w:r>
        <w:br w:type="page"/>
      </w:r>
    </w:p>
    <w:p>
      <w:pPr>
        <w:pStyle w:val="Style32"/>
        <w:keepNext/>
        <w:keepLines/>
        <w:widowControl w:val="0"/>
        <w:shd w:val="clear" w:color="auto" w:fill="auto"/>
        <w:bidi w:val="0"/>
        <w:spacing w:before="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39"/>
      <w:bookmarkEnd w:id="1540"/>
      <w:bookmarkEnd w:id="154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8,333,333.37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41,666,666.69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8,333,333.37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41,666,666.69</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43"/>
      <w:bookmarkEnd w:id="1544"/>
      <w:bookmarkEnd w:id="154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融资租赁借款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8,333,333.37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41,666,666.69</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46"/>
      <w:bookmarkEnd w:id="1547"/>
      <w:bookmarkEnd w:id="154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49"/>
      <w:bookmarkEnd w:id="1550"/>
      <w:bookmarkEnd w:id="1552"/>
    </w:p>
    <w:p>
      <w:pPr>
        <w:pStyle w:val="Style32"/>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49"/>
      <w:bookmarkEnd w:id="1550"/>
      <w:bookmarkEnd w:id="155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54"/>
      <w:bookmarkEnd w:id="1555"/>
      <w:bookmarkEnd w:id="1556"/>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5</w:t>
      </w:r>
      <w:bookmarkEnd w:id="155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57"/>
      <w:bookmarkEnd w:id="1558"/>
      <w:bookmarkEnd w:id="156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5</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61"/>
      <w:bookmarkEnd w:id="1562"/>
      <w:bookmarkEnd w:id="156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财政专项扶持款</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本期新增补</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面向汽车</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零售的互联</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网融资租赁 平台</w:t>
            </w:r>
            <w:r>
              <w:rPr>
                <w:rFonts w:ascii="Times New Roman" w:eastAsia="Times New Roman" w:hAnsi="Times New Roman" w:cs="Times New Roman"/>
                <w:color w:val="000000"/>
                <w:spacing w:val="0"/>
                <w:w w:val="100"/>
                <w:position w:val="0"/>
              </w:rPr>
              <w:t>”</w:t>
            </w:r>
            <w:r>
              <w:rPr>
                <w:color w:val="000000"/>
                <w:spacing w:val="0"/>
                <w:w w:val="100"/>
                <w:position w:val="0"/>
              </w:rPr>
              <w:t>财政 专项扶持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60" w:line="240" w:lineRule="auto"/>
        <w:ind w:left="0" w:right="0" w:firstLine="0"/>
        <w:jc w:val="left"/>
        <w:rPr>
          <w:sz w:val="20"/>
          <w:szCs w:val="20"/>
        </w:rPr>
      </w:pPr>
      <w:r>
        <w:rPr>
          <w:color w:val="000000"/>
          <w:spacing w:val="0"/>
          <w:w w:val="100"/>
          <w:position w:val="0"/>
          <w:sz w:val="20"/>
          <w:szCs w:val="20"/>
        </w:rPr>
        <w:t>涉及政府补助的项目的具体情况及分摊方法详见附注</w:t>
      </w: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84</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32"/>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5"/>
      <w:bookmarkEnd w:id="1566"/>
      <w:bookmarkEnd w:id="156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69"/>
      <w:bookmarkEnd w:id="1570"/>
      <w:bookmarkEnd w:id="157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5</w:t>
      </w:r>
      <w:bookmarkEnd w:id="157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73"/>
      <w:bookmarkEnd w:id="1574"/>
      <w:bookmarkEnd w:id="1576"/>
    </w:p>
    <w:p>
      <w:pPr>
        <w:pStyle w:val="Style32"/>
        <w:keepNext/>
        <w:keepLines/>
        <w:widowControl w:val="0"/>
        <w:shd w:val="clear" w:color="auto" w:fill="auto"/>
        <w:tabs>
          <w:tab w:pos="493" w:val="left"/>
        </w:tabs>
        <w:bidi w:val="0"/>
        <w:spacing w:before="0" w:after="380" w:line="240" w:lineRule="auto"/>
        <w:ind w:left="0" w:right="0" w:firstLine="0"/>
        <w:jc w:val="left"/>
      </w:pPr>
      <w:bookmarkStart w:id="1573" w:name="bookmark1573"/>
      <w:bookmarkStart w:id="1574" w:name="bookmark1574"/>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3"/>
      <w:bookmarkEnd w:id="1574"/>
      <w:bookmarkEnd w:id="1578"/>
    </w:p>
    <w:p>
      <w:pPr>
        <w:pStyle w:val="Style32"/>
        <w:keepNext/>
        <w:keepLines/>
        <w:widowControl w:val="0"/>
        <w:shd w:val="clear" w:color="auto" w:fill="auto"/>
        <w:tabs>
          <w:tab w:pos="493" w:val="left"/>
        </w:tabs>
        <w:bidi w:val="0"/>
        <w:spacing w:before="0" w:after="380" w:line="240" w:lineRule="auto"/>
        <w:ind w:left="0" w:right="0" w:firstLine="0"/>
        <w:jc w:val="left"/>
      </w:pPr>
      <w:bookmarkStart w:id="1573" w:name="bookmark1573"/>
      <w:bookmarkStart w:id="1574" w:name="bookmark1574"/>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73"/>
      <w:bookmarkEnd w:id="1574"/>
      <w:bookmarkEnd w:id="158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2"/>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1"/>
      <w:bookmarkEnd w:id="1582"/>
      <w:bookmarkEnd w:id="15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328,660,841.48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328,660,841.48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346,660,841.48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346,660,841.48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5"/>
      <w:bookmarkEnd w:id="1586"/>
      <w:bookmarkEnd w:id="15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9"/>
      <w:bookmarkEnd w:id="1590"/>
      <w:bookmarkEnd w:id="159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减：前期 计入其他 综合收益 当期转入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-7,654,194.7</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-7,654,194.7</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262,459.64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252,154.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262,459.64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252,154.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-7,391,735.1</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-7,402,0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93"/>
      <w:bookmarkEnd w:id="1594"/>
      <w:bookmarkEnd w:id="15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97"/>
      <w:bookmarkEnd w:id="1598"/>
      <w:bookmarkEnd w:id="16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23,063,061.79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23,063,061.79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23,896,061.79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23,896,061.79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1"/>
      <w:bookmarkEnd w:id="1602"/>
      <w:bookmarkEnd w:id="160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-240,103,577.42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509,237,335.70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-57,989,027.49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-240,103,577.42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451,248,308.21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123,987,125.52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-671,247,584.07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20,104,301.56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-116,116,451.90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-240,103,577.42</w:t>
            </w:r>
          </w:p>
        </w:tc>
      </w:tr>
    </w:tbl>
    <w:p>
      <w:pPr>
        <w:spacing w:lineRule="exact" w:line="1"/>
        <w:rPr>
          <w:sz w:val="2"/>
          <w:szCs w:val="2"/>
        </w:rPr>
      </w:pPr>
      <w:r>
        <w:br w:type="page"/>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20" w:line="240" w:lineRule="auto"/>
        <w:ind w:left="0" w:right="0" w:firstLine="0"/>
        <w:jc w:val="left"/>
      </w:pPr>
      <w:bookmarkStart w:id="1605" w:name="bookmark1605"/>
      <w:r>
        <w:rPr>
          <w:rFonts w:ascii="Times New Roman" w:eastAsia="Times New Roman" w:hAnsi="Times New Roman" w:cs="Times New Roman"/>
          <w:color w:val="000000"/>
          <w:spacing w:val="0"/>
          <w:w w:val="100"/>
          <w:position w:val="0"/>
        </w:rPr>
        <w:t>1</w:t>
      </w:r>
      <w:bookmarkEnd w:id="160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606" w:name="bookmark1606"/>
      <w:r>
        <w:rPr>
          <w:rFonts w:ascii="Times New Roman" w:eastAsia="Times New Roman" w:hAnsi="Times New Roman" w:cs="Times New Roman"/>
          <w:color w:val="000000"/>
          <w:spacing w:val="0"/>
          <w:w w:val="100"/>
          <w:position w:val="0"/>
        </w:rPr>
        <w:t>2</w:t>
      </w:r>
      <w:bookmarkEnd w:id="160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607" w:name="bookmark1607"/>
      <w:r>
        <w:rPr>
          <w:rFonts w:ascii="Times New Roman" w:eastAsia="Times New Roman" w:hAnsi="Times New Roman" w:cs="Times New Roman"/>
          <w:color w:val="000000"/>
          <w:spacing w:val="0"/>
          <w:w w:val="100"/>
          <w:position w:val="0"/>
        </w:rPr>
        <w:t>3</w:t>
      </w:r>
      <w:bookmarkEnd w:id="160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rPr>
        <w:t>4</w:t>
      </w:r>
      <w:bookmarkEnd w:id="160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38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1"/>
        <w:keepNext w:val="0"/>
        <w:keepLines w:val="0"/>
        <w:widowControl w:val="0"/>
        <w:shd w:val="clear" w:color="auto" w:fill="auto"/>
        <w:bidi w:val="0"/>
        <w:spacing w:before="0" w:after="380" w:line="240" w:lineRule="auto"/>
        <w:ind w:left="0" w:right="0" w:firstLine="0"/>
        <w:jc w:val="left"/>
        <w:rPr>
          <w:sz w:val="20"/>
          <w:szCs w:val="20"/>
        </w:rPr>
      </w:pPr>
      <w:bookmarkStart w:id="1610" w:name="bookmark1610"/>
      <w:r>
        <w:rPr>
          <w:rFonts w:ascii="Times New Roman" w:eastAsia="Times New Roman" w:hAnsi="Times New Roman" w:cs="Times New Roman"/>
          <w:b/>
          <w:bCs/>
          <w:color w:val="000000"/>
          <w:spacing w:val="0"/>
          <w:w w:val="100"/>
          <w:position w:val="0"/>
          <w:sz w:val="20"/>
          <w:szCs w:val="20"/>
        </w:rPr>
        <w:t>6</w:t>
      </w:r>
      <w:bookmarkEnd w:id="161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、营业收入和营业成本</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2,278,964,568.88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1,891,811,396.39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1,893,658,496.29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1,532,269,208.80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2,278,964,568.88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1,891,811,396.39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1,893,658,496.29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1,532,269,208.80</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其他说明</w:t>
      </w:r>
    </w:p>
    <w:p>
      <w:pPr>
        <w:pStyle w:val="Style41"/>
        <w:keepNext w:val="0"/>
        <w:keepLines w:val="0"/>
        <w:widowControl w:val="0"/>
        <w:numPr>
          <w:ilvl w:val="0"/>
          <w:numId w:val="139"/>
        </w:numPr>
        <w:shd w:val="clear" w:color="auto" w:fill="auto"/>
        <w:bidi w:val="0"/>
        <w:spacing w:before="0" w:after="0" w:line="240" w:lineRule="auto"/>
        <w:ind w:left="0" w:right="0" w:firstLine="440"/>
        <w:jc w:val="left"/>
        <w:rPr>
          <w:sz w:val="20"/>
          <w:szCs w:val="20"/>
        </w:rPr>
      </w:pPr>
      <w:bookmarkStart w:id="1611" w:name="bookmark1611"/>
      <w:bookmarkEnd w:id="1611"/>
      <w:r>
        <w:rPr>
          <w:color w:val="000000"/>
          <w:spacing w:val="0"/>
          <w:w w:val="100"/>
          <w:position w:val="0"/>
          <w:sz w:val="20"/>
          <w:szCs w:val="20"/>
        </w:rPr>
        <w:t>公司前五名客户的营业收入情况</w:t>
      </w:r>
    </w:p>
    <w:tbl>
      <w:tblPr>
        <w:tblOverlap w:val="never"/>
        <w:jc w:val="center"/>
        <w:tblLayout w:type="fixed"/>
      </w:tblPr>
      <w:tblGrid>
        <w:gridCol w:w="3173"/>
        <w:gridCol w:w="3168"/>
        <w:gridCol w:w="3173"/>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1,014,944,332.34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44.54</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281,428,444.38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12.35</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122,020,843.53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5.35</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60,961,357.48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2.67</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57,888,886.06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2.54</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1,537,243,863.79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67.45</w:t>
            </w:r>
          </w:p>
        </w:tc>
      </w:tr>
    </w:tbl>
    <w:p>
      <w:pPr>
        <w:widowControl w:val="0"/>
        <w:spacing w:after="339" w:line="1" w:lineRule="exact"/>
      </w:pPr>
    </w:p>
    <w:p>
      <w:pPr>
        <w:pStyle w:val="Style41"/>
        <w:keepNext w:val="0"/>
        <w:keepLines w:val="0"/>
        <w:widowControl w:val="0"/>
        <w:numPr>
          <w:ilvl w:val="0"/>
          <w:numId w:val="139"/>
        </w:numPr>
        <w:shd w:val="clear" w:color="auto" w:fill="auto"/>
        <w:bidi w:val="0"/>
        <w:spacing w:before="0" w:after="0" w:line="240" w:lineRule="auto"/>
        <w:ind w:left="0" w:right="0" w:firstLine="440"/>
        <w:jc w:val="left"/>
        <w:rPr>
          <w:sz w:val="20"/>
          <w:szCs w:val="20"/>
        </w:rPr>
      </w:pPr>
      <w:bookmarkStart w:id="1612" w:name="bookmark1612"/>
      <w:bookmarkEnd w:id="1612"/>
      <w:r>
        <w:rPr>
          <w:color w:val="000000"/>
          <w:spacing w:val="0"/>
          <w:w w:val="100"/>
          <w:position w:val="0"/>
          <w:sz w:val="20"/>
          <w:szCs w:val="20"/>
        </w:rPr>
        <w:t>主营业务收入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主营业务成本情况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按业务类别分类</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834"/>
        <w:gridCol w:w="1901"/>
        <w:gridCol w:w="1906"/>
        <w:gridCol w:w="1901"/>
        <w:gridCol w:w="1915"/>
      </w:tblGrid>
      <w:tr>
        <w:trPr>
          <w:trHeight w:val="346"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业务类别</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成本</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922,581,858.08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637,967,377.07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613,915,115.93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389,724,054.51</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1,199,145,673.64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1,124,946,354.15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956,327,315.23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883,526,150.98</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移动数据推广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83,640,399.61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75,355,313.88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136,046,181.40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126,414,314.02</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专有品牌推广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5,695,742.96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3,580,051.51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24,552,409.98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17,799,142.31</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自有平台广告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54,183,239.35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36,703,363.36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91,734,509.04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72,488,345.22</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电商推广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57,996,015.41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32,228,071.61</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第三方平台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13,333,362.35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12,994,322.98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2,297,711.98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1,802,897.68</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小说代理业务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384,292.89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264,613.44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10,789,237.32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8,286,232.47</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2,278,964,568.88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1,891,811,396.39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1,893,658,496.29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1,532,269,208.80</w:t>
            </w: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3"/>
      <w:bookmarkEnd w:id="1614"/>
      <w:bookmarkEnd w:id="161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3,282,880.27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1,981,790.83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1,466,715.15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897,782.99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303,752.32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520,718.26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1,850.40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1,526,984.48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1,242,797.68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977,810.20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598,521.94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64,513.48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29,840.64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7,634,885.30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5,288,952.74</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计缴标准详见本附注四</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税项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32"/>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7"/>
      <w:bookmarkEnd w:id="1618"/>
      <w:bookmarkEnd w:id="162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38,714,158.26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44,227,812.60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10,435,145.69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8,624,236.82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2,742,869.08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1,041,120.35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2,569,752.11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1,812,626.63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2,315,834.70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3,729,168.85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2,241,159.73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2,076,615.42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4,317,063.48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4,501,745.67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63,335,983.05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66,013,326.34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1"/>
      <w:bookmarkEnd w:id="1622"/>
      <w:bookmarkEnd w:id="162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44,131,760.02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40,393,775.17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13,654,812.36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8,444,494.90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5,842,368.68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7,284,730.26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5,472,352.49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5,940,450.33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3,553,687.25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2,903,536.79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1,233,342.87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1,700,966.17</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4,125,067.38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5,604,592.97</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78,013,391.05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72,272,546.59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25"/>
      <w:bookmarkEnd w:id="1626"/>
      <w:bookmarkEnd w:id="162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74,995,591.03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62,321,708.82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13,207,844.97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15,364,132.64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377,371.66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330,234.60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251,063.97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98,555.97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266,816.50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271,264.93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214,886.53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89,201,692.53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78,497,779.09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29"/>
      <w:bookmarkEnd w:id="1630"/>
      <w:bookmarkEnd w:id="163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17,403,548.37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23,050,737.86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2,498,827.10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1,596,796.31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减：财政贴息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462,301.10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1,141,589.62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1,589,745.33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8,222,523.47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318,560.43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488,105.18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1,161,828.05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17,544,133.31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31,353,882.69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1"/>
        <w:keepNext w:val="0"/>
        <w:keepLines w:val="0"/>
        <w:widowControl w:val="0"/>
        <w:shd w:val="clear" w:color="auto" w:fill="auto"/>
        <w:bidi w:val="0"/>
        <w:spacing w:before="0" w:after="380" w:line="240" w:lineRule="auto"/>
        <w:ind w:left="0" w:right="0" w:firstLine="440"/>
        <w:jc w:val="left"/>
        <w:rPr>
          <w:sz w:val="20"/>
          <w:szCs w:val="20"/>
        </w:rPr>
      </w:pPr>
      <w:r>
        <w:rPr>
          <w:color w:val="000000"/>
          <w:spacing w:val="0"/>
          <w:w w:val="100"/>
          <w:position w:val="0"/>
          <w:sz w:val="20"/>
          <w:szCs w:val="20"/>
        </w:rPr>
        <w:t>注：本期计入财务费用的政府补助情况详见附注七</w:t>
      </w:r>
      <w:r>
        <w:rPr>
          <w:rFonts w:ascii="Times New Roman" w:eastAsia="Times New Roman" w:hAnsi="Times New Roman" w:cs="Times New Roman"/>
          <w:color w:val="000000"/>
          <w:spacing w:val="0"/>
          <w:w w:val="100"/>
          <w:position w:val="0"/>
          <w:sz w:val="20"/>
          <w:szCs w:val="20"/>
        </w:rPr>
        <w:t>84“</w:t>
      </w:r>
      <w:r>
        <w:rPr>
          <w:color w:val="000000"/>
          <w:spacing w:val="0"/>
          <w:w w:val="100"/>
          <w:position w:val="0"/>
          <w:sz w:val="20"/>
          <w:szCs w:val="20"/>
        </w:rPr>
        <w:t>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32"/>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3"/>
      <w:bookmarkEnd w:id="1634"/>
      <w:bookmarkEnd w:id="163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805,369.74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397,446.61</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294,007.70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571,201.56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10,264,516.98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7,742,553.70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11,363,894.42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8,711,201.87</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7"/>
      <w:bookmarkEnd w:id="1638"/>
      <w:bookmarkEnd w:id="164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2,445,101.40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1,044,095.63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1,768,910.64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315,514.03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-2,126,969.67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-6,363,684.32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tbl>
      <w:tblPr>
        <w:tblOverlap w:val="never"/>
        <w:jc w:val="center"/>
        <w:tblLayout w:type="fixed"/>
      </w:tblPr>
      <w:tblGrid>
        <w:gridCol w:w="2798"/>
        <w:gridCol w:w="1949"/>
        <w:gridCol w:w="1978"/>
        <w:gridCol w:w="2741"/>
      </w:tblGrid>
      <w:tr>
        <w:trPr>
          <w:trHeight w:val="283" w:hRule="exact"/>
        </w:trPr>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按权益法核算的长期股权投资收益重要项目</w:t>
            </w:r>
          </w:p>
        </w:tc>
        <w:tc>
          <w:tcPr>
            <w:gridSpan w:val="2"/>
            <w:tcBorders>
              <w:lef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本期比上年增减变动的原因</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-339,060.22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-2,137,425.35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系当期净利润影响所致</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中信科技发展有限公司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-3,244,187.87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-6,608,213.47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系当期净利润影响所致</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北京睿斓科技有限责任公司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-2,032,918.61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297,529.83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系当期净利润影响所致</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-5,616,166.70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41"/>
      <w:bookmarkEnd w:id="1642"/>
      <w:bookmarkEnd w:id="164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7</w:t>
      </w:r>
      <w:bookmarkEnd w:id="164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45"/>
      <w:bookmarkEnd w:id="1646"/>
      <w:bookmarkEnd w:id="164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r>
              <w:rPr>
                <w:rFonts w:ascii="Times New Roman" w:eastAsia="Times New Roman" w:hAnsi="Times New Roman" w:cs="Times New Roman"/>
                <w:color w:val="000000"/>
                <w:spacing w:val="0"/>
                <w:w w:val="100"/>
                <w:position w:val="0"/>
              </w:rPr>
              <w:t>-</w:t>
            </w: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49"/>
      <w:bookmarkEnd w:id="1650"/>
      <w:bookmarkEnd w:id="165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-4,046,415.19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60,261.98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-548,286.24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-22,622,734.80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-4,594,701.43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-22,562,472.82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7</w:t>
      </w:r>
      <w:bookmarkEnd w:id="165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3"/>
      <w:bookmarkEnd w:id="1654"/>
      <w:bookmarkEnd w:id="1656"/>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-8,997,320.89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-777,828,401.93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-744,080.98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-9,741,401.87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-777,828,401.93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57"/>
      <w:bookmarkEnd w:id="1658"/>
      <w:bookmarkEnd w:id="1660"/>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处置划分为持有待售的非流动资产</w:t>
            </w:r>
            <w:r>
              <w:rPr>
                <w:rFonts w:ascii="Times New Roman" w:eastAsia="Times New Roman" w:hAnsi="Times New Roman" w:cs="Times New Roman"/>
                <w:color w:val="000000"/>
                <w:spacing w:val="0"/>
                <w:w w:val="100"/>
                <w:position w:val="0"/>
              </w:rPr>
              <w:t>（</w:t>
            </w:r>
            <w:r>
              <w:rPr>
                <w:color w:val="000000"/>
                <w:spacing w:val="0"/>
                <w:w w:val="100"/>
                <w:position w:val="0"/>
              </w:rPr>
              <w:t>金融 工具、长期股权投资和投资性房地产除 外</w:t>
            </w:r>
            <w:r>
              <w:rPr>
                <w:rFonts w:ascii="Times New Roman" w:eastAsia="Times New Roman" w:hAnsi="Times New Roman" w:cs="Times New Roman"/>
                <w:color w:val="000000"/>
                <w:spacing w:val="0"/>
                <w:w w:val="100"/>
                <w:position w:val="0"/>
              </w:rPr>
              <w:t>）</w:t>
            </w:r>
            <w:r>
              <w:rPr>
                <w:color w:val="000000"/>
                <w:spacing w:val="0"/>
                <w:w w:val="100"/>
                <w:position w:val="0"/>
              </w:rPr>
              <w:t>或处置组</w:t>
            </w:r>
            <w:r>
              <w:rPr>
                <w:rFonts w:ascii="Times New Roman" w:eastAsia="Times New Roman" w:hAnsi="Times New Roman" w:cs="Times New Roman"/>
                <w:color w:val="000000"/>
                <w:spacing w:val="0"/>
                <w:w w:val="100"/>
                <w:position w:val="0"/>
              </w:rPr>
              <w:t>（</w:t>
            </w:r>
            <w:r>
              <w:rPr>
                <w:color w:val="000000"/>
                <w:spacing w:val="0"/>
                <w:w w:val="100"/>
                <w:position w:val="0"/>
              </w:rPr>
              <w:t>子公司和业务除外</w:t>
            </w:r>
            <w:r>
              <w:rPr>
                <w:rFonts w:ascii="Times New Roman" w:eastAsia="Times New Roman" w:hAnsi="Times New Roman" w:cs="Times New Roman"/>
                <w:color w:val="000000"/>
                <w:spacing w:val="0"/>
                <w:w w:val="100"/>
                <w:position w:val="0"/>
              </w:rPr>
              <w:t>）</w:t>
            </w:r>
            <w:r>
              <w:rPr>
                <w:color w:val="000000"/>
                <w:spacing w:val="0"/>
                <w:w w:val="100"/>
                <w:position w:val="0"/>
              </w:rPr>
              <w:t>时确认 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1,958,968.21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处置未划分为持有待售的非流动资产时 确认的收益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1,960,663.03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1"/>
      <w:bookmarkEnd w:id="1662"/>
      <w:bookmarkEnd w:id="1664"/>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3,603,163.06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3,991,937.13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3,603,163.06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85,378.41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13,243.53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85,378.41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3,688,541.47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4,005,180.66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3, 688, </w:t>
            </w:r>
            <w:r>
              <w:rPr>
                <w:color w:val="000000"/>
                <w:spacing w:val="0"/>
                <w:w w:val="100"/>
                <w:position w:val="0"/>
                <w:sz w:val="18"/>
                <w:szCs w:val="18"/>
              </w:rPr>
              <w:t>541.47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补贴是否影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是否特殊补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翕振金融服 务云平台的 开发</w:t>
            </w:r>
            <w:r>
              <w:rPr>
                <w:rFonts w:ascii="Times New Roman" w:eastAsia="Times New Roman" w:hAnsi="Times New Roman" w:cs="Times New Roman"/>
                <w:color w:val="000000"/>
                <w:spacing w:val="0"/>
                <w:w w:val="100"/>
                <w:position w:val="0"/>
              </w:rPr>
              <w:t>"</w:t>
            </w:r>
            <w:r>
              <w:rPr>
                <w:color w:val="000000"/>
                <w:spacing w:val="0"/>
                <w:w w:val="100"/>
                <w:position w:val="0"/>
              </w:rPr>
              <w:t>专项扶 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上海紫竹高</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新技术产业</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开发区管理</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税收扶持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徐汇区财政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45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扶持资金、企 业扶持经费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海南生态软 件园集团有 限公司、上海 紫竹高新技 术产业开发 区管理委员 会、海南省澄 迈县工业信 息化和科学 技术局、成都 市武侯区人 民政府浆洗 街街道办事</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707,000.00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93,671.96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成都市就业 服务管理局、 南京市社会 保险管理中 心、上海市闵 行区就业促 进中心、上海 市社保局就 业促进中心、 北京市人力 资源与社会 保障局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241,558.16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337,112.87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静投办补助 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上海市静安</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52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高新技术企 业认定奖励、 省高企入库 奖励金、高新 技术企业补 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区科技创新 局、南京市高 海区科学技 术局、南京市 高淳区科学 技术局、上海 紫竹高新技 术产业开发 区管理委员 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科技发展计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划和科技经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南京市高淳 区科学技术 局、南京高淳 经济开发区 管理委员会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失业保险返 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人力资源社</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会保障部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60,864.10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上海市闵行 区就业促进 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残保金超比 例奖金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上海市残疾</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人就业服务</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14,440.80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软件集成电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路设计人员</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徐汇区财政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142,000.00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翕振零售数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上海紫竹高</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据集市软件 研发</w:t>
            </w:r>
            <w:r>
              <w:rPr>
                <w:rFonts w:ascii="Times New Roman" w:eastAsia="Times New Roman" w:hAnsi="Times New Roman" w:cs="Times New Roman"/>
                <w:color w:val="000000"/>
                <w:spacing w:val="0"/>
                <w:w w:val="100"/>
                <w:position w:val="0"/>
              </w:rPr>
              <w:t>"</w:t>
            </w:r>
            <w:r>
              <w:rPr>
                <w:color w:val="000000"/>
                <w:spacing w:val="0"/>
                <w:w w:val="100"/>
                <w:position w:val="0"/>
              </w:rPr>
              <w:t>专项扶 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新技术产业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开发区管理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经济考核奖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励款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南京市高淳 区财政局、南 京市高淳区 科学技术局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深圳市政府</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补助以工代</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深圳市南山 区人力资源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3,603,163.06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3,991,937.13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本期计入营业外收入的政府补助情况详见附注五</w:t>
      </w:r>
      <w:r>
        <w:rPr>
          <w:rFonts w:ascii="Times New Roman" w:eastAsia="Times New Roman" w:hAnsi="Times New Roman" w:cs="Times New Roman"/>
          <w:color w:val="000000"/>
          <w:spacing w:val="0"/>
          <w:w w:val="100"/>
          <w:position w:val="0"/>
          <w:sz w:val="20"/>
          <w:szCs w:val="20"/>
        </w:rPr>
        <w:t>84“</w:t>
      </w:r>
      <w:r>
        <w:rPr>
          <w:color w:val="000000"/>
          <w:spacing w:val="0"/>
          <w:w w:val="100"/>
          <w:position w:val="0"/>
          <w:sz w:val="20"/>
          <w:szCs w:val="20"/>
        </w:rPr>
        <w:t>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32"/>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65"/>
      <w:bookmarkEnd w:id="1666"/>
      <w:bookmarkEnd w:id="166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188,143.49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198,461.02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188,143.49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105,301.59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105,301.59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293,445.08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236,468.24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293,445.08</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7</w:t>
      </w:r>
      <w:bookmarkEnd w:id="167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69"/>
      <w:bookmarkEnd w:id="1670"/>
      <w:bookmarkEnd w:id="1672"/>
    </w:p>
    <w:p>
      <w:pPr>
        <w:pStyle w:val="Style32"/>
        <w:keepNext/>
        <w:keepLines/>
        <w:widowControl w:val="0"/>
        <w:shd w:val="clear" w:color="auto" w:fill="auto"/>
        <w:bidi w:val="0"/>
        <w:spacing w:before="0" w:line="240" w:lineRule="auto"/>
        <w:ind w:left="0" w:right="0" w:firstLine="0"/>
        <w:jc w:val="both"/>
      </w:pPr>
      <w:bookmarkStart w:id="1669" w:name="bookmark1669"/>
      <w:bookmarkStart w:id="1670" w:name="bookmark1670"/>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69"/>
      <w:bookmarkEnd w:id="1670"/>
      <w:bookmarkEnd w:id="167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5,876,297.47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702,868.85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-1,519,309.71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-1,356,411.42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4,356,987.76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-653,542.57</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4"/>
      <w:bookmarkEnd w:id="1675"/>
      <w:bookmarkEnd w:id="167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131,679,668.12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19,751,950.22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-3,689,254.32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1,256.10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-2,791,396.20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2,646,066.23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-4,096,596.21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1,088,824.36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-106,383.66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-8,422,565.15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小型微利企业应纳税额减免的影响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-24,913.61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4,356,987.76</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7</w:t>
      </w:r>
      <w:bookmarkEnd w:id="167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77"/>
      <w:bookmarkEnd w:id="1678"/>
      <w:bookmarkEnd w:id="1680"/>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81"/>
      <w:bookmarkEnd w:id="1682"/>
      <w:bookmarkEnd w:id="1684"/>
    </w:p>
    <w:p>
      <w:pPr>
        <w:pStyle w:val="Style32"/>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1"/>
      <w:bookmarkEnd w:id="1682"/>
      <w:bookmarkEnd w:id="168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收回银行保函保证金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49,609,210.94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2,025,002.42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收回投标、履约保证金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14,915,500.05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15,230,550.00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政府补助拨款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4,627,832.80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4,617,937.13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2,491,321.91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1,596,796.31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949,337.67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471,462.00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646,000.36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790,747.40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127,262.32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2,466,014.98</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1,212,122.18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2,140,949.66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74,578,588.23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29,339,459.90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86"/>
      <w:bookmarkEnd w:id="1687"/>
      <w:bookmarkEnd w:id="168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支付银行保函保证金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47,794,115.17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3,400,558.75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47,952,414.04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48,295,773.53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支付投标、履约保证金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15,900,833.80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17,061,454.94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7,148,704.13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7,800,645.31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1,340,682.06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754,687.82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2,660,069.85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1,860,064.54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3,939,729.46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121,996,813.74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83,912,919.66</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89"/>
      <w:bookmarkEnd w:id="1690"/>
      <w:bookmarkEnd w:id="169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725,500,000.00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3"/>
      <w:bookmarkEnd w:id="1694"/>
      <w:bookmarkEnd w:id="169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838,800,000.00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97"/>
      <w:bookmarkEnd w:id="1698"/>
      <w:bookmarkEnd w:id="170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4,864,295.56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9,864,295.56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1"/>
      <w:bookmarkEnd w:id="1702"/>
      <w:bookmarkEnd w:id="1704"/>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4,660,773.27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143,487.40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2,110,908.09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融资租赁保证金及服务费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还股东借款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32,073,122.28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20,080,000.00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4,804,260.67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63,764,030.37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7</w:t>
      </w:r>
      <w:bookmarkEnd w:id="170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05"/>
      <w:bookmarkEnd w:id="1706"/>
      <w:bookmarkEnd w:id="1708"/>
    </w:p>
    <w:p>
      <w:pPr>
        <w:pStyle w:val="Style32"/>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05"/>
      <w:bookmarkEnd w:id="1706"/>
      <w:bookmarkEnd w:id="170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127,322,680.36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-661,245,945.93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14,336,103.30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800,390,874.75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3,696,263.99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3,204,564.37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3,810,136.45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17,398,345.23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19,978,261.29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3,484,888.40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5,729,071.16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-1,960,663.03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188,143.49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198,461.02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19,331,441.71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32,414,850.95</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2,126,969.67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6,363,684.32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-997,688.46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-4,426,729.03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-521,621.25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3,070,317.61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-8,300,206.54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-153,199,208.08</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169,969,020.53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28,563,156.30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-434,753,808.69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175,731,646.00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-84,869,994.84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232,360,648.49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337,669,345.48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459,004,442.18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459,004,442.18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469,435,287.92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-121,335,096.70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-10,430,845.74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10"/>
      <w:bookmarkEnd w:id="1711"/>
      <w:bookmarkEnd w:id="171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96,772,064.05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1,772,064.05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96,772,064.05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val="0"/>
        <w:keepLines w:val="0"/>
        <w:widowControl w:val="0"/>
        <w:numPr>
          <w:ilvl w:val="0"/>
          <w:numId w:val="141"/>
        </w:numPr>
        <w:shd w:val="clear" w:color="auto" w:fill="auto"/>
        <w:bidi w:val="0"/>
        <w:spacing w:before="0" w:after="340" w:line="240" w:lineRule="auto"/>
        <w:ind w:left="0" w:right="0" w:firstLine="0"/>
        <w:jc w:val="left"/>
        <w:rPr>
          <w:sz w:val="20"/>
          <w:szCs w:val="20"/>
        </w:rPr>
      </w:pPr>
      <w:bookmarkStart w:id="1713" w:name="bookmark1713"/>
      <w:bookmarkEnd w:id="1713"/>
      <w:r>
        <w:rPr>
          <w:b/>
          <w:bCs/>
          <w:color w:val="000000"/>
          <w:spacing w:val="0"/>
          <w:w w:val="100"/>
          <w:position w:val="0"/>
          <w:sz w:val="20"/>
          <w:szCs w:val="20"/>
        </w:rPr>
        <w:t>本期收到的处置子公司的现金净额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2"/>
        <w:keepNext/>
        <w:keepLines/>
        <w:widowControl w:val="0"/>
        <w:numPr>
          <w:ilvl w:val="0"/>
          <w:numId w:val="141"/>
        </w:numPr>
        <w:shd w:val="clear" w:color="auto" w:fill="auto"/>
        <w:bidi w:val="0"/>
        <w:spacing w:before="0" w:after="340" w:line="240" w:lineRule="auto"/>
        <w:ind w:left="0" w:right="0" w:firstLine="0"/>
        <w:jc w:val="left"/>
      </w:pPr>
      <w:bookmarkStart w:id="1714" w:name="bookmark1714"/>
      <w:bookmarkStart w:id="1715" w:name="bookmark1715"/>
      <w:bookmarkStart w:id="1716" w:name="bookmark1716"/>
      <w:bookmarkStart w:id="1717" w:name="bookmark1717"/>
      <w:bookmarkEnd w:id="1716"/>
      <w:r>
        <w:rPr>
          <w:color w:val="000000"/>
          <w:spacing w:val="0"/>
          <w:w w:val="100"/>
          <w:position w:val="0"/>
        </w:rPr>
        <w:t>现金和现金等价物的构成</w:t>
      </w:r>
      <w:bookmarkEnd w:id="1714"/>
      <w:bookmarkEnd w:id="1715"/>
      <w:bookmarkEnd w:id="17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337,669,345.48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459,004,442.18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70,094.76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93,622.70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337,599,250.72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458,910,819.48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337,669,345.48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459,004,442.18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1"/>
        <w:keepNext w:val="0"/>
        <w:keepLines w:val="0"/>
        <w:widowControl w:val="0"/>
        <w:shd w:val="clear" w:color="auto" w:fill="auto"/>
        <w:bidi w:val="0"/>
        <w:spacing w:before="0" w:after="0" w:line="316"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年度现金流量表中现金期末数为</w:t>
      </w:r>
      <w:r>
        <w:rPr>
          <w:rFonts w:ascii="Times New Roman" w:eastAsia="Times New Roman" w:hAnsi="Times New Roman" w:cs="Times New Roman"/>
          <w:color w:val="000000"/>
          <w:spacing w:val="0"/>
          <w:w w:val="100"/>
          <w:position w:val="0"/>
          <w:sz w:val="20"/>
          <w:szCs w:val="20"/>
        </w:rPr>
        <w:t>337,669,345.48</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日资产负债表中货币资金期末数 为</w:t>
      </w:r>
      <w:r>
        <w:rPr>
          <w:rFonts w:ascii="Times New Roman" w:eastAsia="Times New Roman" w:hAnsi="Times New Roman" w:cs="Times New Roman"/>
          <w:color w:val="000000"/>
          <w:spacing w:val="0"/>
          <w:w w:val="100"/>
          <w:position w:val="0"/>
          <w:sz w:val="20"/>
          <w:szCs w:val="20"/>
        </w:rPr>
        <w:t>373,878,639.80</w:t>
      </w:r>
      <w:r>
        <w:rPr>
          <w:color w:val="000000"/>
          <w:spacing w:val="0"/>
          <w:w w:val="100"/>
          <w:position w:val="0"/>
          <w:sz w:val="20"/>
          <w:szCs w:val="20"/>
        </w:rPr>
        <w:t>元，差额</w:t>
      </w:r>
      <w:r>
        <w:rPr>
          <w:rFonts w:ascii="Times New Roman" w:eastAsia="Times New Roman" w:hAnsi="Times New Roman" w:cs="Times New Roman"/>
          <w:color w:val="000000"/>
          <w:spacing w:val="0"/>
          <w:w w:val="100"/>
          <w:position w:val="0"/>
          <w:sz w:val="20"/>
          <w:szCs w:val="20"/>
        </w:rPr>
        <w:t>36,209,294.32</w:t>
      </w:r>
      <w:r>
        <w:rPr>
          <w:color w:val="000000"/>
          <w:spacing w:val="0"/>
          <w:w w:val="100"/>
          <w:position w:val="0"/>
          <w:sz w:val="20"/>
          <w:szCs w:val="20"/>
        </w:rPr>
        <w:t>元，系现金流量表现金期末数扣除了不符合现金及现金等价物标准 的保函保证金以及银行承兑汇票保证金</w:t>
      </w:r>
      <w:r>
        <w:rPr>
          <w:rFonts w:ascii="Times New Roman" w:eastAsia="Times New Roman" w:hAnsi="Times New Roman" w:cs="Times New Roman"/>
          <w:color w:val="000000"/>
          <w:spacing w:val="0"/>
          <w:w w:val="100"/>
          <w:position w:val="0"/>
          <w:sz w:val="20"/>
          <w:szCs w:val="20"/>
        </w:rPr>
        <w:t>36,209,294.32</w:t>
      </w:r>
      <w:r>
        <w:rPr>
          <w:color w:val="000000"/>
          <w:spacing w:val="0"/>
          <w:w w:val="100"/>
          <w:position w:val="0"/>
          <w:sz w:val="20"/>
          <w:szCs w:val="20"/>
        </w:rPr>
        <w:t>元。</w:t>
      </w:r>
    </w:p>
    <w:p>
      <w:pPr>
        <w:pStyle w:val="Style41"/>
        <w:keepNext w:val="0"/>
        <w:keepLines w:val="0"/>
        <w:widowControl w:val="0"/>
        <w:shd w:val="clear" w:color="auto" w:fill="auto"/>
        <w:bidi w:val="0"/>
        <w:spacing w:before="0" w:after="600" w:line="316"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年度现金流量表中现金期末数为</w:t>
      </w:r>
      <w:r>
        <w:rPr>
          <w:rFonts w:ascii="Times New Roman" w:eastAsia="Times New Roman" w:hAnsi="Times New Roman" w:cs="Times New Roman"/>
          <w:color w:val="000000"/>
          <w:spacing w:val="0"/>
          <w:w w:val="100"/>
          <w:position w:val="0"/>
          <w:sz w:val="20"/>
          <w:szCs w:val="20"/>
        </w:rPr>
        <w:t>459,004,442.18</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日资产负债表中货币资金期末数 为</w:t>
      </w:r>
      <w:r>
        <w:rPr>
          <w:rFonts w:ascii="Times New Roman" w:eastAsia="Times New Roman" w:hAnsi="Times New Roman" w:cs="Times New Roman"/>
          <w:color w:val="000000"/>
          <w:spacing w:val="0"/>
          <w:w w:val="100"/>
          <w:position w:val="0"/>
          <w:sz w:val="20"/>
          <w:szCs w:val="20"/>
        </w:rPr>
        <w:t>577,368,063.8</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元，差额</w:t>
      </w:r>
      <w:r>
        <w:rPr>
          <w:rFonts w:ascii="Times New Roman" w:eastAsia="Times New Roman" w:hAnsi="Times New Roman" w:cs="Times New Roman"/>
          <w:color w:val="000000"/>
          <w:spacing w:val="0"/>
          <w:w w:val="100"/>
          <w:position w:val="0"/>
          <w:sz w:val="20"/>
          <w:szCs w:val="20"/>
        </w:rPr>
        <w:t>118,363,621.6</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元，系现金流量表现金期末数扣除了不符合现金及现金等价物标 准的保函保证金以及开立银行承兑汇票保证金</w:t>
      </w:r>
      <w:r>
        <w:rPr>
          <w:rFonts w:ascii="Times New Roman" w:eastAsia="Times New Roman" w:hAnsi="Times New Roman" w:cs="Times New Roman"/>
          <w:color w:val="000000"/>
          <w:spacing w:val="0"/>
          <w:w w:val="100"/>
          <w:position w:val="0"/>
          <w:sz w:val="20"/>
          <w:szCs w:val="20"/>
        </w:rPr>
        <w:t>118,363,621.62</w:t>
      </w:r>
      <w:r>
        <w:rPr>
          <w:color w:val="000000"/>
          <w:spacing w:val="0"/>
          <w:w w:val="100"/>
          <w:position w:val="0"/>
          <w:sz w:val="20"/>
          <w:szCs w:val="20"/>
        </w:rPr>
        <w:t>元。</w:t>
      </w:r>
    </w:p>
    <w:p>
      <w:pPr>
        <w:pStyle w:val="Style32"/>
        <w:keepNext/>
        <w:keepLines/>
        <w:widowControl w:val="0"/>
        <w:shd w:val="clear" w:color="auto" w:fill="auto"/>
        <w:tabs>
          <w:tab w:pos="483" w:val="left"/>
        </w:tabs>
        <w:bidi w:val="0"/>
        <w:spacing w:before="0" w:after="340" w:line="316" w:lineRule="exact"/>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8</w:t>
      </w:r>
      <w:bookmarkEnd w:id="172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18"/>
      <w:bookmarkEnd w:id="1719"/>
      <w:bookmarkEnd w:id="1721"/>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2"/>
        <w:keepNext/>
        <w:keepLines/>
        <w:widowControl w:val="0"/>
        <w:shd w:val="clear" w:color="auto" w:fill="auto"/>
        <w:tabs>
          <w:tab w:pos="483" w:val="left"/>
        </w:tabs>
        <w:bidi w:val="0"/>
        <w:spacing w:before="0" w:after="340" w:line="316" w:lineRule="exact"/>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8</w:t>
      </w:r>
      <w:bookmarkEnd w:id="172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22"/>
      <w:bookmarkEnd w:id="1723"/>
      <w:bookmarkEnd w:id="17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36,209,294.32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保函保证金及承兑汇票保证金</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36,209,294.32</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8</w:t>
      </w:r>
      <w:bookmarkEnd w:id="172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26"/>
      <w:bookmarkEnd w:id="1727"/>
      <w:bookmarkEnd w:id="1729"/>
    </w:p>
    <w:p>
      <w:pPr>
        <w:pStyle w:val="Style32"/>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26"/>
      <w:bookmarkEnd w:id="1727"/>
      <w:bookmarkEnd w:id="17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783,606.66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57,485.51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366,510.36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510,147.14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417,096.30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2"/>
        <w:keepNext/>
        <w:keepLines/>
        <w:widowControl w:val="0"/>
        <w:shd w:val="clear" w:color="auto" w:fill="auto"/>
        <w:bidi w:val="0"/>
        <w:spacing w:before="0" w:after="380" w:line="331" w:lineRule="exact"/>
        <w:ind w:left="0" w:right="0" w:firstLine="0"/>
        <w:jc w:val="left"/>
      </w:pPr>
      <w:bookmarkStart w:id="1731" w:name="bookmark1731"/>
      <w:bookmarkStart w:id="1732" w:name="bookmark1732"/>
      <w:bookmarkStart w:id="1733" w:name="bookmark17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31"/>
      <w:bookmarkEnd w:id="1732"/>
      <w:bookmarkEnd w:id="1733"/>
    </w:p>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80"/>
        <w:ind w:left="0" w:right="0" w:firstLine="440"/>
        <w:jc w:val="left"/>
        <w:rPr>
          <w:sz w:val="20"/>
          <w:szCs w:val="20"/>
        </w:rPr>
      </w:pPr>
      <w:r>
        <w:rPr>
          <w:color w:val="000000"/>
          <w:spacing w:val="0"/>
          <w:w w:val="100"/>
          <w:position w:val="0"/>
          <w:sz w:val="20"/>
          <w:szCs w:val="20"/>
        </w:rPr>
        <w:t>本公司有如下境外经营实体：</w:t>
      </w:r>
    </w:p>
    <w:p>
      <w:pPr>
        <w:pStyle w:val="Style5"/>
        <w:keepNext w:val="0"/>
        <w:keepLines w:val="0"/>
        <w:widowControl w:val="0"/>
        <w:numPr>
          <w:ilvl w:val="0"/>
          <w:numId w:val="143"/>
        </w:numPr>
        <w:shd w:val="clear" w:color="auto" w:fill="auto"/>
        <w:tabs>
          <w:tab w:pos="866" w:val="left"/>
        </w:tabs>
        <w:bidi w:val="0"/>
        <w:spacing w:before="0" w:after="0" w:line="331" w:lineRule="auto"/>
        <w:ind w:left="0" w:right="0" w:firstLine="440"/>
        <w:jc w:val="left"/>
      </w:pPr>
      <w:bookmarkStart w:id="1734" w:name="bookmark1734"/>
      <w:bookmarkEnd w:id="1734"/>
      <w:r>
        <w:rPr>
          <w:b w:val="0"/>
          <w:bCs w:val="0"/>
          <w:color w:val="000000"/>
          <w:spacing w:val="0"/>
          <w:w w:val="100"/>
          <w:position w:val="0"/>
        </w:rPr>
        <w:t>Nuts Information Technology CO.,Limited</w:t>
      </w:r>
      <w:r>
        <w:rPr>
          <w:rFonts w:ascii="SimSun" w:eastAsia="SimSun" w:hAnsi="SimSun" w:cs="SimSun"/>
          <w:b w:val="0"/>
          <w:bCs w:val="0"/>
          <w:color w:val="000000"/>
          <w:spacing w:val="0"/>
          <w:w w:val="100"/>
          <w:position w:val="0"/>
        </w:rPr>
        <w:t>公司，主要经营地为香港特别行政区，记账本位币为美元;</w:t>
      </w:r>
    </w:p>
    <w:p>
      <w:pPr>
        <w:pStyle w:val="Style5"/>
        <w:keepNext w:val="0"/>
        <w:keepLines w:val="0"/>
        <w:widowControl w:val="0"/>
        <w:numPr>
          <w:ilvl w:val="0"/>
          <w:numId w:val="143"/>
        </w:numPr>
        <w:shd w:val="clear" w:color="auto" w:fill="auto"/>
        <w:tabs>
          <w:tab w:pos="866" w:val="left"/>
        </w:tabs>
        <w:bidi w:val="0"/>
        <w:spacing w:before="0" w:after="0" w:line="331" w:lineRule="auto"/>
        <w:ind w:left="0" w:right="0" w:firstLine="440"/>
        <w:jc w:val="left"/>
      </w:pPr>
      <w:bookmarkStart w:id="1735" w:name="bookmark1735"/>
      <w:bookmarkEnd w:id="1735"/>
      <w:r>
        <w:rPr>
          <w:b w:val="0"/>
          <w:bCs w:val="0"/>
          <w:color w:val="000000"/>
          <w:spacing w:val="0"/>
          <w:w w:val="100"/>
          <w:position w:val="0"/>
        </w:rPr>
        <w:t>Nuts Information Technology Limited</w:t>
      </w:r>
      <w:r>
        <w:rPr>
          <w:rFonts w:ascii="SimSun" w:eastAsia="SimSun" w:hAnsi="SimSun" w:cs="SimSun"/>
          <w:b w:val="0"/>
          <w:bCs w:val="0"/>
          <w:color w:val="000000"/>
          <w:spacing w:val="0"/>
          <w:w w:val="100"/>
          <w:position w:val="0"/>
        </w:rPr>
        <w:t>公司，主要经营地为塞舌尔共和国，记账本位币为美元；</w:t>
      </w:r>
    </w:p>
    <w:p>
      <w:pPr>
        <w:pStyle w:val="Style41"/>
        <w:keepNext w:val="0"/>
        <w:keepLines w:val="0"/>
        <w:widowControl w:val="0"/>
        <w:numPr>
          <w:ilvl w:val="0"/>
          <w:numId w:val="143"/>
        </w:numPr>
        <w:shd w:val="clear" w:color="auto" w:fill="auto"/>
        <w:tabs>
          <w:tab w:pos="866" w:val="left"/>
        </w:tabs>
        <w:bidi w:val="0"/>
        <w:spacing w:before="0" w:after="0"/>
        <w:ind w:left="0" w:right="0" w:firstLine="440"/>
        <w:jc w:val="left"/>
        <w:rPr>
          <w:sz w:val="20"/>
          <w:szCs w:val="20"/>
        </w:rPr>
      </w:pPr>
      <w:bookmarkStart w:id="1736" w:name="bookmark1736"/>
      <w:bookmarkEnd w:id="1736"/>
      <w:r>
        <w:rPr>
          <w:color w:val="000000"/>
          <w:spacing w:val="0"/>
          <w:w w:val="100"/>
          <w:position w:val="0"/>
          <w:sz w:val="20"/>
          <w:szCs w:val="20"/>
        </w:rPr>
        <w:t>高伟达信息科技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有限公司，主要经营地为香港特别行政区，记账本位币为港币。</w:t>
      </w:r>
    </w:p>
    <w:p>
      <w:pPr>
        <w:pStyle w:val="Style41"/>
        <w:keepNext w:val="0"/>
        <w:keepLines w:val="0"/>
        <w:widowControl w:val="0"/>
        <w:shd w:val="clear" w:color="auto" w:fill="auto"/>
        <w:bidi w:val="0"/>
        <w:spacing w:before="0" w:after="680"/>
        <w:ind w:left="0" w:right="0" w:firstLine="440"/>
        <w:jc w:val="left"/>
        <w:rPr>
          <w:sz w:val="20"/>
          <w:szCs w:val="20"/>
        </w:rPr>
      </w:pPr>
      <w:r>
        <w:rPr>
          <w:color w:val="000000"/>
          <w:spacing w:val="0"/>
          <w:w w:val="100"/>
          <w:position w:val="0"/>
          <w:sz w:val="20"/>
          <w:szCs w:val="20"/>
        </w:rPr>
        <w:t>本公司之境外子公司根据其经营所处的主要经济环境中的货币确定美元、港币为其记账本位币，本期 上述境外经营实体的记账本位币没有发生变化。</w:t>
      </w:r>
    </w:p>
    <w:p>
      <w:pPr>
        <w:pStyle w:val="Style32"/>
        <w:keepNext/>
        <w:keepLines/>
        <w:widowControl w:val="0"/>
        <w:shd w:val="clear" w:color="auto" w:fill="auto"/>
        <w:bidi w:val="0"/>
        <w:spacing w:before="0" w:after="300" w:line="331"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8</w:t>
      </w:r>
      <w:bookmarkEnd w:id="1739"/>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1737"/>
      <w:bookmarkEnd w:id="1738"/>
      <w:bookmarkEnd w:id="1740"/>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32"/>
        <w:keepNext/>
        <w:keepLines/>
        <w:widowControl w:val="0"/>
        <w:shd w:val="clear" w:color="auto" w:fill="auto"/>
        <w:bidi w:val="0"/>
        <w:spacing w:before="0" w:after="380" w:line="240" w:lineRule="auto"/>
        <w:ind w:left="0" w:right="0" w:firstLine="0"/>
        <w:jc w:val="both"/>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8</w:t>
      </w:r>
      <w:bookmarkEnd w:id="1743"/>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741"/>
      <w:bookmarkEnd w:id="1742"/>
      <w:bookmarkEnd w:id="1744"/>
    </w:p>
    <w:p>
      <w:pPr>
        <w:pStyle w:val="Style32"/>
        <w:keepNext/>
        <w:keepLines/>
        <w:widowControl w:val="0"/>
        <w:shd w:val="clear" w:color="auto" w:fill="auto"/>
        <w:bidi w:val="0"/>
        <w:spacing w:before="0" w:after="380" w:line="240" w:lineRule="auto"/>
        <w:ind w:left="0" w:right="0" w:firstLine="0"/>
        <w:jc w:val="both"/>
      </w:pPr>
      <w:bookmarkStart w:id="1741" w:name="bookmark1741"/>
      <w:bookmarkStart w:id="1742" w:name="bookmark1742"/>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41"/>
      <w:bookmarkEnd w:id="1742"/>
      <w:bookmarkEnd w:id="174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翕振金融服务云平台的开发</w:t>
            </w:r>
            <w:r>
              <w:rPr>
                <w:rFonts w:ascii="Times New Roman" w:eastAsia="Times New Roman" w:hAnsi="Times New Roman" w:cs="Times New Roman"/>
                <w:color w:val="000000"/>
                <w:spacing w:val="0"/>
                <w:w w:val="100"/>
                <w:position w:val="0"/>
              </w:rPr>
              <w:t xml:space="preserve">" </w:t>
            </w:r>
            <w:r>
              <w:rPr>
                <w:color w:val="000000"/>
                <w:spacing w:val="0"/>
                <w:w w:val="100"/>
                <w:position w:val="0"/>
              </w:rPr>
              <w:t>专项扶持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税收扶持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805,369.74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805,369.74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扶持资金、企业扶持经费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707,000.00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241,558.16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241,558.16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219,300.00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静投办补助款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科技发展计划和科技经费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60,864.10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60,864.10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39,300.00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残保金超比例奖金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14,440.80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14,440.80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4,627,832.80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46"/>
      <w:bookmarkEnd w:id="1747"/>
      <w:bookmarkEnd w:id="1748"/>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面向汽车零售的互联网融资租赁平台</w:t>
            </w:r>
            <w:r>
              <w:rPr>
                <w:rFonts w:ascii="Times New Roman" w:eastAsia="Times New Roman" w:hAnsi="Times New Roman" w:cs="Times New Roman"/>
                <w:color w:val="000000"/>
                <w:spacing w:val="0"/>
                <w:w w:val="100"/>
                <w:position w:val="0"/>
              </w:rPr>
              <w:t xml:space="preserve">" </w:t>
            </w:r>
            <w:r>
              <w:rPr>
                <w:color w:val="000000"/>
                <w:spacing w:val="0"/>
                <w:w w:val="100"/>
                <w:position w:val="0"/>
              </w:rPr>
              <w:t>财政专项扶持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因项目硬件投入未达到计划要求导致项 目终止</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41"/>
        <w:keepNext w:val="0"/>
        <w:keepLines w:val="0"/>
        <w:widowControl w:val="0"/>
        <w:numPr>
          <w:ilvl w:val="0"/>
          <w:numId w:val="145"/>
        </w:numPr>
        <w:shd w:val="clear" w:color="auto" w:fill="auto"/>
        <w:bidi w:val="0"/>
        <w:spacing w:before="0" w:after="0" w:line="314" w:lineRule="exact"/>
        <w:ind w:left="0" w:right="0" w:firstLine="0"/>
        <w:jc w:val="both"/>
        <w:rPr>
          <w:sz w:val="20"/>
          <w:szCs w:val="20"/>
        </w:rPr>
      </w:pPr>
      <w:bookmarkStart w:id="1749" w:name="bookmark1749"/>
      <w:bookmarkEnd w:id="1749"/>
      <w:r>
        <w:rPr>
          <w:color w:val="000000"/>
          <w:spacing w:val="0"/>
          <w:w w:val="100"/>
          <w:position w:val="0"/>
          <w:sz w:val="20"/>
          <w:szCs w:val="20"/>
        </w:rPr>
        <w:t>本期收到政府补助</w:t>
      </w:r>
      <w:r>
        <w:rPr>
          <w:rFonts w:ascii="Times New Roman" w:eastAsia="Times New Roman" w:hAnsi="Times New Roman" w:cs="Times New Roman"/>
          <w:color w:val="000000"/>
          <w:spacing w:val="0"/>
          <w:w w:val="100"/>
          <w:position w:val="0"/>
          <w:sz w:val="20"/>
          <w:szCs w:val="20"/>
        </w:rPr>
        <w:t>4,627,832.80</w:t>
      </w:r>
      <w:r>
        <w:rPr>
          <w:color w:val="000000"/>
          <w:spacing w:val="0"/>
          <w:w w:val="100"/>
          <w:position w:val="0"/>
          <w:sz w:val="20"/>
          <w:szCs w:val="20"/>
        </w:rPr>
        <w:t>元。其中：</w:t>
      </w:r>
    </w:p>
    <w:p>
      <w:pPr>
        <w:pStyle w:val="Style41"/>
        <w:keepNext w:val="0"/>
        <w:keepLines w:val="0"/>
        <w:widowControl w:val="0"/>
        <w:shd w:val="clear" w:color="auto" w:fill="auto"/>
        <w:tabs>
          <w:tab w:pos="781" w:val="left"/>
        </w:tabs>
        <w:bidi w:val="0"/>
        <w:spacing w:before="0" w:after="0" w:line="314" w:lineRule="exact"/>
        <w:ind w:left="0" w:right="0" w:firstLine="440"/>
        <w:jc w:val="both"/>
        <w:rPr>
          <w:sz w:val="20"/>
          <w:szCs w:val="20"/>
        </w:rPr>
      </w:pPr>
      <w:bookmarkStart w:id="1750" w:name="bookmark1750"/>
      <w:r>
        <w:rPr>
          <w:rFonts w:ascii="Times New Roman" w:eastAsia="Times New Roman" w:hAnsi="Times New Roman" w:cs="Times New Roman"/>
          <w:color w:val="000000"/>
          <w:spacing w:val="0"/>
          <w:w w:val="100"/>
          <w:position w:val="0"/>
          <w:sz w:val="20"/>
          <w:szCs w:val="20"/>
        </w:rPr>
        <w:t>1</w:t>
      </w:r>
      <w:bookmarkEnd w:id="175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根据上海紫竹高新技术产业开发区管理委员会下发的《上海紫竹高新技术产业开发区管委会项目管 理办法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试行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年度收到专项扶持款</w:t>
      </w:r>
      <w:r>
        <w:rPr>
          <w:rFonts w:ascii="Times New Roman" w:eastAsia="Times New Roman" w:hAnsi="Times New Roman" w:cs="Times New Roman"/>
          <w:color w:val="000000"/>
          <w:spacing w:val="0"/>
          <w:w w:val="100"/>
          <w:position w:val="0"/>
          <w:sz w:val="20"/>
          <w:szCs w:val="20"/>
        </w:rPr>
        <w:t>1,300,000.00</w:t>
      </w:r>
      <w:r>
        <w:rPr>
          <w:color w:val="000000"/>
          <w:spacing w:val="0"/>
          <w:w w:val="100"/>
          <w:position w:val="0"/>
          <w:sz w:val="20"/>
          <w:szCs w:val="20"/>
        </w:rPr>
        <w:t>元，系与收益相关的政府补助，且与公司日常 经营活动无关，己全额计入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年营业外收入。</w:t>
      </w:r>
    </w:p>
    <w:p>
      <w:pPr>
        <w:pStyle w:val="Style41"/>
        <w:keepNext w:val="0"/>
        <w:keepLines w:val="0"/>
        <w:widowControl w:val="0"/>
        <w:shd w:val="clear" w:color="auto" w:fill="auto"/>
        <w:tabs>
          <w:tab w:pos="776" w:val="left"/>
        </w:tabs>
        <w:bidi w:val="0"/>
        <w:spacing w:before="0" w:after="0" w:line="314" w:lineRule="exact"/>
        <w:ind w:left="0" w:right="0" w:firstLine="440"/>
        <w:jc w:val="both"/>
        <w:rPr>
          <w:sz w:val="20"/>
          <w:szCs w:val="20"/>
        </w:rPr>
      </w:pPr>
      <w:bookmarkStart w:id="1751" w:name="bookmark1751"/>
      <w:r>
        <w:rPr>
          <w:rFonts w:ascii="Times New Roman" w:eastAsia="Times New Roman" w:hAnsi="Times New Roman" w:cs="Times New Roman"/>
          <w:color w:val="000000"/>
          <w:spacing w:val="0"/>
          <w:w w:val="100"/>
          <w:position w:val="0"/>
          <w:sz w:val="20"/>
          <w:szCs w:val="20"/>
        </w:rPr>
        <w:t>2</w:t>
      </w:r>
      <w:bookmarkEnd w:id="175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根据上海市徐汇区财政局下发的税收扶持政策，公司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年度收到税收扶持资金</w:t>
      </w:r>
      <w:r>
        <w:rPr>
          <w:rFonts w:ascii="Times New Roman" w:eastAsia="Times New Roman" w:hAnsi="Times New Roman" w:cs="Times New Roman"/>
          <w:color w:val="000000"/>
          <w:spacing w:val="0"/>
          <w:w w:val="100"/>
          <w:position w:val="0"/>
          <w:sz w:val="20"/>
          <w:szCs w:val="20"/>
        </w:rPr>
        <w:t>940,000.00</w:t>
      </w:r>
      <w:r>
        <w:rPr>
          <w:color w:val="000000"/>
          <w:spacing w:val="0"/>
          <w:w w:val="100"/>
          <w:position w:val="0"/>
          <w:sz w:val="20"/>
          <w:szCs w:val="20"/>
        </w:rPr>
        <w:t>元，系与 收益相关的政府补助，且与公司日常经营活动无关，己全额计入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年营业外收入。</w:t>
      </w:r>
    </w:p>
    <w:p>
      <w:pPr>
        <w:pStyle w:val="Style41"/>
        <w:keepNext w:val="0"/>
        <w:keepLines w:val="0"/>
        <w:widowControl w:val="0"/>
        <w:shd w:val="clear" w:color="auto" w:fill="auto"/>
        <w:tabs>
          <w:tab w:pos="786" w:val="left"/>
        </w:tabs>
        <w:bidi w:val="0"/>
        <w:spacing w:before="0" w:after="0" w:line="314" w:lineRule="exact"/>
        <w:ind w:left="0" w:right="0" w:firstLine="440"/>
        <w:jc w:val="both"/>
        <w:rPr>
          <w:sz w:val="20"/>
          <w:szCs w:val="20"/>
        </w:rPr>
      </w:pPr>
      <w:bookmarkStart w:id="1752" w:name="bookmark1752"/>
      <w:r>
        <w:rPr>
          <w:rFonts w:ascii="Times New Roman" w:eastAsia="Times New Roman" w:hAnsi="Times New Roman" w:cs="Times New Roman"/>
          <w:color w:val="000000"/>
          <w:spacing w:val="0"/>
          <w:w w:val="100"/>
          <w:position w:val="0"/>
          <w:sz w:val="20"/>
          <w:szCs w:val="20"/>
        </w:rPr>
        <w:t>3</w:t>
      </w:r>
      <w:bookmarkEnd w:id="1752"/>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根据国家税务总局下发的财税</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sz w:val="20"/>
          <w:szCs w:val="20"/>
        </w:rPr>
        <w:t xml:space="preserve">号《国家税务总局关于软件产品增值税政策的通知》，公司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年度收到增值税即征即退款</w:t>
      </w:r>
      <w:r>
        <w:rPr>
          <w:rFonts w:ascii="Times New Roman" w:eastAsia="Times New Roman" w:hAnsi="Times New Roman" w:cs="Times New Roman"/>
          <w:color w:val="000000"/>
          <w:spacing w:val="0"/>
          <w:w w:val="100"/>
          <w:position w:val="0"/>
          <w:sz w:val="20"/>
          <w:szCs w:val="20"/>
        </w:rPr>
        <w:t>805,369.74</w:t>
      </w:r>
      <w:r>
        <w:rPr>
          <w:color w:val="000000"/>
          <w:spacing w:val="0"/>
          <w:w w:val="100"/>
          <w:position w:val="0"/>
          <w:sz w:val="20"/>
          <w:szCs w:val="20"/>
        </w:rPr>
        <w:t>元，系与收益相关的政府补助，且与公司日常经营活动相关， 已全额计入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年其他收益。</w:t>
      </w:r>
    </w:p>
    <w:p>
      <w:pPr>
        <w:pStyle w:val="Style41"/>
        <w:keepNext w:val="0"/>
        <w:keepLines w:val="0"/>
        <w:widowControl w:val="0"/>
        <w:shd w:val="clear" w:color="auto" w:fill="auto"/>
        <w:tabs>
          <w:tab w:pos="363" w:val="left"/>
        </w:tabs>
        <w:bidi w:val="0"/>
        <w:spacing w:before="0" w:after="0" w:line="314" w:lineRule="exact"/>
        <w:ind w:left="0" w:right="0" w:firstLine="440"/>
        <w:jc w:val="both"/>
        <w:rPr>
          <w:sz w:val="20"/>
          <w:szCs w:val="20"/>
        </w:rPr>
      </w:pPr>
      <w:bookmarkStart w:id="1753" w:name="bookmark1753"/>
      <w:r>
        <w:rPr>
          <w:rFonts w:ascii="Times New Roman" w:eastAsia="Times New Roman" w:hAnsi="Times New Roman" w:cs="Times New Roman"/>
          <w:color w:val="000000"/>
          <w:spacing w:val="0"/>
          <w:w w:val="100"/>
          <w:position w:val="0"/>
          <w:sz w:val="20"/>
          <w:szCs w:val="20"/>
        </w:rPr>
        <w:t>4</w:t>
      </w:r>
      <w:bookmarkEnd w:id="1753"/>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根据澄迈县工业信息化和科学技术局下发的澄办发</w:t>
      </w:r>
      <w:r>
        <w:rPr>
          <w:rFonts w:ascii="Times New Roman" w:eastAsia="Times New Roman" w:hAnsi="Times New Roman" w:cs="Times New Roman"/>
          <w:color w:val="000000"/>
          <w:spacing w:val="0"/>
          <w:w w:val="100"/>
          <w:position w:val="0"/>
          <w:sz w:val="20"/>
          <w:szCs w:val="20"/>
        </w:rPr>
        <w:t>[2021]18</w:t>
      </w:r>
      <w:r>
        <w:rPr>
          <w:color w:val="000000"/>
          <w:spacing w:val="0"/>
          <w:w w:val="100"/>
          <w:position w:val="0"/>
          <w:sz w:val="20"/>
          <w:szCs w:val="20"/>
        </w:rPr>
        <w:t xml:space="preserve">号《中共澄迈县委办公室澄迈县人民政 </w:t>
      </w:r>
      <w:r>
        <w:rPr>
          <w:color w:val="000000"/>
          <w:spacing w:val="0"/>
          <w:w w:val="100"/>
          <w:position w:val="0"/>
          <w:sz w:val="20"/>
          <w:szCs w:val="20"/>
        </w:rPr>
        <w:t>府办公室关于印发</w:t>
      </w:r>
      <w:r>
        <w:rPr>
          <w:color w:val="000000"/>
          <w:spacing w:val="0"/>
          <w:w w:val="100"/>
          <w:position w:val="0"/>
          <w:sz w:val="20"/>
          <w:szCs w:val="20"/>
        </w:rPr>
        <w:t>〈</w:t>
      </w:r>
      <w:r>
        <w:rPr>
          <w:color w:val="000000"/>
          <w:spacing w:val="0"/>
          <w:w w:val="100"/>
          <w:position w:val="0"/>
          <w:sz w:val="20"/>
          <w:szCs w:val="20"/>
        </w:rPr>
        <w:t>澄迈县促进高新技术产业发展的八条政策措施</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年修订</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的通知》、上海紫竹高新 技术产业开发区管理委员会下发的《上海紫竹高新技术产业开发区管委会项目管理办法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试行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》、成都市 武侯区人民政府浆洗街街道办事处下发的地方性扶持政策，公司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年度收到高新技术产业发展扶持奖励 </w:t>
      </w:r>
      <w:r>
        <w:rPr>
          <w:rFonts w:ascii="Times New Roman" w:eastAsia="Times New Roman" w:hAnsi="Times New Roman" w:cs="Times New Roman"/>
          <w:color w:val="000000"/>
          <w:spacing w:val="0"/>
          <w:w w:val="100"/>
          <w:position w:val="0"/>
          <w:sz w:val="20"/>
          <w:szCs w:val="20"/>
        </w:rPr>
        <w:t>350,000.00</w:t>
      </w:r>
      <w:r>
        <w:rPr>
          <w:color w:val="000000"/>
          <w:spacing w:val="0"/>
          <w:w w:val="100"/>
          <w:position w:val="0"/>
          <w:sz w:val="20"/>
          <w:szCs w:val="20"/>
        </w:rPr>
        <w:t>元、扶持资金</w:t>
      </w:r>
      <w:r>
        <w:rPr>
          <w:rFonts w:ascii="Times New Roman" w:eastAsia="Times New Roman" w:hAnsi="Times New Roman" w:cs="Times New Roman"/>
          <w:color w:val="000000"/>
          <w:spacing w:val="0"/>
          <w:w w:val="100"/>
          <w:position w:val="0"/>
          <w:sz w:val="20"/>
          <w:szCs w:val="20"/>
        </w:rPr>
        <w:t>210,000.00</w:t>
      </w:r>
      <w:r>
        <w:rPr>
          <w:color w:val="000000"/>
          <w:spacing w:val="0"/>
          <w:w w:val="100"/>
          <w:position w:val="0"/>
          <w:sz w:val="20"/>
          <w:szCs w:val="20"/>
        </w:rPr>
        <w:t>元、企业扶持经费</w:t>
      </w:r>
      <w:r>
        <w:rPr>
          <w:rFonts w:ascii="Times New Roman" w:eastAsia="Times New Roman" w:hAnsi="Times New Roman" w:cs="Times New Roman"/>
          <w:color w:val="000000"/>
          <w:spacing w:val="0"/>
          <w:w w:val="100"/>
          <w:position w:val="0"/>
          <w:sz w:val="20"/>
          <w:szCs w:val="20"/>
        </w:rPr>
        <w:t>147,000.00</w:t>
      </w:r>
      <w:r>
        <w:rPr>
          <w:color w:val="000000"/>
          <w:spacing w:val="0"/>
          <w:w w:val="100"/>
          <w:position w:val="0"/>
          <w:sz w:val="20"/>
          <w:szCs w:val="20"/>
        </w:rPr>
        <w:t>元，系与收益相关的政府补助，且与公司 日常经营活动无关，己全额计入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年营业外收入。</w:t>
      </w:r>
    </w:p>
    <w:p>
      <w:pPr>
        <w:pStyle w:val="Style41"/>
        <w:keepNext w:val="0"/>
        <w:keepLines w:val="0"/>
        <w:widowControl w:val="0"/>
        <w:shd w:val="clear" w:color="auto" w:fill="auto"/>
        <w:tabs>
          <w:tab w:pos="761" w:val="left"/>
        </w:tabs>
        <w:bidi w:val="0"/>
        <w:spacing w:before="0" w:after="0" w:line="314" w:lineRule="exact"/>
        <w:ind w:left="0" w:right="0" w:firstLine="440"/>
        <w:jc w:val="both"/>
        <w:rPr>
          <w:sz w:val="20"/>
          <w:szCs w:val="20"/>
        </w:rPr>
      </w:pPr>
      <w:bookmarkStart w:id="1754" w:name="bookmark1754"/>
      <w:r>
        <w:rPr>
          <w:rFonts w:ascii="Times New Roman" w:eastAsia="Times New Roman" w:hAnsi="Times New Roman" w:cs="Times New Roman"/>
          <w:color w:val="000000"/>
          <w:spacing w:val="0"/>
          <w:w w:val="100"/>
          <w:position w:val="0"/>
          <w:sz w:val="20"/>
          <w:szCs w:val="20"/>
        </w:rPr>
        <w:t>5</w:t>
      </w:r>
      <w:bookmarkEnd w:id="1754"/>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根据成都市就业服务管理局、上海市闵行区就业促进中心、北京市人力资源与社会保障局、人力资 源社会保障部等下发的人社部发</w:t>
      </w:r>
      <w:r>
        <w:rPr>
          <w:rFonts w:ascii="Times New Roman" w:eastAsia="Times New Roman" w:hAnsi="Times New Roman" w:cs="Times New Roman"/>
          <w:color w:val="000000"/>
          <w:spacing w:val="0"/>
          <w:w w:val="100"/>
          <w:position w:val="0"/>
          <w:sz w:val="20"/>
          <w:szCs w:val="20"/>
        </w:rPr>
        <w:t>[2021]23</w:t>
      </w:r>
      <w:r>
        <w:rPr>
          <w:color w:val="000000"/>
          <w:spacing w:val="0"/>
          <w:w w:val="100"/>
          <w:position w:val="0"/>
          <w:sz w:val="20"/>
          <w:szCs w:val="20"/>
        </w:rPr>
        <w:t>号《关于延续实施失业保险稳岗返还政策的通知》，公司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 度收到稳岗补贴</w:t>
      </w:r>
      <w:r>
        <w:rPr>
          <w:rFonts w:ascii="Times New Roman" w:eastAsia="Times New Roman" w:hAnsi="Times New Roman" w:cs="Times New Roman"/>
          <w:color w:val="000000"/>
          <w:spacing w:val="0"/>
          <w:w w:val="100"/>
          <w:position w:val="0"/>
          <w:sz w:val="20"/>
          <w:szCs w:val="20"/>
        </w:rPr>
        <w:t>241,558.16</w:t>
      </w:r>
      <w:r>
        <w:rPr>
          <w:color w:val="000000"/>
          <w:spacing w:val="0"/>
          <w:w w:val="100"/>
          <w:position w:val="0"/>
          <w:sz w:val="20"/>
          <w:szCs w:val="20"/>
        </w:rPr>
        <w:t>元，系与收益相关的政府补助，且与公司日常经营活动无关，己全额计入</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年营业外收入。</w:t>
      </w:r>
    </w:p>
    <w:p>
      <w:pPr>
        <w:pStyle w:val="Style41"/>
        <w:keepNext w:val="0"/>
        <w:keepLines w:val="0"/>
        <w:widowControl w:val="0"/>
        <w:shd w:val="clear" w:color="auto" w:fill="auto"/>
        <w:tabs>
          <w:tab w:pos="766" w:val="left"/>
        </w:tabs>
        <w:bidi w:val="0"/>
        <w:spacing w:before="0" w:after="0" w:line="314" w:lineRule="exact"/>
        <w:ind w:left="0" w:right="0" w:firstLine="440"/>
        <w:jc w:val="both"/>
        <w:rPr>
          <w:sz w:val="20"/>
          <w:szCs w:val="20"/>
        </w:rPr>
      </w:pPr>
      <w:bookmarkStart w:id="1755" w:name="bookmark1755"/>
      <w:r>
        <w:rPr>
          <w:rFonts w:ascii="Times New Roman" w:eastAsia="Times New Roman" w:hAnsi="Times New Roman" w:cs="Times New Roman"/>
          <w:color w:val="000000"/>
          <w:spacing w:val="0"/>
          <w:w w:val="100"/>
          <w:position w:val="0"/>
          <w:sz w:val="20"/>
          <w:szCs w:val="20"/>
        </w:rPr>
        <w:t>6</w:t>
      </w:r>
      <w:bookmarkEnd w:id="1755"/>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根据上海市徐汇区下发的《徐汇区贴息贴费专项资金管理办法》，公司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年度收到财政贴息款 </w:t>
      </w:r>
      <w:r>
        <w:rPr>
          <w:rFonts w:ascii="Times New Roman" w:eastAsia="Times New Roman" w:hAnsi="Times New Roman" w:cs="Times New Roman"/>
          <w:color w:val="000000"/>
          <w:spacing w:val="0"/>
          <w:w w:val="100"/>
          <w:position w:val="0"/>
          <w:sz w:val="20"/>
          <w:szCs w:val="20"/>
        </w:rPr>
        <w:t>219,300.00</w:t>
      </w:r>
      <w:r>
        <w:rPr>
          <w:color w:val="000000"/>
          <w:spacing w:val="0"/>
          <w:w w:val="100"/>
          <w:position w:val="0"/>
          <w:sz w:val="20"/>
          <w:szCs w:val="20"/>
        </w:rPr>
        <w:t>元，系与收益相关的政府补助，且与公司日常经营活动无关，已全额冲减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年财务费用。</w:t>
      </w:r>
    </w:p>
    <w:p>
      <w:pPr>
        <w:pStyle w:val="Style41"/>
        <w:keepNext w:val="0"/>
        <w:keepLines w:val="0"/>
        <w:widowControl w:val="0"/>
        <w:shd w:val="clear" w:color="auto" w:fill="auto"/>
        <w:tabs>
          <w:tab w:pos="747" w:val="left"/>
        </w:tabs>
        <w:bidi w:val="0"/>
        <w:spacing w:before="0" w:after="0" w:line="314" w:lineRule="exact"/>
        <w:ind w:left="0" w:right="0" w:firstLine="440"/>
        <w:jc w:val="both"/>
        <w:rPr>
          <w:sz w:val="20"/>
          <w:szCs w:val="20"/>
        </w:rPr>
      </w:pPr>
      <w:bookmarkStart w:id="1756" w:name="bookmark1756"/>
      <w:r>
        <w:rPr>
          <w:rFonts w:ascii="Times New Roman" w:eastAsia="Times New Roman" w:hAnsi="Times New Roman" w:cs="Times New Roman"/>
          <w:color w:val="000000"/>
          <w:spacing w:val="0"/>
          <w:w w:val="100"/>
          <w:position w:val="0"/>
          <w:sz w:val="20"/>
          <w:szCs w:val="20"/>
        </w:rPr>
        <w:t>7</w:t>
      </w:r>
      <w:bookmarkEnd w:id="175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根据上海市静安区投资服务办公室下发的静投办拨字</w:t>
      </w:r>
      <w:r>
        <w:rPr>
          <w:rFonts w:ascii="Times New Roman" w:eastAsia="Times New Roman" w:hAnsi="Times New Roman" w:cs="Times New Roman"/>
          <w:color w:val="000000"/>
          <w:spacing w:val="0"/>
          <w:w w:val="100"/>
          <w:position w:val="0"/>
          <w:sz w:val="20"/>
          <w:szCs w:val="20"/>
        </w:rPr>
        <w:t>（2014）08</w:t>
      </w:r>
      <w:r>
        <w:rPr>
          <w:color w:val="000000"/>
          <w:spacing w:val="0"/>
          <w:w w:val="100"/>
          <w:position w:val="0"/>
          <w:sz w:val="20"/>
          <w:szCs w:val="20"/>
        </w:rPr>
        <w:t>号文件，公司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年度收到财政补贴 </w:t>
      </w:r>
      <w:r>
        <w:rPr>
          <w:rFonts w:ascii="Times New Roman" w:eastAsia="Times New Roman" w:hAnsi="Times New Roman" w:cs="Times New Roman"/>
          <w:color w:val="000000"/>
          <w:spacing w:val="0"/>
          <w:w w:val="100"/>
          <w:position w:val="0"/>
          <w:sz w:val="20"/>
          <w:szCs w:val="20"/>
        </w:rPr>
        <w:t>100,000.00</w:t>
      </w:r>
      <w:r>
        <w:rPr>
          <w:color w:val="000000"/>
          <w:spacing w:val="0"/>
          <w:w w:val="100"/>
          <w:position w:val="0"/>
          <w:sz w:val="20"/>
          <w:szCs w:val="20"/>
        </w:rPr>
        <w:t>元，系与收益相关的政府补助，且与公司日常经营活动无关，己全额计入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年度营业外收入。</w:t>
      </w:r>
    </w:p>
    <w:p>
      <w:pPr>
        <w:pStyle w:val="Style41"/>
        <w:keepNext w:val="0"/>
        <w:keepLines w:val="0"/>
        <w:widowControl w:val="0"/>
        <w:shd w:val="clear" w:color="auto" w:fill="auto"/>
        <w:tabs>
          <w:tab w:pos="766" w:val="left"/>
        </w:tabs>
        <w:bidi w:val="0"/>
        <w:spacing w:before="0" w:after="0" w:line="314" w:lineRule="exact"/>
        <w:ind w:left="0" w:right="0" w:firstLine="440"/>
        <w:jc w:val="both"/>
        <w:rPr>
          <w:sz w:val="20"/>
          <w:szCs w:val="20"/>
        </w:rPr>
      </w:pPr>
      <w:bookmarkStart w:id="1757" w:name="bookmark1757"/>
      <w:r>
        <w:rPr>
          <w:rFonts w:ascii="Times New Roman" w:eastAsia="Times New Roman" w:hAnsi="Times New Roman" w:cs="Times New Roman"/>
          <w:color w:val="000000"/>
          <w:spacing w:val="0"/>
          <w:w w:val="100"/>
          <w:position w:val="0"/>
          <w:sz w:val="20"/>
          <w:szCs w:val="20"/>
        </w:rPr>
        <w:t>8</w:t>
      </w:r>
      <w:bookmarkEnd w:id="175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根据上海紫竹高新技术产业开发区管理委员会下发的相关政策，公司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年度收到高新技术企业补 贴</w:t>
      </w:r>
      <w:r>
        <w:rPr>
          <w:rFonts w:ascii="Times New Roman" w:eastAsia="Times New Roman" w:hAnsi="Times New Roman" w:cs="Times New Roman"/>
          <w:color w:val="000000"/>
          <w:spacing w:val="0"/>
          <w:w w:val="100"/>
          <w:position w:val="0"/>
          <w:sz w:val="20"/>
          <w:szCs w:val="20"/>
        </w:rPr>
        <w:t>100,000.00</w:t>
      </w:r>
      <w:r>
        <w:rPr>
          <w:color w:val="000000"/>
          <w:spacing w:val="0"/>
          <w:w w:val="100"/>
          <w:position w:val="0"/>
          <w:sz w:val="20"/>
          <w:szCs w:val="20"/>
        </w:rPr>
        <w:t>元，系与收益相关的政府补助，且与公司日常经营活动无关，己全额计入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年营业外收入。</w:t>
      </w:r>
    </w:p>
    <w:p>
      <w:pPr>
        <w:pStyle w:val="Style41"/>
        <w:keepNext w:val="0"/>
        <w:keepLines w:val="0"/>
        <w:widowControl w:val="0"/>
        <w:shd w:val="clear" w:color="auto" w:fill="auto"/>
        <w:tabs>
          <w:tab w:pos="747" w:val="left"/>
        </w:tabs>
        <w:bidi w:val="0"/>
        <w:spacing w:before="0" w:after="0" w:line="314" w:lineRule="exact"/>
        <w:ind w:left="0" w:right="0" w:firstLine="440"/>
        <w:jc w:val="both"/>
        <w:rPr>
          <w:sz w:val="20"/>
          <w:szCs w:val="20"/>
        </w:rPr>
      </w:pPr>
      <w:bookmarkStart w:id="1758" w:name="bookmark1758"/>
      <w:r>
        <w:rPr>
          <w:rFonts w:ascii="Times New Roman" w:eastAsia="Times New Roman" w:hAnsi="Times New Roman" w:cs="Times New Roman"/>
          <w:color w:val="000000"/>
          <w:spacing w:val="0"/>
          <w:w w:val="100"/>
          <w:position w:val="0"/>
          <w:sz w:val="20"/>
          <w:szCs w:val="20"/>
        </w:rPr>
        <w:t>9</w:t>
      </w:r>
      <w:bookmarkEnd w:id="175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根据南京高淳经济开发区管理委员会下发的相关政策，公司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年度收到科技发展计划和科技经费 </w:t>
      </w:r>
      <w:r>
        <w:rPr>
          <w:rFonts w:ascii="Times New Roman" w:eastAsia="Times New Roman" w:hAnsi="Times New Roman" w:cs="Times New Roman"/>
          <w:color w:val="000000"/>
          <w:spacing w:val="0"/>
          <w:w w:val="100"/>
          <w:position w:val="0"/>
          <w:sz w:val="20"/>
          <w:szCs w:val="20"/>
        </w:rPr>
        <w:t>100,000.00</w:t>
      </w:r>
      <w:r>
        <w:rPr>
          <w:color w:val="000000"/>
          <w:spacing w:val="0"/>
          <w:w w:val="100"/>
          <w:position w:val="0"/>
          <w:sz w:val="20"/>
          <w:szCs w:val="20"/>
        </w:rPr>
        <w:t>元，系与收益相关的政府补助，且与公司日常经营无关，己全额计入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年营业外收入。</w:t>
      </w:r>
    </w:p>
    <w:p>
      <w:pPr>
        <w:pStyle w:val="Style41"/>
        <w:keepNext w:val="0"/>
        <w:keepLines w:val="0"/>
        <w:widowControl w:val="0"/>
        <w:numPr>
          <w:ilvl w:val="0"/>
          <w:numId w:val="145"/>
        </w:numPr>
        <w:shd w:val="clear" w:color="auto" w:fill="auto"/>
        <w:bidi w:val="0"/>
        <w:spacing w:before="0" w:after="0" w:line="314" w:lineRule="exact"/>
        <w:ind w:left="0" w:right="0" w:firstLine="180"/>
        <w:jc w:val="both"/>
        <w:rPr>
          <w:sz w:val="20"/>
          <w:szCs w:val="20"/>
        </w:rPr>
      </w:pPr>
      <w:bookmarkStart w:id="1759" w:name="bookmark1759"/>
      <w:bookmarkEnd w:id="1759"/>
      <w:r>
        <w:rPr>
          <w:color w:val="000000"/>
          <w:spacing w:val="0"/>
          <w:w w:val="100"/>
          <w:position w:val="0"/>
          <w:sz w:val="20"/>
          <w:szCs w:val="20"/>
        </w:rPr>
        <w:t>本期退回的政府补助相关说明</w:t>
      </w:r>
    </w:p>
    <w:p>
      <w:pPr>
        <w:pStyle w:val="Style41"/>
        <w:keepNext w:val="0"/>
        <w:keepLines w:val="0"/>
        <w:widowControl w:val="0"/>
        <w:shd w:val="clear" w:color="auto" w:fill="auto"/>
        <w:bidi w:val="0"/>
        <w:spacing w:before="0" w:after="980" w:line="314" w:lineRule="exact"/>
        <w:ind w:left="0" w:right="0" w:firstLine="360"/>
        <w:jc w:val="left"/>
        <w:rPr>
          <w:sz w:val="20"/>
          <w:szCs w:val="20"/>
        </w:rPr>
      </w:pPr>
      <w:r>
        <w:rPr>
          <w:color w:val="000000"/>
          <w:spacing w:val="0"/>
          <w:w w:val="100"/>
          <w:position w:val="0"/>
          <w:sz w:val="20"/>
          <w:szCs w:val="20"/>
        </w:rPr>
        <w:t>因符合《徐汇区现代服务业专项资金管理办法》的认定，公司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面向汽车零售的互联网融资租赁平台</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项目通过前期考核和评审，成为徐汇区专项资金受扶项目，于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年度收到专项扶持资金</w:t>
      </w:r>
      <w:r>
        <w:rPr>
          <w:rFonts w:ascii="Times New Roman" w:eastAsia="Times New Roman" w:hAnsi="Times New Roman" w:cs="Times New Roman"/>
          <w:color w:val="000000"/>
          <w:spacing w:val="0"/>
          <w:w w:val="100"/>
          <w:position w:val="0"/>
          <w:sz w:val="20"/>
          <w:szCs w:val="20"/>
        </w:rPr>
        <w:t>600,000.00</w:t>
      </w:r>
      <w:r>
        <w:rPr>
          <w:color w:val="000000"/>
          <w:spacing w:val="0"/>
          <w:w w:val="100"/>
          <w:position w:val="0"/>
          <w:sz w:val="20"/>
          <w:szCs w:val="20"/>
        </w:rPr>
        <w:t>元， 系与收益相关的政府补助，且与公司日常经营活动无关，己全额计入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年递延收益。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年因该项目验 收过程中发现项目硬件投入未能达到计划要求的</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，公司已将该专项扶持款返还至上海市徐汇区财政 局。</w:t>
      </w:r>
    </w:p>
    <w:p>
      <w:pPr>
        <w:pStyle w:val="Style41"/>
        <w:keepNext w:val="0"/>
        <w:keepLines w:val="0"/>
        <w:widowControl w:val="0"/>
        <w:shd w:val="clear" w:color="auto" w:fill="auto"/>
        <w:bidi w:val="0"/>
        <w:spacing w:before="0" w:after="340" w:line="240" w:lineRule="auto"/>
        <w:ind w:left="0" w:right="0" w:firstLine="0"/>
        <w:jc w:val="left"/>
        <w:rPr>
          <w:sz w:val="20"/>
          <w:szCs w:val="20"/>
        </w:rPr>
      </w:pPr>
      <w:bookmarkStart w:id="1760" w:name="bookmark1760"/>
      <w:r>
        <w:rPr>
          <w:rFonts w:ascii="Times New Roman" w:eastAsia="Times New Roman" w:hAnsi="Times New Roman" w:cs="Times New Roman"/>
          <w:b/>
          <w:bCs/>
          <w:color w:val="000000"/>
          <w:spacing w:val="0"/>
          <w:w w:val="100"/>
          <w:position w:val="0"/>
          <w:sz w:val="20"/>
          <w:szCs w:val="20"/>
        </w:rPr>
        <w:t>8</w:t>
      </w:r>
      <w:bookmarkEnd w:id="176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、其他</w:t>
      </w:r>
    </w:p>
    <w:p>
      <w:pPr>
        <w:pStyle w:val="Style27"/>
        <w:keepNext/>
        <w:keepLines/>
        <w:widowControl w:val="0"/>
        <w:shd w:val="clear" w:color="auto" w:fill="auto"/>
        <w:bidi w:val="0"/>
        <w:spacing w:before="0" w:after="34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sz w:val="24"/>
          <w:szCs w:val="24"/>
        </w:rPr>
        <w:t>八</w:t>
      </w:r>
      <w:bookmarkEnd w:id="1763"/>
      <w:r>
        <w:rPr>
          <w:color w:val="000000"/>
          <w:spacing w:val="0"/>
          <w:w w:val="100"/>
          <w:position w:val="0"/>
          <w:sz w:val="24"/>
          <w:szCs w:val="24"/>
        </w:rPr>
        <w:t>、合并范围的变更</w:t>
      </w:r>
      <w:bookmarkEnd w:id="1761"/>
      <w:bookmarkEnd w:id="1762"/>
      <w:bookmarkEnd w:id="1764"/>
    </w:p>
    <w:p>
      <w:pPr>
        <w:pStyle w:val="Style32"/>
        <w:keepNext/>
        <w:keepLines/>
        <w:widowControl w:val="0"/>
        <w:shd w:val="clear" w:color="auto" w:fill="auto"/>
        <w:bidi w:val="0"/>
        <w:spacing w:before="0" w:after="40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65"/>
      <w:bookmarkEnd w:id="1766"/>
      <w:bookmarkEnd w:id="1767"/>
    </w:p>
    <w:p>
      <w:pPr>
        <w:pStyle w:val="Style32"/>
        <w:keepNext/>
        <w:keepLines/>
        <w:widowControl w:val="0"/>
        <w:shd w:val="clear" w:color="auto" w:fill="auto"/>
        <w:bidi w:val="0"/>
        <w:spacing w:before="0" w:after="400" w:line="240" w:lineRule="auto"/>
        <w:ind w:left="0" w:right="0" w:firstLine="0"/>
        <w:jc w:val="left"/>
      </w:pPr>
      <w:bookmarkStart w:id="1765" w:name="bookmark1765"/>
      <w:bookmarkStart w:id="1766" w:name="bookmark1766"/>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65"/>
      <w:bookmarkEnd w:id="1766"/>
      <w:bookmarkEnd w:id="17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本期未发生非同一控制下企业合并情况。</w:t>
      </w:r>
      <w:r>
        <w:br w:type="page"/>
      </w:r>
    </w:p>
    <w:p>
      <w:pPr>
        <w:pStyle w:val="Style32"/>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69"/>
      <w:bookmarkEnd w:id="1770"/>
      <w:bookmarkEnd w:id="177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147"/>
        </w:numPr>
        <w:shd w:val="clear" w:color="auto" w:fill="auto"/>
        <w:bidi w:val="0"/>
        <w:spacing w:before="0" w:after="38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被购买方于购买日可辨认资产、负债</w:t>
      </w:r>
      <w:bookmarkEnd w:id="1772"/>
      <w:bookmarkEnd w:id="1773"/>
      <w:bookmarkEnd w:id="17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1776" w:name="bookmark1776"/>
      <w:r>
        <w:rPr>
          <w:b/>
          <w:bCs/>
          <w:color w:val="000000"/>
          <w:spacing w:val="0"/>
          <w:w w:val="100"/>
          <w:position w:val="0"/>
          <w:sz w:val="20"/>
          <w:szCs w:val="20"/>
        </w:rPr>
        <w:t>（</w:t>
      </w:r>
      <w:bookmarkEnd w:id="177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购买日之前持有的股权按照公允价值重新计量产生的利得或损失</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1"/>
        <w:keepNext w:val="0"/>
        <w:keepLines w:val="0"/>
        <w:widowControl w:val="0"/>
        <w:shd w:val="clear" w:color="auto" w:fill="auto"/>
        <w:bidi w:val="0"/>
        <w:spacing w:before="0" w:after="380" w:line="240" w:lineRule="auto"/>
        <w:ind w:left="0" w:right="0" w:firstLine="0"/>
        <w:jc w:val="left"/>
        <w:rPr>
          <w:sz w:val="20"/>
          <w:szCs w:val="20"/>
        </w:rPr>
      </w:pPr>
      <w:bookmarkStart w:id="1777" w:name="bookmark1777"/>
      <w:r>
        <w:rPr>
          <w:b/>
          <w:bCs/>
          <w:color w:val="000000"/>
          <w:spacing w:val="0"/>
          <w:w w:val="100"/>
          <w:position w:val="0"/>
          <w:sz w:val="20"/>
          <w:szCs w:val="20"/>
        </w:rPr>
        <w:t>（</w:t>
      </w:r>
      <w:bookmarkEnd w:id="1777"/>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 购买日或合并当期期末无法合理确定合并对价或被购买方可辨认资产、负债公允价值的相关说明</w:t>
      </w:r>
    </w:p>
    <w:p>
      <w:pPr>
        <w:pStyle w:val="Style41"/>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1778" w:name="bookmark1778"/>
      <w:r>
        <w:rPr>
          <w:b/>
          <w:bCs/>
          <w:color w:val="000000"/>
          <w:spacing w:val="0"/>
          <w:w w:val="100"/>
          <w:position w:val="0"/>
          <w:sz w:val="20"/>
          <w:szCs w:val="20"/>
        </w:rPr>
        <w:t>（</w:t>
      </w:r>
      <w:bookmarkEnd w:id="1778"/>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其他说明</w:t>
      </w:r>
    </w:p>
    <w:p>
      <w:pPr>
        <w:pStyle w:val="Style41"/>
        <w:keepNext w:val="0"/>
        <w:keepLines w:val="0"/>
        <w:widowControl w:val="0"/>
        <w:shd w:val="clear" w:color="auto" w:fill="auto"/>
        <w:bidi w:val="0"/>
        <w:spacing w:before="0" w:after="380" w:line="240" w:lineRule="auto"/>
        <w:ind w:left="0" w:right="0" w:firstLine="0"/>
        <w:jc w:val="left"/>
        <w:rPr>
          <w:sz w:val="20"/>
          <w:szCs w:val="20"/>
        </w:rPr>
      </w:pPr>
      <w:bookmarkStart w:id="1779" w:name="bookmark1779"/>
      <w:r>
        <w:rPr>
          <w:rFonts w:ascii="Times New Roman" w:eastAsia="Times New Roman" w:hAnsi="Times New Roman" w:cs="Times New Roman"/>
          <w:b/>
          <w:bCs/>
          <w:color w:val="000000"/>
          <w:spacing w:val="0"/>
          <w:w w:val="100"/>
          <w:position w:val="0"/>
          <w:sz w:val="20"/>
          <w:szCs w:val="20"/>
        </w:rPr>
        <w:t>2</w:t>
      </w:r>
      <w:bookmarkEnd w:id="1779"/>
      <w:r>
        <w:rPr>
          <w:b/>
          <w:bCs/>
          <w:color w:val="000000"/>
          <w:spacing w:val="0"/>
          <w:w w:val="100"/>
          <w:position w:val="0"/>
          <w:sz w:val="20"/>
          <w:szCs w:val="20"/>
        </w:rPr>
        <w:t>、同一控制下企业合并</w:t>
      </w:r>
    </w:p>
    <w:p>
      <w:pPr>
        <w:pStyle w:val="Style41"/>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）本期发生的同一控制下企业合并</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80" w:line="240" w:lineRule="auto"/>
        <w:ind w:left="0" w:right="0" w:firstLine="440"/>
        <w:jc w:val="left"/>
        <w:rPr>
          <w:sz w:val="20"/>
          <w:szCs w:val="20"/>
        </w:rPr>
      </w:pPr>
      <w:r>
        <w:rPr>
          <w:color w:val="000000"/>
          <w:spacing w:val="0"/>
          <w:w w:val="100"/>
          <w:position w:val="0"/>
          <w:sz w:val="20"/>
          <w:szCs w:val="20"/>
        </w:rPr>
        <w:t>本期未发生同一控制下企业合并情况。</w:t>
      </w:r>
    </w:p>
    <w:p>
      <w:pPr>
        <w:pStyle w:val="Style41"/>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）合并成本</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32"/>
        <w:keepNext/>
        <w:keepLines/>
        <w:widowControl w:val="0"/>
        <w:numPr>
          <w:ilvl w:val="0"/>
          <w:numId w:val="149"/>
        </w:numPr>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合并日被合并方资产、负债的账面价值</w:t>
      </w:r>
      <w:bookmarkEnd w:id="1780"/>
      <w:bookmarkEnd w:id="1781"/>
      <w:bookmarkEnd w:id="17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企业合并中承担的被合并方的或有负债:</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6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color w:val="000000"/>
          <w:spacing w:val="0"/>
          <w:w w:val="100"/>
          <w:position w:val="0"/>
        </w:rPr>
        <w:t>、反向购买</w:t>
      </w:r>
      <w:bookmarkEnd w:id="1784"/>
      <w:bookmarkEnd w:id="1785"/>
      <w:bookmarkEnd w:id="1787"/>
    </w:p>
    <w:p>
      <w:pPr>
        <w:pStyle w:val="Style2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41"/>
        <w:keepNext w:val="0"/>
        <w:keepLines w:val="0"/>
        <w:widowControl w:val="0"/>
        <w:shd w:val="clear" w:color="auto" w:fill="auto"/>
        <w:bidi w:val="0"/>
        <w:spacing w:before="0" w:after="680" w:line="240" w:lineRule="auto"/>
        <w:ind w:left="0" w:right="0" w:firstLine="440"/>
        <w:jc w:val="left"/>
        <w:rPr>
          <w:sz w:val="20"/>
          <w:szCs w:val="20"/>
        </w:rPr>
      </w:pPr>
      <w:r>
        <w:rPr>
          <w:color w:val="000000"/>
          <w:spacing w:val="0"/>
          <w:w w:val="100"/>
          <w:position w:val="0"/>
          <w:sz w:val="20"/>
          <w:szCs w:val="20"/>
        </w:rPr>
        <w:t>本期未发生反向购买情况。</w:t>
      </w:r>
    </w:p>
    <w:p>
      <w:pPr>
        <w:pStyle w:val="Style32"/>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4</w:t>
      </w:r>
      <w:bookmarkEnd w:id="1790"/>
      <w:r>
        <w:rPr>
          <w:color w:val="000000"/>
          <w:spacing w:val="0"/>
          <w:w w:val="100"/>
          <w:position w:val="0"/>
        </w:rPr>
        <w:t>、处置子公司</w:t>
      </w:r>
      <w:bookmarkEnd w:id="1788"/>
      <w:bookmarkEnd w:id="1789"/>
      <w:bookmarkEnd w:id="1791"/>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666"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制权的 时点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丧失控 制权时 点的确 定依据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处置价</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款与处</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置投资</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对应的 合并财</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股权的 账面价</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股权的 公允价</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按照公 允价值 重新计 量剩余 股权产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股权公 允价值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与原子</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权投资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tc>
      </w:tr>
    </w:tbl>
    <w:p>
      <w:pPr>
        <w:widowControl w:val="0"/>
        <w:spacing w:line="1" w:lineRule="exact"/>
      </w:pP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务报表 层面享 有该子 公司净 资产份</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生的利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得或损</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失</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的确定 方法及 主要假 设</w:t>
            </w:r>
          </w:p>
        </w:tc>
        <w:tc>
          <w:tcPr>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合收益 转入投 资损益 的金额</w:t>
            </w:r>
          </w:p>
        </w:tc>
      </w:tr>
      <w:tr>
        <w:trPr>
          <w:trHeight w:val="134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成都市 约莫科 技有限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出售股 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41"/>
        <w:keepNext w:val="0"/>
        <w:keepLines w:val="0"/>
        <w:widowControl w:val="0"/>
        <w:shd w:val="clear" w:color="auto" w:fill="auto"/>
        <w:bidi w:val="0"/>
        <w:spacing w:before="0" w:after="6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根据深圳市快读科技有限公司与谢川、王正兵于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日签订的《成都市约莫科技有限公司 股权转让协议书》，并经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日成都市约莫科技有限公司股东会审议批准，同意深圳市快读科技有 限公司将所持有的成都市约莫科技有限公司</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股权以</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元转让给谢川、王正兵，股权转让基准日为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月起，不再将其纳入合并财务报表范围。</w:t>
      </w:r>
    </w:p>
    <w:p>
      <w:pPr>
        <w:pStyle w:val="Style23"/>
        <w:keepNext w:val="0"/>
        <w:keepLines w:val="0"/>
        <w:widowControl w:val="0"/>
        <w:shd w:val="clear" w:color="auto" w:fill="auto"/>
        <w:bidi w:val="0"/>
        <w:spacing w:before="0" w:after="400" w:line="346" w:lineRule="exact"/>
        <w:ind w:left="0" w:right="0" w:firstLine="0"/>
        <w:jc w:val="both"/>
      </w:pPr>
      <w:r>
        <w:rPr>
          <w:color w:val="000000"/>
          <w:spacing w:val="0"/>
          <w:w w:val="100"/>
          <w:position w:val="0"/>
        </w:rPr>
        <w:t xml:space="preserve">是否存在通过多次交易分步处置对子公司投资且在本期丧失控制权的情形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160" w:line="329" w:lineRule="auto"/>
        <w:ind w:left="0" w:right="0" w:firstLine="0"/>
        <w:jc w:val="both"/>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5</w:t>
      </w:r>
      <w:bookmarkEnd w:id="1794"/>
      <w:r>
        <w:rPr>
          <w:color w:val="000000"/>
          <w:spacing w:val="0"/>
          <w:w w:val="100"/>
          <w:position w:val="0"/>
        </w:rPr>
        <w:t>、其他原因的合并范围变动</w:t>
      </w:r>
      <w:bookmarkEnd w:id="1792"/>
      <w:bookmarkEnd w:id="1793"/>
      <w:bookmarkEnd w:id="1795"/>
    </w:p>
    <w:p>
      <w:pPr>
        <w:pStyle w:val="Style23"/>
        <w:keepNext w:val="0"/>
        <w:keepLines w:val="0"/>
        <w:widowControl w:val="0"/>
        <w:shd w:val="clear" w:color="auto" w:fill="auto"/>
        <w:bidi w:val="0"/>
        <w:spacing w:before="0" w:after="60" w:line="346" w:lineRule="exact"/>
        <w:ind w:left="0" w:right="0" w:firstLine="0"/>
        <w:jc w:val="both"/>
      </w:pPr>
      <w:r>
        <w:rPr>
          <w:color w:val="000000"/>
          <w:spacing w:val="0"/>
          <w:w w:val="100"/>
          <w:position w:val="0"/>
        </w:rPr>
        <w:t>说明其他原因导致的合并范围变动(如，新设子公司、清算子公司等)及其相关情况：</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.以直接设立或投资等方式增加的子公司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指通过新设、派生分立等非合并收购方式增加的子公司</w:t>
      </w:r>
      <w:r>
        <w:rPr>
          <w:color w:val="000000"/>
          <w:spacing w:val="0"/>
          <w:w w:val="100"/>
          <w:position w:val="0"/>
          <w:sz w:val="20"/>
          <w:szCs w:val="20"/>
        </w:rPr>
        <w:t>)</w:t>
      </w:r>
    </w:p>
    <w:p>
      <w:pPr>
        <w:pStyle w:val="Style41"/>
        <w:keepNext w:val="0"/>
        <w:keepLines w:val="0"/>
        <w:widowControl w:val="0"/>
        <w:numPr>
          <w:ilvl w:val="0"/>
          <w:numId w:val="151"/>
        </w:numPr>
        <w:shd w:val="clear" w:color="auto" w:fill="auto"/>
        <w:tabs>
          <w:tab w:pos="792" w:val="left"/>
        </w:tabs>
        <w:bidi w:val="0"/>
        <w:spacing w:before="0" w:after="0" w:line="314" w:lineRule="exact"/>
        <w:ind w:left="0" w:right="0" w:firstLine="440"/>
        <w:jc w:val="both"/>
        <w:rPr>
          <w:sz w:val="20"/>
          <w:szCs w:val="20"/>
        </w:rPr>
      </w:pPr>
      <w:bookmarkStart w:id="1796" w:name="bookmark1796"/>
      <w:bookmarkEnd w:id="1796"/>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月，子公司江苏盈达信息技术有限公司出资设立江苏泰达软件技术有限公司。该公司于</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日完成工商设立登记，注册资本为人民币</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sz w:val="20"/>
          <w:szCs w:val="20"/>
        </w:rPr>
        <w:t>万元，全部由子公司江苏盈达信息技术有限公司 出资，拥有对其的控制权，故自该公司成立之日起，将其纳入合并财务报表范围。截止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子公司江苏盈达信息技术有限公司尚未实际出资，江苏泰达软件技术有限公司尚未开展经营活动，期末净 资产为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万元，成立日至期末的净利润为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万元。</w:t>
      </w:r>
    </w:p>
    <w:p>
      <w:pPr>
        <w:pStyle w:val="Style41"/>
        <w:keepNext w:val="0"/>
        <w:keepLines w:val="0"/>
        <w:widowControl w:val="0"/>
        <w:numPr>
          <w:ilvl w:val="0"/>
          <w:numId w:val="151"/>
        </w:numPr>
        <w:shd w:val="clear" w:color="auto" w:fill="auto"/>
        <w:tabs>
          <w:tab w:pos="792" w:val="left"/>
        </w:tabs>
        <w:bidi w:val="0"/>
        <w:spacing w:before="0" w:after="0" w:line="314" w:lineRule="exact"/>
        <w:ind w:left="0" w:right="0" w:firstLine="440"/>
        <w:jc w:val="both"/>
        <w:rPr>
          <w:sz w:val="20"/>
          <w:szCs w:val="20"/>
        </w:rPr>
      </w:pPr>
      <w:bookmarkStart w:id="1797" w:name="bookmark1797"/>
      <w:bookmarkEnd w:id="1797"/>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月，子公司海南坚果创娱信息技术有限公司出资设立内蒙古魔力果信息技术有限公司。该 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日完成工商设立登记，注册资本为人民币</w:t>
      </w:r>
      <w:r>
        <w:rPr>
          <w:rFonts w:ascii="Times New Roman" w:eastAsia="Times New Roman" w:hAnsi="Times New Roman" w:cs="Times New Roman"/>
          <w:color w:val="000000"/>
          <w:spacing w:val="0"/>
          <w:w w:val="100"/>
          <w:position w:val="0"/>
          <w:sz w:val="20"/>
          <w:szCs w:val="20"/>
        </w:rPr>
        <w:t>500.00</w:t>
      </w:r>
      <w:r>
        <w:rPr>
          <w:color w:val="000000"/>
          <w:spacing w:val="0"/>
          <w:w w:val="100"/>
          <w:position w:val="0"/>
          <w:sz w:val="20"/>
          <w:szCs w:val="20"/>
        </w:rPr>
        <w:t>万元，全部由子公司海南坚果创娱信息 技术有限公司出资，拥有对其的控制权，故自该公司成立之日起，将其纳入合并财务报表范围。截止</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日，子公司海南坚果创娱信息技术有限公司尚未实际出资，内蒙古魔力果信息技术有限公司尚未 开展经营活动，期末净资产为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万元，成立日至期末的净利润为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万元。</w:t>
      </w:r>
    </w:p>
    <w:p>
      <w:pPr>
        <w:pStyle w:val="Style41"/>
        <w:keepNext w:val="0"/>
        <w:keepLines w:val="0"/>
        <w:widowControl w:val="0"/>
        <w:numPr>
          <w:ilvl w:val="0"/>
          <w:numId w:val="151"/>
        </w:numPr>
        <w:shd w:val="clear" w:color="auto" w:fill="auto"/>
        <w:tabs>
          <w:tab w:pos="792" w:val="left"/>
        </w:tabs>
        <w:bidi w:val="0"/>
        <w:spacing w:before="0" w:after="0" w:line="314" w:lineRule="exact"/>
        <w:ind w:left="0" w:right="0" w:firstLine="440"/>
        <w:jc w:val="both"/>
        <w:rPr>
          <w:sz w:val="20"/>
          <w:szCs w:val="20"/>
        </w:rPr>
      </w:pPr>
      <w:bookmarkStart w:id="1798" w:name="bookmark1798"/>
      <w:bookmarkEnd w:id="1798"/>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月，高伟达软件股份有限公司出资设立海南高伟达科技有限公司。该公司于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28 </w:t>
      </w:r>
      <w:r>
        <w:rPr>
          <w:color w:val="000000"/>
          <w:spacing w:val="0"/>
          <w:w w:val="100"/>
          <w:position w:val="0"/>
          <w:sz w:val="20"/>
          <w:szCs w:val="20"/>
        </w:rPr>
        <w:t>日完成工商设立登记，注册资本为人民币</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sz w:val="20"/>
          <w:szCs w:val="20"/>
        </w:rPr>
        <w:t>万元，全部由高伟达软件股份有限公司出资，拥有对其 的控制权，故自该公司成立之日起，将其纳入合并财务报表范围。截止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日，高伟达软件股份 有限公司尚未实际出资，海南高伟达科技有限公司尚未开展经营活动，期末净资产为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万元，成立日至 期末的净利润为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万元。</w:t>
      </w:r>
    </w:p>
    <w:p>
      <w:pPr>
        <w:pStyle w:val="Style41"/>
        <w:keepNext w:val="0"/>
        <w:keepLines w:val="0"/>
        <w:widowControl w:val="0"/>
        <w:numPr>
          <w:ilvl w:val="0"/>
          <w:numId w:val="153"/>
        </w:numPr>
        <w:shd w:val="clear" w:color="auto" w:fill="auto"/>
        <w:bidi w:val="0"/>
        <w:spacing w:before="0" w:after="0" w:line="314" w:lineRule="exact"/>
        <w:ind w:left="0" w:right="0" w:firstLine="440"/>
        <w:jc w:val="both"/>
        <w:rPr>
          <w:sz w:val="20"/>
          <w:szCs w:val="20"/>
        </w:rPr>
      </w:pPr>
      <w:bookmarkStart w:id="1799" w:name="bookmark1799"/>
      <w:bookmarkEnd w:id="1799"/>
      <w:r>
        <w:rPr>
          <w:color w:val="000000"/>
          <w:spacing w:val="0"/>
          <w:w w:val="100"/>
          <w:position w:val="0"/>
          <w:sz w:val="20"/>
          <w:szCs w:val="20"/>
        </w:rPr>
        <w:t>因其他原因减少子公司的情况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指因破产、歇业、到期解散等原因而注销减少的子公司</w:t>
      </w:r>
      <w:r>
        <w:rPr>
          <w:color w:val="000000"/>
          <w:spacing w:val="0"/>
          <w:w w:val="100"/>
          <w:position w:val="0"/>
          <w:sz w:val="20"/>
          <w:szCs w:val="20"/>
        </w:rPr>
        <w:t>)</w:t>
      </w:r>
    </w:p>
    <w:p>
      <w:pPr>
        <w:pStyle w:val="Style41"/>
        <w:keepNext w:val="0"/>
        <w:keepLines w:val="0"/>
        <w:widowControl w:val="0"/>
        <w:shd w:val="clear" w:color="auto" w:fill="auto"/>
        <w:bidi w:val="0"/>
        <w:spacing w:before="0" w:after="10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日，公司批准深圳市磐世科技有限公司解散。深圳市磐世科技有限公司已于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日办妥注销手续。故自该公司注销时起，不再将其纳入合并财务报表范围。</w:t>
      </w:r>
    </w:p>
    <w:p>
      <w:pPr>
        <w:pStyle w:val="Style41"/>
        <w:keepNext w:val="0"/>
        <w:keepLines w:val="0"/>
        <w:widowControl w:val="0"/>
        <w:numPr>
          <w:ilvl w:val="0"/>
          <w:numId w:val="155"/>
        </w:numPr>
        <w:shd w:val="clear" w:color="auto" w:fill="auto"/>
        <w:tabs>
          <w:tab w:pos="838" w:val="left"/>
        </w:tabs>
        <w:bidi w:val="0"/>
        <w:spacing w:before="0" w:after="0" w:line="312" w:lineRule="exact"/>
        <w:ind w:left="0" w:right="0" w:firstLine="440"/>
        <w:jc w:val="both"/>
        <w:rPr>
          <w:sz w:val="20"/>
          <w:szCs w:val="20"/>
        </w:rPr>
      </w:pPr>
      <w:bookmarkStart w:id="1800" w:name="bookmark1800"/>
      <w:bookmarkEnd w:id="1800"/>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日内蒙古魔力果信息技术有限公司股东会决议公司解散。内蒙古魔力果信息技术有限 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日办妥注销手续。故自该公司注销时起，不再将其纳入合并财务报表范围。</w:t>
      </w:r>
    </w:p>
    <w:p>
      <w:pPr>
        <w:pStyle w:val="Style41"/>
        <w:keepNext w:val="0"/>
        <w:keepLines w:val="0"/>
        <w:widowControl w:val="0"/>
        <w:numPr>
          <w:ilvl w:val="0"/>
          <w:numId w:val="155"/>
        </w:numPr>
        <w:shd w:val="clear" w:color="auto" w:fill="auto"/>
        <w:tabs>
          <w:tab w:pos="838" w:val="left"/>
        </w:tabs>
        <w:bidi w:val="0"/>
        <w:spacing w:before="0" w:after="0" w:line="312" w:lineRule="exact"/>
        <w:ind w:left="0" w:right="0" w:firstLine="440"/>
        <w:jc w:val="both"/>
        <w:rPr>
          <w:sz w:val="20"/>
          <w:szCs w:val="20"/>
        </w:rPr>
      </w:pPr>
      <w:bookmarkStart w:id="1801" w:name="bookmark1801"/>
      <w:bookmarkEnd w:id="1801"/>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日苏州伟达融创信息技术有限公司股东会决议公司解散。苏州伟达融创信息技术有限公 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日办妥注销手续。故自该公司注销时起，不再将其纳入合并财务报表范围。</w:t>
      </w:r>
    </w:p>
    <w:p>
      <w:pPr>
        <w:pStyle w:val="Style41"/>
        <w:keepNext w:val="0"/>
        <w:keepLines w:val="0"/>
        <w:widowControl w:val="0"/>
        <w:numPr>
          <w:ilvl w:val="0"/>
          <w:numId w:val="153"/>
        </w:numPr>
        <w:shd w:val="clear" w:color="auto" w:fill="auto"/>
        <w:bidi w:val="0"/>
        <w:spacing w:before="0" w:after="660" w:line="312" w:lineRule="exact"/>
        <w:ind w:left="0" w:right="0" w:firstLine="360"/>
        <w:jc w:val="left"/>
        <w:rPr>
          <w:sz w:val="20"/>
          <w:szCs w:val="20"/>
        </w:rPr>
      </w:pPr>
      <w:bookmarkStart w:id="1802" w:name="bookmark1802"/>
      <w:bookmarkEnd w:id="1802"/>
      <w:r>
        <w:rPr>
          <w:color w:val="000000"/>
          <w:spacing w:val="0"/>
          <w:w w:val="100"/>
          <w:position w:val="0"/>
          <w:sz w:val="20"/>
          <w:szCs w:val="20"/>
        </w:rPr>
        <w:t>本期未发生吸收合并的情况。</w:t>
      </w:r>
    </w:p>
    <w:p>
      <w:pPr>
        <w:pStyle w:val="Style32"/>
        <w:keepNext/>
        <w:keepLines/>
        <w:widowControl w:val="0"/>
        <w:shd w:val="clear" w:color="auto" w:fill="auto"/>
        <w:bidi w:val="0"/>
        <w:spacing w:before="0" w:after="34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6</w:t>
      </w:r>
      <w:bookmarkEnd w:id="1805"/>
      <w:r>
        <w:rPr>
          <w:color w:val="000000"/>
          <w:spacing w:val="0"/>
          <w:w w:val="100"/>
          <w:position w:val="0"/>
        </w:rPr>
        <w:t>、其他</w:t>
      </w:r>
      <w:bookmarkEnd w:id="1803"/>
      <w:bookmarkEnd w:id="1804"/>
      <w:bookmarkEnd w:id="1806"/>
    </w:p>
    <w:p>
      <w:pPr>
        <w:pStyle w:val="Style27"/>
        <w:keepNext/>
        <w:keepLines/>
        <w:widowControl w:val="0"/>
        <w:shd w:val="clear" w:color="auto" w:fill="auto"/>
        <w:bidi w:val="0"/>
        <w:spacing w:before="0" w:after="34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sz w:val="24"/>
          <w:szCs w:val="24"/>
        </w:rPr>
        <w:t>九</w:t>
      </w:r>
      <w:bookmarkEnd w:id="1809"/>
      <w:r>
        <w:rPr>
          <w:color w:val="000000"/>
          <w:spacing w:val="0"/>
          <w:w w:val="100"/>
          <w:position w:val="0"/>
          <w:sz w:val="24"/>
          <w:szCs w:val="24"/>
        </w:rPr>
        <w:t>、在其他主体中的权益</w:t>
      </w:r>
      <w:bookmarkEnd w:id="1807"/>
      <w:bookmarkEnd w:id="1808"/>
      <w:bookmarkEnd w:id="1810"/>
    </w:p>
    <w:p>
      <w:pPr>
        <w:pStyle w:val="Style32"/>
        <w:keepNext/>
        <w:keepLines/>
        <w:widowControl w:val="0"/>
        <w:shd w:val="clear" w:color="auto" w:fill="auto"/>
        <w:bidi w:val="0"/>
        <w:spacing w:before="0" w:after="34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1"/>
      <w:bookmarkEnd w:id="1812"/>
      <w:bookmarkEnd w:id="1813"/>
    </w:p>
    <w:p>
      <w:pPr>
        <w:pStyle w:val="Style32"/>
        <w:keepNext/>
        <w:keepLines/>
        <w:widowControl w:val="0"/>
        <w:shd w:val="clear" w:color="auto" w:fill="auto"/>
        <w:bidi w:val="0"/>
        <w:spacing w:before="0" w:after="340" w:line="240" w:lineRule="auto"/>
        <w:ind w:left="0" w:right="0" w:firstLine="0"/>
        <w:jc w:val="left"/>
      </w:pPr>
      <w:bookmarkStart w:id="1811" w:name="bookmark1811"/>
      <w:bookmarkStart w:id="1812" w:name="bookmark1812"/>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11"/>
      <w:bookmarkEnd w:id="1812"/>
      <w:bookmarkEnd w:id="181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江苏高伟达信息 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江苏盈达信息技 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江苏泰达软件技 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上海高伟达计算 机系统工程有限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上海翕振信息技 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北京高伟达钽云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广州高伟达钽云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成都高伟达信息 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高伟达信息科技</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上海睿民互联网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深圳瑞云互联科 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软件与信息服务 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 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上海瑞车信息科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海南坚果创娱信 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海南老城高新技 术区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Nuts Information</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Technology</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CO.,Limited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Nuts Information</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Technology</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塞舌尔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塞舌尔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霍尔果斯坚果创 娱信息技术有限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上海魔力果信息 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深圳市快读科技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喀什腾娱信息科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新疆喀什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喀什经济开发区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喀什迅腾信息科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新疆喀什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喀什经济开发区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北京伟达智通科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海南高伟达科技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软件与信息服务 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41"/>
        <w:keepNext w:val="0"/>
        <w:keepLines w:val="0"/>
        <w:widowControl w:val="0"/>
        <w:shd w:val="clear" w:color="auto" w:fill="auto"/>
        <w:bidi w:val="0"/>
        <w:spacing w:before="0" w:after="0" w:line="32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日，江苏泰达软件技术有限公司、广州高伟达钽云科技有限公司、北京伟达智 通科技有限公司及海南高伟达科技有限公司尚未开展经营活动。</w:t>
      </w:r>
    </w:p>
    <w:p>
      <w:pPr>
        <w:pStyle w:val="Style41"/>
        <w:keepNext w:val="0"/>
        <w:keepLines w:val="0"/>
        <w:widowControl w:val="0"/>
        <w:numPr>
          <w:ilvl w:val="0"/>
          <w:numId w:val="157"/>
        </w:numPr>
        <w:shd w:val="clear" w:color="auto" w:fill="auto"/>
        <w:tabs>
          <w:tab w:pos="795" w:val="left"/>
        </w:tabs>
        <w:bidi w:val="0"/>
        <w:spacing w:before="0" w:after="0" w:line="322" w:lineRule="exact"/>
        <w:ind w:left="0" w:right="0" w:firstLine="440"/>
        <w:jc w:val="both"/>
        <w:rPr>
          <w:sz w:val="20"/>
          <w:szCs w:val="20"/>
        </w:rPr>
      </w:pPr>
      <w:bookmarkStart w:id="1815" w:name="bookmark1815"/>
      <w:bookmarkEnd w:id="1815"/>
      <w:r>
        <w:rPr>
          <w:color w:val="000000"/>
          <w:spacing w:val="0"/>
          <w:w w:val="100"/>
          <w:position w:val="0"/>
          <w:sz w:val="20"/>
          <w:szCs w:val="20"/>
        </w:rPr>
        <w:t>本期不存在母公司在子公司的持股比例不同于表决权比例的情况。</w:t>
      </w:r>
    </w:p>
    <w:p>
      <w:pPr>
        <w:pStyle w:val="Style41"/>
        <w:keepNext w:val="0"/>
        <w:keepLines w:val="0"/>
        <w:widowControl w:val="0"/>
        <w:numPr>
          <w:ilvl w:val="0"/>
          <w:numId w:val="157"/>
        </w:numPr>
        <w:shd w:val="clear" w:color="auto" w:fill="auto"/>
        <w:tabs>
          <w:tab w:pos="795" w:val="left"/>
        </w:tabs>
        <w:bidi w:val="0"/>
        <w:spacing w:before="0" w:after="0" w:line="322" w:lineRule="exact"/>
        <w:ind w:left="0" w:right="0" w:firstLine="440"/>
        <w:jc w:val="both"/>
        <w:rPr>
          <w:sz w:val="20"/>
          <w:szCs w:val="20"/>
        </w:rPr>
      </w:pPr>
      <w:bookmarkStart w:id="1816" w:name="bookmark1816"/>
      <w:bookmarkEnd w:id="1816"/>
      <w:r>
        <w:rPr>
          <w:color w:val="000000"/>
          <w:spacing w:val="0"/>
          <w:w w:val="100"/>
          <w:position w:val="0"/>
          <w:sz w:val="20"/>
          <w:szCs w:val="20"/>
        </w:rPr>
        <w:t>本期不存在母公司持有半数或以下表决权但仍控制被投资单位的情况。</w:t>
      </w:r>
    </w:p>
    <w:p>
      <w:pPr>
        <w:pStyle w:val="Style41"/>
        <w:keepNext w:val="0"/>
        <w:keepLines w:val="0"/>
        <w:widowControl w:val="0"/>
        <w:numPr>
          <w:ilvl w:val="0"/>
          <w:numId w:val="157"/>
        </w:numPr>
        <w:shd w:val="clear" w:color="auto" w:fill="auto"/>
        <w:tabs>
          <w:tab w:pos="795" w:val="left"/>
        </w:tabs>
        <w:bidi w:val="0"/>
        <w:spacing w:before="0" w:after="0" w:line="322" w:lineRule="exact"/>
        <w:ind w:left="0" w:right="0" w:firstLine="440"/>
        <w:jc w:val="both"/>
        <w:rPr>
          <w:sz w:val="20"/>
          <w:szCs w:val="20"/>
        </w:rPr>
      </w:pPr>
      <w:bookmarkStart w:id="1817" w:name="bookmark1817"/>
      <w:bookmarkEnd w:id="1817"/>
      <w:r>
        <w:rPr>
          <w:color w:val="000000"/>
          <w:spacing w:val="0"/>
          <w:w w:val="100"/>
          <w:position w:val="0"/>
          <w:sz w:val="20"/>
          <w:szCs w:val="20"/>
        </w:rPr>
        <w:t>本期不存在纳入合并范围的重要的结构化主体。</w:t>
      </w:r>
    </w:p>
    <w:p>
      <w:pPr>
        <w:pStyle w:val="Style41"/>
        <w:keepNext w:val="0"/>
        <w:keepLines w:val="0"/>
        <w:widowControl w:val="0"/>
        <w:numPr>
          <w:ilvl w:val="0"/>
          <w:numId w:val="157"/>
        </w:numPr>
        <w:shd w:val="clear" w:color="auto" w:fill="auto"/>
        <w:tabs>
          <w:tab w:pos="795" w:val="left"/>
        </w:tabs>
        <w:bidi w:val="0"/>
        <w:spacing w:before="0" w:after="280" w:line="322" w:lineRule="exact"/>
        <w:ind w:left="0" w:right="0" w:firstLine="440"/>
        <w:jc w:val="both"/>
        <w:rPr>
          <w:sz w:val="20"/>
          <w:szCs w:val="20"/>
        </w:rPr>
      </w:pPr>
      <w:bookmarkStart w:id="1818" w:name="bookmark1818"/>
      <w:bookmarkEnd w:id="1818"/>
      <w:r>
        <w:rPr>
          <w:color w:val="000000"/>
          <w:spacing w:val="0"/>
          <w:w w:val="100"/>
          <w:position w:val="0"/>
          <w:sz w:val="20"/>
          <w:szCs w:val="20"/>
        </w:rPr>
        <w:t>本期不存在母公司拥有半数以上表决权但未能对其形成控制的股权投资情况。</w:t>
      </w:r>
    </w:p>
    <w:p>
      <w:pPr>
        <w:pStyle w:val="Style32"/>
        <w:keepNext/>
        <w:keepLines/>
        <w:widowControl w:val="0"/>
        <w:shd w:val="clear" w:color="auto" w:fill="auto"/>
        <w:bidi w:val="0"/>
        <w:spacing w:before="0" w:after="400" w:line="322" w:lineRule="exact"/>
        <w:ind w:left="0" w:right="0" w:firstLine="0"/>
        <w:jc w:val="both"/>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19"/>
      <w:bookmarkEnd w:id="1820"/>
      <w:bookmarkEnd w:id="1821"/>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本公司不存在重要的非全资子公司。</w:t>
      </w:r>
    </w:p>
    <w:p>
      <w:pPr>
        <w:pStyle w:val="Style32"/>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22"/>
      <w:bookmarkEnd w:id="1823"/>
      <w:bookmarkEnd w:id="182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26"/>
      <w:bookmarkEnd w:id="1827"/>
      <w:bookmarkEnd w:id="1829"/>
    </w:p>
    <w:p>
      <w:pPr>
        <w:pStyle w:val="Style41"/>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本公司本期不存在使用企业集团资产和清偿企业集团债务的重大限制情况。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30"/>
      <w:bookmarkEnd w:id="1831"/>
      <w:bookmarkEnd w:id="1833"/>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2</w:t>
      </w:r>
      <w:bookmarkEnd w:id="1836"/>
      <w:r>
        <w:rPr>
          <w:color w:val="000000"/>
          <w:spacing w:val="0"/>
          <w:w w:val="100"/>
          <w:position w:val="0"/>
        </w:rPr>
        <w:t>、在子公司的所有者权益份额发生变化且仍控制子公司的交易</w:t>
      </w:r>
      <w:bookmarkEnd w:id="1834"/>
      <w:bookmarkEnd w:id="1835"/>
      <w:bookmarkEnd w:id="1837"/>
    </w:p>
    <w:p>
      <w:pPr>
        <w:pStyle w:val="Style32"/>
        <w:keepNext/>
        <w:keepLines/>
        <w:widowControl w:val="0"/>
        <w:shd w:val="clear" w:color="auto" w:fill="auto"/>
        <w:tabs>
          <w:tab w:pos="493" w:val="left"/>
        </w:tabs>
        <w:bidi w:val="0"/>
        <w:spacing w:before="0" w:after="380" w:line="240" w:lineRule="auto"/>
        <w:ind w:left="0" w:right="0" w:firstLine="0"/>
        <w:jc w:val="left"/>
      </w:pPr>
      <w:bookmarkStart w:id="1834" w:name="bookmark1834"/>
      <w:bookmarkStart w:id="1835" w:name="bookmark1835"/>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34"/>
      <w:bookmarkEnd w:id="1835"/>
      <w:bookmarkEnd w:id="1839"/>
    </w:p>
    <w:p>
      <w:pPr>
        <w:pStyle w:val="Style32"/>
        <w:keepNext/>
        <w:keepLines/>
        <w:widowControl w:val="0"/>
        <w:shd w:val="clear" w:color="auto" w:fill="auto"/>
        <w:tabs>
          <w:tab w:pos="493" w:val="left"/>
        </w:tabs>
        <w:bidi w:val="0"/>
        <w:spacing w:before="0" w:after="380" w:line="240" w:lineRule="auto"/>
        <w:ind w:left="0" w:right="0" w:firstLine="0"/>
        <w:jc w:val="left"/>
      </w:pPr>
      <w:bookmarkStart w:id="1834" w:name="bookmark1834"/>
      <w:bookmarkStart w:id="1835" w:name="bookmark1835"/>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34"/>
      <w:bookmarkEnd w:id="1835"/>
      <w:bookmarkEnd w:id="184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1"/>
        <w:keepNext w:val="0"/>
        <w:keepLines w:val="0"/>
        <w:widowControl w:val="0"/>
        <w:shd w:val="clear" w:color="auto" w:fill="auto"/>
        <w:bidi w:val="0"/>
        <w:spacing w:before="0" w:after="680" w:line="240" w:lineRule="auto"/>
        <w:ind w:left="0" w:right="0" w:firstLine="440"/>
        <w:jc w:val="left"/>
        <w:rPr>
          <w:sz w:val="20"/>
          <w:szCs w:val="20"/>
        </w:rPr>
      </w:pPr>
      <w:r>
        <w:rPr>
          <w:color w:val="000000"/>
          <w:spacing w:val="0"/>
          <w:w w:val="100"/>
          <w:position w:val="0"/>
          <w:sz w:val="20"/>
          <w:szCs w:val="20"/>
        </w:rPr>
        <w:t>本公司本期不存在母公司在子公司的所有者权益份额发生变化且仍控制子公司的交易。</w:t>
      </w:r>
    </w:p>
    <w:p>
      <w:pPr>
        <w:pStyle w:val="Style32"/>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3</w:t>
      </w:r>
      <w:bookmarkEnd w:id="1844"/>
      <w:r>
        <w:rPr>
          <w:color w:val="000000"/>
          <w:spacing w:val="0"/>
          <w:w w:val="100"/>
          <w:position w:val="0"/>
        </w:rPr>
        <w:t>、在合营安排或联营企业中的权益</w:t>
      </w:r>
      <w:bookmarkEnd w:id="1842"/>
      <w:bookmarkEnd w:id="1843"/>
      <w:bookmarkEnd w:id="1845"/>
    </w:p>
    <w:p>
      <w:pPr>
        <w:pStyle w:val="Style32"/>
        <w:keepNext/>
        <w:keepLines/>
        <w:widowControl w:val="0"/>
        <w:shd w:val="clear" w:color="auto" w:fill="auto"/>
        <w:bidi w:val="0"/>
        <w:spacing w:before="0" w:after="320" w:line="240" w:lineRule="auto"/>
        <w:ind w:left="0" w:right="0" w:firstLine="0"/>
        <w:jc w:val="left"/>
      </w:pPr>
      <w:bookmarkStart w:id="1842" w:name="bookmark1842"/>
      <w:bookmarkStart w:id="1843" w:name="bookmark1843"/>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42"/>
      <w:bookmarkEnd w:id="1843"/>
      <w:bookmarkEnd w:id="184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41"/>
        <w:keepNext w:val="0"/>
        <w:keepLines w:val="0"/>
        <w:widowControl w:val="0"/>
        <w:shd w:val="clear" w:color="auto" w:fill="auto"/>
        <w:bidi w:val="0"/>
        <w:spacing w:before="0" w:after="420" w:line="240" w:lineRule="auto"/>
        <w:ind w:left="0" w:right="0" w:firstLine="0"/>
        <w:jc w:val="left"/>
        <w:rPr>
          <w:sz w:val="20"/>
          <w:szCs w:val="20"/>
        </w:rPr>
      </w:pPr>
      <w:r>
        <w:rPr>
          <w:color w:val="000000"/>
          <w:spacing w:val="0"/>
          <w:w w:val="100"/>
          <w:position w:val="0"/>
          <w:sz w:val="20"/>
          <w:szCs w:val="20"/>
        </w:rPr>
        <w:t>本期不存在公司在合营企业或联营企业的持股比例不同于表决权比例的情况。</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41"/>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本期不存在持有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以下表决权但具有重大影响，或者持有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或以上表决权但不具有重大影响的情况。</w:t>
      </w:r>
    </w:p>
    <w:p>
      <w:pPr>
        <w:pStyle w:val="Style32"/>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47"/>
      <w:bookmarkEnd w:id="1848"/>
      <w:bookmarkEnd w:id="18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159"/>
        </w:numPr>
        <w:shd w:val="clear" w:color="auto" w:fill="auto"/>
        <w:bidi w:val="0"/>
        <w:spacing w:before="0" w:after="380" w:line="240" w:lineRule="auto"/>
        <w:ind w:left="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重要联营企业的主要财务信息</w:t>
      </w:r>
      <w:bookmarkEnd w:id="1850"/>
      <w:bookmarkEnd w:id="1851"/>
      <w:bookmarkEnd w:id="18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54"/>
      <w:bookmarkEnd w:id="1855"/>
      <w:bookmarkEnd w:id="185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12,575,981.52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-5,616,166.70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-8,448,108.99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-5,616,166.70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-8,448,108.99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-5,616,166.70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-8,448,108.99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-5,616,166.70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-8,448,108.99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5</w:t>
      </w:r>
      <w:r>
        <w:rPr>
          <w:color w:val="000000"/>
          <w:spacing w:val="0"/>
          <w:w w:val="100"/>
          <w:position w:val="0"/>
        </w:rPr>
        <w:t>）合营企业或联营企业向本公司转移资金的能力存在重大限制的说明</w:t>
      </w:r>
      <w:bookmarkEnd w:id="1858"/>
      <w:bookmarkEnd w:id="1859"/>
      <w:bookmarkEnd w:id="1861"/>
    </w:p>
    <w:p>
      <w:pPr>
        <w:pStyle w:val="Style41"/>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本期不存在合营企业或联营企业向本公司转移资金的能力存在重大限制的情况。</w:t>
      </w:r>
    </w:p>
    <w:p>
      <w:pPr>
        <w:pStyle w:val="Style32"/>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862"/>
      <w:bookmarkEnd w:id="1863"/>
      <w:bookmarkEnd w:id="186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本期未确认的损失（或本期分</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line="1" w:lineRule="exact"/>
      </w:pPr>
    </w:p>
    <w:tbl>
      <w:tblPr>
        <w:tblOverlap w:val="never"/>
        <w:jc w:val="center"/>
        <w:tblLayout w:type="fixed"/>
      </w:tblPr>
      <w:tblGrid>
        <w:gridCol w:w="2400"/>
        <w:gridCol w:w="2390"/>
        <w:gridCol w:w="2390"/>
        <w:gridCol w:w="24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-416,699.31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-416,699.31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both"/>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66"/>
      <w:bookmarkEnd w:id="1867"/>
      <w:bookmarkEnd w:id="1869"/>
    </w:p>
    <w:p>
      <w:pPr>
        <w:pStyle w:val="Style32"/>
        <w:keepNext/>
        <w:keepLines/>
        <w:widowControl w:val="0"/>
        <w:shd w:val="clear" w:color="auto" w:fill="auto"/>
        <w:tabs>
          <w:tab w:pos="493" w:val="left"/>
        </w:tabs>
        <w:bidi w:val="0"/>
        <w:spacing w:before="0" w:line="240" w:lineRule="auto"/>
        <w:ind w:left="0" w:right="0" w:firstLine="0"/>
        <w:jc w:val="both"/>
      </w:pPr>
      <w:bookmarkStart w:id="1866" w:name="bookmark1866"/>
      <w:bookmarkStart w:id="1867" w:name="bookmark1867"/>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66"/>
      <w:bookmarkEnd w:id="1867"/>
      <w:bookmarkEnd w:id="1871"/>
    </w:p>
    <w:p>
      <w:pPr>
        <w:pStyle w:val="Style41"/>
        <w:keepNext w:val="0"/>
        <w:keepLines w:val="0"/>
        <w:widowControl w:val="0"/>
        <w:shd w:val="clear" w:color="auto" w:fill="auto"/>
        <w:bidi w:val="0"/>
        <w:spacing w:before="0" w:after="660" w:line="240" w:lineRule="auto"/>
        <w:ind w:left="0" w:right="0" w:firstLine="0"/>
        <w:jc w:val="both"/>
        <w:rPr>
          <w:sz w:val="20"/>
          <w:szCs w:val="20"/>
        </w:rPr>
      </w:pPr>
      <w:r>
        <w:rPr>
          <w:color w:val="000000"/>
          <w:spacing w:val="0"/>
          <w:w w:val="100"/>
          <w:position w:val="0"/>
          <w:sz w:val="20"/>
          <w:szCs w:val="20"/>
        </w:rPr>
        <w:t>本期不存在与合营企业或联营企业投资相关的或有负债。</w:t>
      </w:r>
    </w:p>
    <w:p>
      <w:pPr>
        <w:pStyle w:val="Style32"/>
        <w:keepNext/>
        <w:keepLines/>
        <w:widowControl w:val="0"/>
        <w:shd w:val="clear" w:color="auto" w:fill="auto"/>
        <w:bidi w:val="0"/>
        <w:spacing w:before="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4</w:t>
      </w:r>
      <w:bookmarkEnd w:id="1874"/>
      <w:r>
        <w:rPr>
          <w:color w:val="000000"/>
          <w:spacing w:val="0"/>
          <w:w w:val="100"/>
          <w:position w:val="0"/>
        </w:rPr>
        <w:t>、重要的共同经营</w:t>
      </w:r>
      <w:bookmarkEnd w:id="1872"/>
      <w:bookmarkEnd w:id="1873"/>
      <w:bookmarkEnd w:id="1875"/>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widowControl w:val="0"/>
        <w:spacing w:after="139" w:line="1" w:lineRule="exact"/>
      </w:pPr>
    </w:p>
    <w:p>
      <w:pPr>
        <w:pStyle w:val="Style41"/>
        <w:keepNext w:val="0"/>
        <w:keepLines w:val="0"/>
        <w:widowControl w:val="0"/>
        <w:shd w:val="clear" w:color="auto" w:fill="auto"/>
        <w:bidi w:val="0"/>
        <w:spacing w:before="0" w:after="600" w:line="240" w:lineRule="auto"/>
        <w:ind w:left="0" w:right="0" w:firstLine="440"/>
        <w:jc w:val="both"/>
        <w:rPr>
          <w:sz w:val="20"/>
          <w:szCs w:val="20"/>
        </w:rPr>
      </w:pPr>
      <w:r>
        <w:rPr>
          <w:color w:val="000000"/>
          <w:spacing w:val="0"/>
          <w:w w:val="100"/>
          <w:position w:val="0"/>
          <w:sz w:val="20"/>
          <w:szCs w:val="20"/>
        </w:rPr>
        <w:t>本公司本期无重要的共同经营。</w:t>
      </w:r>
    </w:p>
    <w:p>
      <w:pPr>
        <w:pStyle w:val="Style32"/>
        <w:keepNext/>
        <w:keepLines/>
        <w:widowControl w:val="0"/>
        <w:shd w:val="clear" w:color="auto" w:fill="auto"/>
        <w:tabs>
          <w:tab w:pos="378" w:val="left"/>
        </w:tabs>
        <w:bidi w:val="0"/>
        <w:spacing w:before="0" w:line="313" w:lineRule="exact"/>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5</w:t>
      </w:r>
      <w:bookmarkEnd w:id="1878"/>
      <w:r>
        <w:rPr>
          <w:color w:val="000000"/>
          <w:spacing w:val="0"/>
          <w:w w:val="100"/>
          <w:position w:val="0"/>
        </w:rPr>
        <w:t>、</w:t>
        <w:tab/>
        <w:t>在未纳入合并财务报表范围的结构化主体中的权益</w:t>
      </w:r>
      <w:bookmarkEnd w:id="1876"/>
      <w:bookmarkEnd w:id="1877"/>
      <w:bookmarkEnd w:id="1879"/>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未纳入合并财务报表范围的结构化主体的相关说明：</w:t>
      </w:r>
    </w:p>
    <w:p>
      <w:pPr>
        <w:pStyle w:val="Style41"/>
        <w:keepNext w:val="0"/>
        <w:keepLines w:val="0"/>
        <w:widowControl w:val="0"/>
        <w:shd w:val="clear" w:color="auto" w:fill="auto"/>
        <w:bidi w:val="0"/>
        <w:spacing w:before="0" w:after="280" w:line="313" w:lineRule="exact"/>
        <w:ind w:left="0" w:right="0" w:firstLine="0"/>
        <w:jc w:val="left"/>
        <w:rPr>
          <w:sz w:val="20"/>
          <w:szCs w:val="20"/>
        </w:rPr>
      </w:pPr>
      <w:r>
        <w:rPr>
          <w:color w:val="000000"/>
          <w:spacing w:val="0"/>
          <w:w w:val="100"/>
          <w:position w:val="0"/>
          <w:sz w:val="20"/>
          <w:szCs w:val="20"/>
        </w:rPr>
        <w:t>本公司本期无未纳入合并财务报表范围的结构化主体。</w:t>
      </w:r>
    </w:p>
    <w:p>
      <w:pPr>
        <w:pStyle w:val="Style41"/>
        <w:keepNext w:val="0"/>
        <w:keepLines w:val="0"/>
        <w:widowControl w:val="0"/>
        <w:shd w:val="clear" w:color="auto" w:fill="auto"/>
        <w:tabs>
          <w:tab w:pos="378" w:val="left"/>
        </w:tabs>
        <w:bidi w:val="0"/>
        <w:spacing w:before="0" w:line="313" w:lineRule="exact"/>
        <w:ind w:left="0" w:right="0" w:firstLine="0"/>
        <w:jc w:val="left"/>
        <w:rPr>
          <w:sz w:val="20"/>
          <w:szCs w:val="20"/>
        </w:rPr>
      </w:pPr>
      <w:bookmarkStart w:id="1880" w:name="bookmark1880"/>
      <w:r>
        <w:rPr>
          <w:rFonts w:ascii="Times New Roman" w:eastAsia="Times New Roman" w:hAnsi="Times New Roman" w:cs="Times New Roman"/>
          <w:b/>
          <w:bCs/>
          <w:color w:val="000000"/>
          <w:spacing w:val="0"/>
          <w:w w:val="100"/>
          <w:position w:val="0"/>
          <w:sz w:val="20"/>
          <w:szCs w:val="20"/>
        </w:rPr>
        <w:t>6</w:t>
      </w:r>
      <w:bookmarkEnd w:id="1880"/>
      <w:r>
        <w:rPr>
          <w:b/>
          <w:bCs/>
          <w:color w:val="000000"/>
          <w:spacing w:val="0"/>
          <w:w w:val="100"/>
          <w:position w:val="0"/>
          <w:sz w:val="20"/>
          <w:szCs w:val="20"/>
        </w:rPr>
        <w:t>、</w:t>
        <w:tab/>
        <w:t>其他</w:t>
      </w:r>
    </w:p>
    <w:p>
      <w:pPr>
        <w:pStyle w:val="Style27"/>
        <w:keepNext/>
        <w:keepLines/>
        <w:widowControl w:val="0"/>
        <w:shd w:val="clear" w:color="auto" w:fill="auto"/>
        <w:bidi w:val="0"/>
        <w:spacing w:before="0" w:after="280" w:line="240" w:lineRule="auto"/>
        <w:ind w:left="0" w:right="0" w:firstLine="0"/>
        <w:jc w:val="left"/>
      </w:pPr>
      <w:bookmarkStart w:id="1881" w:name="bookmark1881"/>
      <w:bookmarkStart w:id="1882" w:name="bookmark1882"/>
      <w:bookmarkStart w:id="1883" w:name="bookmark1883"/>
      <w:r>
        <w:rPr>
          <w:color w:val="000000"/>
          <w:spacing w:val="0"/>
          <w:w w:val="100"/>
          <w:position w:val="0"/>
          <w:sz w:val="24"/>
          <w:szCs w:val="24"/>
        </w:rPr>
        <w:t>十、与金融工具相关的风险</w:t>
      </w:r>
      <w:bookmarkEnd w:id="1881"/>
      <w:bookmarkEnd w:id="1882"/>
      <w:bookmarkEnd w:id="1883"/>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本公司在日常活动中面临各种金融工具的风险，主要包括信用风险、市场风险和流动性风险。本公司 的主要金融工具包括货币资金、股权投资、借款、应收账款、应付账款等，各项金融工具的详细情况说明 见本附注五相关项目。与这些金融工具有关的风险，以及本公司为降低这些风险所采取的风险管理政策如 下所述：</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场环境及本公司经营活动的变化以决定是否对风险管理政策及系统进行更新。本公司的风险管理由审计与 风险控制委员会按照董事会批准的政策开展。审计与风险控制委员会通过与本公司其他业务部门的紧密合 作来识别、评价和规避相关风险。本公司内审部就风险管理控制及程序进行定期的审核，并将审核结果上 报本公司的审计与风险控制委员会。</w:t>
      </w:r>
    </w:p>
    <w:p>
      <w:pPr>
        <w:pStyle w:val="Style41"/>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本公司通过适当的多样化投资及业务组合来分散金融工具风险，并通过制定相应的风险管理政策减少 集中于单一行业、特定地区或特定交易对手的风险。</w:t>
      </w:r>
    </w:p>
    <w:p>
      <w:pPr>
        <w:pStyle w:val="Style32"/>
        <w:keepNext/>
        <w:keepLines/>
        <w:widowControl w:val="0"/>
        <w:numPr>
          <w:ilvl w:val="0"/>
          <w:numId w:val="161"/>
        </w:numPr>
        <w:shd w:val="clear" w:color="auto" w:fill="auto"/>
        <w:bidi w:val="0"/>
        <w:spacing w:before="0" w:after="0" w:line="312" w:lineRule="exact"/>
        <w:ind w:left="0" w:right="0" w:firstLine="440"/>
        <w:jc w:val="both"/>
      </w:pPr>
      <w:bookmarkStart w:id="1884" w:name="bookmark1884"/>
      <w:bookmarkStart w:id="1885" w:name="bookmark1885"/>
      <w:bookmarkStart w:id="1886" w:name="bookmark1886"/>
      <w:bookmarkStart w:id="1887" w:name="bookmark1887"/>
      <w:bookmarkEnd w:id="1886"/>
      <w:r>
        <w:rPr>
          <w:color w:val="000000"/>
          <w:spacing w:val="0"/>
          <w:w w:val="100"/>
          <w:position w:val="0"/>
        </w:rPr>
        <w:t>市场风险</w:t>
      </w:r>
      <w:bookmarkEnd w:id="1884"/>
      <w:bookmarkEnd w:id="1885"/>
      <w:bookmarkEnd w:id="1887"/>
    </w:p>
    <w:p>
      <w:pPr>
        <w:pStyle w:val="Style41"/>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金融工具的市场风险，是指金融工具的公允价值或未来现金流量因市场价格变动而发生波动的风险， 包括外汇风险、利率风险和其他价格风险。</w:t>
      </w:r>
    </w:p>
    <w:p>
      <w:pPr>
        <w:pStyle w:val="Style41"/>
        <w:keepNext w:val="0"/>
        <w:keepLines w:val="0"/>
        <w:widowControl w:val="0"/>
        <w:numPr>
          <w:ilvl w:val="0"/>
          <w:numId w:val="163"/>
        </w:numPr>
        <w:shd w:val="clear" w:color="auto" w:fill="auto"/>
        <w:tabs>
          <w:tab w:pos="748" w:val="left"/>
        </w:tabs>
        <w:bidi w:val="0"/>
        <w:spacing w:before="0" w:after="0" w:line="326" w:lineRule="auto"/>
        <w:ind w:left="0" w:right="0" w:firstLine="440"/>
        <w:jc w:val="both"/>
        <w:rPr>
          <w:sz w:val="20"/>
          <w:szCs w:val="20"/>
        </w:rPr>
      </w:pPr>
      <w:bookmarkStart w:id="1888" w:name="bookmark1888"/>
      <w:bookmarkEnd w:id="1888"/>
      <w:r>
        <w:rPr>
          <w:color w:val="000000"/>
          <w:spacing w:val="0"/>
          <w:w w:val="100"/>
          <w:position w:val="0"/>
          <w:sz w:val="20"/>
          <w:szCs w:val="20"/>
        </w:rPr>
        <w:t>汇率风险</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汇率风险是指金融工具的公允价值或未来现金流量因外汇汇率变动而发生波动的风险。本公司的主要 经营位于中国境内、香港特别行政区、塞舌尔，国内业务以人民币结算，境外经营公司以美元、欧元、港 币结算，故本公司已确认的外币资产和负债及未来的外币交易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外币资产和负债及外币交易的计价货币主要 为美元、欧元、港币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存在外汇风险。相关外币资产及外币负债包括：以外币计价的货币资金。外币金融资 产和外币金融负债折算成人民币的金额见附注五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外币货币性项目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41"/>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本公司密切关注汇率变动对本公司汇率风险的影响。本公司目前并未采取任何措施规避汇率风险，但 管理层负责监控汇率风险，并将于需要时考虑对冲重大汇率风险。</w:t>
      </w:r>
    </w:p>
    <w:p>
      <w:pPr>
        <w:pStyle w:val="Style41"/>
        <w:keepNext w:val="0"/>
        <w:keepLines w:val="0"/>
        <w:widowControl w:val="0"/>
        <w:numPr>
          <w:ilvl w:val="0"/>
          <w:numId w:val="163"/>
        </w:numPr>
        <w:shd w:val="clear" w:color="auto" w:fill="auto"/>
        <w:tabs>
          <w:tab w:pos="767" w:val="left"/>
        </w:tabs>
        <w:bidi w:val="0"/>
        <w:spacing w:before="0" w:after="0" w:line="326" w:lineRule="auto"/>
        <w:ind w:left="0" w:right="0" w:firstLine="440"/>
        <w:jc w:val="both"/>
        <w:rPr>
          <w:sz w:val="20"/>
          <w:szCs w:val="20"/>
        </w:rPr>
      </w:pPr>
      <w:bookmarkStart w:id="1889" w:name="bookmark1889"/>
      <w:bookmarkEnd w:id="1889"/>
      <w:r>
        <w:rPr>
          <w:color w:val="000000"/>
          <w:spacing w:val="0"/>
          <w:w w:val="100"/>
          <w:position w:val="0"/>
          <w:sz w:val="20"/>
          <w:szCs w:val="20"/>
        </w:rPr>
        <w:t>利率风险</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利率风险，是指金融工具的公允价值或未来现金流量因市场利率变动而发生波动的风险。本公司面临 的市场利率变动的风险主要与本公司以浮动利率计息的借款有关。本公司的利率风险主要产生于长期银行 借款等长期带息债务。浮动利率的金融负债使本公司面临现金流量利率风险，固定利率的金融负债使本公 司面临公允价值利率风险。本公司根据当时的市场环境来决定固定利率及浮动利率合同的相对比例，并通 过定期审阅与监察维持适当的固定和浮动利率工具组合。</w:t>
      </w:r>
    </w:p>
    <w:p>
      <w:pPr>
        <w:pStyle w:val="Style41"/>
        <w:keepNext w:val="0"/>
        <w:keepLines w:val="0"/>
        <w:widowControl w:val="0"/>
        <w:numPr>
          <w:ilvl w:val="0"/>
          <w:numId w:val="163"/>
        </w:numPr>
        <w:shd w:val="clear" w:color="auto" w:fill="auto"/>
        <w:bidi w:val="0"/>
        <w:spacing w:before="0" w:after="0" w:line="312" w:lineRule="exact"/>
        <w:ind w:left="0" w:right="0" w:firstLine="340"/>
        <w:jc w:val="both"/>
        <w:rPr>
          <w:sz w:val="20"/>
          <w:szCs w:val="20"/>
        </w:rPr>
      </w:pPr>
      <w:bookmarkStart w:id="1890" w:name="bookmark1890"/>
      <w:bookmarkEnd w:id="1890"/>
      <w:r>
        <w:rPr>
          <w:color w:val="000000"/>
          <w:spacing w:val="0"/>
          <w:w w:val="100"/>
          <w:position w:val="0"/>
          <w:sz w:val="20"/>
          <w:szCs w:val="20"/>
        </w:rPr>
        <w:t>其他价格风险</w:t>
      </w:r>
    </w:p>
    <w:p>
      <w:pPr>
        <w:pStyle w:val="Style41"/>
        <w:keepNext w:val="0"/>
        <w:keepLines w:val="0"/>
        <w:widowControl w:val="0"/>
        <w:shd w:val="clear" w:color="auto" w:fill="auto"/>
        <w:bidi w:val="0"/>
        <w:spacing w:before="0" w:after="320" w:line="312" w:lineRule="exact"/>
        <w:ind w:left="0" w:right="0" w:firstLine="440"/>
        <w:jc w:val="both"/>
        <w:rPr>
          <w:sz w:val="20"/>
          <w:szCs w:val="20"/>
        </w:rPr>
      </w:pPr>
      <w:r>
        <w:rPr>
          <w:color w:val="000000"/>
          <w:spacing w:val="0"/>
          <w:w w:val="100"/>
          <w:position w:val="0"/>
          <w:sz w:val="20"/>
          <w:szCs w:val="20"/>
        </w:rPr>
        <w:t>本公司未持有其他上市公司的权益投资，不存在其他价格风险。</w:t>
      </w:r>
    </w:p>
    <w:p>
      <w:pPr>
        <w:pStyle w:val="Style32"/>
        <w:keepNext/>
        <w:keepLines/>
        <w:widowControl w:val="0"/>
        <w:numPr>
          <w:ilvl w:val="0"/>
          <w:numId w:val="161"/>
        </w:numPr>
        <w:shd w:val="clear" w:color="auto" w:fill="auto"/>
        <w:bidi w:val="0"/>
        <w:spacing w:before="0" w:after="0" w:line="313" w:lineRule="exact"/>
        <w:ind w:left="0" w:right="0" w:firstLine="440"/>
        <w:jc w:val="both"/>
      </w:pPr>
      <w:bookmarkStart w:id="1891" w:name="bookmark1891"/>
      <w:bookmarkStart w:id="1892" w:name="bookmark1892"/>
      <w:bookmarkStart w:id="1893" w:name="bookmark1893"/>
      <w:bookmarkStart w:id="1894" w:name="bookmark1894"/>
      <w:bookmarkEnd w:id="1893"/>
      <w:r>
        <w:rPr>
          <w:color w:val="000000"/>
          <w:spacing w:val="0"/>
          <w:w w:val="100"/>
          <w:position w:val="0"/>
        </w:rPr>
        <w:t>信用风险</w:t>
      </w:r>
      <w:bookmarkEnd w:id="1891"/>
      <w:bookmarkEnd w:id="1892"/>
      <w:bookmarkEnd w:id="1894"/>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信用风险，是指交易对手方未能履行合同义务而导致本公司产生财务损失的风险。本公司信用风险主 要产生于银行存款和应收款项等。</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本公司银行存款主要存放于国有银行和其它大中型上市银行，本公司预期银行存款不存在重大的信用 风险。</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对于应收款项，本公司按照客户管理信用风险集中度，设定相关政策以控制信用风险敞口。本公司基 于对债务人的财务状况、外部评级、从第三方获取担保的可能性、信用记录及其它因素诸如目前市场状况 等评估债务人的信用资质并设置相应欠款额度与信用期限。本公司会定期对债务人信用记录进行监控，对 于信用记录不良的债务人，本公司会采用书面催款、缩短信用期或取消信用期等方式，以确保本公司的整 体信用风险在可控的范围内。由于本公司的应收款项客户广泛分散于不同的地区和行业中，因此在本公司 不存在重大信用风险集中。</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本公司没有提供任何其他可能令本公司承受信用风险的担保。本公司所承但的最大信用风险敞口为资 产负债表中各项金融资产的账面价值。</w:t>
      </w:r>
    </w:p>
    <w:p>
      <w:pPr>
        <w:pStyle w:val="Style41"/>
        <w:keepNext w:val="0"/>
        <w:keepLines w:val="0"/>
        <w:widowControl w:val="0"/>
        <w:numPr>
          <w:ilvl w:val="0"/>
          <w:numId w:val="165"/>
        </w:numPr>
        <w:shd w:val="clear" w:color="auto" w:fill="auto"/>
        <w:bidi w:val="0"/>
        <w:spacing w:before="0" w:after="0" w:line="313" w:lineRule="exact"/>
        <w:ind w:left="0" w:right="0" w:firstLine="440"/>
        <w:jc w:val="both"/>
        <w:rPr>
          <w:sz w:val="20"/>
          <w:szCs w:val="20"/>
        </w:rPr>
      </w:pPr>
      <w:bookmarkStart w:id="1895" w:name="bookmark1895"/>
      <w:bookmarkEnd w:id="1895"/>
      <w:r>
        <w:rPr>
          <w:color w:val="000000"/>
          <w:spacing w:val="0"/>
          <w:w w:val="100"/>
          <w:position w:val="0"/>
          <w:sz w:val="20"/>
          <w:szCs w:val="20"/>
        </w:rPr>
        <w:t>信用风险显著增加的判断依据</w:t>
      </w:r>
    </w:p>
    <w:p>
      <w:pPr>
        <w:pStyle w:val="Style4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本公司在每个资产负债表日评估相关金融工具的信用风险自初始确认后是否已显著增加。在确定信用 风险自初始确认后是否显著增加时，本公司考虑在无须付出不必要的额外成本或努力即可获得合理且有依 据的信息，包括基于本公司历史数据的定性和定量分析、外部信用风险评级以及前瞻性信息。当满足以下 一个或多个定量、定性标准时，本公司认为信用风险已显著增加：</w:t>
      </w:r>
    </w:p>
    <w:p>
      <w:pPr>
        <w:pStyle w:val="Style41"/>
        <w:keepNext w:val="0"/>
        <w:keepLines w:val="0"/>
        <w:widowControl w:val="0"/>
        <w:numPr>
          <w:ilvl w:val="0"/>
          <w:numId w:val="167"/>
        </w:numPr>
        <w:shd w:val="clear" w:color="auto" w:fill="auto"/>
        <w:tabs>
          <w:tab w:pos="858" w:val="left"/>
        </w:tabs>
        <w:bidi w:val="0"/>
        <w:spacing w:before="0" w:after="0" w:line="313" w:lineRule="exact"/>
        <w:ind w:left="0" w:right="0" w:firstLine="440"/>
        <w:jc w:val="both"/>
        <w:rPr>
          <w:sz w:val="20"/>
          <w:szCs w:val="20"/>
        </w:rPr>
      </w:pPr>
      <w:bookmarkStart w:id="1896" w:name="bookmark1896"/>
      <w:bookmarkEnd w:id="1896"/>
      <w:r>
        <w:rPr>
          <w:color w:val="000000"/>
          <w:spacing w:val="0"/>
          <w:w w:val="100"/>
          <w:position w:val="0"/>
          <w:sz w:val="20"/>
          <w:szCs w:val="20"/>
        </w:rPr>
        <w:t>合同付款已逾期超过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天。</w:t>
      </w:r>
    </w:p>
    <w:p>
      <w:pPr>
        <w:pStyle w:val="Style41"/>
        <w:keepNext w:val="0"/>
        <w:keepLines w:val="0"/>
        <w:widowControl w:val="0"/>
        <w:numPr>
          <w:ilvl w:val="0"/>
          <w:numId w:val="167"/>
        </w:numPr>
        <w:shd w:val="clear" w:color="auto" w:fill="auto"/>
        <w:tabs>
          <w:tab w:pos="858" w:val="left"/>
        </w:tabs>
        <w:bidi w:val="0"/>
        <w:spacing w:before="0" w:after="0" w:line="313" w:lineRule="exact"/>
        <w:ind w:left="0" w:right="0" w:firstLine="440"/>
        <w:jc w:val="both"/>
        <w:rPr>
          <w:sz w:val="20"/>
          <w:szCs w:val="20"/>
        </w:rPr>
      </w:pPr>
      <w:bookmarkStart w:id="1897" w:name="bookmark1897"/>
      <w:bookmarkEnd w:id="1897"/>
      <w:r>
        <w:rPr>
          <w:color w:val="000000"/>
          <w:spacing w:val="0"/>
          <w:w w:val="100"/>
          <w:position w:val="0"/>
          <w:sz w:val="20"/>
          <w:szCs w:val="20"/>
        </w:rPr>
        <w:t>根据外部公开信用评级结果，债务人信用评级等级大幅下降。</w:t>
      </w:r>
    </w:p>
    <w:p>
      <w:pPr>
        <w:pStyle w:val="Style41"/>
        <w:keepNext w:val="0"/>
        <w:keepLines w:val="0"/>
        <w:widowControl w:val="0"/>
        <w:numPr>
          <w:ilvl w:val="0"/>
          <w:numId w:val="167"/>
        </w:numPr>
        <w:shd w:val="clear" w:color="auto" w:fill="auto"/>
        <w:tabs>
          <w:tab w:pos="858" w:val="left"/>
        </w:tabs>
        <w:bidi w:val="0"/>
        <w:spacing w:before="0" w:after="0" w:line="313" w:lineRule="exact"/>
        <w:ind w:left="0" w:right="0" w:firstLine="440"/>
        <w:jc w:val="both"/>
        <w:rPr>
          <w:sz w:val="20"/>
          <w:szCs w:val="20"/>
        </w:rPr>
      </w:pPr>
      <w:bookmarkStart w:id="1898" w:name="bookmark1898"/>
      <w:bookmarkEnd w:id="1898"/>
      <w:r>
        <w:rPr>
          <w:color w:val="000000"/>
          <w:spacing w:val="0"/>
          <w:w w:val="100"/>
          <w:position w:val="0"/>
          <w:sz w:val="20"/>
          <w:szCs w:val="20"/>
        </w:rPr>
        <w:t>债务人生产或经营环节出现严重问题，经营成果实际或预期发生显著下降。</w:t>
      </w:r>
    </w:p>
    <w:p>
      <w:pPr>
        <w:pStyle w:val="Style41"/>
        <w:keepNext w:val="0"/>
        <w:keepLines w:val="0"/>
        <w:widowControl w:val="0"/>
        <w:numPr>
          <w:ilvl w:val="0"/>
          <w:numId w:val="167"/>
        </w:numPr>
        <w:shd w:val="clear" w:color="auto" w:fill="auto"/>
        <w:tabs>
          <w:tab w:pos="858" w:val="left"/>
        </w:tabs>
        <w:bidi w:val="0"/>
        <w:spacing w:before="0" w:after="0" w:line="313" w:lineRule="exact"/>
        <w:ind w:left="0" w:right="0" w:firstLine="440"/>
        <w:jc w:val="both"/>
        <w:rPr>
          <w:sz w:val="20"/>
          <w:szCs w:val="20"/>
        </w:rPr>
      </w:pPr>
      <w:bookmarkStart w:id="1899" w:name="bookmark1899"/>
      <w:bookmarkEnd w:id="1899"/>
      <w:r>
        <w:rPr>
          <w:color w:val="000000"/>
          <w:spacing w:val="0"/>
          <w:w w:val="100"/>
          <w:position w:val="0"/>
          <w:sz w:val="20"/>
          <w:szCs w:val="20"/>
        </w:rPr>
        <w:t>债务人所处的监管、经济或技术环境发生显著不利变化。</w:t>
      </w:r>
    </w:p>
    <w:p>
      <w:pPr>
        <w:pStyle w:val="Style41"/>
        <w:keepNext w:val="0"/>
        <w:keepLines w:val="0"/>
        <w:widowControl w:val="0"/>
        <w:numPr>
          <w:ilvl w:val="0"/>
          <w:numId w:val="167"/>
        </w:numPr>
        <w:shd w:val="clear" w:color="auto" w:fill="auto"/>
        <w:tabs>
          <w:tab w:pos="858" w:val="left"/>
        </w:tabs>
        <w:bidi w:val="0"/>
        <w:spacing w:before="0" w:after="0" w:line="313" w:lineRule="exact"/>
        <w:ind w:left="0" w:right="0" w:firstLine="440"/>
        <w:jc w:val="both"/>
        <w:rPr>
          <w:sz w:val="20"/>
          <w:szCs w:val="20"/>
        </w:rPr>
      </w:pPr>
      <w:bookmarkStart w:id="1900" w:name="bookmark1900"/>
      <w:bookmarkEnd w:id="1900"/>
      <w:r>
        <w:rPr>
          <w:color w:val="000000"/>
          <w:spacing w:val="0"/>
          <w:w w:val="100"/>
          <w:position w:val="0"/>
          <w:sz w:val="20"/>
          <w:szCs w:val="20"/>
        </w:rPr>
        <w:t>预期将导致债务人履行其偿债义务能力的业务、财务或经济状况发生显著不利变化。</w:t>
      </w:r>
    </w:p>
    <w:p>
      <w:pPr>
        <w:pStyle w:val="Style41"/>
        <w:keepNext w:val="0"/>
        <w:keepLines w:val="0"/>
        <w:widowControl w:val="0"/>
        <w:numPr>
          <w:ilvl w:val="0"/>
          <w:numId w:val="167"/>
        </w:numPr>
        <w:shd w:val="clear" w:color="auto" w:fill="auto"/>
        <w:bidi w:val="0"/>
        <w:spacing w:before="0" w:after="0" w:line="312" w:lineRule="exact"/>
        <w:ind w:left="0" w:right="0" w:firstLine="440"/>
        <w:jc w:val="left"/>
        <w:rPr>
          <w:sz w:val="20"/>
          <w:szCs w:val="20"/>
        </w:rPr>
      </w:pPr>
      <w:bookmarkStart w:id="1901" w:name="bookmark1901"/>
      <w:bookmarkEnd w:id="1901"/>
      <w:r>
        <w:rPr>
          <w:color w:val="000000"/>
          <w:spacing w:val="0"/>
          <w:w w:val="100"/>
          <w:position w:val="0"/>
          <w:sz w:val="20"/>
          <w:szCs w:val="20"/>
        </w:rPr>
        <w:t>其他表明金融资产发生信用风险显著增加的客观证据。</w:t>
      </w:r>
    </w:p>
    <w:p>
      <w:pPr>
        <w:pStyle w:val="Style41"/>
        <w:keepNext w:val="0"/>
        <w:keepLines w:val="0"/>
        <w:widowControl w:val="0"/>
        <w:shd w:val="clear" w:color="auto" w:fill="auto"/>
        <w:bidi w:val="0"/>
        <w:spacing w:before="0" w:after="0" w:line="312"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已发生信用减值的依据</w:t>
      </w:r>
    </w:p>
    <w:p>
      <w:pPr>
        <w:pStyle w:val="Style41"/>
        <w:keepNext w:val="0"/>
        <w:keepLines w:val="0"/>
        <w:widowControl w:val="0"/>
        <w:shd w:val="clear" w:color="auto" w:fill="auto"/>
        <w:bidi w:val="0"/>
        <w:spacing w:before="0" w:after="80" w:line="312" w:lineRule="exact"/>
        <w:ind w:left="0" w:right="0" w:firstLine="440"/>
        <w:jc w:val="left"/>
        <w:rPr>
          <w:sz w:val="20"/>
          <w:szCs w:val="20"/>
        </w:rPr>
      </w:pPr>
      <w:r>
        <w:rPr>
          <w:color w:val="000000"/>
          <w:spacing w:val="0"/>
          <w:w w:val="100"/>
          <w:position w:val="0"/>
          <w:sz w:val="20"/>
          <w:szCs w:val="20"/>
        </w:rPr>
        <w:t>本公司评估债务人是否发生信用减值时，主要考虑以下因素：</w:t>
      </w:r>
    </w:p>
    <w:p>
      <w:pPr>
        <w:pStyle w:val="Style41"/>
        <w:keepNext w:val="0"/>
        <w:keepLines w:val="0"/>
        <w:widowControl w:val="0"/>
        <w:numPr>
          <w:ilvl w:val="0"/>
          <w:numId w:val="169"/>
        </w:numPr>
        <w:shd w:val="clear" w:color="auto" w:fill="auto"/>
        <w:tabs>
          <w:tab w:pos="866" w:val="left"/>
        </w:tabs>
        <w:bidi w:val="0"/>
        <w:spacing w:before="0" w:after="0" w:line="326" w:lineRule="auto"/>
        <w:ind w:left="0" w:right="0" w:firstLine="440"/>
        <w:jc w:val="left"/>
        <w:rPr>
          <w:sz w:val="20"/>
          <w:szCs w:val="20"/>
        </w:rPr>
      </w:pPr>
      <w:bookmarkStart w:id="1902" w:name="bookmark1902"/>
      <w:bookmarkEnd w:id="1902"/>
      <w:r>
        <w:rPr>
          <w:color w:val="000000"/>
          <w:spacing w:val="0"/>
          <w:w w:val="100"/>
          <w:position w:val="0"/>
          <w:sz w:val="20"/>
          <w:szCs w:val="20"/>
        </w:rPr>
        <w:t>发行方或债务人发生重大财务困难。</w:t>
      </w:r>
    </w:p>
    <w:p>
      <w:pPr>
        <w:pStyle w:val="Style41"/>
        <w:keepNext w:val="0"/>
        <w:keepLines w:val="0"/>
        <w:widowControl w:val="0"/>
        <w:numPr>
          <w:ilvl w:val="0"/>
          <w:numId w:val="169"/>
        </w:numPr>
        <w:shd w:val="clear" w:color="auto" w:fill="auto"/>
        <w:tabs>
          <w:tab w:pos="866" w:val="left"/>
        </w:tabs>
        <w:bidi w:val="0"/>
        <w:spacing w:before="0" w:after="0" w:line="326" w:lineRule="auto"/>
        <w:ind w:left="0" w:right="0" w:firstLine="440"/>
        <w:jc w:val="left"/>
        <w:rPr>
          <w:sz w:val="20"/>
          <w:szCs w:val="20"/>
        </w:rPr>
      </w:pPr>
      <w:bookmarkStart w:id="1903" w:name="bookmark1903"/>
      <w:bookmarkEnd w:id="1903"/>
      <w:r>
        <w:rPr>
          <w:color w:val="000000"/>
          <w:spacing w:val="0"/>
          <w:w w:val="100"/>
          <w:position w:val="0"/>
          <w:sz w:val="20"/>
          <w:szCs w:val="20"/>
        </w:rPr>
        <w:t>债务人违反合同，如偿付利息或本金违约或逾期等。</w:t>
      </w:r>
    </w:p>
    <w:p>
      <w:pPr>
        <w:pStyle w:val="Style41"/>
        <w:keepNext w:val="0"/>
        <w:keepLines w:val="0"/>
        <w:widowControl w:val="0"/>
        <w:numPr>
          <w:ilvl w:val="0"/>
          <w:numId w:val="169"/>
        </w:numPr>
        <w:shd w:val="clear" w:color="auto" w:fill="auto"/>
        <w:tabs>
          <w:tab w:pos="843" w:val="left"/>
        </w:tabs>
        <w:bidi w:val="0"/>
        <w:spacing w:before="0" w:after="80" w:line="312" w:lineRule="exact"/>
        <w:ind w:left="0" w:right="0" w:firstLine="440"/>
        <w:jc w:val="both"/>
        <w:rPr>
          <w:sz w:val="20"/>
          <w:szCs w:val="20"/>
        </w:rPr>
      </w:pPr>
      <w:bookmarkStart w:id="1904" w:name="bookmark1904"/>
      <w:bookmarkEnd w:id="1904"/>
      <w:r>
        <w:rPr>
          <w:color w:val="000000"/>
          <w:spacing w:val="0"/>
          <w:w w:val="100"/>
          <w:position w:val="0"/>
          <w:sz w:val="20"/>
          <w:szCs w:val="20"/>
        </w:rPr>
        <w:t>债权人出于与债务人财务困难有关的经济或合同考虑，给予债务人在任何其他情况下都不会做出的 让步。</w:t>
      </w:r>
    </w:p>
    <w:p>
      <w:pPr>
        <w:pStyle w:val="Style41"/>
        <w:keepNext w:val="0"/>
        <w:keepLines w:val="0"/>
        <w:widowControl w:val="0"/>
        <w:numPr>
          <w:ilvl w:val="0"/>
          <w:numId w:val="169"/>
        </w:numPr>
        <w:shd w:val="clear" w:color="auto" w:fill="auto"/>
        <w:tabs>
          <w:tab w:pos="866" w:val="left"/>
        </w:tabs>
        <w:bidi w:val="0"/>
        <w:spacing w:before="0" w:after="0" w:line="326" w:lineRule="auto"/>
        <w:ind w:left="0" w:right="0" w:firstLine="440"/>
        <w:jc w:val="both"/>
        <w:rPr>
          <w:sz w:val="20"/>
          <w:szCs w:val="20"/>
        </w:rPr>
      </w:pPr>
      <w:bookmarkStart w:id="1905" w:name="bookmark1905"/>
      <w:bookmarkEnd w:id="1905"/>
      <w:r>
        <w:rPr>
          <w:color w:val="000000"/>
          <w:spacing w:val="0"/>
          <w:w w:val="100"/>
          <w:position w:val="0"/>
          <w:sz w:val="20"/>
          <w:szCs w:val="20"/>
        </w:rPr>
        <w:t>债务人很可能破产或进行其他财务重组。</w:t>
      </w:r>
    </w:p>
    <w:p>
      <w:pPr>
        <w:pStyle w:val="Style41"/>
        <w:keepNext w:val="0"/>
        <w:keepLines w:val="0"/>
        <w:widowControl w:val="0"/>
        <w:numPr>
          <w:ilvl w:val="0"/>
          <w:numId w:val="169"/>
        </w:numPr>
        <w:shd w:val="clear" w:color="auto" w:fill="auto"/>
        <w:tabs>
          <w:tab w:pos="866" w:val="left"/>
        </w:tabs>
        <w:bidi w:val="0"/>
        <w:spacing w:before="0" w:after="0" w:line="312" w:lineRule="exact"/>
        <w:ind w:left="0" w:right="0" w:firstLine="440"/>
        <w:jc w:val="left"/>
        <w:rPr>
          <w:sz w:val="20"/>
          <w:szCs w:val="20"/>
        </w:rPr>
      </w:pPr>
      <w:bookmarkStart w:id="1906" w:name="bookmark1906"/>
      <w:bookmarkEnd w:id="1906"/>
      <w:r>
        <w:rPr>
          <w:color w:val="000000"/>
          <w:spacing w:val="0"/>
          <w:w w:val="100"/>
          <w:position w:val="0"/>
          <w:sz w:val="20"/>
          <w:szCs w:val="20"/>
        </w:rPr>
        <w:t>发行方或债务人财务困难导致该金融资产的活跃市场消失。</w:t>
      </w:r>
    </w:p>
    <w:p>
      <w:pPr>
        <w:pStyle w:val="Style41"/>
        <w:keepNext w:val="0"/>
        <w:keepLines w:val="0"/>
        <w:widowControl w:val="0"/>
        <w:numPr>
          <w:ilvl w:val="0"/>
          <w:numId w:val="169"/>
        </w:numPr>
        <w:shd w:val="clear" w:color="auto" w:fill="auto"/>
        <w:tabs>
          <w:tab w:pos="866" w:val="left"/>
        </w:tabs>
        <w:bidi w:val="0"/>
        <w:spacing w:before="0" w:after="0" w:line="312" w:lineRule="exact"/>
        <w:ind w:left="0" w:right="0" w:firstLine="440"/>
        <w:jc w:val="left"/>
        <w:rPr>
          <w:sz w:val="20"/>
          <w:szCs w:val="20"/>
        </w:rPr>
      </w:pPr>
      <w:bookmarkStart w:id="1907" w:name="bookmark1907"/>
      <w:bookmarkEnd w:id="1907"/>
      <w:r>
        <w:rPr>
          <w:color w:val="000000"/>
          <w:spacing w:val="0"/>
          <w:w w:val="100"/>
          <w:position w:val="0"/>
          <w:sz w:val="20"/>
          <w:szCs w:val="20"/>
        </w:rPr>
        <w:t>以大幅折扣购买或源生一项金融资产，该折扣反映了发生信用损失的事实。</w:t>
      </w:r>
    </w:p>
    <w:p>
      <w:pPr>
        <w:pStyle w:val="Style41"/>
        <w:keepNext w:val="0"/>
        <w:keepLines w:val="0"/>
        <w:widowControl w:val="0"/>
        <w:numPr>
          <w:ilvl w:val="0"/>
          <w:numId w:val="145"/>
        </w:numPr>
        <w:shd w:val="clear" w:color="auto" w:fill="auto"/>
        <w:tabs>
          <w:tab w:pos="674" w:val="left"/>
        </w:tabs>
        <w:bidi w:val="0"/>
        <w:spacing w:before="0" w:after="0" w:line="312" w:lineRule="exact"/>
        <w:ind w:left="0" w:right="0" w:firstLine="340"/>
        <w:jc w:val="left"/>
        <w:rPr>
          <w:sz w:val="20"/>
          <w:szCs w:val="20"/>
        </w:rPr>
      </w:pPr>
      <w:bookmarkStart w:id="1908" w:name="bookmark1908"/>
      <w:bookmarkEnd w:id="1908"/>
      <w:r>
        <w:rPr>
          <w:color w:val="000000"/>
          <w:spacing w:val="0"/>
          <w:w w:val="100"/>
          <w:position w:val="0"/>
          <w:sz w:val="20"/>
          <w:szCs w:val="20"/>
        </w:rPr>
        <w:t>预期信用损失计量的参数</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个月或整 个存续期的预期信用损失计量损失准备。预期信用损失计量的关键参数包括违约概率、违约损失率和违约 风险敞口。本公司考虑历史统计数据的定量分析及前瞻性信息，建立违约概率、违约损失率及违约风险敞 口模型。相关定义如下：</w:t>
      </w:r>
    </w:p>
    <w:p>
      <w:pPr>
        <w:pStyle w:val="Style41"/>
        <w:keepNext w:val="0"/>
        <w:keepLines w:val="0"/>
        <w:widowControl w:val="0"/>
        <w:numPr>
          <w:ilvl w:val="0"/>
          <w:numId w:val="171"/>
        </w:numPr>
        <w:shd w:val="clear" w:color="auto" w:fill="auto"/>
        <w:tabs>
          <w:tab w:pos="354" w:val="left"/>
        </w:tabs>
        <w:bidi w:val="0"/>
        <w:spacing w:before="0" w:after="0" w:line="312" w:lineRule="exact"/>
        <w:ind w:left="0" w:right="0" w:firstLine="0"/>
        <w:jc w:val="both"/>
        <w:rPr>
          <w:sz w:val="20"/>
          <w:szCs w:val="20"/>
        </w:rPr>
      </w:pPr>
      <w:bookmarkStart w:id="1909" w:name="bookmark1909"/>
      <w:bookmarkEnd w:id="1909"/>
      <w:r>
        <w:rPr>
          <w:color w:val="000000"/>
          <w:spacing w:val="0"/>
          <w:w w:val="100"/>
          <w:position w:val="0"/>
          <w:sz w:val="20"/>
          <w:szCs w:val="20"/>
        </w:rPr>
        <w:t>违约概率是指债务人在未来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个月或在整个剩余存续期，无法履行其偿付义务的可能性。</w:t>
      </w:r>
    </w:p>
    <w:p>
      <w:pPr>
        <w:pStyle w:val="Style41"/>
        <w:keepNext w:val="0"/>
        <w:keepLines w:val="0"/>
        <w:widowControl w:val="0"/>
        <w:numPr>
          <w:ilvl w:val="0"/>
          <w:numId w:val="171"/>
        </w:numPr>
        <w:shd w:val="clear" w:color="auto" w:fill="auto"/>
        <w:tabs>
          <w:tab w:pos="354" w:val="left"/>
        </w:tabs>
        <w:bidi w:val="0"/>
        <w:spacing w:before="0" w:after="0" w:line="312" w:lineRule="exact"/>
        <w:ind w:left="0" w:right="0" w:firstLine="0"/>
        <w:jc w:val="both"/>
        <w:rPr>
          <w:sz w:val="20"/>
          <w:szCs w:val="20"/>
        </w:rPr>
      </w:pPr>
      <w:bookmarkStart w:id="1910" w:name="bookmark1910"/>
      <w:bookmarkEnd w:id="1910"/>
      <w:r>
        <w:rPr>
          <w:color w:val="000000"/>
          <w:spacing w:val="0"/>
          <w:w w:val="100"/>
          <w:position w:val="0"/>
          <w:sz w:val="20"/>
          <w:szCs w:val="20"/>
        </w:rPr>
        <w:t>违约风险敞口是指，在未来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个月或在整个剩余存续期中，在违约发生时，本公司应被偿付的金额。</w:t>
      </w:r>
    </w:p>
    <w:p>
      <w:pPr>
        <w:pStyle w:val="Style41"/>
        <w:keepNext w:val="0"/>
        <w:keepLines w:val="0"/>
        <w:widowControl w:val="0"/>
        <w:numPr>
          <w:ilvl w:val="0"/>
          <w:numId w:val="171"/>
        </w:numPr>
        <w:shd w:val="clear" w:color="auto" w:fill="auto"/>
        <w:tabs>
          <w:tab w:pos="354" w:val="left"/>
        </w:tabs>
        <w:bidi w:val="0"/>
        <w:spacing w:before="0" w:after="0" w:line="312" w:lineRule="exact"/>
        <w:ind w:left="340" w:right="0" w:hanging="340"/>
        <w:jc w:val="both"/>
        <w:rPr>
          <w:sz w:val="20"/>
          <w:szCs w:val="20"/>
        </w:rPr>
      </w:pPr>
      <w:bookmarkStart w:id="1911" w:name="bookmark1911"/>
      <w:bookmarkEnd w:id="1911"/>
      <w:r>
        <w:rPr>
          <w:color w:val="000000"/>
          <w:spacing w:val="0"/>
          <w:w w:val="100"/>
          <w:position w:val="0"/>
          <w:sz w:val="20"/>
          <w:szCs w:val="20"/>
        </w:rPr>
        <w:t>违约损失率是指本公司对违约敞口发生损失程度作出的预期。根据交易对手的类型、追索的方式和优 先级，以及担保物或其他信用支持的可获得性不同，违约损失率也有所不同。</w:t>
      </w:r>
    </w:p>
    <w:p>
      <w:pPr>
        <w:pStyle w:val="Style4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本公司通过预计未来各月份中单个敞口或资产组合的违约概率、违约损失率和违约风险敞口，来确定 预期信用损失。本报告期内，预期信用损失估计技术或关键假设未发生重大变化。</w:t>
      </w:r>
    </w:p>
    <w:p>
      <w:pPr>
        <w:pStyle w:val="Style41"/>
        <w:keepNext w:val="0"/>
        <w:keepLines w:val="0"/>
        <w:widowControl w:val="0"/>
        <w:numPr>
          <w:ilvl w:val="0"/>
          <w:numId w:val="171"/>
        </w:numPr>
        <w:shd w:val="clear" w:color="auto" w:fill="auto"/>
        <w:tabs>
          <w:tab w:pos="674" w:val="left"/>
        </w:tabs>
        <w:bidi w:val="0"/>
        <w:spacing w:before="0" w:after="0" w:line="312" w:lineRule="exact"/>
        <w:ind w:left="0" w:right="0" w:firstLine="340"/>
        <w:jc w:val="left"/>
        <w:rPr>
          <w:sz w:val="20"/>
          <w:szCs w:val="20"/>
        </w:rPr>
      </w:pPr>
      <w:bookmarkStart w:id="1912" w:name="bookmark1912"/>
      <w:bookmarkEnd w:id="1912"/>
      <w:r>
        <w:rPr>
          <w:color w:val="000000"/>
          <w:spacing w:val="0"/>
          <w:w w:val="100"/>
          <w:position w:val="0"/>
          <w:sz w:val="20"/>
          <w:szCs w:val="20"/>
        </w:rPr>
        <w:t>预期信用损失模型中包括的前瞻性信息</w:t>
      </w:r>
    </w:p>
    <w:p>
      <w:pPr>
        <w:pStyle w:val="Style41"/>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信用风险显著增加的评估及预期信用损失的计算均涉及前瞻性信息。本公司通过历史数据分析，识别 出影响各资产组合的信用风险及预期信用损失的相关信息，如</w:t>
      </w:r>
      <w:r>
        <w:rPr>
          <w:rFonts w:ascii="Times New Roman" w:eastAsia="Times New Roman" w:hAnsi="Times New Roman" w:cs="Times New Roman"/>
          <w:color w:val="000000"/>
          <w:spacing w:val="0"/>
          <w:w w:val="100"/>
          <w:position w:val="0"/>
          <w:sz w:val="20"/>
          <w:szCs w:val="20"/>
        </w:rPr>
        <w:t>GDP</w:t>
      </w:r>
      <w:r>
        <w:rPr>
          <w:color w:val="000000"/>
          <w:spacing w:val="0"/>
          <w:w w:val="100"/>
          <w:position w:val="0"/>
          <w:sz w:val="20"/>
          <w:szCs w:val="20"/>
        </w:rPr>
        <w:t>增速等宏观经济状况，所处行业周期阶 段等行业发展状况等。本公司在考虑公司未来销售策略或信用政策的变化的基础上来预测这些信息对违约 概率和违约损失率的影响。</w:t>
      </w:r>
    </w:p>
    <w:p>
      <w:pPr>
        <w:pStyle w:val="Style32"/>
        <w:keepNext/>
        <w:keepLines/>
        <w:widowControl w:val="0"/>
        <w:numPr>
          <w:ilvl w:val="0"/>
          <w:numId w:val="161"/>
        </w:numPr>
        <w:shd w:val="clear" w:color="auto" w:fill="auto"/>
        <w:tabs>
          <w:tab w:pos="1034" w:val="left"/>
        </w:tabs>
        <w:bidi w:val="0"/>
        <w:spacing w:before="0" w:after="0" w:line="314" w:lineRule="exact"/>
        <w:ind w:left="0" w:right="0" w:firstLine="44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流动风险</w:t>
      </w:r>
      <w:bookmarkEnd w:id="1913"/>
      <w:bookmarkEnd w:id="1914"/>
      <w:bookmarkEnd w:id="1916"/>
    </w:p>
    <w:p>
      <w:pPr>
        <w:pStyle w:val="Style41"/>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 xml:space="preserve">流动风险，是指企业在履行以交付现金或其他金融资产的方式结算的义务时发生资金短缺的风险。流 动性风险由本公司的财务部门集中控制。财务部门通过监控现金余额、可随时变现的有价证券以及对未来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个月现金流量的滚动预测，确保公司在所有合理预测的情况下拥有充足的资金偿还债务，满足本公司经 营需要，并降低现金流量波动的影响。</w:t>
      </w:r>
    </w:p>
    <w:p>
      <w:pPr>
        <w:pStyle w:val="Style32"/>
        <w:keepNext/>
        <w:keepLines/>
        <w:widowControl w:val="0"/>
        <w:numPr>
          <w:ilvl w:val="0"/>
          <w:numId w:val="161"/>
        </w:numPr>
        <w:shd w:val="clear" w:color="auto" w:fill="auto"/>
        <w:tabs>
          <w:tab w:pos="1038" w:val="left"/>
        </w:tabs>
        <w:bidi w:val="0"/>
        <w:spacing w:before="0" w:after="0" w:line="310" w:lineRule="exact"/>
        <w:ind w:left="0" w:right="0" w:firstLine="44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资本管理</w:t>
      </w:r>
      <w:bookmarkEnd w:id="1917"/>
      <w:bookmarkEnd w:id="1918"/>
      <w:bookmarkEnd w:id="1920"/>
    </w:p>
    <w:p>
      <w:pPr>
        <w:pStyle w:val="Style41"/>
        <w:keepNext w:val="0"/>
        <w:keepLines w:val="0"/>
        <w:widowControl w:val="0"/>
        <w:shd w:val="clear" w:color="auto" w:fill="auto"/>
        <w:bidi w:val="0"/>
        <w:spacing w:before="0" w:after="80" w:line="310" w:lineRule="exact"/>
        <w:ind w:left="0" w:right="0" w:firstLine="440"/>
        <w:jc w:val="both"/>
        <w:rPr>
          <w:sz w:val="20"/>
          <w:szCs w:val="20"/>
        </w:rPr>
      </w:pPr>
      <w:r>
        <w:rPr>
          <w:color w:val="000000"/>
          <w:spacing w:val="0"/>
          <w:w w:val="100"/>
          <w:position w:val="0"/>
          <w:sz w:val="20"/>
          <w:szCs w:val="20"/>
        </w:rPr>
        <w:t>本公司资本管理政策的目标是为了保障本公司能够持续经营，从而为股东提供回报，并使其他利益相 关者获益，同时维持最佳的资本结构以降低资本成本。为了维持或调整资本结构，本公司可能会调整支付 给股东的股利金额、向股东返还资本、发行新股或出售资产以减低债务。本公司以资产负债率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即总负债除 以总资产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为基础对资本结构进行监控。于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日，本公司的资产负债率为</w:t>
      </w:r>
      <w:r>
        <w:rPr>
          <w:rFonts w:ascii="Times New Roman" w:eastAsia="Times New Roman" w:hAnsi="Times New Roman" w:cs="Times New Roman"/>
          <w:color w:val="000000"/>
          <w:spacing w:val="0"/>
          <w:w w:val="100"/>
          <w:position w:val="0"/>
          <w:sz w:val="20"/>
          <w:szCs w:val="20"/>
        </w:rPr>
        <w:t>52.90%(2020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70.01%)</w:t>
      </w:r>
      <w:r>
        <w:rPr>
          <w:color w:val="000000"/>
          <w:spacing w:val="0"/>
          <w:w w:val="100"/>
          <w:position w:val="0"/>
          <w:sz w:val="20"/>
          <w:szCs w:val="20"/>
        </w:rPr>
        <w:t>。</w:t>
      </w:r>
    </w:p>
    <w:p>
      <w:pPr>
        <w:pStyle w:val="Style27"/>
        <w:keepNext/>
        <w:keepLines/>
        <w:widowControl w:val="0"/>
        <w:shd w:val="clear" w:color="auto" w:fill="auto"/>
        <w:bidi w:val="0"/>
        <w:spacing w:before="0" w:line="240" w:lineRule="auto"/>
        <w:ind w:left="0" w:right="0" w:firstLine="0"/>
        <w:jc w:val="both"/>
      </w:pPr>
      <w:bookmarkStart w:id="1921" w:name="bookmark1921"/>
      <w:bookmarkStart w:id="1922" w:name="bookmark1922"/>
      <w:bookmarkStart w:id="1923" w:name="bookmark1923"/>
      <w:r>
        <w:rPr>
          <w:color w:val="000000"/>
          <w:spacing w:val="0"/>
          <w:w w:val="100"/>
          <w:position w:val="0"/>
          <w:sz w:val="24"/>
          <w:szCs w:val="24"/>
        </w:rPr>
        <w:t>十一、公允价值的披露</w:t>
      </w:r>
      <w:bookmarkEnd w:id="1921"/>
      <w:bookmarkEnd w:id="1922"/>
      <w:bookmarkEnd w:id="1923"/>
    </w:p>
    <w:p>
      <w:pPr>
        <w:pStyle w:val="Style41"/>
        <w:keepNext w:val="0"/>
        <w:keepLines w:val="0"/>
        <w:widowControl w:val="0"/>
        <w:shd w:val="clear" w:color="auto" w:fill="auto"/>
        <w:bidi w:val="0"/>
        <w:spacing w:before="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、以公允价值计量的资产和负债的期末公允价值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1,571,979.20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1,571,979.20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1,571,979.20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1,571,979.20</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41"/>
        <w:keepNext w:val="0"/>
        <w:keepLines w:val="0"/>
        <w:widowControl w:val="0"/>
        <w:shd w:val="clear" w:color="auto" w:fill="auto"/>
        <w:tabs>
          <w:tab w:pos="378" w:val="left"/>
        </w:tabs>
        <w:bidi w:val="0"/>
        <w:spacing w:before="0" w:after="300" w:line="311" w:lineRule="exact"/>
        <w:ind w:left="0" w:right="0" w:firstLine="0"/>
        <w:jc w:val="both"/>
        <w:rPr>
          <w:sz w:val="20"/>
          <w:szCs w:val="20"/>
        </w:rPr>
      </w:pPr>
      <w:bookmarkStart w:id="1924" w:name="bookmark1924"/>
      <w:r>
        <w:rPr>
          <w:rFonts w:ascii="Times New Roman" w:eastAsia="Times New Roman" w:hAnsi="Times New Roman" w:cs="Times New Roman"/>
          <w:b/>
          <w:bCs/>
          <w:color w:val="000000"/>
          <w:spacing w:val="0"/>
          <w:w w:val="100"/>
          <w:position w:val="0"/>
          <w:sz w:val="20"/>
          <w:szCs w:val="20"/>
        </w:rPr>
        <w:t>2</w:t>
      </w:r>
      <w:bookmarkEnd w:id="1924"/>
      <w:r>
        <w:rPr>
          <w:b/>
          <w:bCs/>
          <w:color w:val="000000"/>
          <w:spacing w:val="0"/>
          <w:w w:val="100"/>
          <w:position w:val="0"/>
          <w:sz w:val="20"/>
          <w:szCs w:val="20"/>
        </w:rPr>
        <w:t>、</w:t>
        <w:tab/>
        <w:t>持续和非持续第一层次公允价值计量项目市价的确定依据</w:t>
      </w:r>
    </w:p>
    <w:p>
      <w:pPr>
        <w:pStyle w:val="Style41"/>
        <w:keepNext w:val="0"/>
        <w:keepLines w:val="0"/>
        <w:widowControl w:val="0"/>
        <w:shd w:val="clear" w:color="auto" w:fill="auto"/>
        <w:tabs>
          <w:tab w:pos="378" w:val="left"/>
        </w:tabs>
        <w:bidi w:val="0"/>
        <w:spacing w:before="0" w:after="300" w:line="311" w:lineRule="exact"/>
        <w:ind w:left="0" w:right="0" w:firstLine="0"/>
        <w:jc w:val="both"/>
        <w:rPr>
          <w:sz w:val="20"/>
          <w:szCs w:val="20"/>
        </w:rPr>
      </w:pPr>
      <w:bookmarkStart w:id="1925" w:name="bookmark1925"/>
      <w:r>
        <w:rPr>
          <w:rFonts w:ascii="Times New Roman" w:eastAsia="Times New Roman" w:hAnsi="Times New Roman" w:cs="Times New Roman"/>
          <w:b/>
          <w:bCs/>
          <w:color w:val="000000"/>
          <w:spacing w:val="0"/>
          <w:w w:val="100"/>
          <w:position w:val="0"/>
          <w:sz w:val="20"/>
          <w:szCs w:val="20"/>
        </w:rPr>
        <w:t>3</w:t>
      </w:r>
      <w:bookmarkEnd w:id="1925"/>
      <w:r>
        <w:rPr>
          <w:b/>
          <w:bCs/>
          <w:color w:val="000000"/>
          <w:spacing w:val="0"/>
          <w:w w:val="100"/>
          <w:position w:val="0"/>
          <w:sz w:val="20"/>
          <w:szCs w:val="20"/>
        </w:rPr>
        <w:t>、</w:t>
        <w:tab/>
        <w:t>持续和非持续第二层次公允价值计量项目，采用的估值技术和重要参数的定性及定量信息</w:t>
      </w:r>
    </w:p>
    <w:p>
      <w:pPr>
        <w:pStyle w:val="Style41"/>
        <w:keepNext w:val="0"/>
        <w:keepLines w:val="0"/>
        <w:widowControl w:val="0"/>
        <w:shd w:val="clear" w:color="auto" w:fill="auto"/>
        <w:tabs>
          <w:tab w:pos="378" w:val="left"/>
        </w:tabs>
        <w:bidi w:val="0"/>
        <w:spacing w:before="0" w:after="300" w:line="311" w:lineRule="exact"/>
        <w:ind w:left="0" w:right="0" w:firstLine="0"/>
        <w:jc w:val="both"/>
        <w:rPr>
          <w:sz w:val="20"/>
          <w:szCs w:val="20"/>
        </w:rPr>
      </w:pPr>
      <w:bookmarkStart w:id="1926" w:name="bookmark1926"/>
      <w:r>
        <w:rPr>
          <w:rFonts w:ascii="Times New Roman" w:eastAsia="Times New Roman" w:hAnsi="Times New Roman" w:cs="Times New Roman"/>
          <w:b/>
          <w:bCs/>
          <w:color w:val="000000"/>
          <w:spacing w:val="0"/>
          <w:w w:val="100"/>
          <w:position w:val="0"/>
          <w:sz w:val="20"/>
          <w:szCs w:val="20"/>
        </w:rPr>
        <w:t>4</w:t>
      </w:r>
      <w:bookmarkEnd w:id="1926"/>
      <w:r>
        <w:rPr>
          <w:b/>
          <w:bCs/>
          <w:color w:val="000000"/>
          <w:spacing w:val="0"/>
          <w:w w:val="100"/>
          <w:position w:val="0"/>
          <w:sz w:val="20"/>
          <w:szCs w:val="20"/>
        </w:rPr>
        <w:t>、</w:t>
        <w:tab/>
        <w:t>持续和非持续第三层次公允价值计量项目，采用的估值技术和重要参数的定性及定量信息</w:t>
      </w:r>
    </w:p>
    <w:p>
      <w:pPr>
        <w:pStyle w:val="Style41"/>
        <w:keepNext w:val="0"/>
        <w:keepLines w:val="0"/>
        <w:widowControl w:val="0"/>
        <w:shd w:val="clear" w:color="auto" w:fill="auto"/>
        <w:tabs>
          <w:tab w:pos="378" w:val="left"/>
        </w:tabs>
        <w:bidi w:val="0"/>
        <w:spacing w:before="0" w:after="300" w:line="311" w:lineRule="exact"/>
        <w:ind w:left="0" w:right="0" w:firstLine="0"/>
        <w:jc w:val="both"/>
        <w:rPr>
          <w:sz w:val="20"/>
          <w:szCs w:val="20"/>
        </w:rPr>
      </w:pPr>
      <w:bookmarkStart w:id="1927" w:name="bookmark1927"/>
      <w:r>
        <w:rPr>
          <w:rFonts w:ascii="Times New Roman" w:eastAsia="Times New Roman" w:hAnsi="Times New Roman" w:cs="Times New Roman"/>
          <w:b/>
          <w:bCs/>
          <w:color w:val="000000"/>
          <w:spacing w:val="0"/>
          <w:w w:val="100"/>
          <w:position w:val="0"/>
          <w:sz w:val="20"/>
          <w:szCs w:val="20"/>
        </w:rPr>
        <w:t>5</w:t>
      </w:r>
      <w:bookmarkEnd w:id="1927"/>
      <w:r>
        <w:rPr>
          <w:b/>
          <w:bCs/>
          <w:color w:val="000000"/>
          <w:spacing w:val="0"/>
          <w:w w:val="100"/>
          <w:position w:val="0"/>
          <w:sz w:val="20"/>
          <w:szCs w:val="20"/>
        </w:rPr>
        <w:t>、</w:t>
        <w:tab/>
        <w:t>持续的第三层次公允价值计量项目，期初与期末账面价值间的调节信息及不可观察参数敏感性分析</w:t>
      </w:r>
    </w:p>
    <w:p>
      <w:pPr>
        <w:pStyle w:val="Style4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对于不在活跃市场上交易的其他权益工具投资中的盈行金融信息技术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有限公司，采用估值技术确定 其公允价值。所使用的估值模型主要为现金流量折现模型。估值技术的输入值主要包括预期收益、折现率 或资本化率等。</w:t>
      </w:r>
    </w:p>
    <w:p>
      <w:pPr>
        <w:pStyle w:val="Style41"/>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对于不在活跃市场上交易的其他权益工具投资中的北京伟达助云企业管理中心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、北京伟达 聚才企业管理中心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由于公司持有被投资单位股权较低，无重大影响，对被投资公司股权采用收 益法或者市场法进行估值不切实可行，且近期内被投资单位并无引入外部投资者、股东之间转让股权等可 作为确定公允价值的参考依据，此外，公司从可获取的相关信息分析，未发现被投资单位内外部环境自年 初以来已发生重大变化，因此属于可用账面成本作为公允价值最佳估计的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，因此年末以成本作 为公允价值。</w:t>
      </w:r>
    </w:p>
    <w:p>
      <w:pPr>
        <w:pStyle w:val="Style41"/>
        <w:keepNext w:val="0"/>
        <w:keepLines w:val="0"/>
        <w:widowControl w:val="0"/>
        <w:shd w:val="clear" w:color="auto" w:fill="auto"/>
        <w:bidi w:val="0"/>
        <w:spacing w:before="0" w:after="680" w:line="311" w:lineRule="exact"/>
        <w:ind w:left="0" w:right="0" w:firstLine="440"/>
        <w:jc w:val="left"/>
        <w:rPr>
          <w:sz w:val="20"/>
          <w:szCs w:val="20"/>
        </w:rPr>
      </w:pPr>
      <w:r>
        <w:rPr>
          <w:color w:val="000000"/>
          <w:spacing w:val="0"/>
          <w:w w:val="100"/>
          <w:position w:val="0"/>
          <w:sz w:val="20"/>
          <w:szCs w:val="20"/>
        </w:rPr>
        <w:t>对于不在活跃市场上交易的超额业绩奖励款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由于公司按照账面金额支付款项，因此属于可用账面金额 作为公允价值最佳估计的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，因此年末以协议约定价格作为公允价值。</w:t>
      </w:r>
    </w:p>
    <w:p>
      <w:pPr>
        <w:pStyle w:val="Style41"/>
        <w:keepNext w:val="0"/>
        <w:keepLines w:val="0"/>
        <w:widowControl w:val="0"/>
        <w:shd w:val="clear" w:color="auto" w:fill="auto"/>
        <w:tabs>
          <w:tab w:pos="378" w:val="left"/>
        </w:tabs>
        <w:bidi w:val="0"/>
        <w:spacing w:before="0" w:line="240" w:lineRule="auto"/>
        <w:ind w:left="0" w:right="0" w:firstLine="0"/>
        <w:jc w:val="left"/>
        <w:rPr>
          <w:sz w:val="20"/>
          <w:szCs w:val="20"/>
        </w:rPr>
      </w:pPr>
      <w:bookmarkStart w:id="1928" w:name="bookmark1928"/>
      <w:r>
        <w:rPr>
          <w:rFonts w:ascii="Times New Roman" w:eastAsia="Times New Roman" w:hAnsi="Times New Roman" w:cs="Times New Roman"/>
          <w:b/>
          <w:bCs/>
          <w:color w:val="000000"/>
          <w:spacing w:val="0"/>
          <w:w w:val="100"/>
          <w:position w:val="0"/>
          <w:sz w:val="20"/>
          <w:szCs w:val="20"/>
        </w:rPr>
        <w:t>6</w:t>
      </w:r>
      <w:bookmarkEnd w:id="1928"/>
      <w:r>
        <w:rPr>
          <w:b/>
          <w:bCs/>
          <w:color w:val="000000"/>
          <w:spacing w:val="0"/>
          <w:w w:val="100"/>
          <w:position w:val="0"/>
          <w:sz w:val="20"/>
          <w:szCs w:val="20"/>
        </w:rPr>
        <w:t>、</w:t>
        <w:tab/>
        <w:t>持续的公允价值计量项目，本期内发生各层级之间转换的，转换的原因及确定转换时点的政策</w:t>
      </w:r>
    </w:p>
    <w:p>
      <w:pPr>
        <w:pStyle w:val="Style41"/>
        <w:keepNext w:val="0"/>
        <w:keepLines w:val="0"/>
        <w:widowControl w:val="0"/>
        <w:shd w:val="clear" w:color="auto" w:fill="auto"/>
        <w:tabs>
          <w:tab w:pos="378" w:val="left"/>
        </w:tabs>
        <w:bidi w:val="0"/>
        <w:spacing w:before="0" w:line="240" w:lineRule="auto"/>
        <w:ind w:left="0" w:right="0" w:firstLine="0"/>
        <w:jc w:val="left"/>
        <w:rPr>
          <w:sz w:val="20"/>
          <w:szCs w:val="20"/>
        </w:rPr>
      </w:pPr>
      <w:bookmarkStart w:id="1929" w:name="bookmark1929"/>
      <w:r>
        <w:rPr>
          <w:rFonts w:ascii="Times New Roman" w:eastAsia="Times New Roman" w:hAnsi="Times New Roman" w:cs="Times New Roman"/>
          <w:b/>
          <w:bCs/>
          <w:color w:val="000000"/>
          <w:spacing w:val="0"/>
          <w:w w:val="100"/>
          <w:position w:val="0"/>
          <w:sz w:val="20"/>
          <w:szCs w:val="20"/>
        </w:rPr>
        <w:t>7</w:t>
      </w:r>
      <w:bookmarkEnd w:id="1929"/>
      <w:r>
        <w:rPr>
          <w:b/>
          <w:bCs/>
          <w:color w:val="000000"/>
          <w:spacing w:val="0"/>
          <w:w w:val="100"/>
          <w:position w:val="0"/>
          <w:sz w:val="20"/>
          <w:szCs w:val="20"/>
        </w:rPr>
        <w:t>、</w:t>
        <w:tab/>
        <w:t>本期内发生的估值技术变更及变更原因</w:t>
      </w:r>
    </w:p>
    <w:p>
      <w:pPr>
        <w:pStyle w:val="Style41"/>
        <w:keepNext w:val="0"/>
        <w:keepLines w:val="0"/>
        <w:widowControl w:val="0"/>
        <w:shd w:val="clear" w:color="auto" w:fill="auto"/>
        <w:tabs>
          <w:tab w:pos="378" w:val="left"/>
        </w:tabs>
        <w:bidi w:val="0"/>
        <w:spacing w:before="0" w:line="240" w:lineRule="auto"/>
        <w:ind w:left="0" w:right="0" w:firstLine="0"/>
        <w:jc w:val="left"/>
        <w:rPr>
          <w:sz w:val="20"/>
          <w:szCs w:val="20"/>
        </w:rPr>
      </w:pPr>
      <w:bookmarkStart w:id="1930" w:name="bookmark1930"/>
      <w:r>
        <w:rPr>
          <w:rFonts w:ascii="Times New Roman" w:eastAsia="Times New Roman" w:hAnsi="Times New Roman" w:cs="Times New Roman"/>
          <w:b/>
          <w:bCs/>
          <w:color w:val="000000"/>
          <w:spacing w:val="0"/>
          <w:w w:val="100"/>
          <w:position w:val="0"/>
          <w:sz w:val="20"/>
          <w:szCs w:val="20"/>
        </w:rPr>
        <w:t>8</w:t>
      </w:r>
      <w:bookmarkEnd w:id="1930"/>
      <w:r>
        <w:rPr>
          <w:b/>
          <w:bCs/>
          <w:color w:val="000000"/>
          <w:spacing w:val="0"/>
          <w:w w:val="100"/>
          <w:position w:val="0"/>
          <w:sz w:val="20"/>
          <w:szCs w:val="20"/>
        </w:rPr>
        <w:t>、</w:t>
        <w:tab/>
        <w:t>不以公允价值计量的金融资产和金融负债的公允价值情况</w:t>
      </w:r>
    </w:p>
    <w:p>
      <w:pPr>
        <w:pStyle w:val="Style41"/>
        <w:keepNext w:val="0"/>
        <w:keepLines w:val="0"/>
        <w:widowControl w:val="0"/>
        <w:shd w:val="clear" w:color="auto" w:fill="auto"/>
        <w:bidi w:val="0"/>
        <w:spacing w:before="0" w:after="680" w:line="240" w:lineRule="auto"/>
        <w:ind w:left="0" w:right="0" w:firstLine="440"/>
        <w:jc w:val="both"/>
        <w:rPr>
          <w:sz w:val="20"/>
          <w:szCs w:val="20"/>
        </w:rPr>
      </w:pPr>
      <w:r>
        <w:rPr>
          <w:color w:val="000000"/>
          <w:spacing w:val="0"/>
          <w:w w:val="100"/>
          <w:position w:val="0"/>
          <w:sz w:val="20"/>
          <w:szCs w:val="20"/>
        </w:rPr>
        <w:t xml:space="preserve">本公司以摊余成本计量的金融资产和金融负债主要包括：货币资金、应收账款、其他应收款、短期借 </w:t>
      </w:r>
      <w:r>
        <w:rPr>
          <w:color w:val="000000"/>
          <w:spacing w:val="0"/>
          <w:w w:val="100"/>
          <w:position w:val="0"/>
          <w:sz w:val="20"/>
          <w:szCs w:val="20"/>
        </w:rPr>
        <w:t>款、应付票据、应付账款、其他应付款、长期借款、长期应付款等。本公司不以公允价值计量的金融资产 和金融负债的账面价值与公允价值相差很小。</w:t>
      </w:r>
    </w:p>
    <w:p>
      <w:pPr>
        <w:pStyle w:val="Style32"/>
        <w:keepNext/>
        <w:keepLines/>
        <w:widowControl w:val="0"/>
        <w:shd w:val="clear" w:color="auto" w:fill="auto"/>
        <w:bidi w:val="0"/>
        <w:spacing w:before="0" w:after="32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9</w:t>
      </w:r>
      <w:bookmarkEnd w:id="1933"/>
      <w:r>
        <w:rPr>
          <w:color w:val="000000"/>
          <w:spacing w:val="0"/>
          <w:w w:val="100"/>
          <w:position w:val="0"/>
        </w:rPr>
        <w:t>、其他</w:t>
      </w:r>
      <w:bookmarkEnd w:id="1931"/>
      <w:bookmarkEnd w:id="1932"/>
      <w:bookmarkEnd w:id="1934"/>
    </w:p>
    <w:p>
      <w:pPr>
        <w:pStyle w:val="Style27"/>
        <w:keepNext/>
        <w:keepLines/>
        <w:widowControl w:val="0"/>
        <w:shd w:val="clear" w:color="auto" w:fill="auto"/>
        <w:bidi w:val="0"/>
        <w:spacing w:before="0" w:after="380" w:line="240" w:lineRule="auto"/>
        <w:ind w:left="0" w:right="0" w:firstLine="0"/>
        <w:jc w:val="left"/>
      </w:pPr>
      <w:bookmarkStart w:id="1935" w:name="bookmark1935"/>
      <w:bookmarkStart w:id="1936" w:name="bookmark1936"/>
      <w:bookmarkStart w:id="1937" w:name="bookmark1937"/>
      <w:r>
        <w:rPr>
          <w:color w:val="000000"/>
          <w:spacing w:val="0"/>
          <w:w w:val="100"/>
          <w:position w:val="0"/>
          <w:sz w:val="24"/>
          <w:szCs w:val="24"/>
        </w:rPr>
        <w:t>十二、关联方及关联交易</w:t>
      </w:r>
      <w:bookmarkEnd w:id="1935"/>
      <w:bookmarkEnd w:id="1936"/>
      <w:bookmarkEnd w:id="1937"/>
    </w:p>
    <w:p>
      <w:pPr>
        <w:pStyle w:val="Style32"/>
        <w:keepNext/>
        <w:keepLines/>
        <w:widowControl w:val="0"/>
        <w:shd w:val="clear" w:color="auto" w:fill="auto"/>
        <w:bidi w:val="0"/>
        <w:spacing w:before="0" w:after="320" w:line="240" w:lineRule="auto"/>
        <w:ind w:left="0" w:right="0" w:firstLine="0"/>
        <w:jc w:val="left"/>
      </w:pPr>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38"/>
      <w:bookmarkEnd w:id="1939"/>
      <w:bookmarkEnd w:id="1940"/>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鹰潭市鹰高投资咨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江西省鹰潭市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7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本企业最终控制方是于伟。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80" w:line="326" w:lineRule="exact"/>
        <w:ind w:left="0" w:right="0" w:firstLine="440"/>
        <w:jc w:val="left"/>
        <w:rPr>
          <w:sz w:val="20"/>
          <w:szCs w:val="20"/>
        </w:rPr>
      </w:pPr>
      <w:r>
        <w:rPr>
          <w:color w:val="000000"/>
          <w:spacing w:val="0"/>
          <w:w w:val="100"/>
          <w:position w:val="0"/>
          <w:sz w:val="20"/>
          <w:szCs w:val="20"/>
        </w:rPr>
        <w:t>本公司的最终控制方为自然人于伟，于伟通过鹰潭市鹰高投资咨询有限公司间接持有本公司</w:t>
      </w:r>
      <w:r>
        <w:rPr>
          <w:rFonts w:ascii="Times New Roman" w:eastAsia="Times New Roman" w:hAnsi="Times New Roman" w:cs="Times New Roman"/>
          <w:color w:val="000000"/>
          <w:spacing w:val="0"/>
          <w:w w:val="100"/>
          <w:position w:val="0"/>
          <w:sz w:val="20"/>
          <w:szCs w:val="20"/>
        </w:rPr>
        <w:t>22.75%</w:t>
      </w:r>
      <w:r>
        <w:rPr>
          <w:color w:val="000000"/>
          <w:spacing w:val="0"/>
          <w:w w:val="100"/>
          <w:position w:val="0"/>
          <w:sz w:val="20"/>
          <w:szCs w:val="20"/>
        </w:rPr>
        <w:t>股 份。</w:t>
      </w:r>
    </w:p>
    <w:p>
      <w:pPr>
        <w:pStyle w:val="Style32"/>
        <w:keepNext/>
        <w:keepLines/>
        <w:widowControl w:val="0"/>
        <w:shd w:val="clear" w:color="auto" w:fill="auto"/>
        <w:tabs>
          <w:tab w:pos="378" w:val="left"/>
        </w:tabs>
        <w:bidi w:val="0"/>
        <w:spacing w:before="0" w:after="280" w:line="341"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2</w:t>
      </w:r>
      <w:bookmarkEnd w:id="1943"/>
      <w:r>
        <w:rPr>
          <w:color w:val="000000"/>
          <w:spacing w:val="0"/>
          <w:w w:val="100"/>
          <w:position w:val="0"/>
        </w:rPr>
        <w:t>、</w:t>
        <w:tab/>
        <w:t>本企业的子公司情况</w:t>
      </w:r>
      <w:bookmarkEnd w:id="1941"/>
      <w:bookmarkEnd w:id="1942"/>
      <w:bookmarkEnd w:id="194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在子公司中的权益七</w:t>
      </w:r>
    </w:p>
    <w:p>
      <w:pPr>
        <w:pStyle w:val="Style32"/>
        <w:keepNext/>
        <w:keepLines/>
        <w:widowControl w:val="0"/>
        <w:shd w:val="clear" w:color="auto" w:fill="auto"/>
        <w:tabs>
          <w:tab w:pos="378" w:val="left"/>
        </w:tabs>
        <w:bidi w:val="0"/>
        <w:spacing w:before="0" w:after="280" w:line="341"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3</w:t>
      </w:r>
      <w:bookmarkEnd w:id="1947"/>
      <w:r>
        <w:rPr>
          <w:color w:val="000000"/>
          <w:spacing w:val="0"/>
          <w:w w:val="100"/>
          <w:position w:val="0"/>
        </w:rPr>
        <w:t>、</w:t>
        <w:tab/>
        <w:t>本企业合营和联营企业情况</w:t>
      </w:r>
      <w:bookmarkEnd w:id="1945"/>
      <w:bookmarkEnd w:id="1946"/>
      <w:bookmarkEnd w:id="194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在合营安排或联营企业中的权益七</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4</w:t>
      </w:r>
      <w:bookmarkEnd w:id="1951"/>
      <w:r>
        <w:rPr>
          <w:color w:val="000000"/>
          <w:spacing w:val="0"/>
          <w:w w:val="100"/>
          <w:position w:val="0"/>
        </w:rPr>
        <w:t>、其他关联方情况</w:t>
      </w:r>
      <w:bookmarkEnd w:id="1949"/>
      <w:bookmarkEnd w:id="1950"/>
      <w:bookmarkEnd w:id="19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五莲恒力智信股权投资合伙企业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子公司快读科技之原股东、受子公司快读科技董事长控制的 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子公司快读科技之董事长</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海南欢乐坚果信息咨询中心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子公司海南坚果之原股东、受子公司海南坚果董事长控制的</w:t>
            </w:r>
          </w:p>
        </w:tc>
      </w:tr>
    </w:tbl>
    <w:p>
      <w:pPr>
        <w:widowControl w:val="0"/>
        <w:spacing w:line="1" w:lineRule="exact"/>
      </w:pPr>
      <w:r>
        <w:br w:type="page"/>
      </w:r>
    </w:p>
    <w:tbl>
      <w:tblPr>
        <w:tblOverlap w:val="never"/>
        <w:jc w:val="center"/>
        <w:tblLayout w:type="fixed"/>
      </w:tblPr>
      <w:tblGrid>
        <w:gridCol w:w="4790"/>
        <w:gridCol w:w="479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子公司海南坚果之董事长</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5</w:t>
      </w:r>
      <w:bookmarkEnd w:id="1955"/>
      <w:r>
        <w:rPr>
          <w:color w:val="000000"/>
          <w:spacing w:val="0"/>
          <w:w w:val="100"/>
          <w:position w:val="0"/>
        </w:rPr>
        <w:t>、关联交易情况</w:t>
      </w:r>
      <w:bookmarkEnd w:id="1953"/>
      <w:bookmarkEnd w:id="1954"/>
      <w:bookmarkEnd w:id="1956"/>
    </w:p>
    <w:p>
      <w:pPr>
        <w:pStyle w:val="Style32"/>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53"/>
      <w:bookmarkEnd w:id="1954"/>
      <w:bookmarkEnd w:id="195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北京睿斓科技有限 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17,577,757.89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21,508,069.61</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中信科技发展有限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北京数微科技有限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17,753,757.89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21,510,205.61</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中信科技发展有限公司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3,831,027.34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7,531,146.01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3,851,621.38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7,631,146.01</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2"/>
        <w:keepNext/>
        <w:keepLines/>
        <w:widowControl w:val="0"/>
        <w:shd w:val="clear" w:color="auto" w:fill="auto"/>
        <w:bidi w:val="0"/>
        <w:spacing w:before="0" w:after="380" w:line="240" w:lineRule="auto"/>
        <w:ind w:left="0" w:right="0" w:firstLine="0"/>
        <w:jc w:val="left"/>
      </w:pPr>
      <w:bookmarkStart w:id="1958" w:name="bookmark1958"/>
      <w:bookmarkStart w:id="1959" w:name="bookmark1959"/>
      <w:bookmarkStart w:id="1960" w:name="bookmark19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58"/>
      <w:bookmarkEnd w:id="1959"/>
      <w:bookmarkEnd w:id="196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r>
        <w:br w:type="page"/>
      </w:r>
    </w:p>
    <w:p>
      <w:pPr>
        <w:pStyle w:val="Style32"/>
        <w:keepNext/>
        <w:keepLines/>
        <w:widowControl w:val="0"/>
        <w:shd w:val="clear" w:color="auto" w:fill="auto"/>
        <w:bidi w:val="0"/>
        <w:spacing w:before="0" w:after="380" w:line="240" w:lineRule="auto"/>
        <w:ind w:left="0" w:right="0" w:firstLine="0"/>
        <w:jc w:val="both"/>
      </w:pPr>
      <w:bookmarkStart w:id="1961" w:name="bookmark1961"/>
      <w:bookmarkStart w:id="1962" w:name="bookmark1962"/>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61"/>
      <w:bookmarkEnd w:id="1962"/>
      <w:bookmarkEnd w:id="1964"/>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w:t>
      </w:r>
    </w:p>
    <w:p>
      <w:pPr>
        <w:pStyle w:val="Style32"/>
        <w:keepNext/>
        <w:keepLines/>
        <w:widowControl w:val="0"/>
        <w:shd w:val="clear" w:color="auto" w:fill="auto"/>
        <w:bidi w:val="0"/>
        <w:spacing w:before="0" w:after="380" w:line="240" w:lineRule="auto"/>
        <w:ind w:left="0" w:right="0" w:firstLine="0"/>
        <w:jc w:val="both"/>
      </w:pPr>
      <w:bookmarkStart w:id="1965" w:name="bookmark1965"/>
      <w:bookmarkStart w:id="1966" w:name="bookmark1966"/>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65"/>
      <w:bookmarkEnd w:id="1966"/>
      <w:bookmarkEnd w:id="1968"/>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33,173,801.00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15,516,784.70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2"/>
        <w:keepNext/>
        <w:keepLines/>
        <w:widowControl w:val="0"/>
        <w:shd w:val="clear" w:color="auto" w:fill="auto"/>
        <w:bidi w:val="0"/>
        <w:spacing w:before="0" w:after="0" w:line="314" w:lineRule="exact"/>
        <w:ind w:left="0" w:right="0" w:firstLine="180"/>
        <w:jc w:val="both"/>
      </w:pPr>
      <w:bookmarkStart w:id="1969" w:name="bookmark1969"/>
      <w:bookmarkStart w:id="1970" w:name="bookmark1970"/>
      <w:bookmarkStart w:id="1971" w:name="bookmark1971"/>
      <w:bookmarkStart w:id="1972" w:name="bookmark1972"/>
      <w:r>
        <w:rPr>
          <w:rFonts w:ascii="Times New Roman" w:eastAsia="Times New Roman" w:hAnsi="Times New Roman" w:cs="Times New Roman"/>
          <w:b w:val="0"/>
          <w:bCs w:val="0"/>
          <w:color w:val="000000"/>
          <w:spacing w:val="0"/>
          <w:w w:val="100"/>
          <w:position w:val="0"/>
        </w:rPr>
        <w:t>1</w:t>
      </w:r>
      <w:bookmarkEnd w:id="1971"/>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本公司分别于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25</w:t>
      </w:r>
      <w:r>
        <w:rPr>
          <w:b w:val="0"/>
          <w:bCs w:val="0"/>
          <w:color w:val="000000"/>
          <w:spacing w:val="0"/>
          <w:w w:val="100"/>
          <w:position w:val="0"/>
        </w:rPr>
        <w:t>日、</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日、</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26</w:t>
      </w:r>
      <w:r>
        <w:rPr>
          <w:b w:val="0"/>
          <w:bCs w:val="0"/>
          <w:color w:val="000000"/>
          <w:spacing w:val="0"/>
          <w:w w:val="100"/>
          <w:position w:val="0"/>
        </w:rPr>
        <w:t>日向兴业银行股份有限公司北京世纪坛支 行借入人民币</w:t>
      </w:r>
      <w:r>
        <w:rPr>
          <w:rFonts w:ascii="Times New Roman" w:eastAsia="Times New Roman" w:hAnsi="Times New Roman" w:cs="Times New Roman"/>
          <w:b w:val="0"/>
          <w:bCs w:val="0"/>
          <w:color w:val="000000"/>
          <w:spacing w:val="0"/>
          <w:w w:val="100"/>
          <w:position w:val="0"/>
        </w:rPr>
        <w:t>33,173,801.00</w:t>
      </w:r>
      <w:r>
        <w:rPr>
          <w:b w:val="0"/>
          <w:bCs w:val="0"/>
          <w:color w:val="000000"/>
          <w:spacing w:val="0"/>
          <w:w w:val="100"/>
          <w:position w:val="0"/>
        </w:rPr>
        <w:t>元、</w:t>
      </w:r>
      <w:r>
        <w:rPr>
          <w:rFonts w:ascii="Times New Roman" w:eastAsia="Times New Roman" w:hAnsi="Times New Roman" w:cs="Times New Roman"/>
          <w:b w:val="0"/>
          <w:bCs w:val="0"/>
          <w:color w:val="000000"/>
          <w:spacing w:val="0"/>
          <w:w w:val="100"/>
          <w:position w:val="0"/>
        </w:rPr>
        <w:t>100,000,000.00</w:t>
      </w:r>
      <w:r>
        <w:rPr>
          <w:b w:val="0"/>
          <w:bCs w:val="0"/>
          <w:color w:val="000000"/>
          <w:spacing w:val="0"/>
          <w:w w:val="100"/>
          <w:position w:val="0"/>
        </w:rPr>
        <w:t>元、</w:t>
      </w:r>
      <w:r>
        <w:rPr>
          <w:rFonts w:ascii="Times New Roman" w:eastAsia="Times New Roman" w:hAnsi="Times New Roman" w:cs="Times New Roman"/>
          <w:b w:val="0"/>
          <w:bCs w:val="0"/>
          <w:color w:val="000000"/>
          <w:spacing w:val="0"/>
          <w:w w:val="100"/>
          <w:position w:val="0"/>
        </w:rPr>
        <w:t>55,000,000.00</w:t>
      </w:r>
      <w:r>
        <w:rPr>
          <w:b w:val="0"/>
          <w:bCs w:val="0"/>
          <w:color w:val="000000"/>
          <w:spacing w:val="0"/>
          <w:w w:val="100"/>
          <w:position w:val="0"/>
        </w:rPr>
        <w:t>元，由自然人于伟等为本公司提供担保。 截至</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日，款项均尚未到期。</w:t>
      </w:r>
      <w:bookmarkEnd w:id="1969"/>
      <w:bookmarkEnd w:id="1970"/>
      <w:bookmarkEnd w:id="1972"/>
    </w:p>
    <w:p>
      <w:pPr>
        <w:pStyle w:val="Style32"/>
        <w:keepNext/>
        <w:keepLines/>
        <w:widowControl w:val="0"/>
        <w:shd w:val="clear" w:color="auto" w:fill="auto"/>
        <w:bidi w:val="0"/>
        <w:spacing w:before="0" w:after="660" w:line="314" w:lineRule="exact"/>
        <w:ind w:left="0" w:right="0" w:firstLine="34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b w:val="0"/>
          <w:bCs w:val="0"/>
          <w:color w:val="000000"/>
          <w:spacing w:val="0"/>
          <w:w w:val="100"/>
          <w:position w:val="0"/>
        </w:rPr>
        <w:t>2</w:t>
      </w:r>
      <w:bookmarkEnd w:id="1975"/>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本公司于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日向中国民生银行股份有限公司北京分行借入人民币</w:t>
      </w:r>
      <w:r>
        <w:rPr>
          <w:rFonts w:ascii="Times New Roman" w:eastAsia="Times New Roman" w:hAnsi="Times New Roman" w:cs="Times New Roman"/>
          <w:b w:val="0"/>
          <w:bCs w:val="0"/>
          <w:color w:val="000000"/>
          <w:spacing w:val="0"/>
          <w:w w:val="100"/>
          <w:position w:val="0"/>
        </w:rPr>
        <w:t>15,516,784.70</w:t>
      </w:r>
      <w:r>
        <w:rPr>
          <w:b w:val="0"/>
          <w:bCs w:val="0"/>
          <w:color w:val="000000"/>
          <w:spacing w:val="0"/>
          <w:w w:val="100"/>
          <w:position w:val="0"/>
        </w:rPr>
        <w:t>元，由自然 人于伟为本公司提供担保。截至</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日，款项尚未到期。</w:t>
      </w:r>
      <w:bookmarkEnd w:id="1973"/>
      <w:bookmarkEnd w:id="1974"/>
      <w:bookmarkEnd w:id="1976"/>
    </w:p>
    <w:p>
      <w:pPr>
        <w:pStyle w:val="Style32"/>
        <w:keepNext/>
        <w:keepLines/>
        <w:widowControl w:val="0"/>
        <w:shd w:val="clear" w:color="auto" w:fill="auto"/>
        <w:bidi w:val="0"/>
        <w:spacing w:before="0" w:after="380" w:line="240" w:lineRule="auto"/>
        <w:ind w:left="0" w:right="0" w:firstLine="0"/>
        <w:jc w:val="both"/>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77"/>
      <w:bookmarkEnd w:id="1978"/>
      <w:bookmarkEnd w:id="1980"/>
    </w:p>
    <w:p>
      <w:pPr>
        <w:widowControl w:val="0"/>
        <w:jc w:val="center"/>
        <w:rPr>
          <w:sz w:val="2"/>
          <w:szCs w:val="2"/>
        </w:rPr>
      </w:pPr>
      <w:r>
        <w:drawing>
          <wp:inline>
            <wp:extent cx="6126480" cy="95123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6126480" cy="951230"/>
                    </a:xfrm>
                    <a:prstGeom prst="rect"/>
                  </pic:spPr>
                </pic:pic>
              </a:graphicData>
            </a:graphic>
          </wp:inline>
        </w:drawing>
      </w:r>
      <w:r>
        <w:br w:type="page"/>
      </w:r>
    </w:p>
    <w:p>
      <w:pPr>
        <w:pStyle w:val="Style32"/>
        <w:keepNext/>
        <w:keepLines/>
        <w:widowControl w:val="0"/>
        <w:shd w:val="clear" w:color="auto" w:fill="auto"/>
        <w:bidi w:val="0"/>
        <w:spacing w:before="0" w:after="380" w:line="240" w:lineRule="auto"/>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81"/>
      <w:bookmarkEnd w:id="1982"/>
      <w:bookmarkEnd w:id="198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85"/>
      <w:bookmarkEnd w:id="1986"/>
      <w:bookmarkEnd w:id="198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关键管理人员人数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在本公司领取报酬人数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报酬总额</w:t>
            </w:r>
            <w:r>
              <w:rPr>
                <w:rFonts w:ascii="Times New Roman" w:eastAsia="Times New Roman" w:hAnsi="Times New Roman" w:cs="Times New Roman"/>
                <w:color w:val="000000"/>
                <w:spacing w:val="0"/>
                <w:w w:val="100"/>
                <w:position w:val="0"/>
              </w:rPr>
              <w:t>（</w:t>
            </w:r>
            <w:r>
              <w:rPr>
                <w:color w:val="000000"/>
                <w:spacing w:val="0"/>
                <w:w w:val="100"/>
                <w:position w:val="0"/>
              </w:rPr>
              <w:t>万元</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798.16</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89"/>
      <w:bookmarkEnd w:id="1990"/>
      <w:bookmarkEnd w:id="1992"/>
    </w:p>
    <w:p>
      <w:pPr>
        <w:pStyle w:val="Style32"/>
        <w:keepNext/>
        <w:keepLines/>
        <w:widowControl w:val="0"/>
        <w:shd w:val="clear" w:color="auto" w:fill="auto"/>
        <w:bidi w:val="0"/>
        <w:spacing w:before="0" w:after="380" w:line="240" w:lineRule="auto"/>
        <w:ind w:left="0" w:right="0" w:firstLine="0"/>
        <w:jc w:val="left"/>
      </w:pPr>
      <w:bookmarkStart w:id="1989" w:name="bookmark1989"/>
      <w:bookmarkStart w:id="1990" w:name="bookmark1990"/>
      <w:bookmarkStart w:id="1993" w:name="bookmark1993"/>
      <w:bookmarkStart w:id="1994" w:name="bookmark1994"/>
      <w:r>
        <w:rPr>
          <w:rFonts w:ascii="Times New Roman" w:eastAsia="Times New Roman" w:hAnsi="Times New Roman" w:cs="Times New Roman"/>
          <w:color w:val="000000"/>
          <w:spacing w:val="0"/>
          <w:w w:val="100"/>
          <w:position w:val="0"/>
        </w:rPr>
        <w:t>6</w:t>
      </w:r>
      <w:bookmarkEnd w:id="1993"/>
      <w:r>
        <w:rPr>
          <w:color w:val="000000"/>
          <w:spacing w:val="0"/>
          <w:w w:val="100"/>
          <w:position w:val="0"/>
        </w:rPr>
        <w:t>、关联方应收应付款项</w:t>
      </w:r>
      <w:bookmarkEnd w:id="1989"/>
      <w:bookmarkEnd w:id="1990"/>
      <w:bookmarkEnd w:id="1994"/>
    </w:p>
    <w:p>
      <w:pPr>
        <w:pStyle w:val="Style32"/>
        <w:keepNext/>
        <w:keepLines/>
        <w:widowControl w:val="0"/>
        <w:shd w:val="clear" w:color="auto" w:fill="auto"/>
        <w:bidi w:val="0"/>
        <w:spacing w:before="0" w:after="340" w:line="240" w:lineRule="auto"/>
        <w:ind w:left="0" w:right="0" w:firstLine="0"/>
        <w:jc w:val="left"/>
      </w:pPr>
      <w:bookmarkStart w:id="1989" w:name="bookmark1989"/>
      <w:bookmarkStart w:id="1990" w:name="bookmark1990"/>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89"/>
      <w:bookmarkEnd w:id="1990"/>
      <w:bookmarkEnd w:id="199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03"/>
        <w:gridCol w:w="2410"/>
        <w:gridCol w:w="1378"/>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北京睿斓科技有限责任公司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24,700,000.00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中信科技发展有限公司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1,485,870.00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44,576.10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3,825,365.00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114,761.00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北京睿斓科技有限责任公司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2,949,852.52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199.50</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96"/>
      <w:bookmarkEnd w:id="1997"/>
      <w:bookmarkEnd w:id="199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3562"/>
        <w:gridCol w:w="1843"/>
        <w:gridCol w:w="178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中信科技发展有限公司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北京睿斓科技有限责任公司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217,483.00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五莲恒力智信股权投资合伙企业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51,008,292.39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143,484,444.51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515,235.28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1,449,337.83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海南欢乐坚果信息咨询中心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867,735.00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8,765.00</w:t>
            </w:r>
          </w:p>
        </w:tc>
      </w:tr>
    </w:tbl>
    <w:p>
      <w:pPr>
        <w:pStyle w:val="Style41"/>
        <w:keepNext w:val="0"/>
        <w:keepLines w:val="0"/>
        <w:widowControl w:val="0"/>
        <w:shd w:val="clear" w:color="auto" w:fill="auto"/>
        <w:tabs>
          <w:tab w:pos="373" w:val="left"/>
        </w:tabs>
        <w:bidi w:val="0"/>
        <w:spacing w:before="0" w:after="300" w:line="314" w:lineRule="exact"/>
        <w:ind w:left="0" w:right="0" w:firstLine="0"/>
        <w:jc w:val="left"/>
        <w:rPr>
          <w:sz w:val="20"/>
          <w:szCs w:val="20"/>
        </w:rPr>
      </w:pPr>
      <w:bookmarkStart w:id="1999" w:name="bookmark1999"/>
      <w:r>
        <w:rPr>
          <w:rFonts w:ascii="Times New Roman" w:eastAsia="Times New Roman" w:hAnsi="Times New Roman" w:cs="Times New Roman"/>
          <w:b/>
          <w:bCs/>
          <w:color w:val="000000"/>
          <w:spacing w:val="0"/>
          <w:w w:val="100"/>
          <w:position w:val="0"/>
          <w:sz w:val="20"/>
          <w:szCs w:val="20"/>
        </w:rPr>
        <w:t>7</w:t>
      </w:r>
      <w:bookmarkEnd w:id="1999"/>
      <w:r>
        <w:rPr>
          <w:b/>
          <w:bCs/>
          <w:color w:val="000000"/>
          <w:spacing w:val="0"/>
          <w:w w:val="100"/>
          <w:position w:val="0"/>
          <w:sz w:val="20"/>
          <w:szCs w:val="20"/>
        </w:rPr>
        <w:t>、</w:t>
        <w:tab/>
        <w:t>关联方承诺</w:t>
      </w:r>
    </w:p>
    <w:p>
      <w:pPr>
        <w:pStyle w:val="Style41"/>
        <w:keepNext w:val="0"/>
        <w:keepLines w:val="0"/>
        <w:widowControl w:val="0"/>
        <w:shd w:val="clear" w:color="auto" w:fill="auto"/>
        <w:tabs>
          <w:tab w:pos="378" w:val="left"/>
        </w:tabs>
        <w:bidi w:val="0"/>
        <w:spacing w:before="0" w:after="300" w:line="314" w:lineRule="exact"/>
        <w:ind w:left="0" w:right="0" w:firstLine="0"/>
        <w:jc w:val="left"/>
        <w:rPr>
          <w:sz w:val="20"/>
          <w:szCs w:val="20"/>
        </w:rPr>
      </w:pPr>
      <w:bookmarkStart w:id="2000" w:name="bookmark2000"/>
      <w:r>
        <w:rPr>
          <w:rFonts w:ascii="Times New Roman" w:eastAsia="Times New Roman" w:hAnsi="Times New Roman" w:cs="Times New Roman"/>
          <w:b/>
          <w:bCs/>
          <w:color w:val="000000"/>
          <w:spacing w:val="0"/>
          <w:w w:val="100"/>
          <w:position w:val="0"/>
          <w:sz w:val="20"/>
          <w:szCs w:val="20"/>
        </w:rPr>
        <w:t>8</w:t>
      </w:r>
      <w:bookmarkEnd w:id="2000"/>
      <w:r>
        <w:rPr>
          <w:b/>
          <w:bCs/>
          <w:color w:val="000000"/>
          <w:spacing w:val="0"/>
          <w:w w:val="100"/>
          <w:position w:val="0"/>
          <w:sz w:val="20"/>
          <w:szCs w:val="20"/>
        </w:rPr>
        <w:t>、</w:t>
        <w:tab/>
        <w:t>其他</w:t>
      </w:r>
    </w:p>
    <w:p>
      <w:pPr>
        <w:pStyle w:val="Style27"/>
        <w:keepNext/>
        <w:keepLines/>
        <w:widowControl w:val="0"/>
        <w:shd w:val="clear" w:color="auto" w:fill="auto"/>
        <w:bidi w:val="0"/>
        <w:spacing w:before="0" w:after="300" w:line="240" w:lineRule="auto"/>
        <w:ind w:left="0" w:right="0" w:firstLine="0"/>
        <w:jc w:val="left"/>
      </w:pPr>
      <w:bookmarkStart w:id="2001" w:name="bookmark2001"/>
      <w:bookmarkStart w:id="2002" w:name="bookmark2002"/>
      <w:bookmarkStart w:id="2003" w:name="bookmark2003"/>
      <w:r>
        <w:rPr>
          <w:color w:val="000000"/>
          <w:spacing w:val="0"/>
          <w:w w:val="100"/>
          <w:position w:val="0"/>
          <w:sz w:val="24"/>
          <w:szCs w:val="24"/>
        </w:rPr>
        <w:t>十三、股份支付</w:t>
      </w:r>
      <w:bookmarkEnd w:id="2001"/>
      <w:bookmarkEnd w:id="2002"/>
      <w:bookmarkEnd w:id="2003"/>
    </w:p>
    <w:p>
      <w:pPr>
        <w:pStyle w:val="Style32"/>
        <w:keepNext/>
        <w:keepLines/>
        <w:widowControl w:val="0"/>
        <w:shd w:val="clear" w:color="auto" w:fill="auto"/>
        <w:tabs>
          <w:tab w:pos="368" w:val="left"/>
        </w:tabs>
        <w:bidi w:val="0"/>
        <w:spacing w:before="0" w:line="314" w:lineRule="exact"/>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1</w:t>
      </w:r>
      <w:bookmarkEnd w:id="2006"/>
      <w:r>
        <w:rPr>
          <w:color w:val="000000"/>
          <w:spacing w:val="0"/>
          <w:w w:val="100"/>
          <w:position w:val="0"/>
        </w:rPr>
        <w:t>、</w:t>
        <w:tab/>
        <w:t>股份支付总体情况</w:t>
      </w:r>
      <w:bookmarkEnd w:id="2004"/>
      <w:bookmarkEnd w:id="2005"/>
      <w:bookmarkEnd w:id="2007"/>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314" w:lineRule="exact"/>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2</w:t>
      </w:r>
      <w:bookmarkEnd w:id="2010"/>
      <w:r>
        <w:rPr>
          <w:color w:val="000000"/>
          <w:spacing w:val="0"/>
          <w:w w:val="100"/>
          <w:position w:val="0"/>
        </w:rPr>
        <w:t>、</w:t>
        <w:tab/>
        <w:t>以权益结算的股份支付情况</w:t>
      </w:r>
      <w:bookmarkEnd w:id="2008"/>
      <w:bookmarkEnd w:id="2009"/>
      <w:bookmarkEnd w:id="2011"/>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314" w:lineRule="exact"/>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3</w:t>
      </w:r>
      <w:bookmarkEnd w:id="2014"/>
      <w:r>
        <w:rPr>
          <w:color w:val="000000"/>
          <w:spacing w:val="0"/>
          <w:w w:val="100"/>
          <w:position w:val="0"/>
        </w:rPr>
        <w:t>、</w:t>
        <w:tab/>
        <w:t>以现金结算的股份支付情况</w:t>
      </w:r>
      <w:bookmarkEnd w:id="2012"/>
      <w:bookmarkEnd w:id="2013"/>
      <w:bookmarkEnd w:id="2015"/>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val="0"/>
        <w:keepLines w:val="0"/>
        <w:widowControl w:val="0"/>
        <w:shd w:val="clear" w:color="auto" w:fill="auto"/>
        <w:tabs>
          <w:tab w:pos="378" w:val="left"/>
        </w:tabs>
        <w:bidi w:val="0"/>
        <w:spacing w:before="0" w:after="300" w:line="314" w:lineRule="exact"/>
        <w:ind w:left="0" w:right="0" w:firstLine="0"/>
        <w:jc w:val="left"/>
        <w:rPr>
          <w:sz w:val="20"/>
          <w:szCs w:val="20"/>
        </w:rPr>
      </w:pPr>
      <w:bookmarkStart w:id="2016" w:name="bookmark2016"/>
      <w:r>
        <w:rPr>
          <w:rFonts w:ascii="Times New Roman" w:eastAsia="Times New Roman" w:hAnsi="Times New Roman" w:cs="Times New Roman"/>
          <w:b/>
          <w:bCs/>
          <w:color w:val="000000"/>
          <w:spacing w:val="0"/>
          <w:w w:val="100"/>
          <w:position w:val="0"/>
          <w:sz w:val="20"/>
          <w:szCs w:val="20"/>
        </w:rPr>
        <w:t>4</w:t>
      </w:r>
      <w:bookmarkEnd w:id="2016"/>
      <w:r>
        <w:rPr>
          <w:b/>
          <w:bCs/>
          <w:color w:val="000000"/>
          <w:spacing w:val="0"/>
          <w:w w:val="100"/>
          <w:position w:val="0"/>
          <w:sz w:val="20"/>
          <w:szCs w:val="20"/>
        </w:rPr>
        <w:t>、</w:t>
        <w:tab/>
        <w:t>股份支付的修改、终止情况</w:t>
      </w:r>
    </w:p>
    <w:p>
      <w:pPr>
        <w:pStyle w:val="Style41"/>
        <w:keepNext w:val="0"/>
        <w:keepLines w:val="0"/>
        <w:widowControl w:val="0"/>
        <w:shd w:val="clear" w:color="auto" w:fill="auto"/>
        <w:tabs>
          <w:tab w:pos="378" w:val="left"/>
        </w:tabs>
        <w:bidi w:val="0"/>
        <w:spacing w:before="0" w:line="314" w:lineRule="exact"/>
        <w:ind w:left="0" w:right="0" w:firstLine="0"/>
        <w:jc w:val="left"/>
        <w:rPr>
          <w:sz w:val="20"/>
          <w:szCs w:val="20"/>
        </w:rPr>
      </w:pPr>
      <w:bookmarkStart w:id="2017" w:name="bookmark2017"/>
      <w:r>
        <w:rPr>
          <w:rFonts w:ascii="Times New Roman" w:eastAsia="Times New Roman" w:hAnsi="Times New Roman" w:cs="Times New Roman"/>
          <w:b/>
          <w:bCs/>
          <w:color w:val="000000"/>
          <w:spacing w:val="0"/>
          <w:w w:val="100"/>
          <w:position w:val="0"/>
          <w:sz w:val="20"/>
          <w:szCs w:val="20"/>
        </w:rPr>
        <w:t>5</w:t>
      </w:r>
      <w:bookmarkEnd w:id="2017"/>
      <w:r>
        <w:rPr>
          <w:b/>
          <w:bCs/>
          <w:color w:val="000000"/>
          <w:spacing w:val="0"/>
          <w:w w:val="100"/>
          <w:position w:val="0"/>
          <w:sz w:val="20"/>
          <w:szCs w:val="20"/>
        </w:rPr>
        <w:t>、</w:t>
        <w:tab/>
        <w:t>其他</w:t>
      </w:r>
    </w:p>
    <w:p>
      <w:pPr>
        <w:pStyle w:val="Style27"/>
        <w:keepNext/>
        <w:keepLines/>
        <w:widowControl w:val="0"/>
        <w:shd w:val="clear" w:color="auto" w:fill="auto"/>
        <w:bidi w:val="0"/>
        <w:spacing w:before="0" w:after="300" w:line="240" w:lineRule="auto"/>
        <w:ind w:left="0" w:right="0" w:firstLine="0"/>
        <w:jc w:val="left"/>
      </w:pPr>
      <w:bookmarkStart w:id="2018" w:name="bookmark2018"/>
      <w:bookmarkStart w:id="2019" w:name="bookmark2019"/>
      <w:bookmarkStart w:id="2020" w:name="bookmark2020"/>
      <w:r>
        <w:rPr>
          <w:color w:val="000000"/>
          <w:spacing w:val="0"/>
          <w:w w:val="100"/>
          <w:position w:val="0"/>
          <w:sz w:val="24"/>
          <w:szCs w:val="24"/>
        </w:rPr>
        <w:t>十四、承诺及或有事项</w:t>
      </w:r>
      <w:bookmarkEnd w:id="2018"/>
      <w:bookmarkEnd w:id="2019"/>
      <w:bookmarkEnd w:id="2020"/>
    </w:p>
    <w:p>
      <w:pPr>
        <w:pStyle w:val="Style32"/>
        <w:keepNext/>
        <w:keepLines/>
        <w:widowControl w:val="0"/>
        <w:shd w:val="clear" w:color="auto" w:fill="auto"/>
        <w:bidi w:val="0"/>
        <w:spacing w:before="0" w:line="314" w:lineRule="exact"/>
        <w:ind w:left="0" w:right="0" w:firstLine="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21"/>
      <w:bookmarkEnd w:id="2022"/>
      <w:bookmarkEnd w:id="2023"/>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资产负债表日存在的重要承诺</w:t>
      </w:r>
    </w:p>
    <w:p>
      <w:pPr>
        <w:pStyle w:val="Style41"/>
        <w:keepNext w:val="0"/>
        <w:keepLines w:val="0"/>
        <w:widowControl w:val="0"/>
        <w:numPr>
          <w:ilvl w:val="0"/>
          <w:numId w:val="173"/>
        </w:numPr>
        <w:shd w:val="clear" w:color="auto" w:fill="auto"/>
        <w:bidi w:val="0"/>
        <w:spacing w:before="0" w:after="0" w:line="314" w:lineRule="exact"/>
        <w:ind w:left="0" w:right="0" w:firstLine="440"/>
        <w:jc w:val="left"/>
        <w:rPr>
          <w:sz w:val="20"/>
          <w:szCs w:val="20"/>
        </w:rPr>
      </w:pPr>
      <w:bookmarkStart w:id="2024" w:name="bookmark2024"/>
      <w:bookmarkEnd w:id="2024"/>
      <w:r>
        <w:rPr>
          <w:color w:val="000000"/>
          <w:spacing w:val="0"/>
          <w:w w:val="100"/>
          <w:position w:val="0"/>
          <w:sz w:val="20"/>
          <w:szCs w:val="20"/>
        </w:rPr>
        <w:t>已签订的正在或准备履行的并购协议</w:t>
      </w:r>
    </w:p>
    <w:p>
      <w:pPr>
        <w:pStyle w:val="Style41"/>
        <w:keepNext w:val="0"/>
        <w:keepLines w:val="0"/>
        <w:widowControl w:val="0"/>
        <w:shd w:val="clear" w:color="auto" w:fill="auto"/>
        <w:tabs>
          <w:tab w:pos="866" w:val="left"/>
        </w:tabs>
        <w:bidi w:val="0"/>
        <w:spacing w:before="0" w:after="0" w:line="314" w:lineRule="exact"/>
        <w:ind w:left="0" w:right="0" w:firstLine="440"/>
        <w:jc w:val="both"/>
        <w:rPr>
          <w:sz w:val="20"/>
          <w:szCs w:val="20"/>
        </w:rPr>
      </w:pPr>
      <w:bookmarkStart w:id="2025" w:name="bookmark2025"/>
      <w:r>
        <w:rPr>
          <w:rFonts w:ascii="Times New Roman" w:eastAsia="Times New Roman" w:hAnsi="Times New Roman" w:cs="Times New Roman"/>
          <w:color w:val="000000"/>
          <w:spacing w:val="0"/>
          <w:w w:val="100"/>
          <w:position w:val="0"/>
          <w:sz w:val="20"/>
          <w:szCs w:val="20"/>
        </w:rPr>
        <w:t>（</w:t>
      </w:r>
      <w:bookmarkEnd w:id="2025"/>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收购上海睿民互联网科技有限公司</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日，本公司与北京睿韬科技有限责任公司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北京睿韬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以及宁波镇海翔易融联投资管 理合伙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宁波翔易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签订《高伟达软件股份有限公司与上海睿民互联网科技有限公司全体股 东之发行股份及支付现金购买资产协议》及《盈利预测补偿协议》，本公司向北京睿韬发行</w:t>
      </w:r>
      <w:r>
        <w:rPr>
          <w:rFonts w:ascii="Times New Roman" w:eastAsia="Times New Roman" w:hAnsi="Times New Roman" w:cs="Times New Roman"/>
          <w:color w:val="000000"/>
          <w:spacing w:val="0"/>
          <w:w w:val="100"/>
          <w:position w:val="0"/>
          <w:sz w:val="20"/>
          <w:szCs w:val="20"/>
        </w:rPr>
        <w:t>14,076.00</w:t>
      </w:r>
      <w:r>
        <w:rPr>
          <w:color w:val="000000"/>
          <w:spacing w:val="0"/>
          <w:w w:val="100"/>
          <w:position w:val="0"/>
          <w:sz w:val="20"/>
          <w:szCs w:val="20"/>
        </w:rPr>
        <w:t>万元 等值股票，并支付</w:t>
      </w:r>
      <w:r>
        <w:rPr>
          <w:rFonts w:ascii="Times New Roman" w:eastAsia="Times New Roman" w:hAnsi="Times New Roman" w:cs="Times New Roman"/>
          <w:color w:val="000000"/>
          <w:spacing w:val="0"/>
          <w:w w:val="100"/>
          <w:position w:val="0"/>
          <w:sz w:val="20"/>
          <w:szCs w:val="20"/>
        </w:rPr>
        <w:t>3,924.00</w:t>
      </w:r>
      <w:r>
        <w:rPr>
          <w:color w:val="000000"/>
          <w:spacing w:val="0"/>
          <w:w w:val="100"/>
          <w:position w:val="0"/>
          <w:sz w:val="20"/>
          <w:szCs w:val="20"/>
        </w:rPr>
        <w:t>万元现金收购其持有的上海睿民互联网科技有限公司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上海睿民</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的 股权；向宁波翔易发行</w:t>
      </w:r>
      <w:r>
        <w:rPr>
          <w:rFonts w:ascii="Times New Roman" w:eastAsia="Times New Roman" w:hAnsi="Times New Roman" w:cs="Times New Roman"/>
          <w:color w:val="000000"/>
          <w:spacing w:val="0"/>
          <w:w w:val="100"/>
          <w:position w:val="0"/>
          <w:sz w:val="20"/>
          <w:szCs w:val="20"/>
        </w:rPr>
        <w:t>9,384.00</w:t>
      </w:r>
      <w:r>
        <w:rPr>
          <w:color w:val="000000"/>
          <w:spacing w:val="0"/>
          <w:w w:val="100"/>
          <w:position w:val="0"/>
          <w:sz w:val="20"/>
          <w:szCs w:val="20"/>
        </w:rPr>
        <w:t>万元等值股票并支付</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,616.00</w:t>
      </w:r>
      <w:r>
        <w:rPr>
          <w:color w:val="000000"/>
          <w:spacing w:val="0"/>
          <w:w w:val="100"/>
          <w:position w:val="0"/>
          <w:sz w:val="20"/>
          <w:szCs w:val="20"/>
        </w:rPr>
        <w:t>万元现金收购其持有的上海睿民</w:t>
      </w:r>
      <w:r>
        <w:rPr>
          <w:rFonts w:ascii="Times New Roman" w:eastAsia="Times New Roman" w:hAnsi="Times New Roman" w:cs="Times New Roman"/>
          <w:color w:val="000000"/>
          <w:spacing w:val="0"/>
          <w:w w:val="100"/>
          <w:position w:val="0"/>
          <w:sz w:val="20"/>
          <w:szCs w:val="20"/>
        </w:rPr>
        <w:t>40.00%</w:t>
      </w:r>
      <w:r>
        <w:rPr>
          <w:color w:val="000000"/>
          <w:spacing w:val="0"/>
          <w:w w:val="100"/>
          <w:position w:val="0"/>
          <w:sz w:val="20"/>
          <w:szCs w:val="20"/>
        </w:rPr>
        <w:t>的股 权。业绩承诺期间届满时，上海睿民于业绩承诺期内累计实际实现归属于母公司股东的扣除非经常性损益 后的净利润数超过累计承诺利润数，且在对赌期间内每一期的业绩承诺都完成的前提下，则本公司同意将 累计超额实现净利润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即累计实际实现净利润数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累计承诺净利润数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乘以届时本公司持有上海睿民股权的 比例再乘以</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的比例，由上海睿民按照本次交易前北京睿韬及宁波翔易持有上海睿民的持股比例进行 分配。超额业绩奖励安排是基于标的资产实际盈利数大于业绩承诺数的超额部分，且奖励总额不超过超额 业绩部分的</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，且不超过交易对价的</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。业绩承诺期为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年，目前</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 已实现协议规定的承诺业绩。</w:t>
      </w:r>
    </w:p>
    <w:p>
      <w:pPr>
        <w:pStyle w:val="Style41"/>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日，本公司已结清股权转让款。已实现超额业绩对价款</w:t>
      </w:r>
      <w:r>
        <w:rPr>
          <w:rFonts w:ascii="Times New Roman" w:eastAsia="Times New Roman" w:hAnsi="Times New Roman" w:cs="Times New Roman"/>
          <w:color w:val="000000"/>
          <w:spacing w:val="0"/>
          <w:w w:val="100"/>
          <w:position w:val="0"/>
          <w:sz w:val="20"/>
          <w:szCs w:val="20"/>
        </w:rPr>
        <w:t>157.20</w:t>
      </w:r>
      <w:r>
        <w:rPr>
          <w:color w:val="000000"/>
          <w:spacing w:val="0"/>
          <w:w w:val="100"/>
          <w:position w:val="0"/>
          <w:sz w:val="20"/>
          <w:szCs w:val="20"/>
        </w:rPr>
        <w:t>万元，尚未支付。</w:t>
      </w:r>
    </w:p>
    <w:p>
      <w:pPr>
        <w:pStyle w:val="Style41"/>
        <w:keepNext w:val="0"/>
        <w:keepLines w:val="0"/>
        <w:widowControl w:val="0"/>
        <w:shd w:val="clear" w:color="auto" w:fill="auto"/>
        <w:tabs>
          <w:tab w:pos="866" w:val="left"/>
        </w:tabs>
        <w:bidi w:val="0"/>
        <w:spacing w:before="0" w:after="0" w:line="314" w:lineRule="exact"/>
        <w:ind w:left="0" w:right="0" w:firstLine="440"/>
        <w:jc w:val="left"/>
        <w:rPr>
          <w:sz w:val="20"/>
          <w:szCs w:val="20"/>
        </w:rPr>
      </w:pPr>
      <w:bookmarkStart w:id="2026" w:name="bookmark2026"/>
      <w:r>
        <w:rPr>
          <w:rFonts w:ascii="Times New Roman" w:eastAsia="Times New Roman" w:hAnsi="Times New Roman" w:cs="Times New Roman"/>
          <w:color w:val="000000"/>
          <w:spacing w:val="0"/>
          <w:w w:val="100"/>
          <w:position w:val="0"/>
          <w:sz w:val="20"/>
          <w:szCs w:val="20"/>
        </w:rPr>
        <w:t>（</w:t>
      </w:r>
      <w:bookmarkEnd w:id="2026"/>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收购深圳市快读科技有限公司</w:t>
      </w:r>
    </w:p>
    <w:p>
      <w:pPr>
        <w:pStyle w:val="Style41"/>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日，本公司与寿宁县恒力智信股权投资合伙企业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恒力智信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更名为五莲 恒力智信股权投资合伙企业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以及黄河签订《股权收购协议》，本公司向恒力智信及黄河支付 </w:t>
      </w:r>
      <w:r>
        <w:rPr>
          <w:rFonts w:ascii="Times New Roman" w:eastAsia="Times New Roman" w:hAnsi="Times New Roman" w:cs="Times New Roman"/>
          <w:color w:val="000000"/>
          <w:spacing w:val="0"/>
          <w:w w:val="100"/>
          <w:position w:val="0"/>
          <w:sz w:val="20"/>
          <w:szCs w:val="20"/>
        </w:rPr>
        <w:t>41,400.00</w:t>
      </w:r>
      <w:r>
        <w:rPr>
          <w:color w:val="000000"/>
          <w:spacing w:val="0"/>
          <w:w w:val="100"/>
          <w:position w:val="0"/>
          <w:sz w:val="20"/>
          <w:szCs w:val="20"/>
        </w:rPr>
        <w:t>万元现金收购其持有的深圳市快读科技有限公司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快读科技</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日本公司与恒力智信、黄河签订了《关于深圳市快读科技有限公司的股权收购协议之补充协议》。业绩承 诺期为</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年，目前</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年已实现协议规定的承诺业绩，</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年按照约定需实现净利润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扣除非经常性损益后归属于母公司所有者的净利润</w:t>
      </w:r>
      <w:r>
        <w:rPr>
          <w:rFonts w:ascii="Times New Roman" w:eastAsia="Times New Roman" w:hAnsi="Times New Roman" w:cs="Times New Roman"/>
          <w:color w:val="000000"/>
          <w:spacing w:val="0"/>
          <w:w w:val="100"/>
          <w:position w:val="0"/>
          <w:sz w:val="20"/>
          <w:szCs w:val="20"/>
        </w:rPr>
        <w:t>）5,470.00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年经审计的净利润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扣除非经常性 损益后归属于母公司所有者的净利润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w:t>
      </w:r>
      <w:r>
        <w:rPr>
          <w:rFonts w:ascii="Times New Roman" w:eastAsia="Times New Roman" w:hAnsi="Times New Roman" w:cs="Times New Roman"/>
          <w:color w:val="000000"/>
          <w:spacing w:val="0"/>
          <w:w w:val="100"/>
          <w:position w:val="0"/>
          <w:sz w:val="20"/>
          <w:szCs w:val="20"/>
        </w:rPr>
        <w:t>4,681.56</w:t>
      </w:r>
      <w:r>
        <w:rPr>
          <w:color w:val="000000"/>
          <w:spacing w:val="0"/>
          <w:w w:val="100"/>
          <w:position w:val="0"/>
          <w:sz w:val="20"/>
          <w:szCs w:val="20"/>
        </w:rPr>
        <w:t>万元。</w:t>
      </w:r>
    </w:p>
    <w:p>
      <w:pPr>
        <w:pStyle w:val="Style41"/>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快读科技公司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年实际税后净利润未能实现承诺税后净利润的，则根据利润实现情况，按以下约定 分别执行：</w:t>
      </w:r>
    </w:p>
    <w:p>
      <w:pPr>
        <w:pStyle w:val="Style41"/>
        <w:keepNext w:val="0"/>
        <w:keepLines w:val="0"/>
        <w:widowControl w:val="0"/>
        <w:shd w:val="clear" w:color="auto" w:fill="auto"/>
        <w:tabs>
          <w:tab w:pos="762" w:val="left"/>
        </w:tabs>
        <w:bidi w:val="0"/>
        <w:spacing w:before="0" w:after="0" w:line="316" w:lineRule="exact"/>
        <w:ind w:left="0" w:right="0" w:firstLine="440"/>
        <w:jc w:val="left"/>
        <w:rPr>
          <w:sz w:val="20"/>
          <w:szCs w:val="20"/>
        </w:rPr>
      </w:pPr>
      <w:bookmarkStart w:id="2027" w:name="bookmark2027"/>
      <w:r>
        <w:rPr>
          <w:rFonts w:ascii="Times New Roman" w:eastAsia="Times New Roman" w:hAnsi="Times New Roman" w:cs="Times New Roman"/>
          <w:color w:val="000000"/>
          <w:spacing w:val="0"/>
          <w:w w:val="100"/>
          <w:position w:val="0"/>
          <w:sz w:val="20"/>
          <w:szCs w:val="20"/>
        </w:rPr>
        <w:t>a</w:t>
      </w:r>
      <w:bookmarkEnd w:id="202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如实际税后净利润超过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承诺税后净利润的</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，则按约定按照如下公式支付转让款：实际支付转 让款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全部第五期转让款</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实际税后净利润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承诺税后净利润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41"/>
        <w:keepNext w:val="0"/>
        <w:keepLines w:val="0"/>
        <w:widowControl w:val="0"/>
        <w:shd w:val="clear" w:color="auto" w:fill="auto"/>
        <w:tabs>
          <w:tab w:pos="781" w:val="left"/>
        </w:tabs>
        <w:bidi w:val="0"/>
        <w:spacing w:before="0" w:after="0" w:line="316" w:lineRule="exact"/>
        <w:ind w:left="0" w:right="0" w:firstLine="440"/>
        <w:jc w:val="left"/>
        <w:rPr>
          <w:sz w:val="20"/>
          <w:szCs w:val="20"/>
        </w:rPr>
      </w:pPr>
      <w:bookmarkStart w:id="2028" w:name="bookmark2028"/>
      <w:r>
        <w:rPr>
          <w:rFonts w:ascii="Times New Roman" w:eastAsia="Times New Roman" w:hAnsi="Times New Roman" w:cs="Times New Roman"/>
          <w:color w:val="000000"/>
          <w:spacing w:val="0"/>
          <w:w w:val="100"/>
          <w:position w:val="0"/>
          <w:sz w:val="20"/>
          <w:szCs w:val="20"/>
        </w:rPr>
        <w:t>b</w:t>
      </w:r>
      <w:bookmarkEnd w:id="202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如实际税后净利润低于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承诺税后净利润的</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但超过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承诺税后净利润的</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，则收购方根 据约定支付</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w:t>
      </w:r>
    </w:p>
    <w:p>
      <w:pPr>
        <w:pStyle w:val="Style41"/>
        <w:keepNext w:val="0"/>
        <w:keepLines w:val="0"/>
        <w:widowControl w:val="0"/>
        <w:shd w:val="clear" w:color="auto" w:fill="auto"/>
        <w:tabs>
          <w:tab w:pos="786" w:val="left"/>
        </w:tabs>
        <w:bidi w:val="0"/>
        <w:spacing w:before="0" w:after="0" w:line="316" w:lineRule="exact"/>
        <w:ind w:left="0" w:right="0" w:firstLine="440"/>
        <w:jc w:val="left"/>
        <w:rPr>
          <w:sz w:val="20"/>
          <w:szCs w:val="20"/>
        </w:rPr>
      </w:pPr>
      <w:bookmarkStart w:id="2029" w:name="bookmark2029"/>
      <w:r>
        <w:rPr>
          <w:rFonts w:ascii="Times New Roman" w:eastAsia="Times New Roman" w:hAnsi="Times New Roman" w:cs="Times New Roman"/>
          <w:color w:val="000000"/>
          <w:spacing w:val="0"/>
          <w:w w:val="100"/>
          <w:position w:val="0"/>
          <w:sz w:val="20"/>
          <w:szCs w:val="20"/>
        </w:rPr>
        <w:t>c</w:t>
      </w:r>
      <w:bookmarkEnd w:id="202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如实际税后净利润低于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承诺税后净利润的</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但超过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承诺税后净利润的</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，则收购方根 据约定支付</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w:t>
      </w:r>
    </w:p>
    <w:p>
      <w:pPr>
        <w:pStyle w:val="Style41"/>
        <w:keepNext w:val="0"/>
        <w:keepLines w:val="0"/>
        <w:widowControl w:val="0"/>
        <w:shd w:val="clear" w:color="auto" w:fill="auto"/>
        <w:tabs>
          <w:tab w:pos="808" w:val="left"/>
        </w:tabs>
        <w:bidi w:val="0"/>
        <w:spacing w:before="0" w:after="0" w:line="316" w:lineRule="exact"/>
        <w:ind w:left="0" w:right="0" w:firstLine="440"/>
        <w:jc w:val="left"/>
        <w:rPr>
          <w:sz w:val="20"/>
          <w:szCs w:val="20"/>
        </w:rPr>
      </w:pPr>
      <w:bookmarkStart w:id="2030" w:name="bookmark2030"/>
      <w:r>
        <w:rPr>
          <w:rFonts w:ascii="Times New Roman" w:eastAsia="Times New Roman" w:hAnsi="Times New Roman" w:cs="Times New Roman"/>
          <w:color w:val="000000"/>
          <w:spacing w:val="0"/>
          <w:w w:val="100"/>
          <w:position w:val="0"/>
          <w:sz w:val="20"/>
          <w:szCs w:val="20"/>
        </w:rPr>
        <w:t>d</w:t>
      </w:r>
      <w:bookmarkEnd w:id="203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如实际税后净利润低于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承诺税后净利润的</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，则收购方将不支付第五期转让款。</w:t>
      </w:r>
    </w:p>
    <w:p>
      <w:pPr>
        <w:pStyle w:val="Style41"/>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日，本公司已支付原股东股权转让款</w:t>
      </w:r>
      <w:r>
        <w:rPr>
          <w:rFonts w:ascii="Times New Roman" w:eastAsia="Times New Roman" w:hAnsi="Times New Roman" w:cs="Times New Roman"/>
          <w:color w:val="000000"/>
          <w:spacing w:val="0"/>
          <w:w w:val="100"/>
          <w:position w:val="0"/>
          <w:sz w:val="20"/>
          <w:szCs w:val="20"/>
        </w:rPr>
        <w:t>33,780.00</w:t>
      </w:r>
      <w:r>
        <w:rPr>
          <w:color w:val="000000"/>
          <w:spacing w:val="0"/>
          <w:w w:val="100"/>
          <w:position w:val="0"/>
          <w:sz w:val="20"/>
          <w:szCs w:val="20"/>
        </w:rPr>
        <w:t>万元，尚未支付股权转让款</w:t>
      </w:r>
      <w:r>
        <w:rPr>
          <w:rFonts w:ascii="Times New Roman" w:eastAsia="Times New Roman" w:hAnsi="Times New Roman" w:cs="Times New Roman"/>
          <w:color w:val="000000"/>
          <w:spacing w:val="0"/>
          <w:w w:val="100"/>
          <w:position w:val="0"/>
          <w:sz w:val="20"/>
          <w:szCs w:val="20"/>
        </w:rPr>
        <w:t xml:space="preserve">5,152.35 </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已扣除未实现承诺税后净利润之扣款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41"/>
        <w:keepNext w:val="0"/>
        <w:keepLines w:val="0"/>
        <w:widowControl w:val="0"/>
        <w:shd w:val="clear" w:color="auto" w:fill="auto"/>
        <w:bidi w:val="0"/>
        <w:spacing w:before="0" w:after="0" w:line="316" w:lineRule="exact"/>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其他重大财务承诺事项</w:t>
      </w:r>
    </w:p>
    <w:p>
      <w:pPr>
        <w:pStyle w:val="Style41"/>
        <w:keepNext w:val="0"/>
        <w:keepLines w:val="0"/>
        <w:widowControl w:val="0"/>
        <w:numPr>
          <w:ilvl w:val="0"/>
          <w:numId w:val="175"/>
        </w:numPr>
        <w:shd w:val="clear" w:color="auto" w:fill="auto"/>
        <w:bidi w:val="0"/>
        <w:spacing w:before="0" w:after="60" w:line="316" w:lineRule="exact"/>
        <w:ind w:left="0" w:right="0" w:firstLine="0"/>
        <w:jc w:val="left"/>
        <w:rPr>
          <w:sz w:val="20"/>
          <w:szCs w:val="20"/>
        </w:rPr>
      </w:pPr>
      <w:bookmarkStart w:id="2031" w:name="bookmark2031"/>
      <w:bookmarkEnd w:id="2031"/>
      <w:r>
        <w:rPr>
          <w:color w:val="000000"/>
          <w:spacing w:val="0"/>
          <w:w w:val="100"/>
          <w:position w:val="0"/>
          <w:sz w:val="20"/>
          <w:szCs w:val="20"/>
        </w:rPr>
        <w:t>合并范围内公司之间的财产抵押、质押担保情况，详见本财务报表附注十二</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关联担保情况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说明。</w:t>
      </w:r>
    </w:p>
    <w:p>
      <w:pPr>
        <w:pStyle w:val="Style29"/>
        <w:keepNext w:val="0"/>
        <w:keepLines w:val="0"/>
        <w:widowControl w:val="0"/>
        <w:numPr>
          <w:ilvl w:val="0"/>
          <w:numId w:val="177"/>
        </w:numPr>
        <w:shd w:val="clear" w:color="auto" w:fill="auto"/>
        <w:tabs>
          <w:tab w:pos="360" w:val="left"/>
        </w:tabs>
        <w:bidi w:val="0"/>
        <w:spacing w:before="0" w:after="60" w:line="240" w:lineRule="auto"/>
        <w:ind w:left="0" w:right="0" w:firstLine="0"/>
        <w:jc w:val="left"/>
        <w:rPr>
          <w:sz w:val="20"/>
          <w:szCs w:val="20"/>
        </w:rPr>
      </w:pPr>
      <w:r>
        <w:rPr>
          <w:color w:val="000000"/>
          <w:spacing w:val="0"/>
          <w:w w:val="100"/>
          <w:position w:val="0"/>
          <w:sz w:val="20"/>
          <w:szCs w:val="20"/>
        </w:rPr>
        <w:t>合并范围内无各公司为自身对外借款进行的财产抵押担保情况。</w:t>
      </w:r>
    </w:p>
    <w:p>
      <w:pPr>
        <w:pStyle w:val="Style29"/>
        <w:keepNext w:val="0"/>
        <w:keepLines w:val="0"/>
        <w:widowControl w:val="0"/>
        <w:numPr>
          <w:ilvl w:val="0"/>
          <w:numId w:val="177"/>
        </w:numPr>
        <w:shd w:val="clear" w:color="auto" w:fill="auto"/>
        <w:tabs>
          <w:tab w:pos="355" w:val="left"/>
        </w:tabs>
        <w:bidi w:val="0"/>
        <w:spacing w:before="0" w:after="60" w:line="240" w:lineRule="auto"/>
        <w:ind w:left="0" w:right="0" w:firstLine="0"/>
        <w:jc w:val="left"/>
        <w:rPr>
          <w:sz w:val="20"/>
          <w:szCs w:val="20"/>
        </w:rPr>
      </w:pPr>
      <w:r>
        <w:rPr>
          <w:color w:val="000000"/>
          <w:spacing w:val="0"/>
          <w:w w:val="100"/>
          <w:position w:val="0"/>
          <w:sz w:val="20"/>
          <w:szCs w:val="20"/>
        </w:rPr>
        <w:t>合并范围内各公司为自身对外借款进行的财产质押担保情况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单位：万元</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781"/>
        <w:gridCol w:w="1642"/>
        <w:gridCol w:w="1315"/>
        <w:gridCol w:w="1310"/>
        <w:gridCol w:w="1435"/>
        <w:gridCol w:w="1027"/>
        <w:gridCol w:w="1397"/>
      </w:tblGrid>
      <w:tr>
        <w:trPr>
          <w:trHeight w:val="6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担保单位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质押权人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质押标的物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质押物</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账面原值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质押物</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担保借款余</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借款到期日</w:t>
            </w:r>
          </w:p>
        </w:tc>
      </w:tr>
      <w:tr>
        <w:trPr>
          <w:trHeight w:val="90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上海睿民互联网科技 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交通银行股份有限公 司上海徐汇分</w:t>
            </w:r>
            <w:r>
              <w:rPr>
                <w:rFonts w:ascii="Times New Roman" w:eastAsia="Times New Roman" w:hAnsi="Times New Roman" w:cs="Times New Roman"/>
                <w:color w:val="000000"/>
                <w:spacing w:val="0"/>
                <w:w w:val="100"/>
                <w:position w:val="0"/>
              </w:rPr>
              <w:t>（</w:t>
            </w:r>
            <w:r>
              <w:rPr>
                <w:color w:val="000000"/>
                <w:spacing w:val="0"/>
                <w:w w:val="100"/>
                <w:position w:val="0"/>
              </w:rPr>
              <w:t>支</w:t>
            </w:r>
            <w:r>
              <w:rPr>
                <w:rFonts w:ascii="Times New Roman" w:eastAsia="Times New Roman" w:hAnsi="Times New Roman" w:cs="Times New Roman"/>
                <w:color w:val="000000"/>
                <w:spacing w:val="0"/>
                <w:w w:val="100"/>
                <w:position w:val="0"/>
              </w:rPr>
              <w:t>）</w:t>
            </w:r>
            <w:r>
              <w:rPr>
                <w:color w:val="000000"/>
                <w:spacing w:val="0"/>
                <w:w w:val="100"/>
                <w:position w:val="0"/>
              </w:rPr>
              <w:t>行</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2022-1-26</w:t>
            </w:r>
          </w:p>
        </w:tc>
      </w:tr>
    </w:tbl>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日，本公司因履约、投标等事项申请开具的尚未到期或解约的银行保函金额 </w:t>
      </w:r>
      <w:r>
        <w:rPr>
          <w:rFonts w:ascii="Times New Roman" w:eastAsia="Times New Roman" w:hAnsi="Times New Roman" w:cs="Times New Roman"/>
          <w:color w:val="000000"/>
          <w:spacing w:val="0"/>
          <w:w w:val="100"/>
          <w:position w:val="0"/>
          <w:sz w:val="20"/>
          <w:szCs w:val="20"/>
        </w:rPr>
        <w:t>43,015,271.71</w:t>
      </w:r>
      <w:r>
        <w:rPr>
          <w:color w:val="000000"/>
          <w:spacing w:val="0"/>
          <w:w w:val="100"/>
          <w:position w:val="0"/>
          <w:sz w:val="20"/>
          <w:szCs w:val="20"/>
        </w:rPr>
        <w:t>元，已开出未到期的银行承兑汇票</w:t>
      </w:r>
      <w:r>
        <w:rPr>
          <w:rFonts w:ascii="Times New Roman" w:eastAsia="Times New Roman" w:hAnsi="Times New Roman" w:cs="Times New Roman"/>
          <w:color w:val="000000"/>
          <w:spacing w:val="0"/>
          <w:w w:val="100"/>
          <w:position w:val="0"/>
          <w:sz w:val="20"/>
          <w:szCs w:val="20"/>
        </w:rPr>
        <w:t>16,072,461.00</w:t>
      </w:r>
      <w:r>
        <w:rPr>
          <w:color w:val="000000"/>
          <w:spacing w:val="0"/>
          <w:w w:val="100"/>
          <w:position w:val="0"/>
          <w:sz w:val="20"/>
          <w:szCs w:val="20"/>
        </w:rPr>
        <w:t>元。</w:t>
      </w:r>
    </w:p>
    <w:p>
      <w:pPr>
        <w:widowControl w:val="0"/>
        <w:spacing w:after="599" w:line="1" w:lineRule="exact"/>
      </w:pPr>
    </w:p>
    <w:p>
      <w:pPr>
        <w:pStyle w:val="Style32"/>
        <w:keepNext/>
        <w:keepLines/>
        <w:widowControl w:val="0"/>
        <w:shd w:val="clear" w:color="auto" w:fill="auto"/>
        <w:bidi w:val="0"/>
        <w:spacing w:before="0" w:line="240" w:lineRule="auto"/>
        <w:ind w:left="0" w:right="0" w:firstLine="0"/>
        <w:jc w:val="left"/>
      </w:pPr>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32"/>
      <w:bookmarkEnd w:id="2033"/>
      <w:bookmarkEnd w:id="2034"/>
    </w:p>
    <w:p>
      <w:pPr>
        <w:pStyle w:val="Style32"/>
        <w:keepNext/>
        <w:keepLines/>
        <w:widowControl w:val="0"/>
        <w:shd w:val="clear" w:color="auto" w:fill="auto"/>
        <w:bidi w:val="0"/>
        <w:spacing w:before="0" w:line="240" w:lineRule="auto"/>
        <w:ind w:left="0" w:right="0" w:firstLine="0"/>
        <w:jc w:val="left"/>
      </w:pPr>
      <w:bookmarkStart w:id="2032" w:name="bookmark2032"/>
      <w:bookmarkStart w:id="2033" w:name="bookmark2033"/>
      <w:bookmarkStart w:id="2035" w:name="bookmark20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32"/>
      <w:bookmarkEnd w:id="2033"/>
      <w:bookmarkEnd w:id="2035"/>
    </w:p>
    <w:p>
      <w:pPr>
        <w:pStyle w:val="Style41"/>
        <w:keepNext w:val="0"/>
        <w:keepLines w:val="0"/>
        <w:widowControl w:val="0"/>
        <w:numPr>
          <w:ilvl w:val="0"/>
          <w:numId w:val="179"/>
        </w:numPr>
        <w:shd w:val="clear" w:color="auto" w:fill="auto"/>
        <w:tabs>
          <w:tab w:pos="760" w:val="left"/>
        </w:tabs>
        <w:bidi w:val="0"/>
        <w:spacing w:before="0" w:after="60" w:line="240" w:lineRule="auto"/>
        <w:ind w:left="0" w:right="0" w:firstLine="440"/>
        <w:jc w:val="left"/>
        <w:rPr>
          <w:sz w:val="20"/>
          <w:szCs w:val="20"/>
        </w:rPr>
      </w:pPr>
      <w:bookmarkStart w:id="2036" w:name="bookmark2036"/>
      <w:bookmarkEnd w:id="2036"/>
      <w:r>
        <w:rPr>
          <w:color w:val="000000"/>
          <w:spacing w:val="0"/>
          <w:w w:val="100"/>
          <w:position w:val="0"/>
          <w:sz w:val="20"/>
          <w:szCs w:val="20"/>
        </w:rPr>
        <w:t>本期无未决诉讼仲裁形成的或有负债及其财务影响。</w:t>
      </w:r>
    </w:p>
    <w:p>
      <w:pPr>
        <w:pStyle w:val="Style41"/>
        <w:keepNext w:val="0"/>
        <w:keepLines w:val="0"/>
        <w:widowControl w:val="0"/>
        <w:numPr>
          <w:ilvl w:val="0"/>
          <w:numId w:val="179"/>
        </w:numPr>
        <w:shd w:val="clear" w:color="auto" w:fill="auto"/>
        <w:tabs>
          <w:tab w:pos="933" w:val="left"/>
        </w:tabs>
        <w:bidi w:val="0"/>
        <w:spacing w:before="0" w:after="60" w:line="240" w:lineRule="auto"/>
        <w:ind w:left="0" w:right="0" w:firstLine="440"/>
        <w:jc w:val="left"/>
        <w:rPr>
          <w:sz w:val="20"/>
          <w:szCs w:val="20"/>
        </w:rPr>
      </w:pPr>
      <w:bookmarkStart w:id="2037" w:name="bookmark2037"/>
      <w:bookmarkEnd w:id="2037"/>
      <w:r>
        <w:rPr>
          <w:color w:val="000000"/>
          <w:spacing w:val="0"/>
          <w:w w:val="100"/>
          <w:position w:val="0"/>
          <w:sz w:val="20"/>
          <w:szCs w:val="20"/>
        </w:rPr>
        <w:t>为其他单位提供债务担保形成的或有负债及其财务影响。</w:t>
      </w:r>
    </w:p>
    <w:p>
      <w:pPr>
        <w:pStyle w:val="Style41"/>
        <w:keepNext w:val="0"/>
        <w:keepLines w:val="0"/>
        <w:widowControl w:val="0"/>
        <w:shd w:val="clear" w:color="auto" w:fill="auto"/>
        <w:tabs>
          <w:tab w:pos="1003" w:val="left"/>
        </w:tabs>
        <w:bidi w:val="0"/>
        <w:spacing w:before="0" w:after="60" w:line="240" w:lineRule="auto"/>
        <w:ind w:left="0" w:right="0" w:firstLine="520"/>
        <w:jc w:val="left"/>
        <w:rPr>
          <w:sz w:val="20"/>
          <w:szCs w:val="20"/>
        </w:rPr>
      </w:pPr>
      <w:bookmarkStart w:id="2038" w:name="bookmark2038"/>
      <w:r>
        <w:rPr>
          <w:color w:val="000000"/>
          <w:spacing w:val="0"/>
          <w:w w:val="100"/>
          <w:position w:val="0"/>
          <w:sz w:val="20"/>
          <w:szCs w:val="20"/>
        </w:rPr>
        <w:t>（</w:t>
      </w:r>
      <w:bookmarkEnd w:id="203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本公司无为合并范围以外关联方提供担保事项。</w:t>
      </w:r>
    </w:p>
    <w:p>
      <w:pPr>
        <w:pStyle w:val="Style41"/>
        <w:keepNext w:val="0"/>
        <w:keepLines w:val="0"/>
        <w:widowControl w:val="0"/>
        <w:shd w:val="clear" w:color="auto" w:fill="auto"/>
        <w:tabs>
          <w:tab w:pos="1003" w:val="left"/>
        </w:tabs>
        <w:bidi w:val="0"/>
        <w:spacing w:before="0" w:after="60" w:line="240" w:lineRule="auto"/>
        <w:ind w:left="0" w:right="0" w:firstLine="520"/>
        <w:jc w:val="left"/>
        <w:rPr>
          <w:sz w:val="20"/>
          <w:szCs w:val="20"/>
        </w:rPr>
      </w:pPr>
      <w:bookmarkStart w:id="2039" w:name="bookmark2039"/>
      <w:r>
        <w:rPr>
          <w:color w:val="000000"/>
          <w:spacing w:val="0"/>
          <w:w w:val="100"/>
          <w:position w:val="0"/>
          <w:sz w:val="20"/>
          <w:szCs w:val="20"/>
        </w:rPr>
        <w:t>（</w:t>
      </w:r>
      <w:bookmarkEnd w:id="203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本公司无为非关联方提供的担保事项。</w:t>
      </w:r>
    </w:p>
    <w:p>
      <w:pPr>
        <w:pStyle w:val="Style41"/>
        <w:keepNext w:val="0"/>
        <w:keepLines w:val="0"/>
        <w:widowControl w:val="0"/>
        <w:numPr>
          <w:ilvl w:val="0"/>
          <w:numId w:val="179"/>
        </w:numPr>
        <w:shd w:val="clear" w:color="auto" w:fill="auto"/>
        <w:tabs>
          <w:tab w:pos="774" w:val="left"/>
        </w:tabs>
        <w:bidi w:val="0"/>
        <w:spacing w:before="0" w:after="980" w:line="240" w:lineRule="auto"/>
        <w:ind w:left="0" w:right="0" w:firstLine="440"/>
        <w:jc w:val="left"/>
        <w:rPr>
          <w:sz w:val="20"/>
          <w:szCs w:val="20"/>
        </w:rPr>
      </w:pPr>
      <w:bookmarkStart w:id="2040" w:name="bookmark2040"/>
      <w:bookmarkEnd w:id="2040"/>
      <w:r>
        <w:rPr>
          <w:color w:val="000000"/>
          <w:spacing w:val="0"/>
          <w:w w:val="100"/>
          <w:position w:val="0"/>
          <w:sz w:val="20"/>
          <w:szCs w:val="20"/>
        </w:rPr>
        <w:t>本公司无合并范围内公司之间的担保事项。</w:t>
      </w:r>
    </w:p>
    <w:p>
      <w:pPr>
        <w:pStyle w:val="Style32"/>
        <w:keepNext/>
        <w:keepLines/>
        <w:widowControl w:val="0"/>
        <w:shd w:val="clear" w:color="auto" w:fill="auto"/>
        <w:bidi w:val="0"/>
        <w:spacing w:before="0" w:line="240" w:lineRule="auto"/>
        <w:ind w:left="0" w:right="0" w:firstLine="0"/>
        <w:jc w:val="left"/>
      </w:pPr>
      <w:bookmarkStart w:id="2041" w:name="bookmark2041"/>
      <w:bookmarkStart w:id="2042" w:name="bookmark2042"/>
      <w:bookmarkStart w:id="2043" w:name="bookmark20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41"/>
      <w:bookmarkEnd w:id="2042"/>
      <w:bookmarkEnd w:id="2043"/>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bidi w:val="0"/>
        <w:spacing w:before="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3</w:t>
      </w:r>
      <w:bookmarkEnd w:id="2046"/>
      <w:r>
        <w:rPr>
          <w:color w:val="000000"/>
          <w:spacing w:val="0"/>
          <w:w w:val="100"/>
          <w:position w:val="0"/>
        </w:rPr>
        <w:t>、其他</w:t>
      </w:r>
      <w:bookmarkEnd w:id="2044"/>
      <w:bookmarkEnd w:id="2045"/>
      <w:bookmarkEnd w:id="2047"/>
    </w:p>
    <w:p>
      <w:pPr>
        <w:pStyle w:val="Style27"/>
        <w:keepNext/>
        <w:keepLines/>
        <w:widowControl w:val="0"/>
        <w:shd w:val="clear" w:color="auto" w:fill="auto"/>
        <w:bidi w:val="0"/>
        <w:spacing w:before="0" w:line="240" w:lineRule="auto"/>
        <w:ind w:left="0" w:right="0" w:firstLine="0"/>
        <w:jc w:val="left"/>
      </w:pPr>
      <w:bookmarkStart w:id="2048" w:name="bookmark2048"/>
      <w:bookmarkStart w:id="2049" w:name="bookmark2049"/>
      <w:bookmarkStart w:id="2050" w:name="bookmark2050"/>
      <w:r>
        <w:rPr>
          <w:color w:val="000000"/>
          <w:spacing w:val="0"/>
          <w:w w:val="100"/>
          <w:position w:val="0"/>
          <w:sz w:val="24"/>
          <w:szCs w:val="24"/>
        </w:rPr>
        <w:t>十五、资产负债表日后事项</w:t>
      </w:r>
      <w:bookmarkEnd w:id="2048"/>
      <w:bookmarkEnd w:id="2049"/>
      <w:bookmarkEnd w:id="2050"/>
    </w:p>
    <w:p>
      <w:pPr>
        <w:pStyle w:val="Style32"/>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51"/>
      <w:bookmarkEnd w:id="2052"/>
      <w:bookmarkEnd w:id="205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3"/>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日盈行金融信息技术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有限公司召开临时股东会，同意注销盈行金融信息技术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有限公司。盈行金融 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日办妥注销手续</w:t>
      </w:r>
    </w:p>
    <w:p>
      <w:pPr>
        <w:pStyle w:val="Style32"/>
        <w:keepNext/>
        <w:keepLines/>
        <w:widowControl w:val="0"/>
        <w:shd w:val="clear" w:color="auto" w:fill="auto"/>
        <w:tabs>
          <w:tab w:pos="378" w:val="left"/>
        </w:tabs>
        <w:bidi w:val="0"/>
        <w:spacing w:before="0" w:after="26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2</w:t>
      </w:r>
      <w:bookmarkEnd w:id="2056"/>
      <w:r>
        <w:rPr>
          <w:color w:val="000000"/>
          <w:spacing w:val="0"/>
          <w:w w:val="100"/>
          <w:position w:val="0"/>
        </w:rPr>
        <w:t>、</w:t>
        <w:tab/>
        <w:t>利润分配情况</w:t>
      </w:r>
      <w:bookmarkEnd w:id="2054"/>
      <w:bookmarkEnd w:id="2055"/>
      <w:bookmarkEnd w:id="2057"/>
    </w:p>
    <w:p>
      <w:pPr>
        <w:pStyle w:val="Style23"/>
        <w:keepNext w:val="0"/>
        <w:keepLines w:val="0"/>
        <w:widowControl w:val="0"/>
        <w:shd w:val="clear" w:color="auto" w:fill="auto"/>
        <w:bidi w:val="0"/>
        <w:spacing w:before="0" w:after="360" w:line="317" w:lineRule="exact"/>
        <w:ind w:left="0" w:right="0" w:firstLine="38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日，公司第四届董事会第十八次会议审议通过</w:t>
      </w:r>
      <w:r>
        <w:rPr>
          <w:color w:val="000000"/>
          <w:spacing w:val="0"/>
          <w:w w:val="100"/>
          <w:position w:val="0"/>
          <w:sz w:val="18"/>
          <w:szCs w:val="18"/>
        </w:rPr>
        <w:t>2021</w:t>
      </w:r>
      <w:r>
        <w:rPr>
          <w:color w:val="000000"/>
          <w:spacing w:val="0"/>
          <w:w w:val="100"/>
          <w:position w:val="0"/>
        </w:rPr>
        <w:t>年度利润分配预案，不派发现金红利，不送红股，亦不 以资本公积金转增股本。以上股利分配预案尚须提交</w:t>
      </w:r>
      <w:r>
        <w:rPr>
          <w:color w:val="000000"/>
          <w:spacing w:val="0"/>
          <w:w w:val="100"/>
          <w:position w:val="0"/>
          <w:sz w:val="18"/>
          <w:szCs w:val="18"/>
        </w:rPr>
        <w:t>2021</w:t>
      </w:r>
      <w:r>
        <w:rPr>
          <w:color w:val="000000"/>
          <w:spacing w:val="0"/>
          <w:w w:val="100"/>
          <w:position w:val="0"/>
        </w:rPr>
        <w:t>年度公司股东大会审议通过后方可实施。</w:t>
      </w:r>
    </w:p>
    <w:p>
      <w:pPr>
        <w:pStyle w:val="Style32"/>
        <w:keepNext/>
        <w:keepLines/>
        <w:widowControl w:val="0"/>
        <w:shd w:val="clear" w:color="auto" w:fill="auto"/>
        <w:tabs>
          <w:tab w:pos="378" w:val="left"/>
        </w:tabs>
        <w:bidi w:val="0"/>
        <w:spacing w:before="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3</w:t>
      </w:r>
      <w:bookmarkEnd w:id="2060"/>
      <w:r>
        <w:rPr>
          <w:color w:val="000000"/>
          <w:spacing w:val="0"/>
          <w:w w:val="100"/>
          <w:position w:val="0"/>
        </w:rPr>
        <w:t>、</w:t>
        <w:tab/>
        <w:t>销售退回</w:t>
      </w:r>
      <w:bookmarkEnd w:id="2058"/>
      <w:bookmarkEnd w:id="2059"/>
      <w:bookmarkEnd w:id="2061"/>
    </w:p>
    <w:p>
      <w:pPr>
        <w:pStyle w:val="Style32"/>
        <w:keepNext/>
        <w:keepLines/>
        <w:widowControl w:val="0"/>
        <w:shd w:val="clear" w:color="auto" w:fill="auto"/>
        <w:tabs>
          <w:tab w:pos="378" w:val="left"/>
        </w:tabs>
        <w:bidi w:val="0"/>
        <w:spacing w:before="0" w:line="240" w:lineRule="auto"/>
        <w:ind w:left="0" w:right="0" w:firstLine="0"/>
        <w:jc w:val="left"/>
      </w:pPr>
      <w:bookmarkStart w:id="2058" w:name="bookmark2058"/>
      <w:bookmarkStart w:id="2059" w:name="bookmark2059"/>
      <w:bookmarkStart w:id="2062" w:name="bookmark2062"/>
      <w:bookmarkStart w:id="2063" w:name="bookmark2063"/>
      <w:r>
        <w:rPr>
          <w:rFonts w:ascii="Times New Roman" w:eastAsia="Times New Roman" w:hAnsi="Times New Roman" w:cs="Times New Roman"/>
          <w:color w:val="000000"/>
          <w:spacing w:val="0"/>
          <w:w w:val="100"/>
          <w:position w:val="0"/>
        </w:rPr>
        <w:t>4</w:t>
      </w:r>
      <w:bookmarkEnd w:id="2062"/>
      <w:r>
        <w:rPr>
          <w:color w:val="000000"/>
          <w:spacing w:val="0"/>
          <w:w w:val="100"/>
          <w:position w:val="0"/>
        </w:rPr>
        <w:t>、</w:t>
        <w:tab/>
        <w:t>其他资产负债表日后事项说明</w:t>
      </w:r>
      <w:bookmarkEnd w:id="2058"/>
      <w:bookmarkEnd w:id="2059"/>
      <w:bookmarkEnd w:id="2063"/>
    </w:p>
    <w:p>
      <w:pPr>
        <w:pStyle w:val="Style27"/>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r>
        <w:rPr>
          <w:color w:val="000000"/>
          <w:spacing w:val="0"/>
          <w:w w:val="100"/>
          <w:position w:val="0"/>
          <w:sz w:val="24"/>
          <w:szCs w:val="24"/>
        </w:rPr>
        <w:t>十六、其他重要事项</w:t>
      </w:r>
      <w:bookmarkEnd w:id="2064"/>
      <w:bookmarkEnd w:id="2065"/>
      <w:bookmarkEnd w:id="2066"/>
    </w:p>
    <w:p>
      <w:pPr>
        <w:pStyle w:val="Style32"/>
        <w:keepNext/>
        <w:keepLines/>
        <w:widowControl w:val="0"/>
        <w:shd w:val="clear" w:color="auto" w:fill="auto"/>
        <w:bidi w:val="0"/>
        <w:spacing w:before="0" w:line="240" w:lineRule="auto"/>
        <w:ind w:left="0" w:right="0" w:firstLine="0"/>
        <w:jc w:val="left"/>
      </w:pPr>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67"/>
      <w:bookmarkEnd w:id="2068"/>
      <w:bookmarkEnd w:id="2069"/>
    </w:p>
    <w:p>
      <w:pPr>
        <w:pStyle w:val="Style32"/>
        <w:keepNext/>
        <w:keepLines/>
        <w:widowControl w:val="0"/>
        <w:shd w:val="clear" w:color="auto" w:fill="auto"/>
        <w:bidi w:val="0"/>
        <w:spacing w:before="0" w:after="260" w:line="240" w:lineRule="auto"/>
        <w:ind w:left="0" w:right="0" w:firstLine="0"/>
        <w:jc w:val="left"/>
      </w:pPr>
      <w:bookmarkStart w:id="2067" w:name="bookmark2067"/>
      <w:bookmarkStart w:id="2068" w:name="bookmark2068"/>
      <w:bookmarkStart w:id="2070" w:name="bookmark20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67"/>
      <w:bookmarkEnd w:id="2068"/>
      <w:bookmarkEnd w:id="2070"/>
    </w:p>
    <w:p>
      <w:pPr>
        <w:pStyle w:val="Style23"/>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71" w:name="bookmark2071"/>
      <w:bookmarkStart w:id="2072" w:name="bookmark2072"/>
      <w:bookmarkStart w:id="2073" w:name="bookmark20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71"/>
      <w:bookmarkEnd w:id="2072"/>
      <w:bookmarkEnd w:id="2073"/>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157" w:right="990" w:bottom="1380" w:left="989" w:header="0" w:footer="3" w:gutter="0"/>
          <w:cols w:space="720"/>
          <w:noEndnote/>
          <w:rtlGutter w:val="0"/>
          <w:docGrid w:linePitch="360"/>
        </w:sectPr>
      </w:pPr>
    </w:p>
    <w:p>
      <w:pPr>
        <w:pStyle w:val="Style41"/>
        <w:keepNext w:val="0"/>
        <w:keepLines w:val="0"/>
        <w:widowControl w:val="0"/>
        <w:shd w:val="clear" w:color="auto" w:fill="auto"/>
        <w:tabs>
          <w:tab w:pos="378" w:val="left"/>
        </w:tabs>
        <w:bidi w:val="0"/>
        <w:spacing w:before="80" w:line="240" w:lineRule="auto"/>
        <w:ind w:left="0" w:right="0" w:firstLine="0"/>
        <w:jc w:val="both"/>
        <w:rPr>
          <w:sz w:val="20"/>
          <w:szCs w:val="20"/>
        </w:rPr>
      </w:pPr>
      <w:bookmarkStart w:id="2074" w:name="bookmark2074"/>
      <w:r>
        <w:rPr>
          <w:rFonts w:ascii="Times New Roman" w:eastAsia="Times New Roman" w:hAnsi="Times New Roman" w:cs="Times New Roman"/>
          <w:b/>
          <w:bCs/>
          <w:color w:val="000000"/>
          <w:spacing w:val="0"/>
          <w:w w:val="100"/>
          <w:position w:val="0"/>
          <w:sz w:val="20"/>
          <w:szCs w:val="20"/>
        </w:rPr>
        <w:t>2</w:t>
      </w:r>
      <w:bookmarkEnd w:id="2074"/>
      <w:r>
        <w:rPr>
          <w:b/>
          <w:bCs/>
          <w:color w:val="000000"/>
          <w:spacing w:val="0"/>
          <w:w w:val="100"/>
          <w:position w:val="0"/>
          <w:sz w:val="20"/>
          <w:szCs w:val="20"/>
        </w:rPr>
        <w:t>、</w:t>
        <w:tab/>
        <w:t>债务重组</w:t>
      </w:r>
    </w:p>
    <w:p>
      <w:pPr>
        <w:pStyle w:val="Style41"/>
        <w:keepNext w:val="0"/>
        <w:keepLines w:val="0"/>
        <w:widowControl w:val="0"/>
        <w:shd w:val="clear" w:color="auto" w:fill="auto"/>
        <w:tabs>
          <w:tab w:pos="378" w:val="left"/>
        </w:tabs>
        <w:bidi w:val="0"/>
        <w:spacing w:before="0" w:line="240" w:lineRule="auto"/>
        <w:ind w:left="0" w:right="0" w:firstLine="0"/>
        <w:jc w:val="both"/>
        <w:rPr>
          <w:sz w:val="20"/>
          <w:szCs w:val="20"/>
        </w:rPr>
      </w:pPr>
      <w:bookmarkStart w:id="2075" w:name="bookmark2075"/>
      <w:r>
        <w:rPr>
          <w:rFonts w:ascii="Times New Roman" w:eastAsia="Times New Roman" w:hAnsi="Times New Roman" w:cs="Times New Roman"/>
          <w:b/>
          <w:bCs/>
          <w:color w:val="000000"/>
          <w:spacing w:val="0"/>
          <w:w w:val="100"/>
          <w:position w:val="0"/>
          <w:sz w:val="20"/>
          <w:szCs w:val="20"/>
        </w:rPr>
        <w:t>3</w:t>
      </w:r>
      <w:bookmarkEnd w:id="2075"/>
      <w:r>
        <w:rPr>
          <w:b/>
          <w:bCs/>
          <w:color w:val="000000"/>
          <w:spacing w:val="0"/>
          <w:w w:val="100"/>
          <w:position w:val="0"/>
          <w:sz w:val="20"/>
          <w:szCs w:val="20"/>
        </w:rPr>
        <w:t>、</w:t>
        <w:tab/>
        <w:t>资产置换</w:t>
      </w:r>
    </w:p>
    <w:p>
      <w:pPr>
        <w:pStyle w:val="Style41"/>
        <w:keepNext w:val="0"/>
        <w:keepLines w:val="0"/>
        <w:widowControl w:val="0"/>
        <w:shd w:val="clear" w:color="auto" w:fill="auto"/>
        <w:tabs>
          <w:tab w:pos="493" w:val="left"/>
        </w:tabs>
        <w:bidi w:val="0"/>
        <w:spacing w:before="0" w:line="240" w:lineRule="auto"/>
        <w:ind w:left="0" w:right="0" w:firstLine="0"/>
        <w:jc w:val="both"/>
        <w:rPr>
          <w:sz w:val="20"/>
          <w:szCs w:val="20"/>
        </w:rPr>
      </w:pPr>
      <w:bookmarkStart w:id="2076" w:name="bookmark2076"/>
      <w:r>
        <w:rPr>
          <w:b/>
          <w:bCs/>
          <w:color w:val="000000"/>
          <w:spacing w:val="0"/>
          <w:w w:val="100"/>
          <w:position w:val="0"/>
          <w:sz w:val="20"/>
          <w:szCs w:val="20"/>
        </w:rPr>
        <w:t>（</w:t>
      </w:r>
      <w:bookmarkEnd w:id="207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非货币性资产交换</w:t>
      </w:r>
    </w:p>
    <w:p>
      <w:pPr>
        <w:pStyle w:val="Style41"/>
        <w:keepNext w:val="0"/>
        <w:keepLines w:val="0"/>
        <w:widowControl w:val="0"/>
        <w:shd w:val="clear" w:color="auto" w:fill="auto"/>
        <w:tabs>
          <w:tab w:pos="493" w:val="left"/>
        </w:tabs>
        <w:bidi w:val="0"/>
        <w:spacing w:before="0" w:line="240" w:lineRule="auto"/>
        <w:ind w:left="0" w:right="0" w:firstLine="0"/>
        <w:jc w:val="both"/>
        <w:rPr>
          <w:sz w:val="20"/>
          <w:szCs w:val="20"/>
        </w:rPr>
      </w:pPr>
      <w:bookmarkStart w:id="2077" w:name="bookmark2077"/>
      <w:r>
        <w:rPr>
          <w:b/>
          <w:bCs/>
          <w:color w:val="000000"/>
          <w:spacing w:val="0"/>
          <w:w w:val="100"/>
          <w:position w:val="0"/>
          <w:sz w:val="20"/>
          <w:szCs w:val="20"/>
        </w:rPr>
        <w:t>（</w:t>
      </w:r>
      <w:bookmarkEnd w:id="207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其他资产置换</w:t>
      </w:r>
    </w:p>
    <w:p>
      <w:pPr>
        <w:pStyle w:val="Style41"/>
        <w:keepNext w:val="0"/>
        <w:keepLines w:val="0"/>
        <w:widowControl w:val="0"/>
        <w:shd w:val="clear" w:color="auto" w:fill="auto"/>
        <w:tabs>
          <w:tab w:pos="378" w:val="left"/>
        </w:tabs>
        <w:bidi w:val="0"/>
        <w:spacing w:before="0" w:line="240" w:lineRule="auto"/>
        <w:ind w:left="0" w:right="0" w:firstLine="0"/>
        <w:jc w:val="both"/>
        <w:rPr>
          <w:sz w:val="20"/>
          <w:szCs w:val="20"/>
        </w:rPr>
      </w:pPr>
      <w:bookmarkStart w:id="2078" w:name="bookmark2078"/>
      <w:r>
        <w:rPr>
          <w:rFonts w:ascii="Times New Roman" w:eastAsia="Times New Roman" w:hAnsi="Times New Roman" w:cs="Times New Roman"/>
          <w:b/>
          <w:bCs/>
          <w:color w:val="000000"/>
          <w:spacing w:val="0"/>
          <w:w w:val="100"/>
          <w:position w:val="0"/>
          <w:sz w:val="20"/>
          <w:szCs w:val="20"/>
        </w:rPr>
        <w:t>4</w:t>
      </w:r>
      <w:bookmarkEnd w:id="2078"/>
      <w:r>
        <w:rPr>
          <w:b/>
          <w:bCs/>
          <w:color w:val="000000"/>
          <w:spacing w:val="0"/>
          <w:w w:val="100"/>
          <w:position w:val="0"/>
          <w:sz w:val="20"/>
          <w:szCs w:val="20"/>
        </w:rPr>
        <w:t>、</w:t>
        <w:tab/>
        <w:t>年金计划</w:t>
      </w:r>
    </w:p>
    <w:p>
      <w:pPr>
        <w:pStyle w:val="Style41"/>
        <w:keepNext w:val="0"/>
        <w:keepLines w:val="0"/>
        <w:widowControl w:val="0"/>
        <w:shd w:val="clear" w:color="auto" w:fill="auto"/>
        <w:tabs>
          <w:tab w:pos="378" w:val="left"/>
        </w:tabs>
        <w:bidi w:val="0"/>
        <w:spacing w:before="0" w:line="240" w:lineRule="auto"/>
        <w:ind w:left="0" w:right="0" w:firstLine="0"/>
        <w:jc w:val="both"/>
        <w:rPr>
          <w:sz w:val="20"/>
          <w:szCs w:val="20"/>
        </w:rPr>
      </w:pPr>
      <w:bookmarkStart w:id="2079" w:name="bookmark2079"/>
      <w:r>
        <w:rPr>
          <w:rFonts w:ascii="Times New Roman" w:eastAsia="Times New Roman" w:hAnsi="Times New Roman" w:cs="Times New Roman"/>
          <w:b/>
          <w:bCs/>
          <w:color w:val="000000"/>
          <w:spacing w:val="0"/>
          <w:w w:val="100"/>
          <w:position w:val="0"/>
          <w:sz w:val="20"/>
          <w:szCs w:val="20"/>
        </w:rPr>
        <w:t>5</w:t>
      </w:r>
      <w:bookmarkEnd w:id="2079"/>
      <w:r>
        <w:rPr>
          <w:b/>
          <w:bCs/>
          <w:color w:val="000000"/>
          <w:spacing w:val="0"/>
          <w:w w:val="100"/>
          <w:position w:val="0"/>
          <w:sz w:val="20"/>
          <w:szCs w:val="20"/>
        </w:rPr>
        <w:t>、</w:t>
        <w:tab/>
        <w:t>终止经营</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line="240" w:lineRule="auto"/>
        <w:ind w:left="0" w:right="0" w:firstLine="0"/>
        <w:jc w:val="left"/>
        <w:rPr>
          <w:sz w:val="20"/>
          <w:szCs w:val="20"/>
        </w:rPr>
      </w:pPr>
      <w:bookmarkStart w:id="2080" w:name="bookmark2080"/>
      <w:r>
        <w:rPr>
          <w:rFonts w:ascii="Times New Roman" w:eastAsia="Times New Roman" w:hAnsi="Times New Roman" w:cs="Times New Roman"/>
          <w:b/>
          <w:bCs/>
          <w:color w:val="000000"/>
          <w:spacing w:val="0"/>
          <w:w w:val="100"/>
          <w:position w:val="0"/>
          <w:sz w:val="20"/>
          <w:szCs w:val="20"/>
        </w:rPr>
        <w:t>6</w:t>
      </w:r>
      <w:bookmarkEnd w:id="2080"/>
      <w:r>
        <w:rPr>
          <w:b/>
          <w:bCs/>
          <w:color w:val="000000"/>
          <w:spacing w:val="0"/>
          <w:w w:val="100"/>
          <w:position w:val="0"/>
          <w:sz w:val="20"/>
          <w:szCs w:val="20"/>
        </w:rPr>
        <w:t>、分部信息</w:t>
      </w:r>
    </w:p>
    <w:p>
      <w:pPr>
        <w:pStyle w:val="Style41"/>
        <w:keepNext w:val="0"/>
        <w:keepLines w:val="0"/>
        <w:widowControl w:val="0"/>
        <w:shd w:val="clear" w:color="auto" w:fill="auto"/>
        <w:tabs>
          <w:tab w:pos="493" w:val="left"/>
        </w:tabs>
        <w:bidi w:val="0"/>
        <w:spacing w:before="0" w:line="240" w:lineRule="auto"/>
        <w:ind w:left="0" w:right="0" w:firstLine="0"/>
        <w:jc w:val="left"/>
        <w:rPr>
          <w:sz w:val="20"/>
          <w:szCs w:val="20"/>
        </w:rPr>
      </w:pPr>
      <w:bookmarkStart w:id="2081" w:name="bookmark2081"/>
      <w:r>
        <w:rPr>
          <w:b/>
          <w:bCs/>
          <w:color w:val="000000"/>
          <w:spacing w:val="0"/>
          <w:w w:val="100"/>
          <w:position w:val="0"/>
          <w:sz w:val="20"/>
          <w:szCs w:val="20"/>
        </w:rPr>
        <w:t>（</w:t>
      </w:r>
      <w:bookmarkEnd w:id="208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报告分部的确定依据与会计政策</w:t>
      </w:r>
    </w:p>
    <w:p>
      <w:pPr>
        <w:pStyle w:val="Style41"/>
        <w:keepNext w:val="0"/>
        <w:keepLines w:val="0"/>
        <w:widowControl w:val="0"/>
        <w:shd w:val="clear" w:color="auto" w:fill="auto"/>
        <w:tabs>
          <w:tab w:pos="493" w:val="left"/>
        </w:tabs>
        <w:bidi w:val="0"/>
        <w:spacing w:before="0" w:line="240" w:lineRule="auto"/>
        <w:ind w:left="0" w:right="0" w:firstLine="0"/>
        <w:jc w:val="left"/>
        <w:rPr>
          <w:sz w:val="20"/>
          <w:szCs w:val="20"/>
        </w:rPr>
      </w:pPr>
      <w:bookmarkStart w:id="2082" w:name="bookmark2082"/>
      <w:r>
        <w:rPr>
          <w:b/>
          <w:bCs/>
          <w:color w:val="000000"/>
          <w:spacing w:val="0"/>
          <w:w w:val="100"/>
          <w:position w:val="0"/>
          <w:sz w:val="20"/>
          <w:szCs w:val="20"/>
        </w:rPr>
        <w:t>（</w:t>
      </w:r>
      <w:bookmarkEnd w:id="208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报告分部的财务信息</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val="0"/>
        <w:keepLines w:val="0"/>
        <w:widowControl w:val="0"/>
        <w:shd w:val="clear" w:color="auto" w:fill="auto"/>
        <w:bidi w:val="0"/>
        <w:spacing w:before="0" w:line="240" w:lineRule="auto"/>
        <w:ind w:left="0" w:right="0" w:firstLine="0"/>
        <w:jc w:val="left"/>
        <w:rPr>
          <w:sz w:val="20"/>
          <w:szCs w:val="20"/>
        </w:rPr>
      </w:pPr>
      <w:bookmarkStart w:id="2083" w:name="bookmark2083"/>
      <w:r>
        <w:rPr>
          <w:b/>
          <w:bCs/>
          <w:color w:val="000000"/>
          <w:spacing w:val="0"/>
          <w:w w:val="100"/>
          <w:position w:val="0"/>
          <w:sz w:val="20"/>
          <w:szCs w:val="20"/>
        </w:rPr>
        <w:t>（</w:t>
      </w:r>
      <w:bookmarkEnd w:id="208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 公司无报告分部的，或者不能披露各报告分部的资产总额和负债总额的，应说明原因</w:t>
      </w:r>
    </w:p>
    <w:p>
      <w:pPr>
        <w:pStyle w:val="Style41"/>
        <w:keepNext w:val="0"/>
        <w:keepLines w:val="0"/>
        <w:widowControl w:val="0"/>
        <w:shd w:val="clear" w:color="auto" w:fill="auto"/>
        <w:tabs>
          <w:tab w:pos="493" w:val="left"/>
        </w:tabs>
        <w:bidi w:val="0"/>
        <w:spacing w:before="0" w:line="240" w:lineRule="auto"/>
        <w:ind w:left="0" w:right="0" w:firstLine="0"/>
        <w:jc w:val="left"/>
        <w:rPr>
          <w:sz w:val="20"/>
          <w:szCs w:val="20"/>
        </w:rPr>
      </w:pPr>
      <w:bookmarkStart w:id="2084" w:name="bookmark2084"/>
      <w:r>
        <w:rPr>
          <w:b/>
          <w:bCs/>
          <w:color w:val="000000"/>
          <w:spacing w:val="0"/>
          <w:w w:val="100"/>
          <w:position w:val="0"/>
          <w:sz w:val="20"/>
          <w:szCs w:val="20"/>
        </w:rPr>
        <w:t>（</w:t>
      </w:r>
      <w:bookmarkEnd w:id="2084"/>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其他说明</w:t>
      </w:r>
    </w:p>
    <w:p>
      <w:pPr>
        <w:pStyle w:val="Style41"/>
        <w:keepNext w:val="0"/>
        <w:keepLines w:val="0"/>
        <w:widowControl w:val="0"/>
        <w:shd w:val="clear" w:color="auto" w:fill="auto"/>
        <w:bidi w:val="0"/>
        <w:spacing w:before="0" w:line="240" w:lineRule="auto"/>
        <w:ind w:left="0" w:right="0" w:firstLine="0"/>
        <w:jc w:val="left"/>
        <w:rPr>
          <w:sz w:val="20"/>
          <w:szCs w:val="20"/>
        </w:rPr>
      </w:pPr>
      <w:bookmarkStart w:id="2085" w:name="bookmark2085"/>
      <w:r>
        <w:rPr>
          <w:rFonts w:ascii="Times New Roman" w:eastAsia="Times New Roman" w:hAnsi="Times New Roman" w:cs="Times New Roman"/>
          <w:b/>
          <w:bCs/>
          <w:color w:val="000000"/>
          <w:spacing w:val="0"/>
          <w:w w:val="100"/>
          <w:position w:val="0"/>
          <w:sz w:val="20"/>
          <w:szCs w:val="20"/>
        </w:rPr>
        <w:t>7</w:t>
      </w:r>
      <w:bookmarkEnd w:id="2085"/>
      <w:r>
        <w:rPr>
          <w:b/>
          <w:bCs/>
          <w:color w:val="000000"/>
          <w:spacing w:val="0"/>
          <w:w w:val="100"/>
          <w:position w:val="0"/>
          <w:sz w:val="20"/>
          <w:szCs w:val="20"/>
        </w:rPr>
        <w:t>、其他对投资者决策有影响的重要交易和事项</w:t>
      </w:r>
    </w:p>
    <w:p>
      <w:pPr>
        <w:pStyle w:val="Style4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.实际控制人鹰潭市鹰高投资咨询有限公司质押本公司的股份情况</w:t>
      </w:r>
    </w:p>
    <w:tbl>
      <w:tblPr>
        <w:tblOverlap w:val="never"/>
        <w:jc w:val="center"/>
        <w:tblLayout w:type="fixed"/>
      </w:tblPr>
      <w:tblGrid>
        <w:gridCol w:w="2573"/>
        <w:gridCol w:w="2227"/>
        <w:gridCol w:w="2976"/>
        <w:gridCol w:w="1334"/>
      </w:tblGrid>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出质人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质权人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质押期间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质押股份数</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2021-5-18</w:t>
            </w:r>
            <w:r>
              <w:rPr>
                <w:color w:val="000000"/>
                <w:spacing w:val="0"/>
                <w:w w:val="100"/>
                <w:position w:val="0"/>
              </w:rPr>
              <w:t>至</w:t>
            </w:r>
            <w:r>
              <w:rPr>
                <w:rFonts w:ascii="Times New Roman" w:eastAsia="Times New Roman" w:hAnsi="Times New Roman" w:cs="Times New Roman"/>
                <w:color w:val="000000"/>
                <w:spacing w:val="0"/>
                <w:w w:val="100"/>
                <w:position w:val="0"/>
              </w:rPr>
              <w:t>2022-5-17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13,677,000</w:t>
            </w:r>
          </w:p>
        </w:tc>
      </w:tr>
      <w:tr>
        <w:trPr>
          <w:trHeight w:val="65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北京市文化科技融资租赁股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2020-2-27</w:t>
            </w:r>
            <w:r>
              <w:rPr>
                <w:color w:val="000000"/>
                <w:spacing w:val="0"/>
                <w:w w:val="100"/>
                <w:position w:val="0"/>
              </w:rPr>
              <w:t>至办理解除质押登记手续为 止</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11,000,000</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24,677,000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both"/>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8</w:t>
      </w:r>
      <w:bookmarkEnd w:id="2088"/>
      <w:r>
        <w:rPr>
          <w:color w:val="000000"/>
          <w:spacing w:val="0"/>
          <w:w w:val="100"/>
          <w:position w:val="0"/>
        </w:rPr>
        <w:t>、其他</w:t>
      </w:r>
      <w:bookmarkEnd w:id="2086"/>
      <w:bookmarkEnd w:id="2087"/>
      <w:bookmarkEnd w:id="2089"/>
    </w:p>
    <w:p>
      <w:pPr>
        <w:pStyle w:val="Style32"/>
        <w:keepNext/>
        <w:keepLines/>
        <w:widowControl w:val="0"/>
        <w:numPr>
          <w:ilvl w:val="0"/>
          <w:numId w:val="181"/>
        </w:numPr>
        <w:shd w:val="clear" w:color="auto" w:fill="auto"/>
        <w:tabs>
          <w:tab w:pos="765" w:val="left"/>
        </w:tabs>
        <w:bidi w:val="0"/>
        <w:spacing w:before="0" w:after="0" w:line="240" w:lineRule="auto"/>
        <w:ind w:left="0" w:right="0" w:firstLine="440"/>
        <w:jc w:val="left"/>
      </w:pPr>
      <w:bookmarkStart w:id="2086" w:name="bookmark2086"/>
      <w:bookmarkStart w:id="2087" w:name="bookmark2087"/>
      <w:bookmarkStart w:id="2090" w:name="bookmark2090"/>
      <w:bookmarkStart w:id="2091" w:name="bookmark2091"/>
      <w:bookmarkEnd w:id="2090"/>
      <w:r>
        <w:rPr>
          <w:color w:val="000000"/>
          <w:spacing w:val="0"/>
          <w:w w:val="100"/>
          <w:position w:val="0"/>
        </w:rPr>
        <w:t>租赁</w:t>
      </w:r>
      <w:bookmarkEnd w:id="2086"/>
      <w:bookmarkEnd w:id="2087"/>
      <w:bookmarkEnd w:id="2091"/>
    </w:p>
    <w:p>
      <w:pPr>
        <w:pStyle w:val="Style41"/>
        <w:keepNext w:val="0"/>
        <w:keepLines w:val="0"/>
        <w:widowControl w:val="0"/>
        <w:numPr>
          <w:ilvl w:val="0"/>
          <w:numId w:val="181"/>
        </w:numPr>
        <w:shd w:val="clear" w:color="auto" w:fill="auto"/>
        <w:tabs>
          <w:tab w:pos="774" w:val="left"/>
        </w:tabs>
        <w:bidi w:val="0"/>
        <w:spacing w:before="0" w:after="0" w:line="240" w:lineRule="auto"/>
        <w:ind w:left="0" w:right="0" w:firstLine="440"/>
        <w:jc w:val="left"/>
        <w:rPr>
          <w:sz w:val="20"/>
          <w:szCs w:val="20"/>
        </w:rPr>
      </w:pPr>
      <w:bookmarkStart w:id="2092" w:name="bookmark2092"/>
      <w:bookmarkEnd w:id="2092"/>
      <w:r>
        <w:rPr>
          <w:color w:val="000000"/>
          <w:spacing w:val="0"/>
          <w:w w:val="100"/>
          <w:position w:val="0"/>
          <w:sz w:val="20"/>
          <w:szCs w:val="20"/>
        </w:rPr>
        <w:t>作为承租人</w:t>
      </w:r>
    </w:p>
    <w:p>
      <w:pPr>
        <w:pStyle w:val="Style41"/>
        <w:keepNext w:val="0"/>
        <w:keepLines w:val="0"/>
        <w:widowControl w:val="0"/>
        <w:numPr>
          <w:ilvl w:val="0"/>
          <w:numId w:val="181"/>
        </w:numPr>
        <w:shd w:val="clear" w:color="auto" w:fill="auto"/>
        <w:tabs>
          <w:tab w:pos="774" w:val="left"/>
        </w:tabs>
        <w:bidi w:val="0"/>
        <w:spacing w:before="0" w:after="0" w:line="240" w:lineRule="auto"/>
        <w:ind w:left="0" w:right="0" w:firstLine="440"/>
        <w:jc w:val="left"/>
        <w:rPr>
          <w:sz w:val="20"/>
          <w:szCs w:val="20"/>
        </w:rPr>
      </w:pPr>
      <w:bookmarkStart w:id="2093" w:name="bookmark2093"/>
      <w:bookmarkEnd w:id="2093"/>
      <w:r>
        <w:rPr>
          <w:color w:val="000000"/>
          <w:spacing w:val="0"/>
          <w:w w:val="100"/>
          <w:position w:val="0"/>
          <w:sz w:val="20"/>
          <w:szCs w:val="20"/>
        </w:rPr>
        <w:t>各类使用权资产的账面原值、累计折旧以及减值准备等详见本附注七</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使用权资产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41"/>
        <w:keepNext w:val="0"/>
        <w:keepLines w:val="0"/>
        <w:widowControl w:val="0"/>
        <w:numPr>
          <w:ilvl w:val="0"/>
          <w:numId w:val="181"/>
        </w:numPr>
        <w:shd w:val="clear" w:color="auto" w:fill="auto"/>
        <w:tabs>
          <w:tab w:pos="774" w:val="left"/>
        </w:tabs>
        <w:bidi w:val="0"/>
        <w:spacing w:before="0" w:after="0" w:line="240" w:lineRule="auto"/>
        <w:ind w:left="0" w:right="0" w:firstLine="440"/>
        <w:jc w:val="left"/>
        <w:rPr>
          <w:sz w:val="20"/>
          <w:szCs w:val="20"/>
        </w:rPr>
      </w:pPr>
      <w:bookmarkStart w:id="2094" w:name="bookmark2094"/>
      <w:bookmarkEnd w:id="2094"/>
      <w:r>
        <w:rPr>
          <w:color w:val="000000"/>
          <w:spacing w:val="0"/>
          <w:w w:val="100"/>
          <w:position w:val="0"/>
          <w:sz w:val="20"/>
          <w:szCs w:val="20"/>
        </w:rPr>
        <w:t>租赁负债的利息费用</w:t>
      </w:r>
    </w:p>
    <w:tbl>
      <w:tblPr>
        <w:tblOverlap w:val="never"/>
        <w:jc w:val="left"/>
        <w:tblLayout w:type="fixed"/>
      </w:tblPr>
      <w:tblGrid>
        <w:gridCol w:w="4277"/>
        <w:gridCol w:w="4282"/>
      </w:tblGrid>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计入财务费用的租赁负债利息</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318,560.43</w:t>
            </w:r>
          </w:p>
        </w:tc>
      </w:tr>
    </w:tbl>
    <w:p>
      <w:pPr>
        <w:pStyle w:val="Style41"/>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租赁的简化处理</w:t>
      </w:r>
    </w:p>
    <w:p>
      <w:pPr>
        <w:pStyle w:val="Style4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公司对短期租赁和低价值资产租赁采用简化方法进行会计处理，本期计入当期损益的租赁费用情况如 </w:t>
      </w:r>
      <w:r>
        <w:rPr>
          <w:color w:val="000000"/>
          <w:spacing w:val="0"/>
          <w:w w:val="100"/>
          <w:position w:val="0"/>
          <w:sz w:val="20"/>
          <w:szCs w:val="20"/>
        </w:rPr>
        <w:t>下:</w:t>
      </w:r>
    </w:p>
    <w:tbl>
      <w:tblPr>
        <w:tblOverlap w:val="never"/>
        <w:jc w:val="left"/>
        <w:tblLayout w:type="fixed"/>
      </w:tblPr>
      <w:tblGrid>
        <w:gridCol w:w="4277"/>
        <w:gridCol w:w="4282"/>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1,576,345.27</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与租赁相关的总现金流出</w:t>
      </w:r>
    </w:p>
    <w:tbl>
      <w:tblPr>
        <w:tblOverlap w:val="never"/>
        <w:jc w:val="left"/>
        <w:tblLayout w:type="fixed"/>
      </w:tblPr>
      <w:tblGrid>
        <w:gridCol w:w="5227"/>
        <w:gridCol w:w="3331"/>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偿还租赁负债本金和利息所支付的现金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4,588,596.27</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支付的按简化处理的短期租赁付款额和低价值资产租赁付款额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779,148.98</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5,367,745.25</w:t>
            </w:r>
          </w:p>
        </w:tc>
      </w:tr>
    </w:tbl>
    <w:p>
      <w:pPr>
        <w:pStyle w:val="Style41"/>
        <w:keepNext w:val="0"/>
        <w:keepLines w:val="0"/>
        <w:widowControl w:val="0"/>
        <w:shd w:val="clear" w:color="auto" w:fill="auto"/>
        <w:bidi w:val="0"/>
        <w:spacing w:before="0" w:after="640" w:line="240" w:lineRule="auto"/>
        <w:ind w:left="0" w:right="0" w:firstLine="180"/>
        <w:jc w:val="left"/>
        <w:rPr>
          <w:sz w:val="20"/>
          <w:szCs w:val="20"/>
        </w:rPr>
      </w:pPr>
      <w:r>
        <w:rPr>
          <w:color w:val="000000"/>
          <w:spacing w:val="0"/>
          <w:w w:val="100"/>
          <w:position w:val="0"/>
          <w:sz w:val="20"/>
          <w:szCs w:val="20"/>
        </w:rPr>
        <w:t>租赁负债的到期期限分析、对相关流动性风险的管理等详见本附注十（三）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流动风险''之说明。</w:t>
      </w:r>
    </w:p>
    <w:p>
      <w:pPr>
        <w:pStyle w:val="Style27"/>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r>
        <w:rPr>
          <w:color w:val="000000"/>
          <w:spacing w:val="0"/>
          <w:w w:val="100"/>
          <w:position w:val="0"/>
          <w:sz w:val="24"/>
          <w:szCs w:val="24"/>
        </w:rPr>
        <w:t>十七、母公司财务报表主要项目注释</w:t>
      </w:r>
      <w:bookmarkEnd w:id="2095"/>
      <w:bookmarkEnd w:id="2096"/>
      <w:bookmarkEnd w:id="2097"/>
    </w:p>
    <w:p>
      <w:pPr>
        <w:pStyle w:val="Style32"/>
        <w:keepNext/>
        <w:keepLines/>
        <w:widowControl w:val="0"/>
        <w:shd w:val="clear" w:color="auto" w:fill="auto"/>
        <w:bidi w:val="0"/>
        <w:spacing w:before="0" w:line="240" w:lineRule="auto"/>
        <w:ind w:left="0" w:right="0" w:firstLine="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98"/>
      <w:bookmarkEnd w:id="2099"/>
      <w:bookmarkEnd w:id="2100"/>
    </w:p>
    <w:p>
      <w:pPr>
        <w:pStyle w:val="Style32"/>
        <w:keepNext/>
        <w:keepLines/>
        <w:widowControl w:val="0"/>
        <w:shd w:val="clear" w:color="auto" w:fill="auto"/>
        <w:bidi w:val="0"/>
        <w:spacing w:before="0" w:line="240" w:lineRule="auto"/>
        <w:ind w:left="0" w:right="0" w:firstLine="0"/>
        <w:jc w:val="left"/>
      </w:pPr>
      <w:bookmarkStart w:id="2098" w:name="bookmark2098"/>
      <w:bookmarkStart w:id="2099" w:name="bookmark2099"/>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98"/>
      <w:bookmarkEnd w:id="2099"/>
      <w:bookmarkEnd w:id="210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287,805,</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63,655,7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224,150,0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214,806,4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64,866,44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149,940,01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287,680,</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63,655,7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224,024,3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214,806,4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64,866,44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149,940,01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集团合并范围内关 联方组合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125,705.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125,705.4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287,805,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63,655,7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224,150,0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214,806,4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64,866,44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149,940,01</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63,655,762.04</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222,010,599.11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6,660,317.98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8,463,714.93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846,371.49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1,509,641.09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452,892.33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55,696,180.24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55,696,180.24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287,680,135.37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63,655,762.04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125,705.40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125,705.40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00" w:line="365" w:lineRule="exact"/>
        <w:ind w:left="0" w:right="0" w:firstLine="0"/>
        <w:jc w:val="left"/>
      </w:pPr>
      <w:r>
        <w:rPr>
          <w:color w:val="000000"/>
          <w:spacing w:val="0"/>
          <w:w w:val="100"/>
          <w:position w:val="0"/>
        </w:rPr>
        <w:t>确定该组合依据的说明： 按组合计提坏账准备：</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222,136,304.51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8,463,714.93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1,509,641.09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55,696,180.24</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3,294,735.85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31,754,671.86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20,646,772.53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287,805,840.77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2"/>
      <w:bookmarkEnd w:id="2103"/>
      <w:bookmarkEnd w:id="2104"/>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64,866,447.76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-1,210,685.72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63,655,762.04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64,866,447.76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-1,210,685.72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63,655,762.04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41"/>
        <w:keepNext w:val="0"/>
        <w:keepLines w:val="0"/>
        <w:widowControl w:val="0"/>
        <w:shd w:val="clear" w:color="auto" w:fill="auto"/>
        <w:bidi w:val="0"/>
        <w:spacing w:before="0" w:after="680" w:line="240" w:lineRule="auto"/>
        <w:ind w:left="0" w:right="0" w:firstLine="180"/>
        <w:jc w:val="left"/>
        <w:rPr>
          <w:sz w:val="20"/>
          <w:szCs w:val="20"/>
        </w:rPr>
      </w:pPr>
      <w:r>
        <w:rPr>
          <w:color w:val="000000"/>
          <w:spacing w:val="0"/>
          <w:w w:val="100"/>
          <w:position w:val="0"/>
          <w:sz w:val="20"/>
          <w:szCs w:val="20"/>
        </w:rPr>
        <w:t>本期无收回或转回金额重要的坏账准备。</w:t>
      </w:r>
    </w:p>
    <w:p>
      <w:pPr>
        <w:pStyle w:val="Style32"/>
        <w:keepNext/>
        <w:keepLines/>
        <w:widowControl w:val="0"/>
        <w:shd w:val="clear" w:color="auto" w:fill="auto"/>
        <w:bidi w:val="0"/>
        <w:spacing w:before="0" w:after="38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05"/>
      <w:bookmarkEnd w:id="2106"/>
      <w:bookmarkEnd w:id="2108"/>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41"/>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本期无实际核销的应收账款情况。</w:t>
      </w:r>
    </w:p>
    <w:p>
      <w:pPr>
        <w:pStyle w:val="Style32"/>
        <w:keepNext/>
        <w:keepLines/>
        <w:widowControl w:val="0"/>
        <w:shd w:val="clear" w:color="auto" w:fill="auto"/>
        <w:bidi w:val="0"/>
        <w:spacing w:before="0" w:after="38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09"/>
      <w:bookmarkEnd w:id="2110"/>
      <w:bookmarkEnd w:id="2112"/>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139,267,790.70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4,588,639.46</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28,873,401.57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1,056,997.85</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24,700,000.00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24,582,650.72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24,154,627.55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16,028,659.00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483,785.77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233,452,501.99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13"/>
      <w:bookmarkEnd w:id="2114"/>
      <w:bookmarkEnd w:id="2116"/>
    </w:p>
    <w:p>
      <w:pPr>
        <w:pStyle w:val="Style4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本期无因金融资产转移而终止确认的应收账款。</w:t>
      </w:r>
    </w:p>
    <w:p>
      <w:pPr>
        <w:pStyle w:val="Style32"/>
        <w:keepNext/>
        <w:keepLines/>
        <w:widowControl w:val="0"/>
        <w:shd w:val="clear" w:color="auto" w:fill="auto"/>
        <w:tabs>
          <w:tab w:pos="493" w:val="left"/>
        </w:tabs>
        <w:bidi w:val="0"/>
        <w:spacing w:before="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17"/>
      <w:bookmarkEnd w:id="2118"/>
      <w:bookmarkEnd w:id="2120"/>
    </w:p>
    <w:p>
      <w:pPr>
        <w:pStyle w:val="Style41"/>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rPr>
        <w:t>本期无转移应收账款且继续涉入形成的资产、负债。</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2</w:t>
      </w:r>
      <w:bookmarkEnd w:id="2123"/>
      <w:r>
        <w:rPr>
          <w:color w:val="000000"/>
          <w:spacing w:val="0"/>
          <w:w w:val="100"/>
          <w:position w:val="0"/>
        </w:rPr>
        <w:t>、其他应收款</w:t>
      </w:r>
      <w:bookmarkEnd w:id="2121"/>
      <w:bookmarkEnd w:id="2122"/>
      <w:bookmarkEnd w:id="212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19,591,011.55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22,562,222.31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19,591,011.55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22,562,222.31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25" w:name="bookmark2125"/>
      <w:bookmarkStart w:id="2126" w:name="bookmark2126"/>
      <w:bookmarkStart w:id="2127" w:name="bookmark21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25"/>
      <w:bookmarkEnd w:id="2126"/>
      <w:bookmarkEnd w:id="2127"/>
    </w:p>
    <w:p>
      <w:pPr>
        <w:pStyle w:val="Style32"/>
        <w:keepNext/>
        <w:keepLines/>
        <w:widowControl w:val="0"/>
        <w:shd w:val="clear" w:color="auto" w:fill="auto"/>
        <w:bidi w:val="0"/>
        <w:spacing w:before="0" w:line="240" w:lineRule="auto"/>
        <w:ind w:left="0" w:right="0" w:firstLine="0"/>
        <w:jc w:val="left"/>
      </w:pPr>
      <w:bookmarkStart w:id="2125" w:name="bookmark2125"/>
      <w:bookmarkStart w:id="2126" w:name="bookmark2126"/>
      <w:bookmarkStart w:id="2128" w:name="bookmark212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125"/>
      <w:bookmarkEnd w:id="2126"/>
      <w:bookmarkEnd w:id="212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bookmarkEnd w:id="2131"/>
      <w:r>
        <w:rPr>
          <w:color w:val="000000"/>
          <w:spacing w:val="0"/>
          <w:w w:val="100"/>
          <w:position w:val="0"/>
        </w:rPr>
        <w:t>）重要逾期利息</w:t>
      </w:r>
      <w:bookmarkEnd w:id="2129"/>
      <w:bookmarkEnd w:id="2130"/>
      <w:bookmarkEnd w:id="2132"/>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3</w:t>
      </w:r>
      <w:bookmarkEnd w:id="2135"/>
      <w:r>
        <w:rPr>
          <w:color w:val="000000"/>
          <w:spacing w:val="0"/>
          <w:w w:val="100"/>
          <w:position w:val="0"/>
        </w:rPr>
        <w:t>）坏账准备计提情况</w:t>
      </w:r>
      <w:bookmarkEnd w:id="2133"/>
      <w:bookmarkEnd w:id="2134"/>
      <w:bookmarkEnd w:id="213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2137" w:name="bookmark2137"/>
      <w:bookmarkStart w:id="2138" w:name="bookmark2138"/>
      <w:bookmarkStart w:id="2139" w:name="bookmark21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37"/>
      <w:bookmarkEnd w:id="2138"/>
      <w:bookmarkEnd w:id="2139"/>
    </w:p>
    <w:p>
      <w:pPr>
        <w:pStyle w:val="Style32"/>
        <w:keepNext/>
        <w:keepLines/>
        <w:widowControl w:val="0"/>
        <w:shd w:val="clear" w:color="auto" w:fill="auto"/>
        <w:bidi w:val="0"/>
        <w:spacing w:before="0" w:line="240" w:lineRule="auto"/>
        <w:ind w:left="0" w:right="0" w:firstLine="0"/>
        <w:jc w:val="left"/>
      </w:pPr>
      <w:bookmarkStart w:id="2137" w:name="bookmark2137"/>
      <w:bookmarkStart w:id="2138" w:name="bookmark2138"/>
      <w:bookmarkStart w:id="2140" w:name="bookmark214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37"/>
      <w:bookmarkEnd w:id="2138"/>
      <w:bookmarkEnd w:id="2140"/>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41"/>
      <w:bookmarkEnd w:id="2142"/>
      <w:bookmarkEnd w:id="2143"/>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3</w:t>
      </w:r>
      <w:bookmarkEnd w:id="2146"/>
      <w:r>
        <w:rPr>
          <w:color w:val="000000"/>
          <w:spacing w:val="0"/>
          <w:w w:val="100"/>
          <w:position w:val="0"/>
        </w:rPr>
        <w:t>）坏账准备计提情况</w:t>
      </w:r>
      <w:bookmarkEnd w:id="2144"/>
      <w:bookmarkEnd w:id="2145"/>
      <w:bookmarkEnd w:id="214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48"/>
      <w:bookmarkEnd w:id="2149"/>
      <w:bookmarkEnd w:id="2151"/>
    </w:p>
    <w:p>
      <w:pPr>
        <w:pStyle w:val="Style32"/>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2" w:name="bookmark215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48"/>
      <w:bookmarkEnd w:id="2149"/>
      <w:bookmarkEnd w:id="215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9,850,000.00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9,456,129.85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9,205,286.20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1,390,949.48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917,628.93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22,400.89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27,172.80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2,188,080.69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20,724,252.13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23,483,396.71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53"/>
      <w:bookmarkEnd w:id="2154"/>
      <w:bookmarkEnd w:id="215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921,174.40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921,174.40</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212,066.18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1,133,240.58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1,133,240.58</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9,068,277.89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10,781,050.14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602,624.10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208,150.00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20,724,252.13</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3</w:t>
      </w:r>
      <w:bookmarkEnd w:id="2158"/>
      <w:r>
        <w:rPr>
          <w:color w:val="000000"/>
          <w:spacing w:val="0"/>
          <w:w w:val="100"/>
          <w:position w:val="0"/>
        </w:rPr>
        <w:t>）本期计提、收回或转回的坏账准备情况</w:t>
      </w:r>
      <w:bookmarkEnd w:id="2156"/>
      <w:bookmarkEnd w:id="2157"/>
      <w:bookmarkEnd w:id="215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921,174.40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212,066.18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1,133,240.58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921,174.40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212,066.18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1,133,240.58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41"/>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本期无收回或转回金额重要的坏账准备。</w:t>
      </w:r>
    </w:p>
    <w:p>
      <w:pPr>
        <w:pStyle w:val="Style32"/>
        <w:keepNext/>
        <w:keepLines/>
        <w:widowControl w:val="0"/>
        <w:shd w:val="clear" w:color="auto" w:fill="auto"/>
        <w:bidi w:val="0"/>
        <w:spacing w:before="0" w:after="34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4</w:t>
      </w:r>
      <w:bookmarkEnd w:id="2162"/>
      <w:r>
        <w:rPr>
          <w:color w:val="000000"/>
          <w:spacing w:val="0"/>
          <w:w w:val="100"/>
          <w:position w:val="0"/>
        </w:rPr>
        <w:t>）本期实际核销的其他应收款情况</w:t>
      </w:r>
      <w:bookmarkEnd w:id="2160"/>
      <w:bookmarkEnd w:id="2161"/>
      <w:bookmarkEnd w:id="21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84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tabs>
                <w:tab w:pos="1344" w:val="left"/>
                <w:tab w:pos="3163" w:val="left"/>
              </w:tabs>
              <w:bidi w:val="0"/>
              <w:spacing w:before="0" w:after="0" w:line="240" w:lineRule="auto"/>
              <w:ind w:left="0" w:right="0" w:firstLine="0"/>
              <w:jc w:val="center"/>
            </w:pPr>
            <w:r>
              <w:rPr>
                <w:color w:val="000000"/>
                <w:spacing w:val="0"/>
                <w:w w:val="100"/>
                <w:position w:val="0"/>
              </w:rPr>
              <w:t>单位名称</w:t>
              <w:tab/>
              <w:t>其他应收款性质</w:t>
              <w:tab/>
              <w:t>核销金额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tabs>
                <w:tab w:pos="1310" w:val="left"/>
              </w:tabs>
              <w:bidi w:val="0"/>
              <w:spacing w:before="0" w:after="0" w:line="240" w:lineRule="auto"/>
              <w:ind w:left="0" w:right="0" w:firstLine="0"/>
              <w:jc w:val="center"/>
            </w:pPr>
            <w:r>
              <w:rPr>
                <w:color w:val="000000"/>
                <w:spacing w:val="0"/>
                <w:w w:val="100"/>
                <w:position w:val="0"/>
              </w:rPr>
              <w:t>核销原因</w:t>
              <w:tab/>
              <w:t>履行的核销程序款项是否由关联交</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易产生</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4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本期无实际核销的其他应收款。</w:t>
      </w:r>
    </w:p>
    <w:p>
      <w:pPr>
        <w:pStyle w:val="Style32"/>
        <w:keepNext/>
        <w:keepLines/>
        <w:widowControl w:val="0"/>
        <w:shd w:val="clear" w:color="auto" w:fill="auto"/>
        <w:bidi w:val="0"/>
        <w:spacing w:before="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5</w:t>
      </w:r>
      <w:bookmarkEnd w:id="2166"/>
      <w:r>
        <w:rPr>
          <w:color w:val="000000"/>
          <w:spacing w:val="0"/>
          <w:w w:val="100"/>
          <w:position w:val="0"/>
        </w:rPr>
        <w:t>）按欠款方归集的期末余额前五名的其他应收款情况</w:t>
      </w:r>
      <w:bookmarkEnd w:id="2164"/>
      <w:bookmarkEnd w:id="2165"/>
      <w:bookmarkEnd w:id="216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深圳瑞云互联科技有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9,850,000.00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北京市文化科技融资 租赁股份有限公司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中捷通信有限公司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北京高斓汉威物业管 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1,101,368.00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144,922.05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中国建设银行股份有 限公司四川省分行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309,531.00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30,285.93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17,460,899.00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711,207.98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6</w:t>
      </w:r>
      <w:bookmarkEnd w:id="2170"/>
      <w:r>
        <w:rPr>
          <w:color w:val="000000"/>
          <w:spacing w:val="0"/>
          <w:w w:val="100"/>
          <w:position w:val="0"/>
        </w:rPr>
        <w:t>）涉及政府补助的应收款项</w:t>
      </w:r>
      <w:bookmarkEnd w:id="2168"/>
      <w:bookmarkEnd w:id="2169"/>
      <w:bookmarkEnd w:id="217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预计收取的时间、金额 及依据</w:t>
            </w:r>
          </w:p>
        </w:tc>
      </w:tr>
    </w:tbl>
    <w:p>
      <w:pPr>
        <w:pStyle w:val="Style41"/>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期末无应收政府补助款项。</w:t>
      </w:r>
    </w:p>
    <w:p>
      <w:pPr>
        <w:pStyle w:val="Style32"/>
        <w:keepNext/>
        <w:keepLines/>
        <w:widowControl w:val="0"/>
        <w:shd w:val="clear" w:color="auto" w:fill="auto"/>
        <w:tabs>
          <w:tab w:pos="392" w:val="left"/>
        </w:tabs>
        <w:bidi w:val="0"/>
        <w:spacing w:before="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7</w:t>
      </w:r>
      <w:bookmarkEnd w:id="2174"/>
      <w:r>
        <w:rPr>
          <w:color w:val="000000"/>
          <w:spacing w:val="0"/>
          <w:w w:val="100"/>
          <w:position w:val="0"/>
        </w:rPr>
        <w:t>）</w:t>
        <w:tab/>
        <w:t>因金融资产转移而终止确认的其他应收款</w:t>
      </w:r>
      <w:bookmarkEnd w:id="2172"/>
      <w:bookmarkEnd w:id="2173"/>
      <w:bookmarkEnd w:id="2175"/>
    </w:p>
    <w:p>
      <w:pPr>
        <w:pStyle w:val="Style4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本期无因金融资产转移而终止确认的其他应收款。</w:t>
      </w:r>
    </w:p>
    <w:p>
      <w:pPr>
        <w:pStyle w:val="Style32"/>
        <w:keepNext/>
        <w:keepLines/>
        <w:widowControl w:val="0"/>
        <w:shd w:val="clear" w:color="auto" w:fill="auto"/>
        <w:tabs>
          <w:tab w:pos="397" w:val="left"/>
        </w:tabs>
        <w:bidi w:val="0"/>
        <w:spacing w:before="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8</w:t>
      </w:r>
      <w:bookmarkEnd w:id="2178"/>
      <w:r>
        <w:rPr>
          <w:color w:val="000000"/>
          <w:spacing w:val="0"/>
          <w:w w:val="100"/>
          <w:position w:val="0"/>
        </w:rPr>
        <w:t>）</w:t>
        <w:tab/>
        <w:t>转移其他应收款且继续涉入形成的资产、负债金额</w:t>
      </w:r>
      <w:bookmarkEnd w:id="2176"/>
      <w:bookmarkEnd w:id="2177"/>
      <w:bookmarkEnd w:id="2179"/>
    </w:p>
    <w:p>
      <w:pPr>
        <w:pStyle w:val="Style41"/>
        <w:keepNext w:val="0"/>
        <w:keepLines w:val="0"/>
        <w:widowControl w:val="0"/>
        <w:shd w:val="clear" w:color="auto" w:fill="auto"/>
        <w:bidi w:val="0"/>
        <w:spacing w:before="0" w:after="420" w:line="240" w:lineRule="auto"/>
        <w:ind w:left="0" w:right="0" w:firstLine="0"/>
        <w:jc w:val="left"/>
        <w:rPr>
          <w:sz w:val="20"/>
          <w:szCs w:val="20"/>
        </w:rPr>
      </w:pPr>
      <w:r>
        <w:rPr>
          <w:color w:val="000000"/>
          <w:spacing w:val="0"/>
          <w:w w:val="100"/>
          <w:position w:val="0"/>
          <w:sz w:val="20"/>
          <w:szCs w:val="20"/>
        </w:rPr>
        <w:t>本期无转移其他应收款且继续涉入形成的资产、负债。</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r>
        <w:rPr>
          <w:color w:val="000000"/>
          <w:spacing w:val="0"/>
          <w:w w:val="100"/>
          <w:position w:val="0"/>
          <w:sz w:val="20"/>
          <w:szCs w:val="20"/>
        </w:rPr>
        <w:t>对关联方的其他应收款情况</w:t>
      </w:r>
    </w:p>
    <w:tbl>
      <w:tblPr>
        <w:tblOverlap w:val="never"/>
        <w:jc w:val="left"/>
        <w:tblLayout w:type="fixed"/>
      </w:tblPr>
      <w:tblGrid>
        <w:gridCol w:w="2674"/>
        <w:gridCol w:w="1603"/>
        <w:gridCol w:w="1656"/>
        <w:gridCol w:w="2626"/>
      </w:tblGrid>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占其他应收款余额的比例</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深圳瑞云互联科技有限公司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、长期股权投资</w:t>
      </w:r>
      <w:bookmarkEnd w:id="2180"/>
      <w:bookmarkEnd w:id="2181"/>
      <w:bookmarkEnd w:id="21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1,173,733,789.64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607,648,347.01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566,085,442.63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1,173,194,760.14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530,289,058.49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642,905,701.65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12,575,981.52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12,575,981.52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1,173,733,789.64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607,648,347.01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566,085,442.63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1,185,770,741.66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530,289,058.49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655,481,683.17</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84" w:name="bookmark2184"/>
      <w:bookmarkStart w:id="2185" w:name="bookmark2185"/>
      <w:bookmarkStart w:id="2186" w:name="bookmark21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4"/>
      <w:bookmarkEnd w:id="2185"/>
      <w:bookmarkEnd w:id="21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江苏高伟达 信息技术有限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江苏盈达信 息技术有限公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32,712,400.00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32,712,400.00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上海翕振信 息技术有限公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29,068,120.00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29,068,120.00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北京高伟达 钽云科技有限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成都高伟达 信息技术有限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12,470,120.00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12,470,120.00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高伟达信息 科技</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539,029.50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539,029.50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上海睿民互 联网科技有限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235,712,185.0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235,712,185.08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64,287,797.14</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深圳瑞云互 联科技有限公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11,943,500.79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11,943,500.79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上海瑞车信 息科技有限公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海南坚果创 娱信息技术有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60,715,192.05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3,457,766.41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57,257,425.64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196,403,463.30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上海魔力果 信息技术有限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321,954.92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深圳市快读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224,462,228.8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73,901,522.11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150,560,706.70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346,957,086.57</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642,905,701.6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539,029.50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77,359,288.52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566,085,442.63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607,648,347.01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87"/>
      <w:bookmarkEnd w:id="2188"/>
      <w:bookmarkEnd w:id="21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1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中信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科技发展</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7,463,551</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4,219,363</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-3,244,18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⑵北京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睿斓科技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有限责任</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4,773,370</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2,740,451</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-2,032,91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北京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数微科技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339,060.2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-339,060.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12,575,98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6,959,814</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-5,616,16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12,575,98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6,959,814</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-5,616,16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numPr>
          <w:ilvl w:val="0"/>
          <w:numId w:val="183"/>
        </w:numPr>
        <w:shd w:val="clear" w:color="auto" w:fill="auto"/>
        <w:bidi w:val="0"/>
        <w:spacing w:before="0" w:line="240" w:lineRule="auto"/>
        <w:ind w:left="0" w:right="0" w:firstLine="0"/>
        <w:jc w:val="left"/>
      </w:pPr>
      <w:bookmarkStart w:id="2190" w:name="bookmark2190"/>
      <w:bookmarkStart w:id="2191" w:name="bookmark2191"/>
      <w:bookmarkStart w:id="2192" w:name="bookmark2192"/>
      <w:bookmarkStart w:id="2193" w:name="bookmark2193"/>
      <w:bookmarkEnd w:id="2192"/>
      <w:r>
        <w:rPr>
          <w:color w:val="000000"/>
          <w:spacing w:val="0"/>
          <w:w w:val="100"/>
          <w:position w:val="0"/>
        </w:rPr>
        <w:t>其他说明</w:t>
      </w:r>
      <w:bookmarkEnd w:id="2190"/>
      <w:bookmarkEnd w:id="2191"/>
      <w:bookmarkEnd w:id="2193"/>
    </w:p>
    <w:p>
      <w:pPr>
        <w:pStyle w:val="Style32"/>
        <w:keepNext/>
        <w:keepLines/>
        <w:widowControl w:val="0"/>
        <w:shd w:val="clear" w:color="auto" w:fill="auto"/>
        <w:bidi w:val="0"/>
        <w:spacing w:before="0" w:line="240" w:lineRule="auto"/>
        <w:ind w:left="0" w:right="0" w:firstLine="0"/>
        <w:jc w:val="left"/>
      </w:pPr>
      <w:bookmarkStart w:id="2190" w:name="bookmark2190"/>
      <w:bookmarkStart w:id="2191" w:name="bookmark2191"/>
      <w:bookmarkStart w:id="2194" w:name="bookmark2194"/>
      <w:bookmarkStart w:id="2195" w:name="bookmark2195"/>
      <w:r>
        <w:rPr>
          <w:rFonts w:ascii="Times New Roman" w:eastAsia="Times New Roman" w:hAnsi="Times New Roman" w:cs="Times New Roman"/>
          <w:color w:val="000000"/>
          <w:spacing w:val="0"/>
          <w:w w:val="100"/>
          <w:position w:val="0"/>
        </w:rPr>
        <w:t>4</w:t>
      </w:r>
      <w:bookmarkEnd w:id="2194"/>
      <w:r>
        <w:rPr>
          <w:color w:val="000000"/>
          <w:spacing w:val="0"/>
          <w:w w:val="100"/>
          <w:position w:val="0"/>
        </w:rPr>
        <w:t>、营业收入和营业成本</w:t>
      </w:r>
      <w:bookmarkEnd w:id="2190"/>
      <w:bookmarkEnd w:id="2191"/>
      <w:bookmarkEnd w:id="21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1,879,571,898.31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1,676,880,108.34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1,274,622,951.34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1,128,415,829.50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1,879,571,898.31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1,676,880,108.34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1,274,622,951.34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1,128,415,829.50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与履约义务相关的信息: 无</w:t>
      </w:r>
      <w:r>
        <w:br w:type="page"/>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r>
        <w:rPr>
          <w:color w:val="000000"/>
          <w:spacing w:val="0"/>
          <w:w w:val="100"/>
          <w:position w:val="0"/>
          <w:sz w:val="20"/>
          <w:szCs w:val="20"/>
        </w:rPr>
        <w:t>公司前五名客户的营业收入情况</w:t>
      </w:r>
    </w:p>
    <w:tbl>
      <w:tblPr>
        <w:tblOverlap w:val="never"/>
        <w:jc w:val="left"/>
        <w:tblLayout w:type="fixed"/>
      </w:tblPr>
      <w:tblGrid>
        <w:gridCol w:w="2856"/>
        <w:gridCol w:w="2846"/>
        <w:gridCol w:w="2856"/>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996,024,462.19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52.99</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281,428,444.38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14.97</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60,961,357.48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3.24</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58,297,015.30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3.10</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57,888,886.06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3.08</w:t>
            </w: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1,454,600,165.41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77.38</w:t>
            </w:r>
          </w:p>
        </w:tc>
      </w:tr>
    </w:tbl>
    <w:p>
      <w:pPr>
        <w:pStyle w:val="Style4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主营业务收入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主营业务成本情况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按业务类别分类</w:t>
      </w:r>
      <w:r>
        <w:rPr>
          <w:rFonts w:ascii="Times New Roman" w:eastAsia="Times New Roman" w:hAnsi="Times New Roman" w:cs="Times New Roman"/>
          <w:color w:val="000000"/>
          <w:spacing w:val="0"/>
          <w:w w:val="100"/>
          <w:position w:val="0"/>
          <w:sz w:val="20"/>
          <w:szCs w:val="20"/>
        </w:rPr>
        <w:t>)</w:t>
      </w:r>
    </w:p>
    <w:tbl>
      <w:tblPr>
        <w:tblOverlap w:val="never"/>
        <w:jc w:val="left"/>
        <w:tblLayout w:type="fixed"/>
      </w:tblPr>
      <w:tblGrid>
        <w:gridCol w:w="1661"/>
        <w:gridCol w:w="1723"/>
        <w:gridCol w:w="1723"/>
        <w:gridCol w:w="1718"/>
        <w:gridCol w:w="1733"/>
      </w:tblGrid>
      <w:tr>
        <w:trPr>
          <w:trHeight w:val="346"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业务类别</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成本</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721,274,012.90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585,593,301.67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440,348,601.58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352,472,197.99</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1,158,297,885.41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1,091,286,806.67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834,274,349.76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775,943,631.51</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1,879,571,898.31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1,676,880,108.34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1,274,622,951.34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1,128,415,829.50</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5</w:t>
      </w:r>
      <w:bookmarkEnd w:id="2198"/>
      <w:r>
        <w:rPr>
          <w:color w:val="000000"/>
          <w:spacing w:val="0"/>
          <w:w w:val="100"/>
          <w:position w:val="0"/>
        </w:rPr>
        <w:t>、投资收益</w:t>
      </w:r>
      <w:bookmarkEnd w:id="2196"/>
      <w:bookmarkEnd w:id="2197"/>
      <w:bookmarkEnd w:id="2199"/>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127,830,017.03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2,445,101.40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1,044,095.63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1,180,637.44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315,514.03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104,873,030.33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120,878,059.51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6</w:t>
      </w:r>
      <w:bookmarkEnd w:id="2202"/>
      <w:r>
        <w:rPr>
          <w:color w:val="000000"/>
          <w:spacing w:val="0"/>
          <w:w w:val="100"/>
          <w:position w:val="0"/>
        </w:rPr>
        <w:t>、其他</w:t>
      </w:r>
      <w:bookmarkEnd w:id="2200"/>
      <w:bookmarkEnd w:id="2201"/>
      <w:bookmarkEnd w:id="2203"/>
    </w:p>
    <w:p>
      <w:pPr>
        <w:pStyle w:val="Style27"/>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r>
        <w:rPr>
          <w:color w:val="000000"/>
          <w:spacing w:val="0"/>
          <w:w w:val="100"/>
          <w:position w:val="0"/>
          <w:sz w:val="24"/>
          <w:szCs w:val="24"/>
        </w:rPr>
        <w:t>十八、补充资料</w:t>
      </w:r>
      <w:bookmarkEnd w:id="2204"/>
      <w:bookmarkEnd w:id="2205"/>
      <w:bookmarkEnd w:id="2206"/>
    </w:p>
    <w:p>
      <w:pPr>
        <w:pStyle w:val="Style32"/>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07"/>
      <w:bookmarkEnd w:id="2208"/>
      <w:bookmarkEnd w:id="2209"/>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1,960,663.03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3,822,463.06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税收及财政扶持款</w:t>
            </w: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1,044,095.63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666,365.67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8,379.02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5,944,410.36</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10"/>
      <w:bookmarkEnd w:id="2211"/>
      <w:bookmarkEnd w:id="2212"/>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3</w:t>
      </w:r>
      <w:bookmarkEnd w:id="2215"/>
      <w:r>
        <w:rPr>
          <w:color w:val="000000"/>
          <w:spacing w:val="0"/>
          <w:w w:val="100"/>
          <w:position w:val="0"/>
        </w:rPr>
        <w:t>、境内外会计准则下会计数据差异</w:t>
      </w:r>
      <w:bookmarkEnd w:id="2213"/>
      <w:bookmarkEnd w:id="2214"/>
      <w:bookmarkEnd w:id="2216"/>
    </w:p>
    <w:p>
      <w:pPr>
        <w:pStyle w:val="Style32"/>
        <w:keepNext/>
        <w:keepLines/>
        <w:widowControl w:val="0"/>
        <w:shd w:val="clear" w:color="auto" w:fill="auto"/>
        <w:tabs>
          <w:tab w:pos="493" w:val="left"/>
        </w:tabs>
        <w:bidi w:val="0"/>
        <w:spacing w:before="0" w:line="240" w:lineRule="auto"/>
        <w:ind w:left="0" w:right="0" w:firstLine="0"/>
        <w:jc w:val="both"/>
      </w:pPr>
      <w:bookmarkStart w:id="2213" w:name="bookmark2213"/>
      <w:bookmarkStart w:id="2214" w:name="bookmark2214"/>
      <w:bookmarkStart w:id="2217" w:name="bookmark2217"/>
      <w:bookmarkStart w:id="2218" w:name="bookmark2218"/>
      <w:r>
        <w:rPr>
          <w:color w:val="000000"/>
          <w:spacing w:val="0"/>
          <w:w w:val="100"/>
          <w:position w:val="0"/>
        </w:rPr>
        <w:t>（</w:t>
      </w:r>
      <w:bookmarkEnd w:id="221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13"/>
      <w:bookmarkEnd w:id="2214"/>
      <w:bookmarkEnd w:id="2218"/>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2219" w:name="bookmark2219"/>
      <w:bookmarkStart w:id="2220" w:name="bookmark2220"/>
      <w:bookmarkStart w:id="2221" w:name="bookmark2221"/>
      <w:bookmarkStart w:id="2222" w:name="bookmark2222"/>
      <w:r>
        <w:rPr>
          <w:color w:val="000000"/>
          <w:spacing w:val="0"/>
          <w:w w:val="100"/>
          <w:position w:val="0"/>
        </w:rPr>
        <w:t>（</w:t>
      </w:r>
      <w:bookmarkEnd w:id="222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19"/>
      <w:bookmarkEnd w:id="2220"/>
      <w:bookmarkEnd w:id="2222"/>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1"/>
        <w:keepNext w:val="0"/>
        <w:keepLines w:val="0"/>
        <w:widowControl w:val="0"/>
        <w:numPr>
          <w:ilvl w:val="0"/>
          <w:numId w:val="185"/>
        </w:numPr>
        <w:shd w:val="clear" w:color="auto" w:fill="auto"/>
        <w:bidi w:val="0"/>
        <w:spacing w:before="0" w:after="280" w:line="326" w:lineRule="exact"/>
        <w:ind w:left="0" w:right="0" w:firstLine="0"/>
        <w:jc w:val="left"/>
        <w:rPr>
          <w:sz w:val="20"/>
          <w:szCs w:val="20"/>
        </w:rPr>
      </w:pPr>
      <w:bookmarkStart w:id="2223" w:name="bookmark2223"/>
      <w:bookmarkEnd w:id="2223"/>
      <w:r>
        <w:rPr>
          <w:b/>
          <w:bCs/>
          <w:color w:val="000000"/>
          <w:spacing w:val="0"/>
          <w:w w:val="100"/>
          <w:position w:val="0"/>
          <w:sz w:val="20"/>
          <w:szCs w:val="20"/>
        </w:rPr>
        <w:t>境内外会计准则下会计数据差异原因说明，对已经境外审计机构审计的数据进行差异调节的，应注 明该境外机构的名称</w:t>
      </w:r>
    </w:p>
    <w:p>
      <w:pPr>
        <w:pStyle w:val="Style41"/>
        <w:keepNext w:val="0"/>
        <w:keepLines w:val="0"/>
        <w:widowControl w:val="0"/>
        <w:shd w:val="clear" w:color="auto" w:fill="auto"/>
        <w:bidi w:val="0"/>
        <w:spacing w:before="0" w:after="0" w:line="326" w:lineRule="exact"/>
        <w:ind w:left="0" w:right="0" w:firstLine="0"/>
        <w:jc w:val="left"/>
        <w:rPr>
          <w:sz w:val="20"/>
          <w:szCs w:val="20"/>
        </w:rPr>
      </w:pPr>
      <w:bookmarkStart w:id="2224" w:name="bookmark2224"/>
      <w:r>
        <w:rPr>
          <w:rFonts w:ascii="Times New Roman" w:eastAsia="Times New Roman" w:hAnsi="Times New Roman" w:cs="Times New Roman"/>
          <w:b/>
          <w:bCs/>
          <w:color w:val="000000"/>
          <w:spacing w:val="0"/>
          <w:w w:val="100"/>
          <w:position w:val="0"/>
          <w:sz w:val="20"/>
          <w:szCs w:val="20"/>
        </w:rPr>
        <w:t>4</w:t>
      </w:r>
      <w:bookmarkEnd w:id="2224"/>
      <w:r>
        <w:rPr>
          <w:b/>
          <w:bCs/>
          <w:color w:val="000000"/>
          <w:spacing w:val="0"/>
          <w:w w:val="100"/>
          <w:position w:val="0"/>
          <w:sz w:val="20"/>
          <w:szCs w:val="20"/>
        </w:rPr>
        <w:t>、其他</w:t>
      </w:r>
    </w:p>
    <w:sectPr>
      <w:footnotePr>
        <w:pos w:val="pageBottom"/>
        <w:numFmt w:val="decimal"/>
        <w:numRestart w:val="continuous"/>
      </w:footnotePr>
      <w:pgSz w:w="11900" w:h="16840"/>
      <w:pgMar w:top="1383" w:right="1111" w:bottom="1455" w:left="11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4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SimHei" w:eastAsia="SimHei" w:hAnsi="SimHei" w:cs="SimHei"/>
      <w:b w:val="0"/>
      <w:bCs w:val="0"/>
      <w:i w:val="0"/>
      <w:iCs w:val="0"/>
      <w:smallCaps w:val="0"/>
      <w:strike w:val="0"/>
      <w:color w:val="D21723"/>
      <w:sz w:val="32"/>
      <w:szCs w:val="32"/>
      <w:u w:val="none"/>
      <w:shd w:val="clear" w:color="auto" w:fill="auto"/>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color w:val="454240"/>
      <w:sz w:val="20"/>
      <w:szCs w:val="20"/>
      <w:u w:val="none"/>
      <w:shd w:val="clear" w:color="auto" w:fill="auto"/>
    </w:rPr>
  </w:style>
  <w:style w:type="character" w:customStyle="1" w:styleId="CharStyle10">
    <w:name w:val="Body text (5)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Table of contents_"/>
    <w:basedOn w:val="DefaultParagraphFont"/>
    <w:link w:val="Style20"/>
    <w:rPr>
      <w:rFonts w:ascii="SimSun" w:eastAsia="SimSun" w:hAnsi="SimSun" w:cs="SimSun"/>
      <w:b w:val="0"/>
      <w:bCs w:val="0"/>
      <w:i w:val="0"/>
      <w:iCs w:val="0"/>
      <w:smallCaps w:val="0"/>
      <w:strike w:val="0"/>
      <w:sz w:val="28"/>
      <w:szCs w:val="28"/>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2">
    <w:name w:val="Body text (3)_"/>
    <w:basedOn w:val="DefaultParagraphFont"/>
    <w:link w:val="Style41"/>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Body text (6)"/>
    <w:basedOn w:val="Normal"/>
    <w:link w:val="CharStyle3"/>
    <w:pPr>
      <w:widowControl w:val="0"/>
      <w:shd w:val="clear" w:color="auto" w:fill="auto"/>
      <w:ind w:left="3800"/>
    </w:pPr>
    <w:rPr>
      <w:rFonts w:ascii="SimHei" w:eastAsia="SimHei" w:hAnsi="SimHei" w:cs="SimHei"/>
      <w:b w:val="0"/>
      <w:bCs w:val="0"/>
      <w:i w:val="0"/>
      <w:iCs w:val="0"/>
      <w:smallCaps w:val="0"/>
      <w:strike w:val="0"/>
      <w:color w:val="D21723"/>
      <w:sz w:val="32"/>
      <w:szCs w:val="32"/>
      <w:u w:val="none"/>
      <w:shd w:val="clear" w:color="auto" w:fill="auto"/>
    </w:rPr>
  </w:style>
  <w:style w:type="paragraph" w:customStyle="1" w:styleId="Style5">
    <w:name w:val="Body text (4)"/>
    <w:basedOn w:val="Normal"/>
    <w:link w:val="CharStyle6"/>
    <w:pPr>
      <w:widowControl w:val="0"/>
      <w:shd w:val="clear" w:color="auto" w:fill="auto"/>
      <w:spacing w:after="3180"/>
      <w:jc w:val="center"/>
    </w:pPr>
    <w:rPr>
      <w:rFonts w:ascii="Times New Roman" w:eastAsia="Times New Roman" w:hAnsi="Times New Roman" w:cs="Times New Roman"/>
      <w:b/>
      <w:bCs/>
      <w:i w:val="0"/>
      <w:iCs w:val="0"/>
      <w:smallCaps w:val="0"/>
      <w:strike w:val="0"/>
      <w:color w:val="454240"/>
      <w:sz w:val="20"/>
      <w:szCs w:val="20"/>
      <w:u w:val="none"/>
      <w:shd w:val="clear" w:color="auto" w:fill="auto"/>
    </w:rPr>
  </w:style>
  <w:style w:type="paragraph" w:customStyle="1" w:styleId="Style9">
    <w:name w:val="Body text (5)"/>
    <w:basedOn w:val="Normal"/>
    <w:link w:val="CharStyle10"/>
    <w:pPr>
      <w:widowControl w:val="0"/>
      <w:shd w:val="clear" w:color="auto" w:fill="auto"/>
      <w:spacing w:after="10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1">
    <w:name w:val="Heading #1"/>
    <w:basedOn w:val="Normal"/>
    <w:link w:val="CharStyle12"/>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Other"/>
    <w:basedOn w:val="Normal"/>
    <w:link w:val="CharStyle18"/>
    <w:pPr>
      <w:widowControl w:val="0"/>
      <w:shd w:val="clear" w:color="auto" w:fill="auto"/>
      <w:spacing w:line="353"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Table of contents"/>
    <w:basedOn w:val="Normal"/>
    <w:link w:val="CharStyle21"/>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23">
    <w:name w:val="Body text"/>
    <w:basedOn w:val="Normal"/>
    <w:link w:val="CharStyle24"/>
    <w:pPr>
      <w:widowControl w:val="0"/>
      <w:shd w:val="clear" w:color="auto" w:fill="auto"/>
      <w:spacing w:after="110" w:line="36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2"/>
    <w:basedOn w:val="Normal"/>
    <w:link w:val="CharStyle28"/>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Heading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Body text (3)"/>
    <w:basedOn w:val="Normal"/>
    <w:link w:val="CharStyle42"/>
    <w:pPr>
      <w:widowControl w:val="0"/>
      <w:shd w:val="clear" w:color="auto" w:fill="auto"/>
      <w:spacing w:after="360" w:line="317" w:lineRule="exact"/>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高伟达软件股份有限公司2021年年度报告全文</dc:title>
  <dc:subject/>
  <dc:creator>高伟达软件股份有限公司</dc:creator>
  <cp:keywords/>
</cp:coreProperties>
</file>