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22" w:right="53" w:bottom="979" w:left="3942" w:header="0" w:footer="3" w:gutter="0"/>
          <w:pgNumType w:start="1"/>
          <w:cols w:space="720"/>
          <w:noEndnote/>
          <w:rtlGutter w:val="0"/>
          <w:docGrid w:linePitch="360"/>
        </w:sectPr>
      </w:pPr>
    </w:p>
    <w:p>
      <w:pPr>
        <w:pStyle w:val="Style7"/>
        <w:keepNext/>
        <w:keepLines/>
        <w:framePr w:w="1306" w:h="562" w:wrap="none" w:vAnchor="text" w:hAnchor="page" w:x="5647" w:y="21"/>
        <w:widowControl w:val="0"/>
        <w:shd w:val="clear" w:color="auto" w:fill="auto"/>
        <w:bidi w:val="0"/>
        <w:spacing w:before="0" w:after="0" w:line="240" w:lineRule="auto"/>
        <w:ind w:left="0" w:right="0" w:firstLine="0"/>
        <w:jc w:val="both"/>
      </w:pPr>
      <w:bookmarkStart w:id="0" w:name="bookmark0"/>
      <w:bookmarkStart w:id="1" w:name="bookmark1"/>
      <w:bookmarkStart w:id="2" w:name="bookmark2"/>
      <w:r>
        <w:rPr>
          <w:spacing w:val="0"/>
          <w:w w:val="100"/>
          <w:position w:val="0"/>
        </w:rPr>
        <w:t>高停逐</w:t>
      </w:r>
      <w:bookmarkEnd w:id="0"/>
      <w:bookmarkEnd w:id="1"/>
      <w:bookmarkEnd w:id="2"/>
    </w:p>
    <w:p>
      <w:pPr>
        <w:pStyle w:val="Style9"/>
        <w:keepNext w:val="0"/>
        <w:keepLines w:val="0"/>
        <w:framePr w:w="1306" w:h="562" w:wrap="none" w:vAnchor="text" w:hAnchor="page" w:x="5647" w:y="21"/>
        <w:widowControl w:val="0"/>
        <w:shd w:val="clear" w:color="auto" w:fill="auto"/>
        <w:bidi w:val="0"/>
        <w:spacing w:before="0" w:after="0" w:line="185" w:lineRule="auto"/>
        <w:ind w:left="0" w:right="0" w:firstLine="0"/>
        <w:jc w:val="left"/>
        <w:rPr>
          <w:sz w:val="20"/>
          <w:szCs w:val="20"/>
        </w:rPr>
      </w:pPr>
      <w:r>
        <w:rPr>
          <w:rFonts w:ascii="Times New Roman" w:eastAsia="Times New Roman" w:hAnsi="Times New Roman" w:cs="Times New Roman"/>
          <w:b/>
          <w:bCs/>
          <w:color w:val="4C4948"/>
          <w:spacing w:val="0"/>
          <w:w w:val="100"/>
          <w:position w:val="0"/>
          <w:sz w:val="20"/>
          <w:szCs w:val="20"/>
        </w:rPr>
        <w:t>Global IhfoTech</w:t>
      </w:r>
    </w:p>
    <w:p>
      <w:pPr>
        <w:pStyle w:val="Style9"/>
        <w:keepNext w:val="0"/>
        <w:keepLines w:val="0"/>
        <w:framePr w:w="4008" w:h="437" w:wrap="none" w:vAnchor="text" w:hAnchor="page" w:x="3943" w:y="966"/>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高伟达软件股份有限公司</w:t>
      </w:r>
    </w:p>
    <w:p>
      <w:pPr>
        <w:pStyle w:val="Style13"/>
        <w:keepNext/>
        <w:keepLines/>
        <w:framePr w:w="2366" w:h="408" w:wrap="none" w:vAnchor="text" w:hAnchor="page" w:x="4759" w:y="1811"/>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9"/>
        <w:keepNext w:val="0"/>
        <w:keepLines w:val="0"/>
        <w:framePr w:w="874" w:h="274" w:wrap="none" w:vAnchor="text" w:hAnchor="page" w:x="5508" w:y="261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2021-011</w:t>
      </w:r>
    </w:p>
    <w:p>
      <w:pPr>
        <w:pStyle w:val="Style13"/>
        <w:keepNext/>
        <w:keepLines/>
        <w:framePr w:w="1886" w:h="408" w:wrap="none" w:vAnchor="text" w:hAnchor="page" w:x="4999" w:y="8871"/>
        <w:widowControl w:val="0"/>
        <w:shd w:val="clear" w:color="auto" w:fill="auto"/>
        <w:bidi w:val="0"/>
        <w:spacing w:before="0" w:after="0" w:line="240" w:lineRule="auto"/>
        <w:ind w:left="0" w:right="0" w:firstLine="0"/>
        <w:jc w:val="left"/>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bookmarkEnd w:id="6"/>
      <w:bookmarkEnd w:id="7"/>
      <w:bookmarkEnd w:id="8"/>
    </w:p>
    <w:p>
      <w:pPr>
        <w:pStyle w:val="Style17"/>
        <w:keepNext/>
        <w:keepLines/>
        <w:framePr w:w="936" w:h="408" w:wrap="none" w:vAnchor="text" w:hAnchor="page" w:x="10840" w:y="13268"/>
        <w:widowControl w:val="0"/>
        <w:shd w:val="clear" w:color="auto" w:fill="auto"/>
        <w:bidi w:val="0"/>
        <w:spacing w:before="0" w:after="0" w:line="240" w:lineRule="auto"/>
        <w:ind w:left="0" w:right="0" w:firstLine="0"/>
        <w:jc w:val="center"/>
        <w:rPr>
          <w:sz w:val="20"/>
          <w:szCs w:val="20"/>
        </w:rPr>
      </w:pPr>
      <w:bookmarkStart w:id="10" w:name="bookmark10"/>
      <w:bookmarkStart w:id="11" w:name="bookmark11"/>
      <w:bookmarkStart w:id="9" w:name="bookmark9"/>
      <w:r>
        <w:rPr>
          <w:rFonts w:ascii="Arial" w:eastAsia="Arial" w:hAnsi="Arial" w:cs="Arial"/>
          <w:color w:val="A2A2A2"/>
          <w:spacing w:val="0"/>
          <w:w w:val="100"/>
          <w:position w:val="0"/>
          <w:sz w:val="20"/>
          <w:szCs w:val="20"/>
        </w:rPr>
        <w:t>cninf^</w:t>
      </w:r>
      <w:bookmarkEnd w:id="10"/>
      <w:bookmarkEnd w:id="11"/>
      <w:bookmarkEnd w:id="9"/>
    </w:p>
    <w:p>
      <w:pPr>
        <w:pStyle w:val="Style20"/>
        <w:keepNext w:val="0"/>
        <w:keepLines w:val="0"/>
        <w:framePr w:w="936" w:h="408" w:wrap="none" w:vAnchor="text" w:hAnchor="page" w:x="10840" w:y="13268"/>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Restart w:val="continuous"/>
          </w:footnotePr>
          <w:type w:val="continuous"/>
          <w:pgSz w:w="11900" w:h="16840"/>
          <w:pgMar w:top="1022" w:right="53" w:bottom="979" w:left="3942" w:header="0" w:footer="3" w:gutter="0"/>
          <w:cols w:space="720"/>
          <w:noEndnote/>
          <w:rtlGutter w:val="0"/>
          <w:docGrid w:linePitch="360"/>
        </w:sectPr>
      </w:pPr>
    </w:p>
    <w:p>
      <w:pPr>
        <w:pStyle w:val="Style13"/>
        <w:keepNext/>
        <w:keepLines/>
        <w:widowControl w:val="0"/>
        <w:shd w:val="clear" w:color="auto" w:fill="auto"/>
        <w:bidi w:val="0"/>
        <w:spacing w:before="0" w:after="660" w:line="240" w:lineRule="auto"/>
        <w:ind w:left="0" w:right="0" w:firstLine="0"/>
        <w:jc w:val="center"/>
      </w:pPr>
      <w:bookmarkStart w:id="12" w:name="bookmark12"/>
      <w:bookmarkStart w:id="13" w:name="bookmark13"/>
      <w:bookmarkStart w:id="14" w:name="bookmark14"/>
      <w:r>
        <w:rPr>
          <w:color w:val="000000"/>
          <w:spacing w:val="0"/>
          <w:w w:val="100"/>
          <w:position w:val="0"/>
        </w:rPr>
        <w:t>第一节重要提示、目录和释义</w:t>
      </w:r>
      <w:bookmarkEnd w:id="12"/>
      <w:bookmarkEnd w:id="13"/>
      <w:bookmarkEnd w:id="14"/>
    </w:p>
    <w:p>
      <w:pPr>
        <w:pStyle w:val="Style22"/>
        <w:keepNext w:val="0"/>
        <w:keepLines w:val="0"/>
        <w:widowControl w:val="0"/>
        <w:shd w:val="clear" w:color="auto" w:fill="auto"/>
        <w:bidi w:val="0"/>
        <w:spacing w:before="0" w:after="400" w:line="240" w:lineRule="auto"/>
        <w:ind w:left="0" w:right="0"/>
        <w:jc w:val="left"/>
      </w:pPr>
      <w:bookmarkStart w:id="15" w:name="bookmark15"/>
      <w:r>
        <w:rPr>
          <w:color w:val="000000"/>
          <w:spacing w:val="0"/>
          <w:w w:val="100"/>
          <w:position w:val="0"/>
        </w:rPr>
        <w:t xml:space="preserve">公司董事会、监事会及除以下存在异议声明的董事、监事、高级管理人员 </w:t>
      </w:r>
      <w:bookmarkEnd w:id="15"/>
      <w:r>
        <w:rPr>
          <w:color w:val="000000"/>
          <w:spacing w:val="0"/>
          <w:w w:val="100"/>
          <w:position w:val="0"/>
        </w:rPr>
        <w:t xml:space="preserve">外的其他董事、监事、高级管理人员均保证年度报告内容的真实、准确、完整, </w:t>
      </w:r>
      <w:r>
        <w:rPr>
          <w:color w:val="000000"/>
          <w:spacing w:val="0"/>
          <w:w w:val="100"/>
          <w:position w:val="0"/>
        </w:rPr>
        <w:t>不存在虚假记载、误导性陈述或重大遗漏，并承担个别和连带的法律责任。</w:t>
      </w:r>
    </w:p>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董事、监事、高级管理人员异议声明</w:t>
      </w:r>
    </w:p>
    <w:p>
      <w:pPr>
        <w:widowControl w:val="0"/>
        <w:spacing w:line="1" w:lineRule="exact"/>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74" w:right="24" w:bottom="169" w:left="1100" w:header="0" w:footer="3" w:gutter="0"/>
          <w:cols w:space="720"/>
          <w:noEndnote/>
          <w:rtlGutter w:val="0"/>
          <w:docGrid w:linePitch="360"/>
        </w:sectPr>
      </w:pPr>
      <w:r>
        <mc:AlternateContent>
          <mc:Choice Requires="wps">
            <w:drawing>
              <wp:anchor distT="206375" distB="3175" distL="0" distR="0" simplePos="0" relativeHeight="125829378" behindDoc="0" locked="0" layoutInCell="1" allowOverlap="1">
                <wp:simplePos x="0" y="0"/>
                <wp:positionH relativeFrom="page">
                  <wp:posOffset>1448435</wp:posOffset>
                </wp:positionH>
                <wp:positionV relativeFrom="paragraph">
                  <wp:posOffset>206375</wp:posOffset>
                </wp:positionV>
                <wp:extent cx="387350" cy="225425"/>
                <wp:wrapTopAndBottom/>
                <wp:docPr id="25" name="Shape 25"/>
                <a:graphic xmlns:a="http://schemas.openxmlformats.org/drawingml/2006/main">
                  <a:graphicData uri="http://schemas.microsoft.com/office/word/2010/wordprocessingShape">
                    <wps:wsp>
                      <wps:cNvSpPr txBox="1"/>
                      <wps:spPr>
                        <a:xfrm>
                          <a:ext cx="387350" cy="225425"/>
                        </a:xfrm>
                        <a:prstGeom prst="rect"/>
                        <a:noFill/>
                      </wps:spPr>
                      <wps:txbx>
                        <w:txbxContent>
                          <w:p>
                            <w:pPr>
                              <w:pStyle w:val="Style22"/>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姓名</w:t>
                            </w:r>
                          </w:p>
                        </w:txbxContent>
                      </wps:txbx>
                      <wps:bodyPr wrap="none" lIns="0" tIns="0" rIns="0" bIns="0">
                        <a:noAutoFit/>
                      </wps:bodyPr>
                    </wps:wsp>
                  </a:graphicData>
                </a:graphic>
              </wp:anchor>
            </w:drawing>
          </mc:Choice>
          <mc:Fallback>
            <w:pict>
              <v:shape id="_x0000_s1051" type="#_x0000_t202" style="position:absolute;margin-left:114.05pt;margin-top:16.25pt;width:30.5pt;height:17.75pt;z-index:-125829375;mso-wrap-distance-left:0;mso-wrap-distance-top:16.25pt;mso-wrap-distance-right:0;mso-wrap-distance-bottom:0.25pt;mso-position-horizontal-relative:page" filled="f" stroked="f">
                <v:textbox inset="0,0,0,0">
                  <w:txbxContent>
                    <w:p>
                      <w:pPr>
                        <w:pStyle w:val="Style22"/>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姓名</w:t>
                      </w:r>
                    </w:p>
                  </w:txbxContent>
                </v:textbox>
                <w10:wrap type="topAndBottom" anchorx="page"/>
              </v:shape>
            </w:pict>
          </mc:Fallback>
        </mc:AlternateContent>
      </w:r>
      <w:r>
        <mc:AlternateContent>
          <mc:Choice Requires="wps">
            <w:drawing>
              <wp:anchor distT="203200" distB="0" distL="0" distR="0" simplePos="0" relativeHeight="125829380" behindDoc="0" locked="0" layoutInCell="1" allowOverlap="1">
                <wp:simplePos x="0" y="0"/>
                <wp:positionH relativeFrom="page">
                  <wp:posOffset>3307715</wp:posOffset>
                </wp:positionH>
                <wp:positionV relativeFrom="paragraph">
                  <wp:posOffset>203200</wp:posOffset>
                </wp:positionV>
                <wp:extent cx="387350" cy="231775"/>
                <wp:wrapTopAndBottom/>
                <wp:docPr id="27" name="Shape 27"/>
                <a:graphic xmlns:a="http://schemas.openxmlformats.org/drawingml/2006/main">
                  <a:graphicData uri="http://schemas.microsoft.com/office/word/2010/wordprocessingShape">
                    <wps:wsp>
                      <wps:cNvSpPr txBox="1"/>
                      <wps:spPr>
                        <a:xfrm>
                          <a:ext cx="387350" cy="231775"/>
                        </a:xfrm>
                        <a:prstGeom prst="rect"/>
                        <a:noFill/>
                      </wps:spPr>
                      <wps:txbx>
                        <w:txbxContent>
                          <w:p>
                            <w:pPr>
                              <w:pStyle w:val="Style22"/>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职务</w:t>
                            </w:r>
                          </w:p>
                        </w:txbxContent>
                      </wps:txbx>
                      <wps:bodyPr wrap="none" lIns="0" tIns="0" rIns="0" bIns="0">
                        <a:noAutoFit/>
                      </wps:bodyPr>
                    </wps:wsp>
                  </a:graphicData>
                </a:graphic>
              </wp:anchor>
            </w:drawing>
          </mc:Choice>
          <mc:Fallback>
            <w:pict>
              <v:shape id="_x0000_s1053" type="#_x0000_t202" style="position:absolute;margin-left:260.44999999999999pt;margin-top:16.pt;width:30.5pt;height:18.25pt;z-index:-125829373;mso-wrap-distance-left:0;mso-wrap-distance-top:16.pt;mso-wrap-distance-right:0;mso-position-horizontal-relative:page" filled="f" stroked="f">
                <v:textbox inset="0,0,0,0">
                  <w:txbxContent>
                    <w:p>
                      <w:pPr>
                        <w:pStyle w:val="Style22"/>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职务</w:t>
                      </w:r>
                    </w:p>
                  </w:txbxContent>
                </v:textbox>
                <w10:wrap type="topAndBottom" anchorx="page"/>
              </v:shape>
            </w:pict>
          </mc:Fallback>
        </mc:AlternateContent>
      </w:r>
      <w:r>
        <mc:AlternateContent>
          <mc:Choice Requires="wps">
            <w:drawing>
              <wp:anchor distT="206375" distB="12065" distL="0" distR="0" simplePos="0" relativeHeight="125829382" behindDoc="0" locked="0" layoutInCell="1" allowOverlap="1">
                <wp:simplePos x="0" y="0"/>
                <wp:positionH relativeFrom="page">
                  <wp:posOffset>5166995</wp:posOffset>
                </wp:positionH>
                <wp:positionV relativeFrom="paragraph">
                  <wp:posOffset>206375</wp:posOffset>
                </wp:positionV>
                <wp:extent cx="902335" cy="216535"/>
                <wp:wrapTopAndBottom/>
                <wp:docPr id="29" name="Shape 29"/>
                <a:graphic xmlns:a="http://schemas.openxmlformats.org/drawingml/2006/main">
                  <a:graphicData uri="http://schemas.microsoft.com/office/word/2010/wordprocessingShape">
                    <wps:wsp>
                      <wps:cNvSpPr txBox="1"/>
                      <wps:spPr>
                        <a:xfrm>
                          <a:ext cx="902335" cy="216535"/>
                        </a:xfrm>
                        <a:prstGeom prst="rect"/>
                        <a:noFill/>
                      </wps:spPr>
                      <wps:txbx>
                        <w:txbxContent>
                          <w:p>
                            <w:pPr>
                              <w:pStyle w:val="Style22"/>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both"/>
                            </w:pPr>
                            <w:r>
                              <w:rPr>
                                <w:color w:val="000000"/>
                                <w:spacing w:val="0"/>
                                <w:w w:val="100"/>
                                <w:position w:val="0"/>
                              </w:rPr>
                              <w:t>内容和原因</w:t>
                            </w:r>
                          </w:p>
                        </w:txbxContent>
                      </wps:txbx>
                      <wps:bodyPr wrap="none" lIns="0" tIns="0" rIns="0" bIns="0">
                        <a:noAutoFit/>
                      </wps:bodyPr>
                    </wps:wsp>
                  </a:graphicData>
                </a:graphic>
              </wp:anchor>
            </w:drawing>
          </mc:Choice>
          <mc:Fallback>
            <w:pict>
              <v:shape id="_x0000_s1055" type="#_x0000_t202" style="position:absolute;margin-left:406.85000000000002pt;margin-top:16.25pt;width:71.049999999999997pt;height:17.050000000000001pt;z-index:-125829371;mso-wrap-distance-left:0;mso-wrap-distance-top:16.25pt;mso-wrap-distance-right:0;mso-wrap-distance-bottom:0.95000000000000007pt;mso-position-horizontal-relative:page" filled="f" stroked="f">
                <v:textbox inset="0,0,0,0">
                  <w:txbxContent>
                    <w:p>
                      <w:pPr>
                        <w:pStyle w:val="Style22"/>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both"/>
                      </w:pPr>
                      <w:r>
                        <w:rPr>
                          <w:color w:val="000000"/>
                          <w:spacing w:val="0"/>
                          <w:w w:val="100"/>
                          <w:position w:val="0"/>
                        </w:rPr>
                        <w:t>内容和原因</w:t>
                      </w:r>
                    </w:p>
                  </w:txbxContent>
                </v:textbox>
                <w10:wrap type="topAndBottom" anchorx="page"/>
              </v:shape>
            </w:pict>
          </mc:Fallback>
        </mc:AlternateContent>
      </w: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74" w:right="0" w:bottom="169" w:left="0" w:header="0" w:footer="3" w:gutter="0"/>
          <w:cols w:space="720"/>
          <w:noEndnote/>
          <w:rtlGutter w:val="0"/>
          <w:docGrid w:linePitch="360"/>
        </w:sectPr>
      </w:pPr>
    </w:p>
    <w:p>
      <w:pPr>
        <w:pStyle w:val="Style22"/>
        <w:keepNext w:val="0"/>
        <w:keepLines w:val="0"/>
        <w:widowControl w:val="0"/>
        <w:shd w:val="clear" w:color="auto" w:fill="auto"/>
        <w:bidi w:val="0"/>
        <w:spacing w:before="0" w:after="380" w:line="240" w:lineRule="auto"/>
        <w:ind w:left="0" w:right="0"/>
        <w:jc w:val="left"/>
      </w:pPr>
      <w:r>
        <w:rPr>
          <w:color w:val="000000"/>
          <w:spacing w:val="0"/>
          <w:w w:val="100"/>
          <w:position w:val="0"/>
        </w:rPr>
        <w:t>公司负责人于伟、主管会计工作负责人高源及会计机构负责人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 xml:space="preserve">会计主管人 </w:t>
      </w:r>
      <w:r>
        <w:rPr>
          <w:color w:val="000000"/>
          <w:spacing w:val="0"/>
          <w:w w:val="100"/>
          <w:position w:val="0"/>
        </w:rPr>
        <w:t>员</w:t>
      </w:r>
      <w:r>
        <w:rPr>
          <w:rFonts w:ascii="Times New Roman" w:eastAsia="Times New Roman" w:hAnsi="Times New Roman" w:cs="Times New Roman"/>
          <w:color w:val="000000"/>
          <w:spacing w:val="0"/>
          <w:w w:val="100"/>
          <w:position w:val="0"/>
        </w:rPr>
        <w:t>）</w:t>
      </w:r>
      <w:r>
        <w:rPr>
          <w:color w:val="000000"/>
          <w:spacing w:val="0"/>
          <w:w w:val="100"/>
          <w:position w:val="0"/>
        </w:rPr>
        <w:t>贾银肖声明：保证本年度报告中财务报告的真实、准确、完整。</w:t>
      </w:r>
    </w:p>
    <w:p>
      <w:pPr>
        <w:pStyle w:val="Style22"/>
        <w:keepNext w:val="0"/>
        <w:keepLines w:val="0"/>
        <w:widowControl w:val="0"/>
        <w:shd w:val="clear" w:color="auto" w:fill="auto"/>
        <w:bidi w:val="0"/>
        <w:spacing w:before="0" w:after="380" w:line="240" w:lineRule="auto"/>
        <w:ind w:left="0" w:right="0"/>
        <w:jc w:val="left"/>
      </w:pPr>
      <w:r>
        <w:rPr>
          <w:color w:val="000000"/>
          <w:spacing w:val="0"/>
          <w:w w:val="100"/>
          <w:position w:val="0"/>
        </w:rPr>
        <w:t>所有董事均已出席了审议本报告的董事会会议。</w:t>
      </w:r>
    </w:p>
    <w:p>
      <w:pPr>
        <w:pStyle w:val="Style22"/>
        <w:keepNext w:val="0"/>
        <w:keepLines w:val="0"/>
        <w:widowControl w:val="0"/>
        <w:shd w:val="clear" w:color="auto" w:fill="auto"/>
        <w:bidi w:val="0"/>
        <w:spacing w:before="0" w:after="280" w:line="240" w:lineRule="auto"/>
        <w:ind w:left="0" w:right="0"/>
        <w:jc w:val="left"/>
      </w:pPr>
      <w:bookmarkStart w:id="16" w:name="bookmark16"/>
      <w:r>
        <w:rPr>
          <w:rFonts w:ascii="Times New Roman" w:eastAsia="Times New Roman" w:hAnsi="Times New Roman" w:cs="Times New Roman"/>
          <w:color w:val="000000"/>
          <w:spacing w:val="0"/>
          <w:w w:val="100"/>
          <w:position w:val="0"/>
        </w:rPr>
        <w:t>1</w:t>
      </w:r>
      <w:bookmarkEnd w:id="16"/>
      <w:r>
        <w:rPr>
          <w:color w:val="000000"/>
          <w:spacing w:val="0"/>
          <w:w w:val="100"/>
          <w:position w:val="0"/>
        </w:rPr>
        <w:t>、报告期内，受疫情、行业发展的客观变化、管理层变动，及宏观市场经</w:t>
      </w: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济等因素的影响，公司全资子公司上海睿民、坚果技术、快读科技与原全资子 </w:t>
      </w:r>
      <w:r>
        <w:rPr>
          <w:color w:val="000000"/>
          <w:spacing w:val="0"/>
          <w:w w:val="100"/>
          <w:position w:val="0"/>
        </w:rPr>
        <w:t>公司尚河科技，所在的资产组的经营发展受到不同程度的影响，业绩普遍下滑。</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综合客观因素和未来业务发展趋势判断，公司对以上子公司所在的资产组的商 </w:t>
      </w:r>
      <w:r>
        <w:rPr>
          <w:color w:val="000000"/>
          <w:spacing w:val="0"/>
          <w:w w:val="100"/>
          <w:position w:val="0"/>
        </w:rPr>
        <w:t>誉计提减值准备。在本次计提商誉减值准备之前,公司账面商誉合计为</w:t>
      </w:r>
      <w:r>
        <w:rPr>
          <w:rFonts w:ascii="Times New Roman" w:eastAsia="Times New Roman" w:hAnsi="Times New Roman" w:cs="Times New Roman"/>
          <w:color w:val="000000"/>
          <w:spacing w:val="0"/>
          <w:w w:val="100"/>
          <w:position w:val="0"/>
        </w:rPr>
        <w:t xml:space="preserve">91,902.22 </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年合计计提商誉减值准备</w:t>
      </w:r>
      <w:r>
        <w:rPr>
          <w:rFonts w:ascii="Times New Roman" w:eastAsia="Times New Roman" w:hAnsi="Times New Roman" w:cs="Times New Roman"/>
          <w:color w:val="000000"/>
          <w:spacing w:val="0"/>
          <w:w w:val="100"/>
          <w:position w:val="0"/>
        </w:rPr>
        <w:t>77,782.84</w:t>
      </w:r>
      <w:r>
        <w:rPr>
          <w:color w:val="000000"/>
          <w:spacing w:val="0"/>
          <w:w w:val="100"/>
          <w:position w:val="0"/>
        </w:rPr>
        <w:t xml:space="preserve">万元。本次计提商誉减值准备之 </w:t>
      </w:r>
      <w:r>
        <w:rPr>
          <w:color w:val="000000"/>
          <w:spacing w:val="0"/>
          <w:w w:val="100"/>
          <w:position w:val="0"/>
        </w:rPr>
        <w:t>后，商誉余额为</w:t>
      </w:r>
      <w:r>
        <w:rPr>
          <w:rFonts w:ascii="Times New Roman" w:eastAsia="Times New Roman" w:hAnsi="Times New Roman" w:cs="Times New Roman"/>
          <w:color w:val="000000"/>
          <w:spacing w:val="0"/>
          <w:w w:val="100"/>
          <w:position w:val="0"/>
        </w:rPr>
        <w:t>14,119.38</w:t>
      </w:r>
      <w:r>
        <w:rPr>
          <w:color w:val="000000"/>
          <w:spacing w:val="0"/>
          <w:w w:val="100"/>
          <w:position w:val="0"/>
        </w:rPr>
        <w:t xml:space="preserve">万元。计提商誉减值准备对公司当期业绩造成重大影 </w:t>
      </w:r>
      <w:r>
        <w:rPr>
          <w:color w:val="000000"/>
          <w:spacing w:val="0"/>
          <w:w w:val="100"/>
          <w:position w:val="0"/>
        </w:rPr>
        <w:t>响，本年度实现归属于母公司净利润为</w:t>
      </w:r>
      <w:r>
        <w:rPr>
          <w:rFonts w:ascii="Times New Roman" w:eastAsia="Times New Roman" w:hAnsi="Times New Roman" w:cs="Times New Roman"/>
          <w:color w:val="000000"/>
          <w:spacing w:val="0"/>
          <w:w w:val="100"/>
          <w:position w:val="0"/>
        </w:rPr>
        <w:t>-67,124.76</w:t>
      </w:r>
      <w:r>
        <w:rPr>
          <w:color w:val="000000"/>
          <w:spacing w:val="0"/>
          <w:w w:val="100"/>
          <w:position w:val="0"/>
        </w:rPr>
        <w:t xml:space="preserve">万元，剔除计提商誉减值准备 </w:t>
      </w:r>
      <w:r>
        <w:rPr>
          <w:color w:val="000000"/>
          <w:spacing w:val="0"/>
          <w:w w:val="100"/>
          <w:position w:val="0"/>
        </w:rPr>
        <w:t>影响后，公司净利润为</w:t>
      </w:r>
      <w:r>
        <w:rPr>
          <w:rFonts w:ascii="Times New Roman" w:eastAsia="Times New Roman" w:hAnsi="Times New Roman" w:cs="Times New Roman"/>
          <w:color w:val="000000"/>
          <w:spacing w:val="0"/>
          <w:w w:val="100"/>
          <w:position w:val="0"/>
        </w:rPr>
        <w:t>11,658.25</w:t>
      </w:r>
      <w:r>
        <w:rPr>
          <w:color w:val="000000"/>
          <w:spacing w:val="0"/>
          <w:w w:val="100"/>
          <w:position w:val="0"/>
        </w:rPr>
        <w:t>万元。</w:t>
      </w:r>
    </w:p>
    <w:p>
      <w:pPr>
        <w:pStyle w:val="Style22"/>
        <w:keepNext w:val="0"/>
        <w:keepLines w:val="0"/>
        <w:widowControl w:val="0"/>
        <w:shd w:val="clear" w:color="auto" w:fill="auto"/>
        <w:bidi w:val="0"/>
        <w:spacing w:before="0" w:after="280" w:line="240" w:lineRule="auto"/>
        <w:ind w:left="0" w:right="0"/>
        <w:jc w:val="left"/>
      </w:pPr>
      <w:bookmarkStart w:id="17" w:name="bookmark17"/>
      <w:r>
        <w:rPr>
          <w:rFonts w:ascii="Times New Roman" w:eastAsia="Times New Roman" w:hAnsi="Times New Roman" w:cs="Times New Roman"/>
          <w:color w:val="000000"/>
          <w:spacing w:val="0"/>
          <w:w w:val="100"/>
          <w:position w:val="0"/>
        </w:rPr>
        <w:t>2</w:t>
      </w:r>
      <w:bookmarkEnd w:id="17"/>
      <w:r>
        <w:rPr>
          <w:color w:val="000000"/>
          <w:spacing w:val="0"/>
          <w:w w:val="100"/>
          <w:position w:val="0"/>
        </w:rPr>
        <w:t>、公司主要业务及核心竞争力未发生重大不利变化，主要财务指标详见</w:t>
      </w:r>
      <w:r>
        <w:rPr>
          <w:rFonts w:ascii="Times New Roman" w:eastAsia="Times New Roman" w:hAnsi="Times New Roman" w:cs="Times New Roman"/>
          <w:color w:val="000000"/>
          <w:spacing w:val="0"/>
          <w:w w:val="100"/>
          <w:position w:val="0"/>
        </w:rPr>
        <w:t>“</w:t>
      </w:r>
      <w:r>
        <w:rPr>
          <w:color w:val="000000"/>
          <w:spacing w:val="0"/>
          <w:w w:val="100"/>
          <w:position w:val="0"/>
        </w:rPr>
        <w:t>第</w:t>
      </w:r>
    </w:p>
    <w:p>
      <w:pPr>
        <w:pStyle w:val="Style22"/>
        <w:keepNext w:val="0"/>
        <w:keepLines w:val="0"/>
        <w:widowControl w:val="0"/>
        <w:shd w:val="clear" w:color="auto" w:fill="auto"/>
        <w:bidi w:val="0"/>
        <w:spacing w:before="0" w:after="860" w:line="240" w:lineRule="auto"/>
        <w:ind w:left="0" w:right="0" w:firstLine="0"/>
        <w:jc w:val="left"/>
      </w:pPr>
      <w:r>
        <w:rPr>
          <w:color w:val="000000"/>
          <w:spacing w:val="0"/>
          <w:w w:val="100"/>
          <w:position w:val="0"/>
        </w:rPr>
        <w:t>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，公司业绩变动情况与行业趋势保持一致。</w:t>
      </w:r>
    </w:p>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A2A2A2"/>
          <w:spacing w:val="0"/>
          <w:w w:val="100"/>
          <w:position w:val="0"/>
          <w:sz w:val="20"/>
          <w:szCs w:val="20"/>
        </w:rPr>
        <w:t>cninf^r</w:t>
      </w:r>
    </w:p>
    <w:p>
      <w:pPr>
        <w:pStyle w:val="Style20"/>
        <w:keepNext w:val="0"/>
        <w:keepLines w:val="0"/>
        <w:widowControl w:val="0"/>
        <w:shd w:val="clear" w:color="auto" w:fill="auto"/>
        <w:bidi w:val="0"/>
        <w:spacing w:before="0" w:after="0" w:line="240" w:lineRule="auto"/>
        <w:ind w:left="0" w:right="0" w:firstLine="0"/>
        <w:jc w:val="right"/>
      </w:pPr>
      <w:r>
        <w:rPr>
          <w:spacing w:val="0"/>
          <w:w w:val="100"/>
          <w:position w:val="0"/>
        </w:rPr>
        <w:t>巨潮资讯</w:t>
      </w:r>
    </w:p>
    <w:p>
      <w:pPr>
        <w:pStyle w:val="Style9"/>
        <w:keepNext w:val="0"/>
        <w:keepLines w:val="0"/>
        <w:widowControl w:val="0"/>
        <w:shd w:val="clear" w:color="auto" w:fill="auto"/>
        <w:bidi w:val="0"/>
        <w:spacing w:before="0" w:after="0" w:line="240" w:lineRule="auto"/>
        <w:ind w:left="0" w:right="0" w:firstLine="0"/>
        <w:jc w:val="right"/>
        <w:rPr>
          <w:sz w:val="11"/>
          <w:szCs w:val="11"/>
        </w:rPr>
        <w:sectPr>
          <w:footnotePr>
            <w:pos w:val="pageBottom"/>
            <w:numFmt w:val="decimal"/>
            <w:numRestart w:val="continuous"/>
          </w:footnotePr>
          <w:type w:val="continuous"/>
          <w:pgSz w:w="11900" w:h="16840"/>
          <w:pgMar w:top="1974" w:right="24" w:bottom="169" w:left="1100" w:header="0" w:footer="3" w:gutter="0"/>
          <w:cols w:space="720"/>
          <w:noEndnote/>
          <w:rtlGutter w:val="0"/>
          <w:docGrid w:linePitch="360"/>
        </w:sectPr>
      </w:pPr>
      <w:r>
        <w:rPr>
          <w:rFonts w:ascii="Arial" w:eastAsia="Arial" w:hAnsi="Arial" w:cs="Arial"/>
          <w:b/>
          <w:bCs/>
          <w:color w:val="A2A2A2"/>
          <w:spacing w:val="0"/>
          <w:w w:val="100"/>
          <w:position w:val="0"/>
          <w:sz w:val="11"/>
          <w:szCs w:val="11"/>
        </w:rPr>
        <w:t>ww.cnlnTo.com.cn</w:t>
      </w:r>
    </w:p>
    <w:p>
      <w:pPr>
        <w:pStyle w:val="Style22"/>
        <w:keepNext w:val="0"/>
        <w:keepLines w:val="0"/>
        <w:widowControl w:val="0"/>
        <w:shd w:val="clear" w:color="auto" w:fill="auto"/>
        <w:tabs>
          <w:tab w:pos="1020" w:val="left"/>
        </w:tabs>
        <w:bidi w:val="0"/>
        <w:spacing w:before="640" w:after="80"/>
        <w:ind w:left="0" w:right="0"/>
        <w:jc w:val="left"/>
      </w:pPr>
      <w:bookmarkStart w:id="18" w:name="bookmark18"/>
      <w:r>
        <w:rPr>
          <w:rFonts w:ascii="Times New Roman" w:eastAsia="Times New Roman" w:hAnsi="Times New Roman" w:cs="Times New Roman"/>
          <w:color w:val="000000"/>
          <w:spacing w:val="0"/>
          <w:w w:val="100"/>
          <w:position w:val="0"/>
        </w:rPr>
        <w:t>3</w:t>
      </w:r>
      <w:bookmarkEnd w:id="18"/>
      <w:r>
        <w:rPr>
          <w:color w:val="000000"/>
          <w:spacing w:val="0"/>
          <w:w w:val="100"/>
          <w:position w:val="0"/>
        </w:rPr>
        <w:t>、</w:t>
        <w:tab/>
        <w:t>公司所处行业不存在产能过剩、持续衰退或者技术替代等情形。</w:t>
      </w:r>
    </w:p>
    <w:p>
      <w:pPr>
        <w:pStyle w:val="Style22"/>
        <w:keepNext w:val="0"/>
        <w:keepLines w:val="0"/>
        <w:widowControl w:val="0"/>
        <w:shd w:val="clear" w:color="auto" w:fill="auto"/>
        <w:tabs>
          <w:tab w:pos="1020" w:val="left"/>
        </w:tabs>
        <w:bidi w:val="0"/>
        <w:spacing w:before="0" w:after="80"/>
        <w:ind w:left="0" w:right="0"/>
        <w:jc w:val="both"/>
      </w:pPr>
      <w:bookmarkStart w:id="19" w:name="bookmark19"/>
      <w:r>
        <w:rPr>
          <w:rFonts w:ascii="Times New Roman" w:eastAsia="Times New Roman" w:hAnsi="Times New Roman" w:cs="Times New Roman"/>
          <w:color w:val="000000"/>
          <w:spacing w:val="0"/>
          <w:w w:val="100"/>
          <w:position w:val="0"/>
        </w:rPr>
        <w:t>4</w:t>
      </w:r>
      <w:bookmarkEnd w:id="19"/>
      <w:r>
        <w:rPr>
          <w:color w:val="000000"/>
          <w:spacing w:val="0"/>
          <w:w w:val="100"/>
          <w:position w:val="0"/>
        </w:rPr>
        <w:t>、</w:t>
        <w:tab/>
        <w:t>公司持续经营能力不存在重大风险。</w:t>
      </w:r>
    </w:p>
    <w:p>
      <w:pPr>
        <w:pStyle w:val="Style22"/>
        <w:keepNext w:val="0"/>
        <w:keepLines w:val="0"/>
        <w:widowControl w:val="0"/>
        <w:shd w:val="clear" w:color="auto" w:fill="auto"/>
        <w:bidi w:val="0"/>
        <w:spacing w:before="0" w:after="0"/>
        <w:ind w:left="0" w:right="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8</w:t>
      </w:r>
      <w:r>
        <w:rPr>
          <w:color w:val="000000"/>
          <w:spacing w:val="0"/>
          <w:w w:val="100"/>
          <w:position w:val="0"/>
        </w:rPr>
        <w:t>号——上市公</w:t>
      </w:r>
    </w:p>
    <w:p>
      <w:pPr>
        <w:pStyle w:val="Style22"/>
        <w:keepNext w:val="0"/>
        <w:keepLines w:val="0"/>
        <w:widowControl w:val="0"/>
        <w:shd w:val="clear" w:color="auto" w:fill="auto"/>
        <w:bidi w:val="0"/>
        <w:spacing w:before="0" w:after="80"/>
        <w:ind w:left="0" w:right="0" w:firstLine="0"/>
        <w:jc w:val="left"/>
      </w:pPr>
      <w:r>
        <w:rPr>
          <w:color w:val="000000"/>
          <w:spacing w:val="0"/>
          <w:w w:val="100"/>
          <w:position w:val="0"/>
        </w:rPr>
        <w:t>司从事互联网营销及数据服务相关业务》的披露要求</w:t>
      </w:r>
    </w:p>
    <w:p>
      <w:pPr>
        <w:pStyle w:val="Style22"/>
        <w:keepNext w:val="0"/>
        <w:keepLines w:val="0"/>
        <w:widowControl w:val="0"/>
        <w:shd w:val="clear" w:color="auto" w:fill="auto"/>
        <w:tabs>
          <w:tab w:pos="1002" w:val="left"/>
        </w:tabs>
        <w:bidi w:val="0"/>
        <w:spacing w:before="0" w:after="80"/>
        <w:ind w:left="0" w:right="0"/>
        <w:jc w:val="both"/>
      </w:pPr>
      <w:bookmarkStart w:id="20" w:name="bookmark20"/>
      <w:r>
        <w:rPr>
          <w:rFonts w:ascii="Times New Roman" w:eastAsia="Times New Roman" w:hAnsi="Times New Roman" w:cs="Times New Roman"/>
          <w:color w:val="000000"/>
          <w:spacing w:val="0"/>
          <w:w w:val="100"/>
          <w:position w:val="0"/>
        </w:rPr>
        <w:t>1</w:t>
      </w:r>
      <w:bookmarkEnd w:id="20"/>
      <w:r>
        <w:rPr>
          <w:color w:val="000000"/>
          <w:spacing w:val="0"/>
          <w:w w:val="100"/>
          <w:position w:val="0"/>
        </w:rPr>
        <w:t>、</w:t>
        <w:tab/>
        <w:t>行业趋势波动的风险</w:t>
      </w:r>
    </w:p>
    <w:p>
      <w:pPr>
        <w:pStyle w:val="Style22"/>
        <w:keepNext w:val="0"/>
        <w:keepLines w:val="0"/>
        <w:widowControl w:val="0"/>
        <w:shd w:val="clear" w:color="auto" w:fill="auto"/>
        <w:bidi w:val="0"/>
        <w:spacing w:before="0" w:after="80" w:line="627" w:lineRule="exact"/>
        <w:ind w:left="0" w:right="0"/>
        <w:jc w:val="both"/>
      </w:pPr>
      <w:r>
        <w:rPr>
          <w:color w:val="000000"/>
          <w:spacing w:val="0"/>
          <w:w w:val="100"/>
          <w:position w:val="0"/>
        </w:rPr>
        <w:t>对于移动互联网营销行业，上游优质的媒体及流量资源正随着行业集中度 的提升而变得相对稀缺，媒体和流量的价格将总体维持高位。若媒体和流量资 源价格未来上涨过快，将导致采购成本上升。电商、在线阅读等移动互联网业 态的竞争格局的快速演变，也对下游移动营销行业的发展造成影响。</w:t>
      </w:r>
    </w:p>
    <w:p>
      <w:pPr>
        <w:pStyle w:val="Style22"/>
        <w:keepNext w:val="0"/>
        <w:keepLines w:val="0"/>
        <w:widowControl w:val="0"/>
        <w:shd w:val="clear" w:color="auto" w:fill="auto"/>
        <w:tabs>
          <w:tab w:pos="1020" w:val="left"/>
        </w:tabs>
        <w:bidi w:val="0"/>
        <w:spacing w:before="0" w:after="80"/>
        <w:ind w:left="0" w:right="0"/>
        <w:jc w:val="both"/>
      </w:pPr>
      <w:bookmarkStart w:id="21" w:name="bookmark21"/>
      <w:r>
        <w:rPr>
          <w:rFonts w:ascii="Times New Roman" w:eastAsia="Times New Roman" w:hAnsi="Times New Roman" w:cs="Times New Roman"/>
          <w:color w:val="000000"/>
          <w:spacing w:val="0"/>
          <w:w w:val="100"/>
          <w:position w:val="0"/>
        </w:rPr>
        <w:t>2</w:t>
      </w:r>
      <w:bookmarkEnd w:id="21"/>
      <w:r>
        <w:rPr>
          <w:color w:val="000000"/>
          <w:spacing w:val="0"/>
          <w:w w:val="100"/>
          <w:position w:val="0"/>
        </w:rPr>
        <w:t>、</w:t>
        <w:tab/>
        <w:t>法律、法规及产业政策变化的风险</w:t>
      </w:r>
    </w:p>
    <w:p>
      <w:pPr>
        <w:pStyle w:val="Style22"/>
        <w:keepNext w:val="0"/>
        <w:keepLines w:val="0"/>
        <w:widowControl w:val="0"/>
        <w:shd w:val="clear" w:color="auto" w:fill="auto"/>
        <w:bidi w:val="0"/>
        <w:spacing w:before="0" w:after="80"/>
        <w:ind w:left="0" w:right="0"/>
        <w:jc w:val="both"/>
      </w:pPr>
      <w:r>
        <w:rPr>
          <w:color w:val="000000"/>
          <w:spacing w:val="0"/>
          <w:w w:val="100"/>
          <w:position w:val="0"/>
        </w:rPr>
        <w:t>移动互联网营销行业属于新兴行业，法律、法规及产业政策相对较新且不 完善，对行业法律、法规及产业政策的诠释和执行有不确定性，随着国家陆续 颁布相关监管互联网活动的法律及规例，适用法律、法规及规则的变更可能使 公司运营受到阻碍或增加公司运营成本。</w:t>
      </w:r>
    </w:p>
    <w:p>
      <w:pPr>
        <w:pStyle w:val="Style22"/>
        <w:keepNext w:val="0"/>
        <w:keepLines w:val="0"/>
        <w:widowControl w:val="0"/>
        <w:shd w:val="clear" w:color="auto" w:fill="auto"/>
        <w:tabs>
          <w:tab w:pos="1020" w:val="left"/>
        </w:tabs>
        <w:bidi w:val="0"/>
        <w:spacing w:before="0" w:after="80"/>
        <w:ind w:left="0" w:right="0"/>
        <w:jc w:val="both"/>
      </w:pPr>
      <w:bookmarkStart w:id="22" w:name="bookmark22"/>
      <w:r>
        <w:rPr>
          <w:rFonts w:ascii="Times New Roman" w:eastAsia="Times New Roman" w:hAnsi="Times New Roman" w:cs="Times New Roman"/>
          <w:color w:val="000000"/>
          <w:spacing w:val="0"/>
          <w:w w:val="100"/>
          <w:position w:val="0"/>
        </w:rPr>
        <w:t>3</w:t>
      </w:r>
      <w:bookmarkEnd w:id="22"/>
      <w:r>
        <w:rPr>
          <w:color w:val="000000"/>
          <w:spacing w:val="0"/>
          <w:w w:val="100"/>
          <w:position w:val="0"/>
        </w:rPr>
        <w:t>、</w:t>
        <w:tab/>
        <w:t>媒体采购成本不断上升的风险</w:t>
      </w:r>
    </w:p>
    <w:p>
      <w:pPr>
        <w:pStyle w:val="Style22"/>
        <w:keepNext w:val="0"/>
        <w:keepLines w:val="0"/>
        <w:widowControl w:val="0"/>
        <w:shd w:val="clear" w:color="auto" w:fill="auto"/>
        <w:bidi w:val="0"/>
        <w:spacing w:before="0" w:after="80"/>
        <w:ind w:left="0" w:right="0"/>
        <w:jc w:val="both"/>
      </w:pPr>
      <w:r>
        <w:rPr>
          <w:color w:val="000000"/>
          <w:spacing w:val="0"/>
          <w:w w:val="100"/>
          <w:position w:val="0"/>
        </w:rPr>
        <w:t>随着互联网普及率的不断提高和数据分析技术的逐渐成熟，越来越多的广 告主意识到互联网营销的重要性，特别是疫情之后，移动互联网的优质流量资 源被争抢，从而使得互联网流量价格不断增加。目前，虽然互联网媒体资源众 多，但是优质资源仍旧相对稀缺，其价格必将随着需求量的不断增加而呈现上 涨趋势。媒体采购成本的上升将会直接影响公司客户的投放需求，从而影响公 司的经营业绩。</w:t>
      </w:r>
    </w:p>
    <w:p>
      <w:pPr>
        <w:pStyle w:val="Style22"/>
        <w:keepNext w:val="0"/>
        <w:keepLines w:val="0"/>
        <w:widowControl w:val="0"/>
        <w:shd w:val="clear" w:color="auto" w:fill="auto"/>
        <w:tabs>
          <w:tab w:pos="1015" w:val="left"/>
        </w:tabs>
        <w:bidi w:val="0"/>
        <w:spacing w:before="0" w:after="0" w:line="466" w:lineRule="auto"/>
        <w:ind w:left="0" w:right="0"/>
        <w:jc w:val="both"/>
      </w:pPr>
      <w:bookmarkStart w:id="23" w:name="bookmark23"/>
      <w:r>
        <w:rPr>
          <w:rFonts w:ascii="Times New Roman" w:eastAsia="Times New Roman" w:hAnsi="Times New Roman" w:cs="Times New Roman"/>
          <w:color w:val="000000"/>
          <w:spacing w:val="0"/>
          <w:w w:val="100"/>
          <w:position w:val="0"/>
        </w:rPr>
        <w:t>4</w:t>
      </w:r>
      <w:bookmarkEnd w:id="23"/>
      <w:r>
        <w:rPr>
          <w:color w:val="000000"/>
          <w:spacing w:val="0"/>
          <w:w w:val="100"/>
          <w:position w:val="0"/>
        </w:rPr>
        <w:t>、</w:t>
        <w:tab/>
        <w:t>人才流失风险</w:t>
      </w:r>
    </w:p>
    <w:p>
      <w:pPr>
        <w:pStyle w:val="Style22"/>
        <w:keepNext w:val="0"/>
        <w:keepLines w:val="0"/>
        <w:widowControl w:val="0"/>
        <w:shd w:val="clear" w:color="auto" w:fill="auto"/>
        <w:bidi w:val="0"/>
        <w:spacing w:before="0" w:line="621" w:lineRule="exact"/>
        <w:ind w:left="0" w:right="0"/>
        <w:jc w:val="both"/>
      </w:pPr>
      <w:r>
        <w:rPr>
          <w:color w:val="000000"/>
          <w:spacing w:val="0"/>
          <w:w w:val="100"/>
          <w:position w:val="0"/>
        </w:rPr>
        <w:t>互联网营销行业属于人才密集型行业，对于互联网营销公司而言，专业的 营销、技术等人才是企业的核心资源，是保持和提升公司核心竞争力的关键要 素。随着企业业务规模的扩大，对专业人才的需求日益增强。重要岗位人员的 流失将给公司业务开展带来影响。</w:t>
      </w:r>
    </w:p>
    <w:p>
      <w:pPr>
        <w:pStyle w:val="Style22"/>
        <w:keepNext w:val="0"/>
        <w:keepLines w:val="0"/>
        <w:widowControl w:val="0"/>
        <w:shd w:val="clear" w:color="auto" w:fill="auto"/>
        <w:tabs>
          <w:tab w:pos="1015" w:val="left"/>
        </w:tabs>
        <w:bidi w:val="0"/>
        <w:spacing w:before="0" w:after="0" w:line="625" w:lineRule="exact"/>
        <w:ind w:left="0" w:right="0"/>
        <w:jc w:val="both"/>
      </w:pPr>
      <w:bookmarkStart w:id="24" w:name="bookmark24"/>
      <w:r>
        <w:rPr>
          <w:rFonts w:ascii="Times New Roman" w:eastAsia="Times New Roman" w:hAnsi="Times New Roman" w:cs="Times New Roman"/>
          <w:color w:val="000000"/>
          <w:spacing w:val="0"/>
          <w:w w:val="100"/>
          <w:position w:val="0"/>
        </w:rPr>
        <w:t>5</w:t>
      </w:r>
      <w:bookmarkEnd w:id="24"/>
      <w:r>
        <w:rPr>
          <w:color w:val="000000"/>
          <w:spacing w:val="0"/>
          <w:w w:val="100"/>
          <w:position w:val="0"/>
        </w:rPr>
        <w:t>、</w:t>
        <w:tab/>
        <w:t>市场竞争激烈导致行业内业务毛利水平下滑，从而可能对公司造成影响</w:t>
      </w:r>
    </w:p>
    <w:p>
      <w:pPr>
        <w:pStyle w:val="Style22"/>
        <w:keepNext w:val="0"/>
        <w:keepLines w:val="0"/>
        <w:widowControl w:val="0"/>
        <w:shd w:val="clear" w:color="auto" w:fill="auto"/>
        <w:bidi w:val="0"/>
        <w:spacing w:before="0" w:line="625" w:lineRule="exact"/>
        <w:ind w:left="0" w:right="0" w:firstLine="0"/>
        <w:jc w:val="both"/>
      </w:pPr>
      <w:r>
        <w:rPr>
          <w:color w:val="000000"/>
          <w:spacing w:val="0"/>
          <w:w w:val="100"/>
          <w:position w:val="0"/>
        </w:rPr>
        <w:t>的风险</w:t>
      </w:r>
    </w:p>
    <w:p>
      <w:pPr>
        <w:pStyle w:val="Style22"/>
        <w:keepNext w:val="0"/>
        <w:keepLines w:val="0"/>
        <w:widowControl w:val="0"/>
        <w:shd w:val="clear" w:color="auto" w:fill="auto"/>
        <w:bidi w:val="0"/>
        <w:spacing w:before="0" w:line="625" w:lineRule="exact"/>
        <w:ind w:left="0" w:right="0"/>
        <w:jc w:val="both"/>
      </w:pPr>
      <w:r>
        <w:rPr>
          <w:color w:val="000000"/>
          <w:spacing w:val="0"/>
          <w:w w:val="100"/>
          <w:position w:val="0"/>
        </w:rPr>
        <w:t>由于移动大数据营销业务领域广阔的市场前景，大量企业进入该行业，行 业竞争日趋激烈。随着大数据和互联网营销行业的不断发展，企业品牌意识的 不断加强，移动互联网受众的不断增加，将会有越来越多的新进入者参与竞争， 市场竞争将越加激烈。在日新月异不断升级的市场竞争态势中，公司如果不能 持续拓展优质客户、开发媒体渠道资源、引进优秀人才、强化自身技术优势、 扩大业务规模、增强资本实力和抗风险能力、准确把握移动互联网营销行业的 发展趋势和客户需求的变化，并不断强化公司的核心竞争力，将难以保持对客 户的吸引力，导致业务毛利水平下滑，进而对公司经营业绩产生不利影响。</w:t>
      </w:r>
    </w:p>
    <w:p>
      <w:pPr>
        <w:pStyle w:val="Style22"/>
        <w:keepNext w:val="0"/>
        <w:keepLines w:val="0"/>
        <w:widowControl w:val="0"/>
        <w:shd w:val="clear" w:color="auto" w:fill="auto"/>
        <w:bidi w:val="0"/>
        <w:spacing w:before="0" w:after="0" w:line="625" w:lineRule="exact"/>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w:t>
      </w:r>
    </w:p>
    <w:p>
      <w:pPr>
        <w:pStyle w:val="Style22"/>
        <w:keepNext w:val="0"/>
        <w:keepLines w:val="0"/>
        <w:widowControl w:val="0"/>
        <w:shd w:val="clear" w:color="auto" w:fill="auto"/>
        <w:bidi w:val="0"/>
        <w:spacing w:before="0" w:line="625" w:lineRule="exact"/>
        <w:ind w:left="0" w:right="0" w:firstLine="0"/>
        <w:jc w:val="left"/>
      </w:pPr>
      <w:r>
        <w:rPr>
          <w:color w:val="000000"/>
          <w:spacing w:val="0"/>
          <w:w w:val="100"/>
          <w:position w:val="0"/>
        </w:rPr>
        <w:t>软件与信息技术服务业务》的披露要求</w:t>
      </w:r>
    </w:p>
    <w:p>
      <w:pPr>
        <w:pStyle w:val="Style22"/>
        <w:keepNext w:val="0"/>
        <w:keepLines w:val="0"/>
        <w:widowControl w:val="0"/>
        <w:shd w:val="clear" w:color="auto" w:fill="auto"/>
        <w:tabs>
          <w:tab w:pos="1001" w:val="left"/>
        </w:tabs>
        <w:bidi w:val="0"/>
        <w:spacing w:before="0" w:line="625" w:lineRule="exact"/>
        <w:ind w:left="0" w:right="0"/>
        <w:jc w:val="both"/>
      </w:pPr>
      <w:bookmarkStart w:id="25" w:name="bookmark25"/>
      <w:r>
        <w:rPr>
          <w:rFonts w:ascii="Times New Roman" w:eastAsia="Times New Roman" w:hAnsi="Times New Roman" w:cs="Times New Roman"/>
          <w:color w:val="000000"/>
          <w:spacing w:val="0"/>
          <w:w w:val="100"/>
          <w:position w:val="0"/>
        </w:rPr>
        <w:t>1</w:t>
      </w:r>
      <w:bookmarkEnd w:id="25"/>
      <w:r>
        <w:rPr>
          <w:color w:val="000000"/>
          <w:spacing w:val="0"/>
          <w:w w:val="100"/>
          <w:position w:val="0"/>
        </w:rPr>
        <w:t>、</w:t>
        <w:tab/>
        <w:t>行业趋势波动的风险</w:t>
      </w:r>
    </w:p>
    <w:p>
      <w:pPr>
        <w:pStyle w:val="Style22"/>
        <w:keepNext w:val="0"/>
        <w:keepLines w:val="0"/>
        <w:widowControl w:val="0"/>
        <w:shd w:val="clear" w:color="auto" w:fill="auto"/>
        <w:bidi w:val="0"/>
        <w:spacing w:before="0" w:after="0" w:line="625" w:lineRule="exact"/>
        <w:ind w:left="0" w:right="0"/>
        <w:jc w:val="both"/>
      </w:pPr>
      <w:r>
        <w:rPr>
          <w:color w:val="000000"/>
          <w:spacing w:val="0"/>
          <w:w w:val="100"/>
          <w:position w:val="0"/>
        </w:rPr>
        <w:t>对于金融信息服务行业，金融机构受到行业发展趋势和行业政策变化的影</w:t>
      </w:r>
    </w:p>
    <w:p>
      <w:pPr>
        <w:pStyle w:val="Style22"/>
        <w:keepNext w:val="0"/>
        <w:keepLines w:val="0"/>
        <w:widowControl w:val="0"/>
        <w:shd w:val="clear" w:color="auto" w:fill="auto"/>
        <w:bidi w:val="0"/>
        <w:spacing w:before="0" w:line="625" w:lineRule="exact"/>
        <w:ind w:left="0" w:right="0" w:firstLine="0"/>
        <w:jc w:val="left"/>
      </w:pPr>
      <w:r>
        <w:rPr>
          <w:color w:val="000000"/>
          <w:spacing w:val="0"/>
          <w:w w:val="100"/>
          <w:position w:val="0"/>
        </w:rPr>
        <w:t>响，削减</w:t>
      </w:r>
      <w:r>
        <w:rPr>
          <w:rFonts w:ascii="Times New Roman" w:eastAsia="Times New Roman" w:hAnsi="Times New Roman" w:cs="Times New Roman"/>
          <w:color w:val="000000"/>
          <w:spacing w:val="0"/>
          <w:w w:val="100"/>
          <w:position w:val="0"/>
        </w:rPr>
        <w:t>IT</w:t>
      </w:r>
      <w:r>
        <w:rPr>
          <w:color w:val="000000"/>
          <w:spacing w:val="0"/>
          <w:w w:val="100"/>
          <w:position w:val="0"/>
        </w:rPr>
        <w:t>投入，将会对公司经营产生不利影响。</w:t>
      </w:r>
    </w:p>
    <w:p>
      <w:pPr>
        <w:pStyle w:val="Style22"/>
        <w:keepNext w:val="0"/>
        <w:keepLines w:val="0"/>
        <w:widowControl w:val="0"/>
        <w:shd w:val="clear" w:color="auto" w:fill="auto"/>
        <w:tabs>
          <w:tab w:pos="1020" w:val="left"/>
        </w:tabs>
        <w:bidi w:val="0"/>
        <w:spacing w:before="0" w:line="625" w:lineRule="exact"/>
        <w:ind w:left="0" w:right="0"/>
        <w:jc w:val="left"/>
      </w:pPr>
      <w:bookmarkStart w:id="26" w:name="bookmark26"/>
      <w:r>
        <w:rPr>
          <w:rFonts w:ascii="Times New Roman" w:eastAsia="Times New Roman" w:hAnsi="Times New Roman" w:cs="Times New Roman"/>
          <w:color w:val="000000"/>
          <w:spacing w:val="0"/>
          <w:w w:val="100"/>
          <w:position w:val="0"/>
        </w:rPr>
        <w:t>2</w:t>
      </w:r>
      <w:bookmarkEnd w:id="26"/>
      <w:r>
        <w:rPr>
          <w:color w:val="000000"/>
          <w:spacing w:val="0"/>
          <w:w w:val="100"/>
          <w:position w:val="0"/>
        </w:rPr>
        <w:t>、</w:t>
        <w:tab/>
        <w:t>公司对外扩张和并购带来的风险</w:t>
      </w:r>
    </w:p>
    <w:p>
      <w:pPr>
        <w:pStyle w:val="Style22"/>
        <w:keepNext w:val="0"/>
        <w:keepLines w:val="0"/>
        <w:widowControl w:val="0"/>
        <w:shd w:val="clear" w:color="auto" w:fill="auto"/>
        <w:bidi w:val="0"/>
        <w:spacing w:before="0" w:after="420" w:line="617" w:lineRule="exact"/>
        <w:ind w:left="0" w:right="0"/>
        <w:jc w:val="both"/>
      </w:pPr>
      <w:r>
        <w:rPr>
          <w:color w:val="000000"/>
          <w:spacing w:val="0"/>
          <w:w w:val="100"/>
          <w:position w:val="0"/>
        </w:rPr>
        <w:t>随着并购、对外投资等外延式扩张，公司的资产规模将不断提高，公司管 理层的管理与协调能力，以及公司在资源整合、市场开拓、质量管理、内部控 制等方面面临考验。</w:t>
      </w:r>
    </w:p>
    <w:p>
      <w:pPr>
        <w:pStyle w:val="Style22"/>
        <w:keepNext w:val="0"/>
        <w:keepLines w:val="0"/>
        <w:widowControl w:val="0"/>
        <w:shd w:val="clear" w:color="auto" w:fill="auto"/>
        <w:tabs>
          <w:tab w:pos="999" w:val="left"/>
        </w:tabs>
        <w:bidi w:val="0"/>
        <w:spacing w:before="0" w:after="0" w:line="466" w:lineRule="auto"/>
        <w:ind w:left="0" w:right="0"/>
        <w:jc w:val="both"/>
      </w:pPr>
      <w:bookmarkStart w:id="27" w:name="bookmark27"/>
      <w:r>
        <w:rPr>
          <w:rFonts w:ascii="Times New Roman" w:eastAsia="Times New Roman" w:hAnsi="Times New Roman" w:cs="Times New Roman"/>
          <w:color w:val="000000"/>
          <w:spacing w:val="0"/>
          <w:w w:val="100"/>
          <w:position w:val="0"/>
        </w:rPr>
        <w:t>3</w:t>
      </w:r>
      <w:bookmarkEnd w:id="27"/>
      <w:r>
        <w:rPr>
          <w:color w:val="000000"/>
          <w:spacing w:val="0"/>
          <w:w w:val="100"/>
          <w:position w:val="0"/>
        </w:rPr>
        <w:t>、</w:t>
        <w:tab/>
        <w:t>核心技术团队流失的风险</w:t>
      </w:r>
    </w:p>
    <w:p>
      <w:pPr>
        <w:pStyle w:val="Style22"/>
        <w:keepNext w:val="0"/>
        <w:keepLines w:val="0"/>
        <w:widowControl w:val="0"/>
        <w:shd w:val="clear" w:color="auto" w:fill="auto"/>
        <w:bidi w:val="0"/>
        <w:spacing w:before="0" w:after="420" w:line="631" w:lineRule="exact"/>
        <w:ind w:left="0" w:right="0"/>
        <w:jc w:val="both"/>
      </w:pPr>
      <w:r>
        <w:rPr>
          <w:color w:val="000000"/>
          <w:spacing w:val="0"/>
          <w:w w:val="100"/>
          <w:position w:val="0"/>
        </w:rPr>
        <w:t>公司所在的行业为人才驱动型的行业，人才在公司业务发展过程中至关重 要。核心人员的流失将会对企业经营发展带来不利影响。如何用好人才、留住 人才、发展人才、是对公司经营提出的重要挑战。</w:t>
      </w:r>
    </w:p>
    <w:p>
      <w:pPr>
        <w:pStyle w:val="Style22"/>
        <w:keepNext w:val="0"/>
        <w:keepLines w:val="0"/>
        <w:widowControl w:val="0"/>
        <w:shd w:val="clear" w:color="auto" w:fill="auto"/>
        <w:tabs>
          <w:tab w:pos="999" w:val="left"/>
        </w:tabs>
        <w:bidi w:val="0"/>
        <w:spacing w:before="0" w:after="0" w:line="466" w:lineRule="auto"/>
        <w:ind w:left="0" w:right="0"/>
        <w:jc w:val="both"/>
      </w:pPr>
      <w:bookmarkStart w:id="28" w:name="bookmark28"/>
      <w:r>
        <w:rPr>
          <w:rFonts w:ascii="Times New Roman" w:eastAsia="Times New Roman" w:hAnsi="Times New Roman" w:cs="Times New Roman"/>
          <w:color w:val="000000"/>
          <w:spacing w:val="0"/>
          <w:w w:val="100"/>
          <w:position w:val="0"/>
        </w:rPr>
        <w:t>4</w:t>
      </w:r>
      <w:bookmarkEnd w:id="28"/>
      <w:r>
        <w:rPr>
          <w:color w:val="000000"/>
          <w:spacing w:val="0"/>
          <w:w w:val="100"/>
          <w:position w:val="0"/>
        </w:rPr>
        <w:t>、</w:t>
        <w:tab/>
        <w:t>商誉减值的风险</w:t>
      </w:r>
    </w:p>
    <w:p>
      <w:pPr>
        <w:pStyle w:val="Style22"/>
        <w:keepNext w:val="0"/>
        <w:keepLines w:val="0"/>
        <w:widowControl w:val="0"/>
        <w:shd w:val="clear" w:color="auto" w:fill="auto"/>
        <w:bidi w:val="0"/>
        <w:spacing w:before="0"/>
        <w:ind w:left="0" w:right="0"/>
        <w:jc w:val="both"/>
      </w:pPr>
      <w:r>
        <w:rPr>
          <w:color w:val="000000"/>
          <w:spacing w:val="0"/>
          <w:w w:val="100"/>
          <w:position w:val="0"/>
        </w:rPr>
        <w:t>公司在进行资产收购的过程中，根据企业会计准则要求，非同一控制下的 企业合并，合并成本大于合并中取得的被购买方可辨认净资产公允价值份额的 差额，确认为商誉，商誉不做摊销处理，但需在未来年度每年年终进行减值测 试。本年度计提商誉减值准备后，商誉余额为</w:t>
      </w:r>
      <w:r>
        <w:rPr>
          <w:rFonts w:ascii="Times New Roman" w:eastAsia="Times New Roman" w:hAnsi="Times New Roman" w:cs="Times New Roman"/>
          <w:color w:val="000000"/>
          <w:spacing w:val="0"/>
          <w:w w:val="100"/>
          <w:position w:val="0"/>
        </w:rPr>
        <w:t>14,119.38</w:t>
      </w:r>
      <w:r>
        <w:rPr>
          <w:color w:val="000000"/>
          <w:spacing w:val="0"/>
          <w:w w:val="100"/>
          <w:position w:val="0"/>
        </w:rPr>
        <w:t>万元。如果未来被收购 资产所在的资产组所处行业不景气、自身业务持续下降或者其他因素导致未来 经营状况和盈利能力不达预期，则存在商誉减值的风险。</w:t>
      </w:r>
    </w:p>
    <w:p>
      <w:pPr>
        <w:pStyle w:val="Style22"/>
        <w:keepNext w:val="0"/>
        <w:keepLines w:val="0"/>
        <w:widowControl w:val="0"/>
        <w:shd w:val="clear" w:color="auto" w:fill="auto"/>
        <w:tabs>
          <w:tab w:pos="999" w:val="left"/>
        </w:tabs>
        <w:bidi w:val="0"/>
        <w:spacing w:before="0" w:line="617" w:lineRule="exact"/>
        <w:ind w:left="0" w:right="0"/>
        <w:jc w:val="both"/>
      </w:pPr>
      <w:bookmarkStart w:id="29" w:name="bookmark29"/>
      <w:r>
        <w:rPr>
          <w:rFonts w:ascii="Times New Roman" w:eastAsia="Times New Roman" w:hAnsi="Times New Roman" w:cs="Times New Roman"/>
          <w:color w:val="000000"/>
          <w:spacing w:val="0"/>
          <w:w w:val="100"/>
          <w:position w:val="0"/>
        </w:rPr>
        <w:t>5</w:t>
      </w:r>
      <w:bookmarkEnd w:id="29"/>
      <w:r>
        <w:rPr>
          <w:color w:val="000000"/>
          <w:spacing w:val="0"/>
          <w:w w:val="100"/>
          <w:position w:val="0"/>
        </w:rPr>
        <w:t>、</w:t>
        <w:tab/>
        <w:t>由于新冠病毒疫情，公司金融科技和移动互联网业务板块均受到不同程 度的影响。如果新冠病毒疫情继续蔓延，对公司的经营发展将带来持续的不良 影响。</w:t>
      </w:r>
    </w:p>
    <w:p>
      <w:pPr>
        <w:pStyle w:val="Style22"/>
        <w:keepNext w:val="0"/>
        <w:keepLines w:val="0"/>
        <w:widowControl w:val="0"/>
        <w:shd w:val="clear" w:color="auto" w:fill="auto"/>
        <w:bidi w:val="0"/>
        <w:spacing w:before="0" w:after="260"/>
        <w:ind w:left="0" w:right="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671" w:right="552" w:bottom="946" w:left="56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446,762,257</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 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9"/>
        <w:keepNext w:val="0"/>
        <w:keepLines w:val="0"/>
        <w:widowControl w:val="0"/>
        <w:shd w:val="clear" w:color="auto" w:fill="auto"/>
        <w:bidi w:val="0"/>
        <w:spacing w:before="0" w:after="1640" w:line="240" w:lineRule="auto"/>
        <w:ind w:left="0" w:right="0" w:firstLine="0"/>
        <w:jc w:val="center"/>
        <w:rPr>
          <w:sz w:val="36"/>
          <w:szCs w:val="36"/>
        </w:rPr>
      </w:pPr>
      <w:r>
        <w:rPr>
          <w:b/>
          <w:bCs/>
          <w:color w:val="000000"/>
          <w:spacing w:val="0"/>
          <w:w w:val="100"/>
          <w:position w:val="0"/>
          <w:sz w:val="36"/>
          <w:szCs w:val="36"/>
        </w:rPr>
        <w:t>目录</w:t>
      </w:r>
    </w:p>
    <w:p>
      <w:pPr>
        <w:pStyle w:val="Style29"/>
        <w:keepNext w:val="0"/>
        <w:keepLines w:val="0"/>
        <w:widowControl w:val="0"/>
        <w:shd w:val="clear" w:color="auto" w:fill="auto"/>
        <w:tabs>
          <w:tab w:leader="dot" w:pos="9606" w:val="right"/>
        </w:tabs>
        <w:bidi w:val="0"/>
        <w:spacing w:before="0" w:line="240" w:lineRule="auto"/>
        <w:ind w:left="0" w:right="0" w:firstLine="0"/>
        <w:jc w:val="both"/>
      </w:pPr>
      <w:r>
        <w:fldChar w:fldCharType="begin"/>
        <w:instrText xml:space="preserve"> TOC \o "1-5" \h \z </w:instrText>
        <w:fldChar w:fldCharType="separate"/>
      </w:r>
      <w:hyperlink w:anchor="bookmark13"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9"/>
        <w:keepNext w:val="0"/>
        <w:keepLines w:val="0"/>
        <w:widowControl w:val="0"/>
        <w:shd w:val="clear" w:color="auto" w:fill="auto"/>
        <w:tabs>
          <w:tab w:leader="dot" w:pos="9606" w:val="right"/>
        </w:tabs>
        <w:bidi w:val="0"/>
        <w:spacing w:before="0" w:line="240" w:lineRule="auto"/>
        <w:ind w:left="0" w:right="0" w:firstLine="0"/>
        <w:jc w:val="both"/>
      </w:pPr>
      <w:hyperlink w:anchor="bookmark37"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9"/>
        <w:keepNext w:val="0"/>
        <w:keepLines w:val="0"/>
        <w:widowControl w:val="0"/>
        <w:shd w:val="clear" w:color="auto" w:fill="auto"/>
        <w:tabs>
          <w:tab w:leader="dot" w:pos="9606" w:val="right"/>
        </w:tabs>
        <w:bidi w:val="0"/>
        <w:spacing w:before="0" w:after="360" w:line="240" w:lineRule="auto"/>
        <w:ind w:left="0" w:right="0" w:firstLine="0"/>
        <w:jc w:val="both"/>
      </w:pPr>
      <w:hyperlink w:anchor="bookmark81"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9"/>
        <w:keepNext w:val="0"/>
        <w:keepLines w:val="0"/>
        <w:widowControl w:val="0"/>
        <w:shd w:val="clear" w:color="auto" w:fill="auto"/>
        <w:tabs>
          <w:tab w:leader="dot" w:pos="9606" w:val="right"/>
        </w:tabs>
        <w:bidi w:val="0"/>
        <w:spacing w:before="0" w:line="240" w:lineRule="auto"/>
        <w:ind w:left="0" w:right="0" w:firstLine="0"/>
        <w:jc w:val="both"/>
      </w:pPr>
      <w:hyperlink w:anchor="bookmark121"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15</w:t>
        </w:r>
      </w:hyperlink>
    </w:p>
    <w:p>
      <w:pPr>
        <w:pStyle w:val="Style29"/>
        <w:keepNext w:val="0"/>
        <w:keepLines w:val="0"/>
        <w:widowControl w:val="0"/>
        <w:shd w:val="clear" w:color="auto" w:fill="auto"/>
        <w:tabs>
          <w:tab w:leader="dot" w:pos="9606" w:val="right"/>
        </w:tabs>
        <w:bidi w:val="0"/>
        <w:spacing w:before="0" w:line="240" w:lineRule="auto"/>
        <w:ind w:left="0" w:right="0" w:firstLine="0"/>
        <w:jc w:val="both"/>
      </w:pPr>
      <w:hyperlink w:anchor="bookmark284" w:tooltip="Current Document">
        <w:r>
          <w:rPr>
            <w:color w:val="000000"/>
            <w:spacing w:val="0"/>
            <w:w w:val="100"/>
            <w:position w:val="0"/>
          </w:rPr>
          <w:t>第五节 重要事项</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29"/>
        <w:keepNext w:val="0"/>
        <w:keepLines w:val="0"/>
        <w:widowControl w:val="0"/>
        <w:shd w:val="clear" w:color="auto" w:fill="auto"/>
        <w:tabs>
          <w:tab w:leader="dot" w:pos="9606" w:val="right"/>
        </w:tabs>
        <w:bidi w:val="0"/>
        <w:spacing w:before="0" w:line="240" w:lineRule="auto"/>
        <w:ind w:left="0" w:right="0" w:firstLine="0"/>
        <w:jc w:val="both"/>
      </w:pPr>
      <w:hyperlink w:anchor="bookmark440" w:tooltip="Current Document">
        <w:r>
          <w:rPr>
            <w:color w:val="000000"/>
            <w:spacing w:val="0"/>
            <w:w w:val="100"/>
            <w:position w:val="0"/>
          </w:rPr>
          <w:t>第六节 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29"/>
        <w:keepNext w:val="0"/>
        <w:keepLines w:val="0"/>
        <w:widowControl w:val="0"/>
        <w:shd w:val="clear" w:color="auto" w:fill="auto"/>
        <w:tabs>
          <w:tab w:leader="dot" w:pos="9606" w:val="right"/>
        </w:tabs>
        <w:bidi w:val="0"/>
        <w:spacing w:before="0" w:line="240" w:lineRule="auto"/>
        <w:ind w:left="0" w:right="0" w:firstLine="0"/>
        <w:jc w:val="both"/>
      </w:pPr>
      <w:hyperlink w:anchor="bookmark350"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9"/>
        <w:keepNext w:val="0"/>
        <w:keepLines w:val="0"/>
        <w:widowControl w:val="0"/>
        <w:shd w:val="clear" w:color="auto" w:fill="auto"/>
        <w:tabs>
          <w:tab w:leader="dot" w:pos="9606" w:val="right"/>
        </w:tabs>
        <w:bidi w:val="0"/>
        <w:spacing w:before="0" w:line="240" w:lineRule="auto"/>
        <w:ind w:left="0" w:right="0" w:firstLine="0"/>
        <w:jc w:val="both"/>
      </w:pPr>
      <w:hyperlink w:anchor="bookmark497"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9"/>
        <w:keepNext w:val="0"/>
        <w:keepLines w:val="0"/>
        <w:widowControl w:val="0"/>
        <w:shd w:val="clear" w:color="auto" w:fill="auto"/>
        <w:tabs>
          <w:tab w:leader="dot" w:pos="9606" w:val="right"/>
        </w:tabs>
        <w:bidi w:val="0"/>
        <w:spacing w:before="0" w:line="240" w:lineRule="auto"/>
        <w:ind w:left="0" w:right="0" w:firstLine="0"/>
        <w:jc w:val="both"/>
      </w:pPr>
      <w:hyperlink w:anchor="bookmark501"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29"/>
        <w:keepNext w:val="0"/>
        <w:keepLines w:val="0"/>
        <w:widowControl w:val="0"/>
        <w:shd w:val="clear" w:color="auto" w:fill="auto"/>
        <w:tabs>
          <w:tab w:leader="dot" w:pos="9606" w:val="right"/>
        </w:tabs>
        <w:bidi w:val="0"/>
        <w:spacing w:before="0" w:line="240" w:lineRule="auto"/>
        <w:ind w:left="0" w:right="0" w:firstLine="0"/>
        <w:jc w:val="both"/>
      </w:pPr>
      <w:hyperlink w:anchor="bookmark544"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9"/>
        <w:keepNext w:val="0"/>
        <w:keepLines w:val="0"/>
        <w:widowControl w:val="0"/>
        <w:shd w:val="clear" w:color="auto" w:fill="auto"/>
        <w:tabs>
          <w:tab w:leader="dot" w:pos="9606" w:val="right"/>
        </w:tabs>
        <w:bidi w:val="0"/>
        <w:spacing w:before="0" w:line="240" w:lineRule="auto"/>
        <w:ind w:left="0" w:right="0" w:firstLine="0"/>
        <w:jc w:val="both"/>
      </w:pPr>
      <w:hyperlink w:anchor="bookmark619"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29"/>
        <w:keepNext w:val="0"/>
        <w:keepLines w:val="0"/>
        <w:widowControl w:val="0"/>
        <w:shd w:val="clear" w:color="auto" w:fill="auto"/>
        <w:tabs>
          <w:tab w:leader="dot" w:pos="9606" w:val="right"/>
        </w:tabs>
        <w:bidi w:val="0"/>
        <w:spacing w:before="0" w:after="360" w:line="240" w:lineRule="auto"/>
        <w:ind w:left="0" w:right="0" w:firstLine="0"/>
        <w:jc w:val="both"/>
      </w:pPr>
      <w:hyperlink w:anchor="bookmark623" w:tooltip="Current Document">
        <w:r>
          <w:rPr>
            <w:color w:val="000000"/>
            <w:spacing w:val="0"/>
            <w:w w:val="100"/>
            <w:position w:val="0"/>
          </w:rPr>
          <w:t>第十二节 财务报告</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29"/>
        <w:keepNext w:val="0"/>
        <w:keepLines w:val="0"/>
        <w:widowControl w:val="0"/>
        <w:shd w:val="clear" w:color="auto" w:fill="auto"/>
        <w:tabs>
          <w:tab w:leader="dot" w:pos="9606" w:val="right"/>
        </w:tabs>
        <w:bidi w:val="0"/>
        <w:spacing w:before="0" w:after="2920" w:line="240" w:lineRule="auto"/>
        <w:ind w:left="0" w:right="0" w:firstLine="0"/>
        <w:jc w:val="both"/>
      </w:pPr>
      <w:hyperlink w:anchor="bookmark2223"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210</w:t>
        </w:r>
      </w:hyperlink>
      <w:r>
        <w:fldChar w:fldCharType="end"/>
      </w:r>
    </w:p>
    <w:p>
      <w:pPr>
        <w:pStyle w:val="Style9"/>
        <w:keepNext w:val="0"/>
        <w:keepLines w:val="0"/>
        <w:widowControl w:val="0"/>
        <w:shd w:val="clear" w:color="auto" w:fill="auto"/>
        <w:bidi w:val="0"/>
        <w:spacing w:before="0" w:after="0" w:line="240" w:lineRule="auto"/>
        <w:ind w:left="0" w:right="340" w:firstLine="0"/>
        <w:jc w:val="right"/>
        <w:rPr>
          <w:sz w:val="20"/>
          <w:szCs w:val="20"/>
        </w:rPr>
      </w:pPr>
      <w:r>
        <w:rPr>
          <w:rFonts w:ascii="Arial" w:eastAsia="Arial" w:hAnsi="Arial" w:cs="Arial"/>
          <w:b/>
          <w:bCs/>
          <w:color w:val="A2A2A2"/>
          <w:spacing w:val="0"/>
          <w:w w:val="100"/>
          <w:position w:val="0"/>
          <w:sz w:val="20"/>
          <w:szCs w:val="20"/>
        </w:rPr>
        <w:t>cninf^</w:t>
      </w:r>
    </w:p>
    <w:p>
      <w:pPr>
        <w:pStyle w:val="Style20"/>
        <w:keepNext w:val="0"/>
        <w:keepLines w:val="0"/>
        <w:widowControl w:val="0"/>
        <w:shd w:val="clear" w:color="auto" w:fill="auto"/>
        <w:bidi w:val="0"/>
        <w:spacing w:before="0" w:after="0" w:line="240" w:lineRule="auto"/>
        <w:ind w:left="0" w:right="340" w:firstLine="0"/>
        <w:jc w:val="right"/>
      </w:pPr>
      <w:r>
        <w:rPr>
          <w:spacing w:val="0"/>
          <w:w w:val="100"/>
          <w:position w:val="0"/>
        </w:rPr>
        <w:t>巨潮资职</w:t>
      </w:r>
      <w:r>
        <w:br w:type="page"/>
      </w:r>
    </w:p>
    <w:p>
      <w:pPr>
        <w:pStyle w:val="Style13"/>
        <w:keepNext/>
        <w:keepLines/>
        <w:widowControl w:val="0"/>
        <w:shd w:val="clear" w:color="auto" w:fill="auto"/>
        <w:bidi w:val="0"/>
        <w:spacing w:before="0" w:after="800" w:line="240" w:lineRule="auto"/>
        <w:ind w:left="0" w:right="0" w:firstLine="0"/>
        <w:jc w:val="center"/>
      </w:pPr>
      <w:bookmarkStart w:id="30" w:name="bookmark30"/>
      <w:bookmarkStart w:id="31" w:name="bookmark31"/>
      <w:bookmarkStart w:id="32" w:name="bookmark32"/>
      <w:r>
        <w:rPr>
          <w:color w:val="000000"/>
          <w:spacing w:val="0"/>
          <w:w w:val="100"/>
          <w:position w:val="0"/>
        </w:rPr>
        <w:t>释义</w:t>
      </w:r>
      <w:bookmarkEnd w:id="30"/>
      <w:bookmarkEnd w:id="31"/>
      <w:bookmarkEnd w:id="32"/>
    </w:p>
    <w:tbl>
      <w:tblPr>
        <w:tblOverlap w:val="never"/>
        <w:jc w:val="left"/>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本企业</w:t>
            </w:r>
            <w:r>
              <w:rPr>
                <w:rFonts w:ascii="Times New Roman" w:eastAsia="Times New Roman" w:hAnsi="Times New Roman" w:cs="Times New Roman"/>
                <w:color w:val="000000"/>
                <w:spacing w:val="0"/>
                <w:w w:val="100"/>
                <w:position w:val="0"/>
              </w:rPr>
              <w:t>/</w:t>
            </w:r>
            <w:r>
              <w:rPr>
                <w:color w:val="000000"/>
                <w:spacing w:val="0"/>
                <w:w w:val="100"/>
                <w:position w:val="0"/>
              </w:rPr>
              <w:t>高伟达</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鹰高投资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鹰潭市鹰高投资咨询有限公司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上海睿民</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上海睿民互联网科技有限公司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坚果技术</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海南坚果创娱信息技术有限公司</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快读科技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深圳市快读科技有限公司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迅腾科技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喀什迅腾信息科技有限公司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盈达信息</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江苏盈达信息技术有限公司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翕振信息</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上海翕振信息技术有限公司</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成都高伟达</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成都高伟达信息技术有限公司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本公司发行的人民币普通股</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《高伟达软件股份有限公司公司章程》</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widowControl w:val="0"/>
        <w:spacing w:after="5619" w:line="1" w:lineRule="exact"/>
      </w:pPr>
    </w:p>
    <w:p>
      <w:pPr>
        <w:pStyle w:val="Style17"/>
        <w:keepNext/>
        <w:keepLines/>
        <w:widowControl w:val="0"/>
        <w:shd w:val="clear" w:color="auto" w:fill="auto"/>
        <w:bidi w:val="0"/>
        <w:spacing w:before="0" w:after="0" w:line="240" w:lineRule="auto"/>
        <w:ind w:left="9740" w:right="0" w:firstLine="0"/>
        <w:jc w:val="left"/>
        <w:rPr>
          <w:sz w:val="20"/>
          <w:szCs w:val="20"/>
        </w:rPr>
      </w:pPr>
      <w:bookmarkStart w:id="33" w:name="bookmark33"/>
      <w:bookmarkStart w:id="34" w:name="bookmark34"/>
      <w:bookmarkStart w:id="35" w:name="bookmark35"/>
      <w:r>
        <w:rPr>
          <w:rFonts w:ascii="Arial" w:eastAsia="Arial" w:hAnsi="Arial" w:cs="Arial"/>
          <w:color w:val="A2A2A2"/>
          <w:spacing w:val="0"/>
          <w:w w:val="100"/>
          <w:position w:val="0"/>
          <w:sz w:val="20"/>
          <w:szCs w:val="20"/>
        </w:rPr>
        <w:t>cninf^</w:t>
      </w:r>
      <w:bookmarkEnd w:id="33"/>
      <w:bookmarkEnd w:id="34"/>
      <w:bookmarkEnd w:id="35"/>
    </w:p>
    <w:p>
      <w:pPr>
        <w:pStyle w:val="Style20"/>
        <w:keepNext w:val="0"/>
        <w:keepLines w:val="0"/>
        <w:widowControl w:val="0"/>
        <w:shd w:val="clear" w:color="auto" w:fill="auto"/>
        <w:bidi w:val="0"/>
        <w:spacing w:before="0" w:after="0" w:line="240" w:lineRule="auto"/>
        <w:ind w:left="9920" w:right="0" w:firstLine="0"/>
        <w:jc w:val="left"/>
        <w:sectPr>
          <w:headerReference w:type="default" r:id="rId17"/>
          <w:footerReference w:type="default" r:id="rId18"/>
          <w:headerReference w:type="even" r:id="rId19"/>
          <w:footerReference w:type="even" r:id="rId20"/>
          <w:footnotePr>
            <w:pos w:val="pageBottom"/>
            <w:numFmt w:val="decimal"/>
            <w:numRestart w:val="continuous"/>
          </w:footnotePr>
          <w:type w:val="continuous"/>
          <w:pgSz w:w="11900" w:h="16840"/>
          <w:pgMar w:top="671" w:right="552" w:bottom="946" w:left="567" w:header="0" w:footer="3" w:gutter="0"/>
          <w:cols w:space="720"/>
          <w:noEndnote/>
          <w:rtlGutter w:val="0"/>
          <w:docGrid w:linePitch="360"/>
        </w:sectPr>
      </w:pPr>
      <w:r>
        <w:rPr>
          <w:spacing w:val="0"/>
          <w:w w:val="100"/>
          <w:position w:val="0"/>
        </w:rPr>
        <w:t>巨潮资职</w:t>
      </w:r>
    </w:p>
    <w:p>
      <w:pPr>
        <w:pStyle w:val="Style13"/>
        <w:keepNext/>
        <w:keepLines/>
        <w:widowControl w:val="0"/>
        <w:shd w:val="clear" w:color="auto" w:fill="auto"/>
        <w:bidi w:val="0"/>
        <w:spacing w:before="0" w:line="240" w:lineRule="auto"/>
        <w:ind w:left="0" w:right="0" w:firstLine="0"/>
        <w:jc w:val="center"/>
      </w:pPr>
      <w:bookmarkStart w:id="36" w:name="bookmark36"/>
      <w:bookmarkStart w:id="37" w:name="bookmark37"/>
      <w:bookmarkStart w:id="38" w:name="bookmark38"/>
      <w:r>
        <w:rPr>
          <w:color w:val="000000"/>
          <w:spacing w:val="0"/>
          <w:w w:val="100"/>
          <w:position w:val="0"/>
        </w:rPr>
        <w:t>第二节公司简介和主要财务指标</w:t>
      </w:r>
      <w:bookmarkEnd w:id="36"/>
      <w:bookmarkEnd w:id="37"/>
      <w:bookmarkEnd w:id="38"/>
    </w:p>
    <w:p>
      <w:pPr>
        <w:pStyle w:val="Style17"/>
        <w:keepNext/>
        <w:keepLines/>
        <w:widowControl w:val="0"/>
        <w:shd w:val="clear" w:color="auto" w:fill="auto"/>
        <w:bidi w:val="0"/>
        <w:spacing w:before="0" w:after="320" w:line="240" w:lineRule="auto"/>
        <w:ind w:left="0" w:right="0" w:firstLine="0"/>
        <w:jc w:val="left"/>
      </w:pPr>
      <w:bookmarkStart w:id="39" w:name="bookmark39"/>
      <w:bookmarkStart w:id="40" w:name="bookmark40"/>
      <w:bookmarkStart w:id="41" w:name="bookmark41"/>
      <w:bookmarkStart w:id="42" w:name="bookmark42"/>
      <w:bookmarkStart w:id="43" w:name="bookmark43"/>
      <w:r>
        <w:rPr>
          <w:color w:val="000000"/>
          <w:spacing w:val="0"/>
          <w:w w:val="100"/>
          <w:position w:val="0"/>
          <w:sz w:val="24"/>
          <w:szCs w:val="24"/>
        </w:rPr>
        <w:t>一</w:t>
      </w:r>
      <w:bookmarkEnd w:id="42"/>
      <w:r>
        <w:rPr>
          <w:color w:val="000000"/>
          <w:spacing w:val="0"/>
          <w:w w:val="100"/>
          <w:position w:val="0"/>
          <w:sz w:val="24"/>
          <w:szCs w:val="24"/>
        </w:rPr>
        <w:t>、公司信息</w:t>
      </w:r>
      <w:bookmarkEnd w:id="40"/>
      <w:bookmarkEnd w:id="41"/>
      <w:bookmarkEnd w:id="43"/>
      <w:bookmarkEnd w:id="39"/>
    </w:p>
    <w:tbl>
      <w:tblPr>
        <w:tblOverlap w:val="never"/>
        <w:jc w:val="left"/>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300465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GLOBAL INFOTECH CO., LTD.</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GIT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北京市海淀区大慧寺</w:t>
            </w:r>
            <w:r>
              <w:rPr>
                <w:rFonts w:ascii="Times New Roman" w:eastAsia="Times New Roman" w:hAnsi="Times New Roman" w:cs="Times New Roman"/>
                <w:color w:val="000000"/>
                <w:spacing w:val="0"/>
                <w:w w:val="100"/>
                <w:position w:val="0"/>
              </w:rPr>
              <w:t>8</w:t>
            </w:r>
            <w:r>
              <w:rPr>
                <w:color w:val="000000"/>
                <w:spacing w:val="0"/>
                <w:w w:val="100"/>
                <w:position w:val="0"/>
              </w:rPr>
              <w:t>号北区</w:t>
            </w:r>
            <w:r>
              <w:rPr>
                <w:rFonts w:ascii="Times New Roman" w:eastAsia="Times New Roman" w:hAnsi="Times New Roman" w:cs="Times New Roman"/>
                <w:color w:val="000000"/>
                <w:spacing w:val="0"/>
                <w:w w:val="100"/>
                <w:position w:val="0"/>
              </w:rPr>
              <w:t>20</w:t>
            </w:r>
            <w:r>
              <w:rPr>
                <w:color w:val="000000"/>
                <w:spacing w:val="0"/>
                <w:w w:val="100"/>
                <w:position w:val="0"/>
              </w:rPr>
              <w:t>栋</w:t>
            </w:r>
            <w:r>
              <w:rPr>
                <w:rFonts w:ascii="Times New Roman" w:eastAsia="Times New Roman" w:hAnsi="Times New Roman" w:cs="Times New Roman"/>
                <w:color w:val="000000"/>
                <w:spacing w:val="0"/>
                <w:w w:val="100"/>
                <w:position w:val="0"/>
              </w:rPr>
              <w:t>604</w:t>
            </w:r>
            <w:r>
              <w:rPr>
                <w:color w:val="000000"/>
                <w:spacing w:val="0"/>
                <w:w w:val="100"/>
                <w:position w:val="0"/>
              </w:rPr>
              <w:t>房间</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rPr>
              <w:t>32</w:t>
            </w:r>
            <w:r>
              <w:rPr>
                <w:color w:val="000000"/>
                <w:spacing w:val="0"/>
                <w:w w:val="100"/>
                <w:position w:val="0"/>
              </w:rPr>
              <w:t>号高斓大厦</w:t>
            </w:r>
            <w:r>
              <w:rPr>
                <w:rFonts w:ascii="Times New Roman" w:eastAsia="Times New Roman" w:hAnsi="Times New Roman" w:cs="Times New Roman"/>
                <w:color w:val="000000"/>
                <w:spacing w:val="0"/>
                <w:w w:val="100"/>
                <w:position w:val="0"/>
              </w:rPr>
              <w:t>1501</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100016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fldChar w:fldCharType="begin"/>
            </w:r>
            <w:r>
              <w:rPr/>
              <w:instrText> HYPERLINK "http://www.git.com.cn" </w:instrText>
            </w:r>
            <w:r>
              <w:fldChar w:fldCharType="separate"/>
            </w:r>
            <w:r>
              <w:rPr>
                <w:rFonts w:ascii="Times New Roman" w:eastAsia="Times New Roman" w:hAnsi="Times New Roman" w:cs="Times New Roman"/>
                <w:color w:val="000000"/>
                <w:spacing w:val="0"/>
                <w:w w:val="100"/>
                <w:position w:val="0"/>
              </w:rPr>
              <w:t>www.git.com.cn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fldChar w:fldCharType="begin"/>
            </w:r>
            <w:r>
              <w:rPr/>
              <w:instrText> HYPERLINK "mailto:securities@git.com.cn" </w:instrText>
            </w:r>
            <w:r>
              <w:fldChar w:fldCharType="separate"/>
            </w:r>
            <w:r>
              <w:rPr>
                <w:rFonts w:ascii="Times New Roman" w:eastAsia="Times New Roman" w:hAnsi="Times New Roman" w:cs="Times New Roman"/>
                <w:color w:val="000000"/>
                <w:spacing w:val="0"/>
                <w:w w:val="100"/>
                <w:position w:val="0"/>
              </w:rPr>
              <w:t>securities@git.com.cn</w:t>
            </w:r>
            <w:r>
              <w:fldChar w:fldCharType="end"/>
            </w:r>
          </w:p>
        </w:tc>
      </w:tr>
    </w:tbl>
    <w:p>
      <w:pPr>
        <w:widowControl w:val="0"/>
        <w:spacing w:after="319" w:line="1" w:lineRule="exact"/>
      </w:pPr>
    </w:p>
    <w:p>
      <w:pPr>
        <w:pStyle w:val="Style17"/>
        <w:keepNext/>
        <w:keepLines/>
        <w:widowControl w:val="0"/>
        <w:shd w:val="clear" w:color="auto" w:fill="auto"/>
        <w:bidi w:val="0"/>
        <w:spacing w:before="0" w:after="32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二</w:t>
      </w:r>
      <w:bookmarkEnd w:id="46"/>
      <w:r>
        <w:rPr>
          <w:color w:val="000000"/>
          <w:spacing w:val="0"/>
          <w:w w:val="100"/>
          <w:position w:val="0"/>
          <w:sz w:val="24"/>
          <w:szCs w:val="24"/>
        </w:rPr>
        <w:t>、联系人和联系方式</w:t>
      </w:r>
      <w:bookmarkEnd w:id="44"/>
      <w:bookmarkEnd w:id="45"/>
      <w:bookmarkEnd w:id="47"/>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高源</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郑祥云</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rPr>
              <w:t>32</w:t>
            </w:r>
            <w:r>
              <w:rPr>
                <w:color w:val="000000"/>
                <w:spacing w:val="0"/>
                <w:w w:val="100"/>
                <w:position w:val="0"/>
              </w:rPr>
              <w:t>号高斓大厦</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1501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rPr>
              <w:t>32</w:t>
            </w:r>
            <w:r>
              <w:rPr>
                <w:color w:val="000000"/>
                <w:spacing w:val="0"/>
                <w:w w:val="100"/>
                <w:position w:val="0"/>
              </w:rPr>
              <w:t>号高斓大厦</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1501 </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010-57321010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010-57321010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010-57321000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010-57321000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fldChar w:fldCharType="begin"/>
            </w:r>
            <w:r>
              <w:rPr/>
              <w:instrText> HYPERLINK "mailto:securities@git.com.cn" </w:instrText>
            </w:r>
            <w:r>
              <w:fldChar w:fldCharType="separate"/>
            </w:r>
            <w:r>
              <w:rPr>
                <w:rFonts w:ascii="Times New Roman" w:eastAsia="Times New Roman" w:hAnsi="Times New Roman" w:cs="Times New Roman"/>
                <w:color w:val="000000"/>
                <w:spacing w:val="0"/>
                <w:w w:val="100"/>
                <w:position w:val="0"/>
              </w:rPr>
              <w:t>securities@git.com.cn</w:t>
            </w:r>
            <w:r>
              <w:fldChar w:fldCharType="end"/>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securities@git. com. cn</w:t>
            </w:r>
          </w:p>
        </w:tc>
      </w:tr>
    </w:tbl>
    <w:p>
      <w:pPr>
        <w:widowControl w:val="0"/>
        <w:spacing w:after="319" w:line="1" w:lineRule="exact"/>
      </w:pPr>
    </w:p>
    <w:p>
      <w:pPr>
        <w:pStyle w:val="Style17"/>
        <w:keepNext/>
        <w:keepLines/>
        <w:widowControl w:val="0"/>
        <w:shd w:val="clear" w:color="auto" w:fill="auto"/>
        <w:bidi w:val="0"/>
        <w:spacing w:before="0" w:after="32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三</w:t>
      </w:r>
      <w:bookmarkEnd w:id="50"/>
      <w:r>
        <w:rPr>
          <w:color w:val="000000"/>
          <w:spacing w:val="0"/>
          <w:w w:val="100"/>
          <w:position w:val="0"/>
          <w:sz w:val="24"/>
          <w:szCs w:val="24"/>
        </w:rPr>
        <w:t>、信息披露及备置地点</w:t>
      </w:r>
      <w:bookmarkEnd w:id="48"/>
      <w:bookmarkEnd w:id="49"/>
      <w:bookmarkEnd w:id="51"/>
    </w:p>
    <w:tbl>
      <w:tblPr>
        <w:tblOverlap w:val="never"/>
        <w:jc w:val="left"/>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rPr>
              <w:t>32</w:t>
            </w:r>
            <w:r>
              <w:rPr>
                <w:color w:val="000000"/>
                <w:spacing w:val="0"/>
                <w:w w:val="100"/>
                <w:position w:val="0"/>
              </w:rPr>
              <w:t>号高斓大厦</w:t>
            </w:r>
            <w:r>
              <w:rPr>
                <w:rFonts w:ascii="Times New Roman" w:eastAsia="Times New Roman" w:hAnsi="Times New Roman" w:cs="Times New Roman"/>
                <w:color w:val="000000"/>
                <w:spacing w:val="0"/>
                <w:w w:val="100"/>
                <w:position w:val="0"/>
              </w:rPr>
              <w:t>1501</w:t>
            </w:r>
            <w:r>
              <w:rPr>
                <w:color w:val="000000"/>
                <w:spacing w:val="0"/>
                <w:w w:val="100"/>
                <w:position w:val="0"/>
              </w:rPr>
              <w:t>室</w:t>
            </w:r>
          </w:p>
        </w:tc>
      </w:tr>
    </w:tbl>
    <w:p>
      <w:pPr>
        <w:widowControl w:val="0"/>
        <w:spacing w:after="319" w:line="1" w:lineRule="exact"/>
      </w:pPr>
    </w:p>
    <w:p>
      <w:pPr>
        <w:pStyle w:val="Style17"/>
        <w:keepNext/>
        <w:keepLines/>
        <w:widowControl w:val="0"/>
        <w:shd w:val="clear" w:color="auto" w:fill="auto"/>
        <w:bidi w:val="0"/>
        <w:spacing w:before="0" w:after="3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四</w:t>
      </w:r>
      <w:bookmarkEnd w:id="54"/>
      <w:r>
        <w:rPr>
          <w:color w:val="000000"/>
          <w:spacing w:val="0"/>
          <w:w w:val="100"/>
          <w:position w:val="0"/>
          <w:sz w:val="24"/>
          <w:szCs w:val="24"/>
        </w:rPr>
        <w:t>、其他有关资料</w:t>
      </w:r>
      <w:bookmarkEnd w:id="52"/>
      <w:bookmarkEnd w:id="53"/>
      <w:bookmarkEnd w:id="55"/>
    </w:p>
    <w:p>
      <w:pPr>
        <w:pStyle w:val="Style3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left"/>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北京市朝阳区东三环中路</w:t>
            </w:r>
            <w:r>
              <w:rPr>
                <w:rFonts w:ascii="Times New Roman" w:eastAsia="Times New Roman" w:hAnsi="Times New Roman" w:cs="Times New Roman"/>
                <w:color w:val="000000"/>
                <w:spacing w:val="0"/>
                <w:w w:val="100"/>
                <w:position w:val="0"/>
              </w:rPr>
              <w:t>5</w:t>
            </w:r>
            <w:r>
              <w:rPr>
                <w:color w:val="000000"/>
                <w:spacing w:val="0"/>
                <w:w w:val="100"/>
                <w:position w:val="0"/>
              </w:rPr>
              <w:t>号财富金融中心</w:t>
            </w:r>
            <w:r>
              <w:rPr>
                <w:rFonts w:ascii="Times New Roman" w:eastAsia="Times New Roman" w:hAnsi="Times New Roman" w:cs="Times New Roman"/>
                <w:color w:val="000000"/>
                <w:spacing w:val="0"/>
                <w:w w:val="100"/>
                <w:position w:val="0"/>
              </w:rPr>
              <w:t>19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潘高峰、张军伟、秦妍</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0" w:after="22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五</w:t>
      </w:r>
      <w:bookmarkEnd w:id="58"/>
      <w:r>
        <w:rPr>
          <w:color w:val="000000"/>
          <w:spacing w:val="0"/>
          <w:w w:val="100"/>
          <w:position w:val="0"/>
          <w:sz w:val="24"/>
          <w:szCs w:val="24"/>
        </w:rPr>
        <w:t>、主要会计数据和财务指标</w:t>
      </w:r>
      <w:bookmarkEnd w:id="56"/>
      <w:bookmarkEnd w:id="57"/>
      <w:bookmarkEnd w:id="59"/>
    </w:p>
    <w:p>
      <w:pPr>
        <w:pStyle w:val="Style34"/>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left"/>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1,893,658,496.29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1,758,318,368.99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1,591,919,566.49</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-671,247,584.07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133,741,533.27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104,546,602.00</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归属于上市公司股东的扣除非经</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-701,755,987.68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124,202,928.77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60,356,466.24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232,360,648.49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170,769,531.27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238,019,446.82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1,939,276,129.09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2,408,869,603.59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2,388,498,304.67</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569,823,847.74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1,313,620,497.62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1,183,904,420.19</w:t>
            </w:r>
          </w:p>
        </w:tc>
      </w:tr>
    </w:tbl>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left"/>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1,893,658,496.29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1,758,318,368.99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本公司本年及上年度不存在 需要扣除的与主营业务无关 以及不具备商业实质的收入</w:t>
            </w:r>
          </w:p>
        </w:tc>
      </w:tr>
      <w:tr>
        <w:trPr>
          <w:trHeight w:val="682"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本公司本年及上年度不存在 需要扣除的与主营业务无关</w:t>
            </w:r>
          </w:p>
        </w:tc>
      </w:tr>
    </w:tbl>
    <w:p>
      <w:pPr>
        <w:spacing w:lineRule="exact" w:line="1"/>
        <w:rPr>
          <w:sz w:val="2"/>
          <w:szCs w:val="2"/>
        </w:rPr>
      </w:pPr>
      <w:r>
        <w:br w:type="page"/>
      </w:r>
    </w:p>
    <w:tbl>
      <w:tblPr>
        <w:tblOverlap w:val="never"/>
        <w:jc w:val="left"/>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以及不具备商业实质的收入</w:t>
            </w: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1,893,658,496.29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1,758,318,368.99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本公司本年及上年度不存在 需要扣除的与主营业务无关 以及不具备商业实质的收入</w:t>
            </w:r>
          </w:p>
        </w:tc>
      </w:tr>
    </w:tbl>
    <w:p>
      <w:pPr>
        <w:widowControl w:val="0"/>
        <w:spacing w:after="359" w:line="1" w:lineRule="exact"/>
      </w:pPr>
    </w:p>
    <w:p>
      <w:pPr>
        <w:pStyle w:val="Style17"/>
        <w:keepNext/>
        <w:keepLines/>
        <w:widowControl w:val="0"/>
        <w:shd w:val="clear" w:color="auto" w:fill="auto"/>
        <w:bidi w:val="0"/>
        <w:spacing w:before="0" w:after="3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六</w:t>
      </w:r>
      <w:bookmarkEnd w:id="62"/>
      <w:r>
        <w:rPr>
          <w:color w:val="000000"/>
          <w:spacing w:val="0"/>
          <w:w w:val="100"/>
          <w:position w:val="0"/>
          <w:sz w:val="24"/>
          <w:szCs w:val="24"/>
        </w:rPr>
        <w:t>、分季度主要财务指标</w:t>
      </w:r>
      <w:bookmarkEnd w:id="60"/>
      <w:bookmarkEnd w:id="61"/>
      <w:bookmarkEnd w:id="63"/>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216,203,076.65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447,728,055.40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336,644,228.23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893,083,136.01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-3,289,460.95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32,362,130.58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11,034,118.47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-711,354,372.17</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-5,132,519.44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29,111,373.67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7,726,960.33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-733,461,802.24</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-340,174,175.30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185,034,907.02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-9,046,245.18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396,546,161.95</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keepLines/>
        <w:widowControl w:val="0"/>
        <w:shd w:val="clear" w:color="auto" w:fill="auto"/>
        <w:bidi w:val="0"/>
        <w:spacing w:before="0" w:after="3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七</w:t>
      </w:r>
      <w:bookmarkEnd w:id="66"/>
      <w:r>
        <w:rPr>
          <w:color w:val="000000"/>
          <w:spacing w:val="0"/>
          <w:w w:val="100"/>
          <w:position w:val="0"/>
          <w:sz w:val="24"/>
          <w:szCs w:val="24"/>
        </w:rPr>
        <w:t>、境内外会计准则下会计数据差异</w:t>
      </w:r>
      <w:bookmarkEnd w:id="64"/>
      <w:bookmarkEnd w:id="65"/>
      <w:bookmarkEnd w:id="67"/>
    </w:p>
    <w:p>
      <w:pPr>
        <w:pStyle w:val="Style38"/>
        <w:keepNext/>
        <w:keepLines/>
        <w:widowControl w:val="0"/>
        <w:shd w:val="clear" w:color="auto" w:fill="auto"/>
        <w:bidi w:val="0"/>
        <w:spacing w:before="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、同时按照国际会计准则与按照中国会计准则披露的财务报告中净利润和净资产差异情况</w:t>
      </w:r>
      <w:bookmarkEnd w:id="68"/>
      <w:bookmarkEnd w:id="69"/>
      <w:bookmarkEnd w:id="71"/>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8"/>
        <w:keepNext/>
        <w:keepLines/>
        <w:widowControl w:val="0"/>
        <w:shd w:val="clear" w:color="auto" w:fill="auto"/>
        <w:bidi w:val="0"/>
        <w:spacing w:before="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、同时按照境外会计准则与按照中国会计准则披露的财务报告中净利润和净资产差异情况</w:t>
      </w:r>
      <w:bookmarkEnd w:id="72"/>
      <w:bookmarkEnd w:id="73"/>
      <w:bookmarkEnd w:id="75"/>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17"/>
        <w:keepNext/>
        <w:keepLines/>
        <w:widowControl w:val="0"/>
        <w:shd w:val="clear" w:color="auto" w:fill="auto"/>
        <w:bidi w:val="0"/>
        <w:spacing w:before="0" w:after="3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八</w:t>
      </w:r>
      <w:bookmarkEnd w:id="78"/>
      <w:r>
        <w:rPr>
          <w:color w:val="000000"/>
          <w:spacing w:val="0"/>
          <w:w w:val="100"/>
          <w:position w:val="0"/>
          <w:sz w:val="24"/>
          <w:szCs w:val="24"/>
        </w:rPr>
        <w:t>、非经常性损益项目及金额</w:t>
      </w:r>
      <w:bookmarkEnd w:id="76"/>
      <w:bookmarkEnd w:id="77"/>
      <w:bookmarkEnd w:id="79"/>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53,999,588.04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固定资产处置损益</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4,617,937.13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4,908,544.00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2,552,263.70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税收及财政扶持款</w:t>
            </w:r>
          </w:p>
        </w:tc>
      </w:tr>
      <w:tr>
        <w:trPr>
          <w:trHeight w:val="682"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26,496,508.77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446,303.65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-3,492,314.27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收购公司未按预期协 议实现承诺业绩，原</w:t>
            </w:r>
          </w:p>
        </w:tc>
      </w:tr>
    </w:tbl>
    <w:p>
      <w:pPr>
        <w:spacing w:lineRule="exact" w:line="1"/>
        <w:rPr>
          <w:sz w:val="2"/>
          <w:szCs w:val="2"/>
        </w:rPr>
      </w:pPr>
      <w:r>
        <w:br w:type="page"/>
      </w:r>
    </w:p>
    <w:tbl>
      <w:tblPr>
        <w:tblOverlap w:val="never"/>
        <w:jc w:val="left"/>
        <w:tblLayout w:type="fixed"/>
      </w:tblPr>
      <w:tblGrid>
        <w:gridCol w:w="3302"/>
        <w:gridCol w:w="1522"/>
        <w:gridCol w:w="1522"/>
        <w:gridCol w:w="1522"/>
        <w:gridCol w:w="1718"/>
      </w:tblGrid>
      <w:tr>
        <w:trPr>
          <w:trHeight w:val="161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股东给予上市公司的 补偿，及理财产品收 益</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-223,224.71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-520,514.87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-479,999.95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6,414,024.35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383,881.73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1,430,804.63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8,396,490.30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280,769.91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-7,088.54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30,508,403.61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9,538,604.50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44,190,135.76</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3"/>
        <w:keepNext/>
        <w:keepLines/>
        <w:widowControl w:val="0"/>
        <w:shd w:val="clear" w:color="auto" w:fill="auto"/>
        <w:bidi w:val="0"/>
        <w:spacing w:before="0" w:line="240" w:lineRule="auto"/>
        <w:ind w:left="3320" w:right="0" w:firstLine="0"/>
        <w:jc w:val="left"/>
      </w:pPr>
      <w:bookmarkStart w:id="80" w:name="bookmark80"/>
      <w:bookmarkStart w:id="81" w:name="bookmark81"/>
      <w:bookmarkStart w:id="82" w:name="bookmark82"/>
      <w:r>
        <w:rPr>
          <w:color w:val="000000"/>
          <w:spacing w:val="0"/>
          <w:w w:val="100"/>
          <w:position w:val="0"/>
        </w:rPr>
        <w:t>第三节公司业务概要</w:t>
      </w:r>
      <w:bookmarkEnd w:id="80"/>
      <w:bookmarkEnd w:id="81"/>
      <w:bookmarkEnd w:id="82"/>
    </w:p>
    <w:p>
      <w:pPr>
        <w:pStyle w:val="Style17"/>
        <w:keepNext/>
        <w:keepLines/>
        <w:widowControl w:val="0"/>
        <w:shd w:val="clear" w:color="auto" w:fill="auto"/>
        <w:bidi w:val="0"/>
        <w:spacing w:before="0" w:after="220" w:line="240" w:lineRule="auto"/>
        <w:ind w:left="0" w:right="0" w:firstLine="0"/>
        <w:jc w:val="left"/>
      </w:pPr>
      <w:bookmarkStart w:id="83" w:name="bookmark83"/>
      <w:bookmarkStart w:id="84" w:name="bookmark84"/>
      <w:bookmarkStart w:id="85" w:name="bookmark85"/>
      <w:bookmarkStart w:id="86" w:name="bookmark86"/>
      <w:bookmarkStart w:id="87" w:name="bookmark87"/>
      <w:r>
        <w:rPr>
          <w:color w:val="000000"/>
          <w:spacing w:val="0"/>
          <w:w w:val="100"/>
          <w:position w:val="0"/>
          <w:sz w:val="24"/>
          <w:szCs w:val="24"/>
        </w:rPr>
        <w:t>一</w:t>
      </w:r>
      <w:bookmarkEnd w:id="86"/>
      <w:r>
        <w:rPr>
          <w:color w:val="000000"/>
          <w:spacing w:val="0"/>
          <w:w w:val="100"/>
          <w:position w:val="0"/>
          <w:sz w:val="24"/>
          <w:szCs w:val="24"/>
        </w:rPr>
        <w:t>、报告期内公司从事的主要业务</w:t>
      </w:r>
      <w:bookmarkEnd w:id="84"/>
      <w:bookmarkEnd w:id="85"/>
      <w:bookmarkEnd w:id="87"/>
      <w:bookmarkEnd w:id="83"/>
    </w:p>
    <w:p>
      <w:pPr>
        <w:pStyle w:val="Style34"/>
        <w:keepNext w:val="0"/>
        <w:keepLines w:val="0"/>
        <w:widowControl w:val="0"/>
        <w:shd w:val="clear" w:color="auto" w:fill="auto"/>
        <w:bidi w:val="0"/>
        <w:spacing w:before="0" w:line="316" w:lineRule="exact"/>
        <w:ind w:left="0" w:right="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rPr>
        <w:t>1998</w:t>
      </w:r>
      <w:r>
        <w:rPr>
          <w:color w:val="000000"/>
          <w:spacing w:val="0"/>
          <w:w w:val="100"/>
          <w:position w:val="0"/>
        </w:rPr>
        <w:t>年，并于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月，成功登陆深圳证券交易所创业板。二十多年来通过不断发展与创新，已成为国内 主要的金融信息技术服务提供商之一。公司所在的金融科技行业，是国家重点发展的产业，对金融安全和金融市场的稳定发 展具有重要意义。</w:t>
      </w:r>
      <w:r>
        <w:rPr>
          <w:rFonts w:ascii="Times New Roman" w:eastAsia="Times New Roman" w:hAnsi="Times New Roman" w:cs="Times New Roman"/>
          <w:color w:val="000000"/>
          <w:spacing w:val="0"/>
          <w:w w:val="100"/>
          <w:position w:val="0"/>
        </w:rPr>
        <w:t>2020</w:t>
      </w:r>
      <w:r>
        <w:rPr>
          <w:color w:val="000000"/>
          <w:spacing w:val="0"/>
          <w:w w:val="100"/>
          <w:position w:val="0"/>
        </w:rPr>
        <w:t>年以来，虽然经历了新冠疫情的影响，但行业稳步发展的趋势并没有被打破。未来中国金融科技行业， 特别是银行科技领域，将保持稳定发展的行业趋势。公司作为国内重要的金融科技服务提供商之一，将继续深耕主业，未来 积极围绕金融科技发展的主线进行业务布局。</w:t>
      </w:r>
    </w:p>
    <w:p>
      <w:pPr>
        <w:pStyle w:val="Style34"/>
        <w:keepNext w:val="0"/>
        <w:keepLines w:val="0"/>
        <w:widowControl w:val="0"/>
        <w:shd w:val="clear" w:color="auto" w:fill="auto"/>
        <w:bidi w:val="0"/>
        <w:spacing w:before="0" w:line="314" w:lineRule="exact"/>
        <w:ind w:left="0" w:right="0" w:firstLine="220"/>
        <w:jc w:val="left"/>
      </w:pPr>
      <w:r>
        <w:rPr>
          <w:color w:val="000000"/>
          <w:spacing w:val="0"/>
          <w:w w:val="100"/>
          <w:position w:val="0"/>
        </w:rPr>
        <w:t>公司主营业务情况如下：</w:t>
      </w:r>
    </w:p>
    <w:p>
      <w:pPr>
        <w:pStyle w:val="Style34"/>
        <w:keepNext w:val="0"/>
        <w:keepLines w:val="0"/>
        <w:widowControl w:val="0"/>
        <w:shd w:val="clear" w:color="auto" w:fill="auto"/>
        <w:tabs>
          <w:tab w:pos="650" w:val="left"/>
        </w:tabs>
        <w:bidi w:val="0"/>
        <w:spacing w:before="0" w:line="314" w:lineRule="exact"/>
        <w:ind w:left="0" w:right="0" w:firstLine="220"/>
        <w:jc w:val="left"/>
      </w:pPr>
      <w:bookmarkStart w:id="88" w:name="bookmark88"/>
      <w:r>
        <w:rPr>
          <w:color w:val="000000"/>
          <w:spacing w:val="0"/>
          <w:w w:val="100"/>
          <w:position w:val="0"/>
        </w:rPr>
        <w:t>一</w:t>
      </w:r>
      <w:bookmarkEnd w:id="88"/>
      <w:r>
        <w:rPr>
          <w:color w:val="000000"/>
          <w:spacing w:val="0"/>
          <w:w w:val="100"/>
          <w:position w:val="0"/>
        </w:rPr>
        <w:t>、</w:t>
        <w:tab/>
        <w:t>主营业务情况</w:t>
      </w:r>
    </w:p>
    <w:p>
      <w:pPr>
        <w:pStyle w:val="Style34"/>
        <w:keepNext w:val="0"/>
        <w:keepLines w:val="0"/>
        <w:widowControl w:val="0"/>
        <w:shd w:val="clear" w:color="auto" w:fill="auto"/>
        <w:bidi w:val="0"/>
        <w:spacing w:before="0" w:line="314" w:lineRule="exact"/>
        <w:ind w:left="0" w:right="0" w:firstLine="520"/>
        <w:jc w:val="left"/>
      </w:pPr>
      <w:r>
        <w:rPr>
          <w:color w:val="000000"/>
          <w:spacing w:val="0"/>
          <w:w w:val="100"/>
          <w:position w:val="0"/>
        </w:rPr>
        <w:t>从收入占比来看，公司现有主营业务为金融信息服务和移动营销服务业务。</w:t>
      </w:r>
    </w:p>
    <w:p>
      <w:pPr>
        <w:pStyle w:val="Style34"/>
        <w:keepNext w:val="0"/>
        <w:keepLines w:val="0"/>
        <w:widowControl w:val="0"/>
        <w:shd w:val="clear" w:color="auto" w:fill="auto"/>
        <w:tabs>
          <w:tab w:pos="650" w:val="left"/>
        </w:tabs>
        <w:bidi w:val="0"/>
        <w:spacing w:before="0" w:line="314" w:lineRule="exact"/>
        <w:ind w:left="0" w:right="0" w:firstLine="220"/>
        <w:jc w:val="left"/>
      </w:pPr>
      <w:bookmarkStart w:id="89" w:name="bookmark89"/>
      <w:r>
        <w:rPr>
          <w:color w:val="000000"/>
          <w:spacing w:val="0"/>
          <w:w w:val="100"/>
          <w:position w:val="0"/>
        </w:rPr>
        <w:t>二</w:t>
      </w:r>
      <w:bookmarkEnd w:id="89"/>
      <w:r>
        <w:rPr>
          <w:color w:val="000000"/>
          <w:spacing w:val="0"/>
          <w:w w:val="100"/>
          <w:position w:val="0"/>
        </w:rPr>
        <w:t>、</w:t>
        <w:tab/>
        <w:t>产品和业务用途</w:t>
      </w:r>
    </w:p>
    <w:p>
      <w:pPr>
        <w:pStyle w:val="Style34"/>
        <w:keepNext w:val="0"/>
        <w:keepLines w:val="0"/>
        <w:widowControl w:val="0"/>
        <w:shd w:val="clear" w:color="auto" w:fill="auto"/>
        <w:bidi w:val="0"/>
        <w:spacing w:before="0" w:line="314" w:lineRule="exact"/>
        <w:ind w:left="0" w:right="0"/>
        <w:jc w:val="both"/>
      </w:pPr>
      <w:r>
        <w:rPr>
          <w:color w:val="000000"/>
          <w:spacing w:val="0"/>
          <w:w w:val="100"/>
          <w:position w:val="0"/>
        </w:rPr>
        <w:t>金融信息服务是向以银行、保险、证券为主的金融企业客户提供软件开发及服务和系统集成及服务。具体可分为：</w:t>
      </w:r>
    </w:p>
    <w:p>
      <w:pPr>
        <w:pStyle w:val="Style34"/>
        <w:keepNext w:val="0"/>
        <w:keepLines w:val="0"/>
        <w:widowControl w:val="0"/>
        <w:shd w:val="clear" w:color="auto" w:fill="auto"/>
        <w:bidi w:val="0"/>
        <w:spacing w:before="0" w:after="220" w:line="317" w:lineRule="exact"/>
        <w:ind w:left="0" w:right="0"/>
        <w:jc w:val="both"/>
      </w:pPr>
      <w:r>
        <w:rPr>
          <w:color w:val="000000"/>
          <w:spacing w:val="0"/>
          <w:w w:val="100"/>
          <w:position w:val="0"/>
        </w:rPr>
        <w:t>首先，软件开发及服务是指针对客户的科技建设需求而提供的</w:t>
      </w:r>
      <w:r>
        <w:rPr>
          <w:rFonts w:ascii="Times New Roman" w:eastAsia="Times New Roman" w:hAnsi="Times New Roman" w:cs="Times New Roman"/>
          <w:color w:val="000000"/>
          <w:spacing w:val="0"/>
          <w:w w:val="100"/>
          <w:position w:val="0"/>
        </w:rPr>
        <w:t>IT</w:t>
      </w:r>
      <w:r>
        <w:rPr>
          <w:color w:val="000000"/>
          <w:spacing w:val="0"/>
          <w:w w:val="100"/>
          <w:position w:val="0"/>
        </w:rPr>
        <w:t>解决方案、软件外包服务和软件维护服务。主要包括以 下业务类型：</w:t>
      </w:r>
    </w:p>
    <w:p>
      <w:pPr>
        <w:pStyle w:val="Style34"/>
        <w:keepNext w:val="0"/>
        <w:keepLines w:val="0"/>
        <w:widowControl w:val="0"/>
        <w:shd w:val="clear" w:color="auto" w:fill="auto"/>
        <w:tabs>
          <w:tab w:pos="710" w:val="left"/>
        </w:tabs>
        <w:bidi w:val="0"/>
        <w:spacing w:before="0" w:after="0"/>
        <w:ind w:left="0" w:right="0"/>
        <w:jc w:val="both"/>
      </w:pPr>
      <w:bookmarkStart w:id="90" w:name="bookmark90"/>
      <w:r>
        <w:rPr>
          <w:rFonts w:ascii="Times New Roman" w:eastAsia="Times New Roman" w:hAnsi="Times New Roman" w:cs="Times New Roman"/>
          <w:color w:val="000000"/>
          <w:spacing w:val="0"/>
          <w:w w:val="100"/>
          <w:position w:val="0"/>
        </w:rPr>
        <w:t>1</w:t>
      </w:r>
      <w:bookmarkEnd w:id="90"/>
      <w:r>
        <w:rPr>
          <w:rFonts w:ascii="Times New Roman" w:eastAsia="Times New Roman" w:hAnsi="Times New Roman" w:cs="Times New Roman"/>
          <w:color w:val="000000"/>
          <w:spacing w:val="0"/>
          <w:w w:val="100"/>
          <w:position w:val="0"/>
        </w:rPr>
        <w:t>）</w:t>
        <w:tab/>
        <w:t>IT</w:t>
      </w:r>
      <w:r>
        <w:rPr>
          <w:color w:val="000000"/>
          <w:spacing w:val="0"/>
          <w:w w:val="100"/>
          <w:position w:val="0"/>
        </w:rPr>
        <w:t>解决方案</w:t>
      </w:r>
    </w:p>
    <w:p>
      <w:pPr>
        <w:pStyle w:val="Style34"/>
        <w:keepNext w:val="0"/>
        <w:keepLines w:val="0"/>
        <w:widowControl w:val="0"/>
        <w:shd w:val="clear" w:color="auto" w:fill="auto"/>
        <w:bidi w:val="0"/>
        <w:spacing w:before="0" w:after="220" w:line="312" w:lineRule="exact"/>
        <w:ind w:left="0" w:right="0"/>
        <w:jc w:val="both"/>
      </w:pPr>
      <w:r>
        <w:rPr>
          <w:color w:val="000000"/>
          <w:spacing w:val="0"/>
          <w:w w:val="100"/>
          <w:position w:val="0"/>
        </w:rPr>
        <w:t>公司按照客户需求提供软件开发以及升级、改造、配套服务，根据合同约定对阶段性开发成果或最终产品负责，成果交 付时需要按照合同约定工作任务进行验收，公司在所开发软件成果交付运行，并通过客户验收后按照合同约定金额确认收入。</w:t>
      </w:r>
    </w:p>
    <w:p>
      <w:pPr>
        <w:pStyle w:val="Style34"/>
        <w:keepNext w:val="0"/>
        <w:keepLines w:val="0"/>
        <w:widowControl w:val="0"/>
        <w:shd w:val="clear" w:color="auto" w:fill="auto"/>
        <w:tabs>
          <w:tab w:pos="729" w:val="left"/>
        </w:tabs>
        <w:bidi w:val="0"/>
        <w:spacing w:before="0" w:after="0"/>
        <w:ind w:left="0" w:right="0"/>
        <w:jc w:val="both"/>
      </w:pPr>
      <w:bookmarkStart w:id="91" w:name="bookmark91"/>
      <w:r>
        <w:rPr>
          <w:rFonts w:ascii="Times New Roman" w:eastAsia="Times New Roman" w:hAnsi="Times New Roman" w:cs="Times New Roman"/>
          <w:color w:val="000000"/>
          <w:spacing w:val="0"/>
          <w:w w:val="100"/>
          <w:position w:val="0"/>
        </w:rPr>
        <w:t>2</w:t>
      </w:r>
      <w:bookmarkEnd w:id="91"/>
      <w:r>
        <w:rPr>
          <w:rFonts w:ascii="Times New Roman" w:eastAsia="Times New Roman" w:hAnsi="Times New Roman" w:cs="Times New Roman"/>
          <w:color w:val="000000"/>
          <w:spacing w:val="0"/>
          <w:w w:val="100"/>
          <w:position w:val="0"/>
        </w:rPr>
        <w:t>）</w:t>
        <w:tab/>
      </w:r>
      <w:r>
        <w:rPr>
          <w:color w:val="000000"/>
          <w:spacing w:val="0"/>
          <w:w w:val="100"/>
          <w:position w:val="0"/>
        </w:rPr>
        <w:t>软件外包服务</w:t>
      </w:r>
    </w:p>
    <w:p>
      <w:pPr>
        <w:pStyle w:val="Style34"/>
        <w:keepNext w:val="0"/>
        <w:keepLines w:val="0"/>
        <w:widowControl w:val="0"/>
        <w:shd w:val="clear" w:color="auto" w:fill="auto"/>
        <w:bidi w:val="0"/>
        <w:spacing w:before="0" w:after="220" w:line="310" w:lineRule="exact"/>
        <w:ind w:left="0" w:right="0"/>
        <w:jc w:val="both"/>
      </w:pPr>
      <w:r>
        <w:rPr>
          <w:color w:val="000000"/>
          <w:spacing w:val="0"/>
          <w:w w:val="100"/>
          <w:position w:val="0"/>
        </w:rPr>
        <w:t>公司根据客户需求，按期提供技术人员完成开发及服务，无需对最终开发成果负责。根据合同，于约定的每个结算时点 与客户确认对应服务期间内提供的人员数量、出勤情况、考核评价，按合同约定的不同级别技术人员的人月单价以及双方确 认的工作量确认收入。</w:t>
      </w:r>
    </w:p>
    <w:p>
      <w:pPr>
        <w:pStyle w:val="Style34"/>
        <w:keepNext w:val="0"/>
        <w:keepLines w:val="0"/>
        <w:widowControl w:val="0"/>
        <w:shd w:val="clear" w:color="auto" w:fill="auto"/>
        <w:tabs>
          <w:tab w:pos="729" w:val="left"/>
        </w:tabs>
        <w:bidi w:val="0"/>
        <w:spacing w:before="0" w:after="0"/>
        <w:ind w:left="0" w:right="0"/>
        <w:jc w:val="both"/>
      </w:pPr>
      <w:bookmarkStart w:id="92" w:name="bookmark92"/>
      <w:r>
        <w:rPr>
          <w:rFonts w:ascii="Times New Roman" w:eastAsia="Times New Roman" w:hAnsi="Times New Roman" w:cs="Times New Roman"/>
          <w:color w:val="000000"/>
          <w:spacing w:val="0"/>
          <w:w w:val="100"/>
          <w:position w:val="0"/>
        </w:rPr>
        <w:t>3</w:t>
      </w:r>
      <w:bookmarkEnd w:id="92"/>
      <w:r>
        <w:rPr>
          <w:rFonts w:ascii="Times New Roman" w:eastAsia="Times New Roman" w:hAnsi="Times New Roman" w:cs="Times New Roman"/>
          <w:color w:val="000000"/>
          <w:spacing w:val="0"/>
          <w:w w:val="100"/>
          <w:position w:val="0"/>
        </w:rPr>
        <w:t>）</w:t>
        <w:tab/>
      </w:r>
      <w:r>
        <w:rPr>
          <w:color w:val="000000"/>
          <w:spacing w:val="0"/>
          <w:w w:val="100"/>
          <w:position w:val="0"/>
        </w:rPr>
        <w:t>软件运维服务</w:t>
      </w:r>
    </w:p>
    <w:p>
      <w:pPr>
        <w:pStyle w:val="Style34"/>
        <w:keepNext w:val="0"/>
        <w:keepLines w:val="0"/>
        <w:widowControl w:val="0"/>
        <w:shd w:val="clear" w:color="auto" w:fill="auto"/>
        <w:bidi w:val="0"/>
        <w:spacing w:before="0" w:line="314" w:lineRule="exact"/>
        <w:ind w:left="0" w:right="0"/>
        <w:jc w:val="both"/>
      </w:pPr>
      <w:r>
        <w:rPr>
          <w:color w:val="000000"/>
          <w:spacing w:val="0"/>
          <w:w w:val="100"/>
          <w:position w:val="0"/>
        </w:rPr>
        <w:t>公司根据客户需求，对本公司所开发的应用软件系统或客户指定的软件系统或其他</w:t>
      </w:r>
      <w:r>
        <w:rPr>
          <w:rFonts w:ascii="Times New Roman" w:eastAsia="Times New Roman" w:hAnsi="Times New Roman" w:cs="Times New Roman"/>
          <w:color w:val="000000"/>
          <w:spacing w:val="0"/>
          <w:w w:val="100"/>
          <w:position w:val="0"/>
        </w:rPr>
        <w:t>IT</w:t>
      </w:r>
      <w:r>
        <w:rPr>
          <w:color w:val="000000"/>
          <w:spacing w:val="0"/>
          <w:w w:val="100"/>
          <w:position w:val="0"/>
        </w:rPr>
        <w:t>运营系统提供运行维护服务，无需 对开发或服务成果负责。根据合同约定的服务方式提供现场或远程维护，按照约定的服务期间</w:t>
      </w:r>
      <w:r>
        <w:rPr>
          <w:rFonts w:ascii="Times New Roman" w:eastAsia="Times New Roman" w:hAnsi="Times New Roman" w:cs="Times New Roman"/>
          <w:color w:val="000000"/>
          <w:spacing w:val="0"/>
          <w:w w:val="100"/>
          <w:position w:val="0"/>
        </w:rPr>
        <w:t>（</w:t>
      </w:r>
      <w:r>
        <w:rPr>
          <w:color w:val="000000"/>
          <w:spacing w:val="0"/>
          <w:w w:val="100"/>
          <w:position w:val="0"/>
        </w:rPr>
        <w:t>月度、季度、半年度、年度</w:t>
      </w:r>
      <w:r>
        <w:rPr>
          <w:rFonts w:ascii="Times New Roman" w:eastAsia="Times New Roman" w:hAnsi="Times New Roman" w:cs="Times New Roman"/>
          <w:color w:val="000000"/>
          <w:spacing w:val="0"/>
          <w:w w:val="100"/>
          <w:position w:val="0"/>
        </w:rPr>
        <w:t xml:space="preserve">） </w:t>
      </w:r>
      <w:r>
        <w:rPr>
          <w:color w:val="000000"/>
          <w:spacing w:val="0"/>
          <w:w w:val="100"/>
          <w:position w:val="0"/>
        </w:rPr>
        <w:t>对提供的服务确认收入。</w:t>
      </w:r>
    </w:p>
    <w:p>
      <w:pPr>
        <w:pStyle w:val="Style34"/>
        <w:keepNext w:val="0"/>
        <w:keepLines w:val="0"/>
        <w:widowControl w:val="0"/>
        <w:shd w:val="clear" w:color="auto" w:fill="auto"/>
        <w:bidi w:val="0"/>
        <w:spacing w:before="0" w:after="220" w:line="314"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系统集成及服务</w:t>
      </w:r>
    </w:p>
    <w:p>
      <w:pPr>
        <w:pStyle w:val="Style34"/>
        <w:keepNext w:val="0"/>
        <w:keepLines w:val="0"/>
        <w:widowControl w:val="0"/>
        <w:shd w:val="clear" w:color="auto" w:fill="auto"/>
        <w:tabs>
          <w:tab w:pos="710" w:val="left"/>
        </w:tabs>
        <w:bidi w:val="0"/>
        <w:spacing w:before="0" w:after="0"/>
        <w:ind w:left="0" w:right="0"/>
        <w:jc w:val="both"/>
      </w:pPr>
      <w:bookmarkStart w:id="93" w:name="bookmark93"/>
      <w:r>
        <w:rPr>
          <w:rFonts w:ascii="Times New Roman" w:eastAsia="Times New Roman" w:hAnsi="Times New Roman" w:cs="Times New Roman"/>
          <w:color w:val="000000"/>
          <w:spacing w:val="0"/>
          <w:w w:val="100"/>
          <w:position w:val="0"/>
        </w:rPr>
        <w:t>1</w:t>
      </w:r>
      <w:bookmarkEnd w:id="93"/>
      <w:r>
        <w:rPr>
          <w:rFonts w:ascii="Times New Roman" w:eastAsia="Times New Roman" w:hAnsi="Times New Roman" w:cs="Times New Roman"/>
          <w:color w:val="000000"/>
          <w:spacing w:val="0"/>
          <w:w w:val="100"/>
          <w:position w:val="0"/>
        </w:rPr>
        <w:t>）</w:t>
        <w:tab/>
      </w:r>
      <w:r>
        <w:rPr>
          <w:color w:val="000000"/>
          <w:spacing w:val="0"/>
          <w:w w:val="100"/>
          <w:position w:val="0"/>
        </w:rPr>
        <w:t>系统集成</w:t>
      </w:r>
    </w:p>
    <w:p>
      <w:pPr>
        <w:pStyle w:val="Style34"/>
        <w:keepNext w:val="0"/>
        <w:keepLines w:val="0"/>
        <w:widowControl w:val="0"/>
        <w:shd w:val="clear" w:color="auto" w:fill="auto"/>
        <w:bidi w:val="0"/>
        <w:spacing w:before="0" w:after="220" w:line="312" w:lineRule="exact"/>
        <w:ind w:left="0" w:right="0"/>
        <w:jc w:val="both"/>
      </w:pPr>
      <w:r>
        <w:rPr>
          <w:color w:val="000000"/>
          <w:spacing w:val="0"/>
          <w:w w:val="100"/>
          <w:position w:val="0"/>
        </w:rPr>
        <w:t>系统集成是指应客户需求，代客户采购数据中心、网络中心所需要的软硬件设备，并提供相应的集成服务，包括数据中 心集成设计、机房一体化建设、智能化综合布线、产品选型、软硬件详细配置、软硬件供货、软硬件安装调试、</w:t>
      </w:r>
      <w:r>
        <w:rPr>
          <w:rFonts w:ascii="Times New Roman" w:eastAsia="Times New Roman" w:hAnsi="Times New Roman" w:cs="Times New Roman"/>
          <w:color w:val="000000"/>
          <w:spacing w:val="0"/>
          <w:w w:val="100"/>
          <w:position w:val="0"/>
        </w:rPr>
        <w:t>IT</w:t>
      </w:r>
      <w:r>
        <w:rPr>
          <w:color w:val="000000"/>
          <w:spacing w:val="0"/>
          <w:w w:val="100"/>
          <w:position w:val="0"/>
        </w:rPr>
        <w:t>系统软硬 件改造升级、技术咨询等。按照合同约定，无法区分软硬件设备与相关服务价款，公司在相关货物发出及服务提供并经客户 验收合格后确认系统集成收入。</w:t>
      </w:r>
    </w:p>
    <w:p>
      <w:pPr>
        <w:pStyle w:val="Style34"/>
        <w:keepNext w:val="0"/>
        <w:keepLines w:val="0"/>
        <w:widowControl w:val="0"/>
        <w:shd w:val="clear" w:color="auto" w:fill="auto"/>
        <w:tabs>
          <w:tab w:pos="729" w:val="left"/>
        </w:tabs>
        <w:bidi w:val="0"/>
        <w:spacing w:before="0" w:after="0"/>
        <w:ind w:left="0" w:right="0"/>
        <w:jc w:val="both"/>
      </w:pPr>
      <w:bookmarkStart w:id="94" w:name="bookmark94"/>
      <w:r>
        <w:rPr>
          <w:rFonts w:ascii="Times New Roman" w:eastAsia="Times New Roman" w:hAnsi="Times New Roman" w:cs="Times New Roman"/>
          <w:color w:val="000000"/>
          <w:spacing w:val="0"/>
          <w:w w:val="100"/>
          <w:position w:val="0"/>
        </w:rPr>
        <w:t>2</w:t>
      </w:r>
      <w:bookmarkEnd w:id="94"/>
      <w:r>
        <w:rPr>
          <w:rFonts w:ascii="Times New Roman" w:eastAsia="Times New Roman" w:hAnsi="Times New Roman" w:cs="Times New Roman"/>
          <w:color w:val="000000"/>
          <w:spacing w:val="0"/>
          <w:w w:val="100"/>
          <w:position w:val="0"/>
        </w:rPr>
        <w:t>）</w:t>
        <w:tab/>
      </w:r>
      <w:r>
        <w:rPr>
          <w:color w:val="000000"/>
          <w:spacing w:val="0"/>
          <w:w w:val="100"/>
          <w:position w:val="0"/>
        </w:rPr>
        <w:t>系统集成服务</w:t>
      </w:r>
    </w:p>
    <w:p>
      <w:pPr>
        <w:pStyle w:val="Style34"/>
        <w:keepNext w:val="0"/>
        <w:keepLines w:val="0"/>
        <w:widowControl w:val="0"/>
        <w:shd w:val="clear" w:color="auto" w:fill="auto"/>
        <w:bidi w:val="0"/>
        <w:spacing w:before="0" w:after="120" w:line="314" w:lineRule="exact"/>
        <w:ind w:left="0" w:right="0"/>
        <w:jc w:val="both"/>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671" w:right="552" w:bottom="946" w:left="567" w:header="0" w:footer="3" w:gutter="0"/>
          <w:cols w:space="720"/>
          <w:noEndnote/>
          <w:titlePg/>
          <w:rtlGutter w:val="0"/>
          <w:docGrid w:linePitch="360"/>
        </w:sectPr>
      </w:pPr>
      <w:r>
        <w:rPr>
          <w:color w:val="000000"/>
          <w:spacing w:val="0"/>
          <w:w w:val="100"/>
          <w:position w:val="0"/>
        </w:rPr>
        <w:t xml:space="preserve">主要为客户采购软硬件设备同时，需要提供的集成服务，且在合同履约义务中单独约定支付价格，通常包括按次提供的 </w:t>
      </w:r>
    </w:p>
    <w:p>
      <w:pPr>
        <w:pStyle w:val="Style34"/>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服务，例如机器安装调试、综合布线等；和按期</w:t>
      </w:r>
      <w:r>
        <w:rPr>
          <w:rFonts w:ascii="Times New Roman" w:eastAsia="Times New Roman" w:hAnsi="Times New Roman" w:cs="Times New Roman"/>
          <w:color w:val="000000"/>
          <w:spacing w:val="0"/>
          <w:w w:val="100"/>
          <w:position w:val="0"/>
        </w:rPr>
        <w:t>（</w:t>
      </w:r>
      <w:r>
        <w:rPr>
          <w:color w:val="000000"/>
          <w:spacing w:val="0"/>
          <w:w w:val="100"/>
          <w:position w:val="0"/>
        </w:rPr>
        <w:t>如年度</w:t>
      </w:r>
      <w:r>
        <w:rPr>
          <w:rFonts w:ascii="Times New Roman" w:eastAsia="Times New Roman" w:hAnsi="Times New Roman" w:cs="Times New Roman"/>
          <w:color w:val="000000"/>
          <w:spacing w:val="0"/>
          <w:w w:val="100"/>
          <w:position w:val="0"/>
        </w:rPr>
        <w:t>）</w:t>
      </w:r>
      <w:r>
        <w:rPr>
          <w:color w:val="000000"/>
          <w:spacing w:val="0"/>
          <w:w w:val="100"/>
          <w:position w:val="0"/>
        </w:rPr>
        <w:t>提供的服务，如机器设备的运行维护等。</w:t>
      </w:r>
    </w:p>
    <w:p>
      <w:pPr>
        <w:pStyle w:val="Style34"/>
        <w:keepNext w:val="0"/>
        <w:keepLines w:val="0"/>
        <w:widowControl w:val="0"/>
        <w:shd w:val="clear" w:color="auto" w:fill="auto"/>
        <w:bidi w:val="0"/>
        <w:spacing w:before="0" w:after="120" w:line="312" w:lineRule="exact"/>
        <w:ind w:left="0" w:right="0"/>
        <w:jc w:val="both"/>
      </w:pPr>
      <w:r>
        <w:rPr>
          <w:color w:val="000000"/>
          <w:spacing w:val="0"/>
          <w:w w:val="100"/>
          <w:position w:val="0"/>
        </w:rPr>
        <w:t>其次，移动互联网营销亦称为移动大数据精准营销，就是以国际和国内移动互联网络为基础，利用数字化的信息和移动 互联网络媒体的交互性来实现营销目标的一种新型的市场营销方式。</w:t>
      </w:r>
    </w:p>
    <w:p>
      <w:pPr>
        <w:pStyle w:val="Style34"/>
        <w:keepNext w:val="0"/>
        <w:keepLines w:val="0"/>
        <w:widowControl w:val="0"/>
        <w:shd w:val="clear" w:color="auto" w:fill="auto"/>
        <w:bidi w:val="0"/>
        <w:spacing w:before="0" w:after="120" w:line="307" w:lineRule="exact"/>
        <w:ind w:left="0" w:right="0"/>
        <w:jc w:val="both"/>
      </w:pPr>
      <w:bookmarkStart w:id="95" w:name="bookmark95"/>
      <w:r>
        <w:rPr>
          <w:color w:val="000000"/>
          <w:spacing w:val="0"/>
          <w:w w:val="100"/>
          <w:position w:val="0"/>
        </w:rPr>
        <w:t>三</w:t>
      </w:r>
      <w:bookmarkEnd w:id="95"/>
      <w:r>
        <w:rPr>
          <w:color w:val="000000"/>
          <w:spacing w:val="0"/>
          <w:w w:val="100"/>
          <w:position w:val="0"/>
        </w:rPr>
        <w:t>、经营模式</w:t>
      </w:r>
    </w:p>
    <w:p>
      <w:pPr>
        <w:pStyle w:val="Style34"/>
        <w:keepNext w:val="0"/>
        <w:keepLines w:val="0"/>
        <w:widowControl w:val="0"/>
        <w:shd w:val="clear" w:color="auto" w:fill="auto"/>
        <w:bidi w:val="0"/>
        <w:spacing w:before="0" w:after="120" w:line="307" w:lineRule="exact"/>
        <w:ind w:left="0" w:right="0"/>
        <w:jc w:val="both"/>
      </w:pPr>
      <w:r>
        <w:rPr>
          <w:color w:val="000000"/>
          <w:spacing w:val="0"/>
          <w:w w:val="100"/>
          <w:position w:val="0"/>
        </w:rPr>
        <w:t>公司金融信息服务业务围绕着金融业客户的主要</w:t>
      </w:r>
      <w:r>
        <w:rPr>
          <w:rFonts w:ascii="Times New Roman" w:eastAsia="Times New Roman" w:hAnsi="Times New Roman" w:cs="Times New Roman"/>
          <w:color w:val="000000"/>
          <w:spacing w:val="0"/>
          <w:w w:val="100"/>
          <w:position w:val="0"/>
        </w:rPr>
        <w:t>IT</w:t>
      </w:r>
      <w:r>
        <w:rPr>
          <w:color w:val="000000"/>
          <w:spacing w:val="0"/>
          <w:w w:val="100"/>
          <w:position w:val="0"/>
        </w:rPr>
        <w:t>需求展开，体现了公司</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的经营模式，满足了客户各个层 次、不同阶段的</w:t>
      </w:r>
      <w:r>
        <w:rPr>
          <w:rFonts w:ascii="Times New Roman" w:eastAsia="Times New Roman" w:hAnsi="Times New Roman" w:cs="Times New Roman"/>
          <w:color w:val="000000"/>
          <w:spacing w:val="0"/>
          <w:w w:val="100"/>
          <w:position w:val="0"/>
        </w:rPr>
        <w:t>IT</w:t>
      </w:r>
      <w:r>
        <w:rPr>
          <w:color w:val="000000"/>
          <w:spacing w:val="0"/>
          <w:w w:val="100"/>
          <w:position w:val="0"/>
        </w:rPr>
        <w:t>需求，贯穿了企业</w:t>
      </w:r>
      <w:r>
        <w:rPr>
          <w:rFonts w:ascii="Times New Roman" w:eastAsia="Times New Roman" w:hAnsi="Times New Roman" w:cs="Times New Roman"/>
          <w:color w:val="000000"/>
          <w:spacing w:val="0"/>
          <w:w w:val="100"/>
          <w:position w:val="0"/>
        </w:rPr>
        <w:t>IT</w:t>
      </w:r>
      <w:r>
        <w:rPr>
          <w:color w:val="000000"/>
          <w:spacing w:val="0"/>
          <w:w w:val="100"/>
          <w:position w:val="0"/>
        </w:rPr>
        <w:t>系统生命周期的全过程，能够为企业</w:t>
      </w:r>
      <w:r>
        <w:rPr>
          <w:rFonts w:ascii="Times New Roman" w:eastAsia="Times New Roman" w:hAnsi="Times New Roman" w:cs="Times New Roman"/>
          <w:color w:val="000000"/>
          <w:spacing w:val="0"/>
          <w:w w:val="100"/>
          <w:position w:val="0"/>
        </w:rPr>
        <w:t>IT</w:t>
      </w:r>
      <w:r>
        <w:rPr>
          <w:color w:val="000000"/>
          <w:spacing w:val="0"/>
          <w:w w:val="100"/>
          <w:position w:val="0"/>
        </w:rPr>
        <w:t>系统的价值实现提供</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的综合解决方案。</w:t>
      </w:r>
    </w:p>
    <w:p>
      <w:pPr>
        <w:pStyle w:val="Style34"/>
        <w:keepNext w:val="0"/>
        <w:keepLines w:val="0"/>
        <w:widowControl w:val="0"/>
        <w:shd w:val="clear" w:color="auto" w:fill="auto"/>
        <w:bidi w:val="0"/>
        <w:spacing w:before="0" w:after="120" w:line="314" w:lineRule="exact"/>
        <w:ind w:left="0" w:right="0"/>
        <w:jc w:val="both"/>
      </w:pPr>
      <w:r>
        <w:rPr>
          <w:color w:val="000000"/>
          <w:spacing w:val="0"/>
          <w:w w:val="100"/>
          <w:position w:val="0"/>
        </w:rPr>
        <w:t>互联网营销业务通过自有流量或者采购流量，结合客户需求，通过大数据分析，对用户精准投放广告，获取相关收益。</w:t>
      </w:r>
    </w:p>
    <w:p>
      <w:pPr>
        <w:pStyle w:val="Style34"/>
        <w:keepNext w:val="0"/>
        <w:keepLines w:val="0"/>
        <w:widowControl w:val="0"/>
        <w:shd w:val="clear" w:color="auto" w:fill="auto"/>
        <w:bidi w:val="0"/>
        <w:spacing w:before="0" w:after="120" w:line="314" w:lineRule="exact"/>
        <w:ind w:left="0" w:right="0"/>
        <w:jc w:val="both"/>
      </w:pPr>
      <w:bookmarkStart w:id="96" w:name="bookmark96"/>
      <w:r>
        <w:rPr>
          <w:color w:val="000000"/>
          <w:spacing w:val="0"/>
          <w:w w:val="100"/>
          <w:position w:val="0"/>
        </w:rPr>
        <w:t>四</w:t>
      </w:r>
      <w:bookmarkEnd w:id="96"/>
      <w:r>
        <w:rPr>
          <w:color w:val="000000"/>
          <w:spacing w:val="0"/>
          <w:w w:val="100"/>
          <w:position w:val="0"/>
        </w:rPr>
        <w:t>、影响本年度业绩的主要因素</w:t>
      </w:r>
    </w:p>
    <w:p>
      <w:pPr>
        <w:pStyle w:val="Style34"/>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年，受疫情影响，公司上半年软件业务和移动营销业务开展受限。疫情缓解后，公司积极复工复产，加大市场投入， 积极拓展新客户。依托金融信息服务业客户业务需求回暖的趋势和系统集成及服务业务收入的提升，本年度公司主营业务规 模得以继续成长。虽然有疫情的不利影响，但公司本年度依然实现收入增长。</w:t>
      </w:r>
    </w:p>
    <w:p>
      <w:pPr>
        <w:pStyle w:val="Style34"/>
        <w:keepNext w:val="0"/>
        <w:keepLines w:val="0"/>
        <w:widowControl w:val="0"/>
        <w:shd w:val="clear" w:color="auto" w:fill="auto"/>
        <w:bidi w:val="0"/>
        <w:spacing w:before="0" w:after="520" w:line="307" w:lineRule="exact"/>
        <w:ind w:left="0" w:right="0"/>
        <w:jc w:val="both"/>
      </w:pPr>
      <w:r>
        <w:rPr>
          <w:color w:val="000000"/>
          <w:spacing w:val="0"/>
          <w:w w:val="100"/>
          <w:position w:val="0"/>
        </w:rPr>
        <w:t>与此同时，由于疫情因素的干扰，以及收购公司所在资产组自身的不利因素的影响，收购公司所在资产组于</w:t>
      </w:r>
      <w:r>
        <w:rPr>
          <w:rFonts w:ascii="Times New Roman" w:eastAsia="Times New Roman" w:hAnsi="Times New Roman" w:cs="Times New Roman"/>
          <w:color w:val="000000"/>
          <w:spacing w:val="0"/>
          <w:w w:val="100"/>
          <w:position w:val="0"/>
        </w:rPr>
        <w:t>2020</w:t>
      </w:r>
      <w:r>
        <w:rPr>
          <w:color w:val="000000"/>
          <w:spacing w:val="0"/>
          <w:w w:val="100"/>
          <w:position w:val="0"/>
        </w:rPr>
        <w:t>年计提 商誉减值准备</w:t>
      </w:r>
      <w:r>
        <w:rPr>
          <w:rFonts w:ascii="Times New Roman" w:eastAsia="Times New Roman" w:hAnsi="Times New Roman" w:cs="Times New Roman"/>
          <w:color w:val="000000"/>
          <w:spacing w:val="0"/>
          <w:w w:val="100"/>
          <w:position w:val="0"/>
        </w:rPr>
        <w:t>77,782.84</w:t>
      </w:r>
      <w:r>
        <w:rPr>
          <w:color w:val="000000"/>
          <w:spacing w:val="0"/>
          <w:w w:val="100"/>
          <w:position w:val="0"/>
        </w:rPr>
        <w:t>万元。计提商誉减值准备，对公司当期业绩造成了较大不利影响。本报告期内，归属于母公司所有者 的净利润为</w:t>
      </w:r>
      <w:r>
        <w:rPr>
          <w:rFonts w:ascii="Times New Roman" w:eastAsia="Times New Roman" w:hAnsi="Times New Roman" w:cs="Times New Roman"/>
          <w:color w:val="000000"/>
          <w:spacing w:val="0"/>
          <w:w w:val="100"/>
          <w:position w:val="0"/>
        </w:rPr>
        <w:t>-67,124.76</w:t>
      </w:r>
      <w:r>
        <w:rPr>
          <w:color w:val="000000"/>
          <w:spacing w:val="0"/>
          <w:w w:val="100"/>
          <w:position w:val="0"/>
        </w:rPr>
        <w:t xml:space="preserve">万元，比去年同期下降了 </w:t>
      </w:r>
      <w:r>
        <w:rPr>
          <w:rFonts w:ascii="Times New Roman" w:eastAsia="Times New Roman" w:hAnsi="Times New Roman" w:cs="Times New Roman"/>
          <w:color w:val="000000"/>
          <w:spacing w:val="0"/>
          <w:w w:val="100"/>
          <w:position w:val="0"/>
        </w:rPr>
        <w:t>601.90%</w:t>
      </w:r>
      <w:r>
        <w:rPr>
          <w:color w:val="000000"/>
          <w:spacing w:val="0"/>
          <w:w w:val="100"/>
          <w:position w:val="0"/>
        </w:rPr>
        <w:t>。公司剔除计提商誉减值准备影响后的净利润为</w:t>
      </w:r>
      <w:r>
        <w:rPr>
          <w:rFonts w:ascii="Times New Roman" w:eastAsia="Times New Roman" w:hAnsi="Times New Roman" w:cs="Times New Roman"/>
          <w:color w:val="000000"/>
          <w:spacing w:val="0"/>
          <w:w w:val="100"/>
          <w:position w:val="0"/>
        </w:rPr>
        <w:t>11,658.25</w:t>
      </w:r>
      <w:r>
        <w:rPr>
          <w:color w:val="000000"/>
          <w:spacing w:val="0"/>
          <w:w w:val="100"/>
          <w:position w:val="0"/>
        </w:rPr>
        <w:t>万元。</w:t>
      </w:r>
    </w:p>
    <w:p>
      <w:pPr>
        <w:pStyle w:val="Style34"/>
        <w:keepNext w:val="0"/>
        <w:keepLines w:val="0"/>
        <w:widowControl w:val="0"/>
        <w:shd w:val="clear" w:color="auto" w:fill="auto"/>
        <w:bidi w:val="0"/>
        <w:spacing w:before="0" w:after="120" w:line="315"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360" w:line="315"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年，受国际形势及产业新周期的影响，预计我国金融科技企业营业收入总规模将保持增长趋势，客户需求保持多样 性及稳定性。受益于银行，特别是大中银行，新一轮科技投入周期到来的有利因素，预计</w:t>
      </w:r>
      <w:r>
        <w:rPr>
          <w:rFonts w:ascii="Times New Roman" w:eastAsia="Times New Roman" w:hAnsi="Times New Roman" w:cs="Times New Roman"/>
          <w:color w:val="000000"/>
          <w:spacing w:val="0"/>
          <w:w w:val="100"/>
          <w:position w:val="0"/>
        </w:rPr>
        <w:t>2021</w:t>
      </w:r>
      <w:r>
        <w:rPr>
          <w:color w:val="000000"/>
          <w:spacing w:val="0"/>
          <w:w w:val="100"/>
          <w:position w:val="0"/>
        </w:rPr>
        <w:t>年金融科技业务将迎来新的发 展阶段。目前金融科技服务于广大金融机构，与广大金融机构的业务体系高度融合，技术应用前景广阔，行业发展潜力较大， 营业规模将保持稳定增长。</w:t>
      </w:r>
    </w:p>
    <w:p>
      <w:pPr>
        <w:pStyle w:val="Style17"/>
        <w:keepNext/>
        <w:keepLines/>
        <w:widowControl w:val="0"/>
        <w:shd w:val="clear" w:color="auto" w:fill="auto"/>
        <w:bidi w:val="0"/>
        <w:spacing w:before="0" w:after="36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二</w:t>
      </w:r>
      <w:bookmarkEnd w:id="99"/>
      <w:r>
        <w:rPr>
          <w:color w:val="000000"/>
          <w:spacing w:val="0"/>
          <w:w w:val="100"/>
          <w:position w:val="0"/>
          <w:sz w:val="24"/>
          <w:szCs w:val="24"/>
        </w:rPr>
        <w:t>、主要资产重大变化情况</w:t>
      </w:r>
      <w:bookmarkEnd w:id="100"/>
      <w:bookmarkEnd w:id="97"/>
      <w:bookmarkEnd w:id="98"/>
    </w:p>
    <w:p>
      <w:pPr>
        <w:pStyle w:val="Style38"/>
        <w:keepNext/>
        <w:keepLines/>
        <w:widowControl w:val="0"/>
        <w:shd w:val="clear" w:color="auto" w:fill="auto"/>
        <w:bidi w:val="0"/>
        <w:spacing w:before="0" w:after="32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、主要资产重大变化情况</w:t>
      </w:r>
      <w:bookmarkEnd w:id="101"/>
      <w:bookmarkEnd w:id="102"/>
      <w:bookmarkEnd w:id="104"/>
    </w:p>
    <w:tbl>
      <w:tblPr>
        <w:tblOverlap w:val="never"/>
        <w:jc w:val="left"/>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当期计提商誉减值准备</w:t>
            </w:r>
            <w:r>
              <w:rPr>
                <w:rFonts w:ascii="Times New Roman" w:eastAsia="Times New Roman" w:hAnsi="Times New Roman" w:cs="Times New Roman"/>
                <w:color w:val="000000"/>
                <w:spacing w:val="0"/>
                <w:w w:val="100"/>
                <w:position w:val="0"/>
              </w:rPr>
              <w:t>77,782.84</w:t>
            </w:r>
            <w:r>
              <w:rPr>
                <w:color w:val="000000"/>
                <w:spacing w:val="0"/>
                <w:w w:val="100"/>
                <w:position w:val="0"/>
              </w:rPr>
              <w:t>万元</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、主要境外资产情况</w:t>
      </w:r>
      <w:bookmarkEnd w:id="105"/>
      <w:bookmarkEnd w:id="106"/>
      <w:bookmarkEnd w:id="108"/>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0" w:after="36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sz w:val="24"/>
          <w:szCs w:val="24"/>
        </w:rPr>
        <w:t>三</w:t>
      </w:r>
      <w:bookmarkEnd w:id="111"/>
      <w:r>
        <w:rPr>
          <w:color w:val="000000"/>
          <w:spacing w:val="0"/>
          <w:w w:val="100"/>
          <w:position w:val="0"/>
          <w:sz w:val="24"/>
          <w:szCs w:val="24"/>
        </w:rPr>
        <w:t>、核心竞争力分析</w:t>
      </w:r>
      <w:bookmarkEnd w:id="109"/>
      <w:bookmarkEnd w:id="110"/>
      <w:bookmarkEnd w:id="112"/>
    </w:p>
    <w:p>
      <w:pPr>
        <w:pStyle w:val="Style34"/>
        <w:keepNext w:val="0"/>
        <w:keepLines w:val="0"/>
        <w:widowControl w:val="0"/>
        <w:shd w:val="clear" w:color="auto" w:fill="auto"/>
        <w:bidi w:val="0"/>
        <w:spacing w:before="0" w:after="0" w:line="240" w:lineRule="auto"/>
        <w:ind w:left="0" w:right="0"/>
        <w:jc w:val="both"/>
      </w:pPr>
      <w:bookmarkStart w:id="113" w:name="bookmark113"/>
      <w:r>
        <w:rPr>
          <w:rFonts w:ascii="Times New Roman" w:eastAsia="Times New Roman" w:hAnsi="Times New Roman" w:cs="Times New Roman"/>
          <w:b/>
          <w:bCs/>
          <w:color w:val="000000"/>
          <w:spacing w:val="0"/>
          <w:w w:val="100"/>
          <w:position w:val="0"/>
        </w:rPr>
        <w:t>1</w:t>
      </w:r>
      <w:bookmarkEnd w:id="113"/>
      <w:r>
        <w:rPr>
          <w:b/>
          <w:bCs/>
          <w:color w:val="000000"/>
          <w:spacing w:val="0"/>
          <w:w w:val="100"/>
          <w:position w:val="0"/>
        </w:rPr>
        <w:t>、持续的技术和业务创新能力</w:t>
      </w:r>
    </w:p>
    <w:p>
      <w:pPr>
        <w:pStyle w:val="Style34"/>
        <w:keepNext w:val="0"/>
        <w:keepLines w:val="0"/>
        <w:widowControl w:val="0"/>
        <w:shd w:val="clear" w:color="auto" w:fill="auto"/>
        <w:bidi w:val="0"/>
        <w:spacing w:before="0" w:after="120" w:line="314" w:lineRule="exact"/>
        <w:ind w:left="0" w:right="0"/>
        <w:jc w:val="both"/>
      </w:pPr>
      <w:r>
        <w:rPr>
          <w:color w:val="000000"/>
          <w:spacing w:val="0"/>
          <w:w w:val="100"/>
          <w:position w:val="0"/>
        </w:rPr>
        <w:t>公司高度重视技术研发和产品创新能力的建设，坚持走产品化的</w:t>
      </w:r>
      <w:r>
        <w:rPr>
          <w:rFonts w:ascii="Times New Roman" w:eastAsia="Times New Roman" w:hAnsi="Times New Roman" w:cs="Times New Roman"/>
          <w:color w:val="000000"/>
          <w:spacing w:val="0"/>
          <w:w w:val="100"/>
          <w:position w:val="0"/>
        </w:rPr>
        <w:t>IT</w:t>
      </w:r>
      <w:r>
        <w:rPr>
          <w:color w:val="000000"/>
          <w:spacing w:val="0"/>
          <w:w w:val="100"/>
          <w:position w:val="0"/>
        </w:rPr>
        <w:t>产业发展道路，通过技术创新引领产品和服务创新, 不断丰富完善技术、产品和服务模式，持续打造公司核心竞争力。公司是北京市高新技术企业。公司从研发理念、组织机构、 创新机制和管理制度等方面进行了系统的构建。</w:t>
      </w:r>
    </w:p>
    <w:p>
      <w:pPr>
        <w:pStyle w:val="Style34"/>
        <w:keepNext w:val="0"/>
        <w:keepLines w:val="0"/>
        <w:widowControl w:val="0"/>
        <w:shd w:val="clear" w:color="auto" w:fill="auto"/>
        <w:bidi w:val="0"/>
        <w:spacing w:before="0" w:after="120" w:line="240" w:lineRule="auto"/>
        <w:ind w:left="0" w:right="0"/>
        <w:jc w:val="both"/>
      </w:pPr>
      <w:bookmarkStart w:id="114" w:name="bookmark114"/>
      <w:r>
        <w:rPr>
          <w:rFonts w:ascii="Times New Roman" w:eastAsia="Times New Roman" w:hAnsi="Times New Roman" w:cs="Times New Roman"/>
          <w:b/>
          <w:bCs/>
          <w:color w:val="000000"/>
          <w:spacing w:val="0"/>
          <w:w w:val="100"/>
          <w:position w:val="0"/>
        </w:rPr>
        <w:t>2</w:t>
      </w:r>
      <w:bookmarkEnd w:id="114"/>
      <w:r>
        <w:rPr>
          <w:b/>
          <w:bCs/>
          <w:color w:val="000000"/>
          <w:spacing w:val="0"/>
          <w:w w:val="100"/>
          <w:position w:val="0"/>
        </w:rPr>
        <w:t>、品牌与客户资源优势</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在多年的发展过程中，公司积累了一批以银行业为主，涉及保险、证券、基金、信托、融资租赁等行业的优质客户，形 成了涵盖政策性银行、国有商业银行、股份制银行、城商行、农商行</w:t>
      </w:r>
      <w:r>
        <w:rPr>
          <w:rFonts w:ascii="Times New Roman" w:eastAsia="Times New Roman" w:hAnsi="Times New Roman" w:cs="Times New Roman"/>
          <w:color w:val="000000"/>
          <w:spacing w:val="0"/>
          <w:w w:val="100"/>
          <w:position w:val="0"/>
        </w:rPr>
        <w:t>/</w:t>
      </w:r>
      <w:r>
        <w:rPr>
          <w:color w:val="000000"/>
          <w:spacing w:val="0"/>
          <w:w w:val="100"/>
          <w:position w:val="0"/>
        </w:rPr>
        <w:t>农村合作银行、农信社、外资银行、证券公司、大中 型保险机构、信托公司、消费金融公司、小贷公司、融资租赁公司、金融资产交易所等在内的完整的、有层次的金融行业客 户谱系，通过优质、全面的软件及服务满足不同客户的各阶段、差异化的信息化需求。</w:t>
      </w:r>
    </w:p>
    <w:p>
      <w:pPr>
        <w:pStyle w:val="Style34"/>
        <w:keepNext w:val="0"/>
        <w:keepLines w:val="0"/>
        <w:widowControl w:val="0"/>
        <w:shd w:val="clear" w:color="auto" w:fill="auto"/>
        <w:bidi w:val="0"/>
        <w:spacing w:before="0" w:after="140" w:line="312" w:lineRule="exact"/>
        <w:ind w:left="0" w:right="0"/>
        <w:jc w:val="both"/>
      </w:pPr>
      <w:r>
        <w:rPr>
          <w:color w:val="000000"/>
          <w:spacing w:val="0"/>
          <w:w w:val="100"/>
          <w:position w:val="0"/>
        </w:rPr>
        <w:t>公司与许多优质客户建立了长期稳定的合作关系，并伴随着客户信息化成长的各个阶段，成为了许多客户信息化进程的 主要参与者。</w:t>
      </w:r>
    </w:p>
    <w:p>
      <w:pPr>
        <w:pStyle w:val="Style34"/>
        <w:keepNext w:val="0"/>
        <w:keepLines w:val="0"/>
        <w:widowControl w:val="0"/>
        <w:shd w:val="clear" w:color="auto" w:fill="auto"/>
        <w:tabs>
          <w:tab w:pos="690" w:val="left"/>
        </w:tabs>
        <w:bidi w:val="0"/>
        <w:spacing w:before="0" w:after="0"/>
        <w:ind w:left="0" w:right="0"/>
        <w:jc w:val="both"/>
      </w:pPr>
      <w:bookmarkStart w:id="115" w:name="bookmark115"/>
      <w:r>
        <w:rPr>
          <w:rFonts w:ascii="Times New Roman" w:eastAsia="Times New Roman" w:hAnsi="Times New Roman" w:cs="Times New Roman"/>
          <w:b/>
          <w:bCs/>
          <w:color w:val="000000"/>
          <w:spacing w:val="0"/>
          <w:w w:val="100"/>
          <w:position w:val="0"/>
        </w:rPr>
        <w:t>3</w:t>
      </w:r>
      <w:bookmarkEnd w:id="115"/>
      <w:r>
        <w:rPr>
          <w:b/>
          <w:bCs/>
          <w:color w:val="000000"/>
          <w:spacing w:val="0"/>
          <w:w w:val="100"/>
          <w:position w:val="0"/>
        </w:rPr>
        <w:t>、</w:t>
        <w:tab/>
        <w:t>行业地位和提供整体解决方案的能力</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依托公司完备的产品线，丰富的项目管理能力和突出的研发实力，公司成为能够提供金融领域信息化完整解决方案的</w:t>
      </w:r>
      <w:r>
        <w:rPr>
          <w:rFonts w:ascii="Times New Roman" w:eastAsia="Times New Roman" w:hAnsi="Times New Roman" w:cs="Times New Roman"/>
          <w:color w:val="000000"/>
          <w:spacing w:val="0"/>
          <w:w w:val="100"/>
          <w:position w:val="0"/>
        </w:rPr>
        <w:t xml:space="preserve">IT </w:t>
      </w:r>
      <w:r>
        <w:rPr>
          <w:color w:val="000000"/>
          <w:spacing w:val="0"/>
          <w:w w:val="100"/>
          <w:position w:val="0"/>
        </w:rPr>
        <w:t>服务商之一。</w:t>
      </w:r>
    </w:p>
    <w:p>
      <w:pPr>
        <w:pStyle w:val="Style34"/>
        <w:keepNext w:val="0"/>
        <w:keepLines w:val="0"/>
        <w:widowControl w:val="0"/>
        <w:shd w:val="clear" w:color="auto" w:fill="auto"/>
        <w:bidi w:val="0"/>
        <w:spacing w:before="0" w:after="140" w:line="319" w:lineRule="exact"/>
        <w:ind w:left="0" w:right="0"/>
        <w:jc w:val="both"/>
      </w:pPr>
      <w:r>
        <w:rPr>
          <w:color w:val="000000"/>
          <w:spacing w:val="0"/>
          <w:w w:val="100"/>
          <w:position w:val="0"/>
        </w:rPr>
        <w:t>公司经过多年的技术研发和服务创新，形成了信贷及风控管理系统、核心业务系统、</w:t>
      </w:r>
      <w:r>
        <w:rPr>
          <w:rFonts w:ascii="Times New Roman" w:eastAsia="Times New Roman" w:hAnsi="Times New Roman" w:cs="Times New Roman"/>
          <w:color w:val="000000"/>
          <w:spacing w:val="0"/>
          <w:w w:val="100"/>
          <w:position w:val="0"/>
        </w:rPr>
        <w:t>CRM</w:t>
      </w:r>
      <w:r>
        <w:rPr>
          <w:color w:val="000000"/>
          <w:spacing w:val="0"/>
          <w:w w:val="100"/>
          <w:position w:val="0"/>
        </w:rPr>
        <w:t>及</w:t>
      </w:r>
      <w:r>
        <w:rPr>
          <w:rFonts w:ascii="Times New Roman" w:eastAsia="Times New Roman" w:hAnsi="Times New Roman" w:cs="Times New Roman"/>
          <w:color w:val="000000"/>
          <w:spacing w:val="0"/>
          <w:w w:val="100"/>
          <w:position w:val="0"/>
        </w:rPr>
        <w:t>ECIF</w:t>
      </w:r>
      <w:r>
        <w:rPr>
          <w:color w:val="000000"/>
          <w:spacing w:val="0"/>
          <w:w w:val="100"/>
          <w:position w:val="0"/>
        </w:rPr>
        <w:t>等具有较强市场竞争 力和较高市场占有率的解决方案，上述系统已经成功应用于政策性银行、国有商业银行、股份制银行、城商行及农信社，积 累了丰富的应用案例和广泛的客户群，为公司产品升级和市场开拓奠定了良好的基础。</w:t>
      </w:r>
    </w:p>
    <w:p>
      <w:pPr>
        <w:pStyle w:val="Style34"/>
        <w:keepNext w:val="0"/>
        <w:keepLines w:val="0"/>
        <w:widowControl w:val="0"/>
        <w:shd w:val="clear" w:color="auto" w:fill="auto"/>
        <w:tabs>
          <w:tab w:pos="685" w:val="left"/>
        </w:tabs>
        <w:bidi w:val="0"/>
        <w:spacing w:before="0" w:after="0"/>
        <w:ind w:left="0" w:right="0"/>
        <w:jc w:val="both"/>
      </w:pPr>
      <w:bookmarkStart w:id="116" w:name="bookmark116"/>
      <w:r>
        <w:rPr>
          <w:rFonts w:ascii="Times New Roman" w:eastAsia="Times New Roman" w:hAnsi="Times New Roman" w:cs="Times New Roman"/>
          <w:b/>
          <w:bCs/>
          <w:color w:val="000000"/>
          <w:spacing w:val="0"/>
          <w:w w:val="100"/>
          <w:position w:val="0"/>
        </w:rPr>
        <w:t>4</w:t>
      </w:r>
      <w:bookmarkEnd w:id="116"/>
      <w:r>
        <w:rPr>
          <w:b/>
          <w:bCs/>
          <w:color w:val="000000"/>
          <w:spacing w:val="0"/>
          <w:w w:val="100"/>
          <w:position w:val="0"/>
        </w:rPr>
        <w:t>、</w:t>
        <w:tab/>
        <w:t>丰富的项目实施经验</w:t>
      </w:r>
    </w:p>
    <w:p>
      <w:pPr>
        <w:pStyle w:val="Style34"/>
        <w:keepNext w:val="0"/>
        <w:keepLines w:val="0"/>
        <w:widowControl w:val="0"/>
        <w:shd w:val="clear" w:color="auto" w:fill="auto"/>
        <w:bidi w:val="0"/>
        <w:spacing w:before="0" w:after="140" w:line="317" w:lineRule="exact"/>
        <w:ind w:left="0" w:right="0"/>
        <w:jc w:val="both"/>
      </w:pPr>
      <w:r>
        <w:rPr>
          <w:color w:val="000000"/>
          <w:spacing w:val="0"/>
          <w:w w:val="100"/>
          <w:position w:val="0"/>
        </w:rPr>
        <w:t>公司自设立以来，专注于以银行业为主的金融信息化领域，一直伴随客户信息化建设的成长，深刻理解行业需求，并在 如何提升解决方案运行稳定性方面具备成熟的经验。</w:t>
      </w:r>
    </w:p>
    <w:p>
      <w:pPr>
        <w:pStyle w:val="Style34"/>
        <w:keepNext w:val="0"/>
        <w:keepLines w:val="0"/>
        <w:widowControl w:val="0"/>
        <w:shd w:val="clear" w:color="auto" w:fill="auto"/>
        <w:tabs>
          <w:tab w:pos="685" w:val="left"/>
        </w:tabs>
        <w:bidi w:val="0"/>
        <w:spacing w:before="0" w:after="0"/>
        <w:ind w:left="0" w:right="0"/>
        <w:jc w:val="both"/>
      </w:pPr>
      <w:bookmarkStart w:id="117" w:name="bookmark117"/>
      <w:r>
        <w:rPr>
          <w:rFonts w:ascii="Times New Roman" w:eastAsia="Times New Roman" w:hAnsi="Times New Roman" w:cs="Times New Roman"/>
          <w:b/>
          <w:bCs/>
          <w:color w:val="000000"/>
          <w:spacing w:val="0"/>
          <w:w w:val="100"/>
          <w:position w:val="0"/>
        </w:rPr>
        <w:t>5</w:t>
      </w:r>
      <w:bookmarkEnd w:id="117"/>
      <w:r>
        <w:rPr>
          <w:b/>
          <w:bCs/>
          <w:color w:val="000000"/>
          <w:spacing w:val="0"/>
          <w:w w:val="100"/>
          <w:position w:val="0"/>
        </w:rPr>
        <w:t>、</w:t>
        <w:tab/>
        <w:t>复合型人才储备和稳定的技术、管理团队</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金融信息系统自身的复杂性和专业性以及其作为国民经济核心的行业特征，要求开发人员具备丰富的行业经验、复合的 知识结构以及技术积累。公司长期以来培养了一支融合了</w:t>
      </w:r>
      <w:r>
        <w:rPr>
          <w:rFonts w:ascii="Times New Roman" w:eastAsia="Times New Roman" w:hAnsi="Times New Roman" w:cs="Times New Roman"/>
          <w:color w:val="000000"/>
          <w:spacing w:val="0"/>
          <w:w w:val="100"/>
          <w:position w:val="0"/>
        </w:rPr>
        <w:t>IT</w:t>
      </w:r>
      <w:r>
        <w:rPr>
          <w:color w:val="000000"/>
          <w:spacing w:val="0"/>
          <w:w w:val="100"/>
          <w:position w:val="0"/>
        </w:rPr>
        <w:t>技术、银行业务知识及行业管理经验的复合型人才队伍，对于高 度复杂的银行信息系统开发具有独到的理解能力和丰富的实施经验，拥有多项核心技术和全部产品的自主知识产权。</w:t>
      </w:r>
    </w:p>
    <w:p>
      <w:pPr>
        <w:pStyle w:val="Style34"/>
        <w:keepNext w:val="0"/>
        <w:keepLines w:val="0"/>
        <w:widowControl w:val="0"/>
        <w:shd w:val="clear" w:color="auto" w:fill="auto"/>
        <w:bidi w:val="0"/>
        <w:spacing w:before="0" w:after="140" w:line="307" w:lineRule="exact"/>
        <w:ind w:left="0" w:right="0"/>
        <w:jc w:val="both"/>
      </w:pPr>
      <w:r>
        <w:rPr>
          <w:color w:val="000000"/>
          <w:spacing w:val="0"/>
          <w:w w:val="100"/>
          <w:position w:val="0"/>
        </w:rPr>
        <w:t>公司形成了一系列符合市场要求及公司实际的考核机制，使得团队成员的利益与公司的发展保持高度一致。公司高管深 刻认同公司的文化和经营管理理念，对金融信息化领域拥有敏感性和前瞻性。</w:t>
      </w:r>
    </w:p>
    <w:p>
      <w:pPr>
        <w:pStyle w:val="Style34"/>
        <w:keepNext w:val="0"/>
        <w:keepLines w:val="0"/>
        <w:widowControl w:val="0"/>
        <w:shd w:val="clear" w:color="auto" w:fill="auto"/>
        <w:tabs>
          <w:tab w:pos="685" w:val="left"/>
        </w:tabs>
        <w:bidi w:val="0"/>
        <w:spacing w:before="0" w:after="0"/>
        <w:ind w:left="0" w:right="0"/>
        <w:jc w:val="both"/>
      </w:pPr>
      <w:bookmarkStart w:id="118" w:name="bookmark118"/>
      <w:r>
        <w:rPr>
          <w:rFonts w:ascii="Times New Roman" w:eastAsia="Times New Roman" w:hAnsi="Times New Roman" w:cs="Times New Roman"/>
          <w:b/>
          <w:bCs/>
          <w:color w:val="000000"/>
          <w:spacing w:val="0"/>
          <w:w w:val="100"/>
          <w:position w:val="0"/>
        </w:rPr>
        <w:t>6</w:t>
      </w:r>
      <w:bookmarkEnd w:id="118"/>
      <w:r>
        <w:rPr>
          <w:b/>
          <w:bCs/>
          <w:color w:val="000000"/>
          <w:spacing w:val="0"/>
          <w:w w:val="100"/>
          <w:position w:val="0"/>
        </w:rPr>
        <w:t>、</w:t>
        <w:tab/>
        <w:t>研发模式和理念</w:t>
      </w:r>
    </w:p>
    <w:p>
      <w:pPr>
        <w:pStyle w:val="Style34"/>
        <w:keepNext w:val="0"/>
        <w:keepLines w:val="0"/>
        <w:widowControl w:val="0"/>
        <w:shd w:val="clear" w:color="auto" w:fill="auto"/>
        <w:bidi w:val="0"/>
        <w:spacing w:before="0" w:after="140" w:line="314" w:lineRule="exact"/>
        <w:ind w:left="0" w:right="0"/>
        <w:jc w:val="both"/>
      </w:pPr>
      <w:r>
        <w:rPr>
          <w:color w:val="000000"/>
          <w:spacing w:val="0"/>
          <w:w w:val="100"/>
          <w:position w:val="0"/>
        </w:rPr>
        <w:t>公司在长期的项目实践中，深化了项目运作的内涵，建立了适应未来发展的</w:t>
      </w:r>
      <w:r>
        <w:rPr>
          <w:rFonts w:ascii="Times New Roman" w:eastAsia="Times New Roman" w:hAnsi="Times New Roman" w:cs="Times New Roman"/>
          <w:color w:val="000000"/>
          <w:spacing w:val="0"/>
          <w:w w:val="100"/>
          <w:position w:val="0"/>
        </w:rPr>
        <w:t>“</w:t>
      </w:r>
      <w:r>
        <w:rPr>
          <w:color w:val="000000"/>
          <w:spacing w:val="0"/>
          <w:w w:val="100"/>
          <w:position w:val="0"/>
        </w:rPr>
        <w:t>基线式研发管理模式</w:t>
      </w:r>
      <w:r>
        <w:rPr>
          <w:rFonts w:ascii="Times New Roman" w:eastAsia="Times New Roman" w:hAnsi="Times New Roman" w:cs="Times New Roman"/>
          <w:color w:val="000000"/>
          <w:spacing w:val="0"/>
          <w:w w:val="100"/>
          <w:position w:val="0"/>
        </w:rPr>
        <w:t>”</w:t>
      </w:r>
      <w:r>
        <w:rPr>
          <w:color w:val="000000"/>
          <w:spacing w:val="0"/>
          <w:w w:val="100"/>
          <w:position w:val="0"/>
        </w:rPr>
        <w:t>，建立了公司阶梯式 上升的产品结构。</w:t>
      </w:r>
      <w:r>
        <w:rPr>
          <w:rFonts w:ascii="Times New Roman" w:eastAsia="Times New Roman" w:hAnsi="Times New Roman" w:cs="Times New Roman"/>
          <w:color w:val="000000"/>
          <w:spacing w:val="0"/>
          <w:w w:val="100"/>
          <w:position w:val="0"/>
        </w:rPr>
        <w:t>“</w:t>
      </w:r>
      <w:r>
        <w:rPr>
          <w:color w:val="000000"/>
          <w:spacing w:val="0"/>
          <w:w w:val="100"/>
          <w:position w:val="0"/>
        </w:rPr>
        <w:t>基线式研发管理模式</w:t>
      </w:r>
      <w:r>
        <w:rPr>
          <w:rFonts w:ascii="Times New Roman" w:eastAsia="Times New Roman" w:hAnsi="Times New Roman" w:cs="Times New Roman"/>
          <w:color w:val="000000"/>
          <w:spacing w:val="0"/>
          <w:w w:val="100"/>
          <w:position w:val="0"/>
        </w:rPr>
        <w:t>”</w:t>
      </w:r>
      <w:r>
        <w:rPr>
          <w:color w:val="000000"/>
          <w:spacing w:val="0"/>
          <w:w w:val="100"/>
          <w:position w:val="0"/>
        </w:rPr>
        <w:t>是结合客户项目化开发的需求，以建立完善的基线产品模块库为中心，建立统一的 版本合并机制。公司依托模块化配置技术、统一版本融合的机制和自动化管理软件等核心技术支撑了</w:t>
      </w:r>
      <w:r>
        <w:rPr>
          <w:rFonts w:ascii="Times New Roman" w:eastAsia="Times New Roman" w:hAnsi="Times New Roman" w:cs="Times New Roman"/>
          <w:color w:val="000000"/>
          <w:spacing w:val="0"/>
          <w:w w:val="100"/>
          <w:position w:val="0"/>
        </w:rPr>
        <w:t>“</w:t>
      </w:r>
      <w:r>
        <w:rPr>
          <w:color w:val="000000"/>
          <w:spacing w:val="0"/>
          <w:w w:val="100"/>
          <w:position w:val="0"/>
        </w:rPr>
        <w:t>基线式研发管理模式</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的实施。该研发模式不但保持了项目化的灵活特性，并大大提高了项目实施效率。</w:t>
      </w:r>
    </w:p>
    <w:p>
      <w:pPr>
        <w:pStyle w:val="Style34"/>
        <w:keepNext w:val="0"/>
        <w:keepLines w:val="0"/>
        <w:widowControl w:val="0"/>
        <w:shd w:val="clear" w:color="auto" w:fill="auto"/>
        <w:tabs>
          <w:tab w:pos="690" w:val="left"/>
        </w:tabs>
        <w:bidi w:val="0"/>
        <w:spacing w:before="0" w:after="0"/>
        <w:ind w:left="0" w:right="0"/>
        <w:jc w:val="both"/>
      </w:pPr>
      <w:bookmarkStart w:id="119" w:name="bookmark119"/>
      <w:r>
        <w:rPr>
          <w:rFonts w:ascii="Times New Roman" w:eastAsia="Times New Roman" w:hAnsi="Times New Roman" w:cs="Times New Roman"/>
          <w:b/>
          <w:bCs/>
          <w:color w:val="000000"/>
          <w:spacing w:val="0"/>
          <w:w w:val="100"/>
          <w:position w:val="0"/>
        </w:rPr>
        <w:t>7</w:t>
      </w:r>
      <w:bookmarkEnd w:id="119"/>
      <w:r>
        <w:rPr>
          <w:b/>
          <w:bCs/>
          <w:color w:val="000000"/>
          <w:spacing w:val="0"/>
          <w:w w:val="100"/>
          <w:position w:val="0"/>
        </w:rPr>
        <w:t>、</w:t>
        <w:tab/>
        <w:t>全国性的战略布局</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公司建立了全国性的营销和服务网络。公司总部位于北京，拥有遍及北京、深圳、成都、南京、上海、武汉、广州等多 地的分支机构，同时下设若干地方业务团队，形成了覆盖华北、华东、华南、华中和西南地区的全国性营销及服务网络，公 司的客户范围遍及全国除港、澳、台地区以外的绝大多数省、自治区和直辖市。</w:t>
      </w:r>
    </w:p>
    <w:p>
      <w:pPr>
        <w:pStyle w:val="Style34"/>
        <w:keepNext w:val="0"/>
        <w:keepLines w:val="0"/>
        <w:widowControl w:val="0"/>
        <w:shd w:val="clear" w:color="auto" w:fill="auto"/>
        <w:bidi w:val="0"/>
        <w:spacing w:before="0" w:after="140" w:line="326" w:lineRule="exact"/>
        <w:ind w:left="0" w:right="0"/>
        <w:jc w:val="both"/>
        <w:rPr>
          <w:sz w:val="24"/>
          <w:szCs w:val="24"/>
        </w:rPr>
      </w:pPr>
      <w:r>
        <w:rPr>
          <w:color w:val="000000"/>
          <w:spacing w:val="0"/>
          <w:w w:val="100"/>
          <w:position w:val="0"/>
          <w:sz w:val="18"/>
          <w:szCs w:val="18"/>
        </w:rPr>
        <w:t>全国性的战略布局不仅提高了公司的客户响应速度，有效提高了客户服务质量，同时有利于公司对于区域性金融机构的 客户拓展，有利于公司把握未来城市商业银行和农村商业银行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系统建设及更新换代的良好机遇</w:t>
      </w:r>
      <w:r>
        <w:rPr>
          <w:color w:val="000000"/>
          <w:spacing w:val="0"/>
          <w:w w:val="100"/>
          <w:position w:val="0"/>
          <w:sz w:val="24"/>
          <w:szCs w:val="24"/>
        </w:rPr>
        <w:t>。</w:t>
      </w:r>
    </w:p>
    <w:p>
      <w:pPr>
        <w:pStyle w:val="Style13"/>
        <w:keepNext/>
        <w:keepLines/>
        <w:widowControl w:val="0"/>
        <w:shd w:val="clear" w:color="auto" w:fill="auto"/>
        <w:bidi w:val="0"/>
        <w:spacing w:before="0" w:line="240" w:lineRule="auto"/>
        <w:ind w:left="0" w:right="0" w:firstLine="0"/>
        <w:jc w:val="center"/>
      </w:pPr>
      <w:bookmarkStart w:id="120" w:name="bookmark120"/>
      <w:bookmarkStart w:id="121" w:name="bookmark121"/>
      <w:bookmarkStart w:id="122" w:name="bookmark122"/>
      <w:r>
        <w:rPr>
          <w:color w:val="000000"/>
          <w:spacing w:val="0"/>
          <w:w w:val="100"/>
          <w:position w:val="0"/>
        </w:rPr>
        <w:t>第四节经营情况讨论与分析</w:t>
      </w:r>
      <w:bookmarkEnd w:id="120"/>
      <w:bookmarkEnd w:id="121"/>
      <w:bookmarkEnd w:id="122"/>
    </w:p>
    <w:p>
      <w:pPr>
        <w:pStyle w:val="Style17"/>
        <w:keepNext/>
        <w:keepLines/>
        <w:widowControl w:val="0"/>
        <w:shd w:val="clear" w:color="auto" w:fill="auto"/>
        <w:bidi w:val="0"/>
        <w:spacing w:before="0" w:after="240" w:line="240" w:lineRule="auto"/>
        <w:ind w:left="0" w:right="0" w:firstLine="0"/>
        <w:jc w:val="left"/>
      </w:pPr>
      <w:bookmarkStart w:id="123" w:name="bookmark123"/>
      <w:bookmarkStart w:id="124" w:name="bookmark124"/>
      <w:bookmarkStart w:id="125" w:name="bookmark125"/>
      <w:bookmarkStart w:id="126" w:name="bookmark126"/>
      <w:bookmarkStart w:id="127" w:name="bookmark127"/>
      <w:r>
        <w:rPr>
          <w:color w:val="000000"/>
          <w:spacing w:val="0"/>
          <w:w w:val="100"/>
          <w:position w:val="0"/>
          <w:sz w:val="24"/>
          <w:szCs w:val="24"/>
        </w:rPr>
        <w:t>一</w:t>
      </w:r>
      <w:bookmarkEnd w:id="126"/>
      <w:r>
        <w:rPr>
          <w:color w:val="000000"/>
          <w:spacing w:val="0"/>
          <w:w w:val="100"/>
          <w:position w:val="0"/>
          <w:sz w:val="24"/>
          <w:szCs w:val="24"/>
        </w:rPr>
        <w:t>、概述</w:t>
      </w:r>
      <w:bookmarkEnd w:id="124"/>
      <w:bookmarkEnd w:id="125"/>
      <w:bookmarkEnd w:id="127"/>
      <w:bookmarkEnd w:id="123"/>
    </w:p>
    <w:p>
      <w:pPr>
        <w:pStyle w:val="Style34"/>
        <w:keepNext w:val="0"/>
        <w:keepLines w:val="0"/>
        <w:widowControl w:val="0"/>
        <w:shd w:val="clear" w:color="auto" w:fill="auto"/>
        <w:bidi w:val="0"/>
        <w:spacing w:before="0" w:line="31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年，公司顺应金融行业加大科技投入及国产化自主可控的需求，同时受益于分布式智能金融解决方案带来的行业机 会，积极开展相关业务。但受新冠疫情的影响，年初开工率不足。下半年随着疫情的缓解，公司经营逐步恢复正轨；</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年，因受疫情和所在行业发展格局变化等因素影响，快读科技和坚果技术所在的移动营销行业，中小客户流失、大客户业务 调整、流量成本上涨，以及行业政策变化等因素共同作用，业绩出现不同程度的下滑；上海睿民因受疫情影响，部分业务开 展受限，并由于产品无法适应市场需求变化的趋势、管理层离职等原因，导致业绩出现下滑。综合各方面情况，本着审慎的 态度，公司对上述子公司所在的资产组计提商誉减值准备合计</w:t>
      </w:r>
      <w:r>
        <w:rPr>
          <w:rFonts w:ascii="Times New Roman" w:eastAsia="Times New Roman" w:hAnsi="Times New Roman" w:cs="Times New Roman"/>
          <w:color w:val="000000"/>
          <w:spacing w:val="0"/>
          <w:w w:val="100"/>
          <w:position w:val="0"/>
        </w:rPr>
        <w:t>77,782.84</w:t>
      </w:r>
      <w:r>
        <w:rPr>
          <w:color w:val="000000"/>
          <w:spacing w:val="0"/>
          <w:w w:val="100"/>
          <w:position w:val="0"/>
        </w:rPr>
        <w:t>万元。</w:t>
      </w:r>
    </w:p>
    <w:p>
      <w:pPr>
        <w:pStyle w:val="Style34"/>
        <w:keepNext w:val="0"/>
        <w:keepLines w:val="0"/>
        <w:widowControl w:val="0"/>
        <w:shd w:val="clear" w:color="auto" w:fill="auto"/>
        <w:bidi w:val="0"/>
        <w:spacing w:before="0" w:line="312" w:lineRule="exact"/>
        <w:ind w:left="0" w:right="0"/>
        <w:jc w:val="both"/>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rPr>
        <w:t>18.94</w:t>
      </w:r>
      <w:r>
        <w:rPr>
          <w:color w:val="000000"/>
          <w:spacing w:val="0"/>
          <w:w w:val="100"/>
          <w:position w:val="0"/>
        </w:rPr>
        <w:t>亿元，同比增长</w:t>
      </w:r>
      <w:r>
        <w:rPr>
          <w:rFonts w:ascii="Times New Roman" w:eastAsia="Times New Roman" w:hAnsi="Times New Roman" w:cs="Times New Roman"/>
          <w:color w:val="000000"/>
          <w:spacing w:val="0"/>
          <w:w w:val="100"/>
          <w:position w:val="0"/>
        </w:rPr>
        <w:t>7.7%</w:t>
      </w:r>
      <w:r>
        <w:rPr>
          <w:color w:val="000000"/>
          <w:spacing w:val="0"/>
          <w:w w:val="100"/>
          <w:position w:val="0"/>
        </w:rPr>
        <w:t>；利润总额为</w:t>
      </w:r>
      <w:r>
        <w:rPr>
          <w:rFonts w:ascii="Times New Roman" w:eastAsia="Times New Roman" w:hAnsi="Times New Roman" w:cs="Times New Roman"/>
          <w:color w:val="000000"/>
          <w:spacing w:val="0"/>
          <w:w w:val="100"/>
          <w:position w:val="0"/>
        </w:rPr>
        <w:t>-6.62</w:t>
      </w:r>
      <w:r>
        <w:rPr>
          <w:color w:val="000000"/>
          <w:spacing w:val="0"/>
          <w:w w:val="100"/>
          <w:position w:val="0"/>
        </w:rPr>
        <w:t>亿元，同比下降</w:t>
      </w:r>
      <w:r>
        <w:rPr>
          <w:rFonts w:ascii="Times New Roman" w:eastAsia="Times New Roman" w:hAnsi="Times New Roman" w:cs="Times New Roman"/>
          <w:color w:val="000000"/>
          <w:spacing w:val="0"/>
          <w:w w:val="100"/>
          <w:position w:val="0"/>
        </w:rPr>
        <w:t>557.74%</w:t>
      </w:r>
      <w:r>
        <w:rPr>
          <w:color w:val="000000"/>
          <w:spacing w:val="0"/>
          <w:w w:val="100"/>
          <w:position w:val="0"/>
        </w:rPr>
        <w:t>；本报告期内，公 司归属于母公司所有者的净利润为</w:t>
      </w:r>
      <w:r>
        <w:rPr>
          <w:rFonts w:ascii="Times New Roman" w:eastAsia="Times New Roman" w:hAnsi="Times New Roman" w:cs="Times New Roman"/>
          <w:color w:val="000000"/>
          <w:spacing w:val="0"/>
          <w:w w:val="100"/>
          <w:position w:val="0"/>
        </w:rPr>
        <w:t>-67,124.76</w:t>
      </w:r>
      <w:r>
        <w:rPr>
          <w:color w:val="000000"/>
          <w:spacing w:val="0"/>
          <w:w w:val="100"/>
          <w:position w:val="0"/>
        </w:rPr>
        <w:t>万元，比去年同期下降了</w:t>
      </w:r>
      <w:r>
        <w:rPr>
          <w:rFonts w:ascii="Times New Roman" w:eastAsia="Times New Roman" w:hAnsi="Times New Roman" w:cs="Times New Roman"/>
          <w:color w:val="000000"/>
          <w:spacing w:val="0"/>
          <w:w w:val="100"/>
          <w:position w:val="0"/>
        </w:rPr>
        <w:t>601.90%</w:t>
      </w:r>
      <w:r>
        <w:rPr>
          <w:color w:val="000000"/>
          <w:spacing w:val="0"/>
          <w:w w:val="100"/>
          <w:position w:val="0"/>
        </w:rPr>
        <w:t xml:space="preserve">。公司剔除计提商誉减值准备影响后的净利润 为 </w:t>
      </w:r>
      <w:r>
        <w:rPr>
          <w:rFonts w:ascii="Times New Roman" w:eastAsia="Times New Roman" w:hAnsi="Times New Roman" w:cs="Times New Roman"/>
          <w:color w:val="000000"/>
          <w:spacing w:val="0"/>
          <w:w w:val="100"/>
          <w:position w:val="0"/>
        </w:rPr>
        <w:t xml:space="preserve">11,658.25 </w:t>
      </w:r>
      <w:r>
        <w:rPr>
          <w:color w:val="000000"/>
          <w:spacing w:val="0"/>
          <w:w w:val="100"/>
          <w:position w:val="0"/>
        </w:rPr>
        <w:t>万元。</w:t>
      </w:r>
    </w:p>
    <w:p>
      <w:pPr>
        <w:pStyle w:val="Style34"/>
        <w:keepNext w:val="0"/>
        <w:keepLines w:val="0"/>
        <w:widowControl w:val="0"/>
        <w:shd w:val="clear" w:color="auto" w:fill="auto"/>
        <w:tabs>
          <w:tab w:pos="799" w:val="left"/>
        </w:tabs>
        <w:bidi w:val="0"/>
        <w:spacing w:before="0" w:line="314" w:lineRule="exact"/>
        <w:ind w:left="0" w:right="0"/>
        <w:jc w:val="both"/>
      </w:pPr>
      <w:bookmarkStart w:id="128" w:name="bookmark128"/>
      <w:r>
        <w:rPr>
          <w:b/>
          <w:bCs/>
          <w:color w:val="000000"/>
          <w:spacing w:val="0"/>
          <w:w w:val="100"/>
          <w:position w:val="0"/>
        </w:rPr>
        <w:t>一</w:t>
      </w:r>
      <w:bookmarkEnd w:id="128"/>
      <w:r>
        <w:rPr>
          <w:b/>
          <w:bCs/>
          <w:color w:val="000000"/>
          <w:spacing w:val="0"/>
          <w:w w:val="100"/>
          <w:position w:val="0"/>
        </w:rPr>
        <w:t>、</w:t>
        <w:tab/>
        <w:t>金融信息服务行业经营状况</w:t>
      </w:r>
    </w:p>
    <w:p>
      <w:pPr>
        <w:pStyle w:val="Style34"/>
        <w:keepNext w:val="0"/>
        <w:keepLines w:val="0"/>
        <w:widowControl w:val="0"/>
        <w:shd w:val="clear" w:color="auto" w:fill="auto"/>
        <w:bidi w:val="0"/>
        <w:spacing w:before="0" w:line="314" w:lineRule="exact"/>
        <w:ind w:left="0" w:right="0"/>
        <w:jc w:val="both"/>
      </w:pPr>
      <w:r>
        <w:rPr>
          <w:color w:val="000000"/>
          <w:spacing w:val="0"/>
          <w:w w:val="100"/>
          <w:position w:val="0"/>
        </w:rPr>
        <w:t>报告期内，受疫情影响，年初业务开展受限，但金融信息化行业市场需求保持了相对稳定的发展趋势。</w:t>
      </w:r>
    </w:p>
    <w:p>
      <w:pPr>
        <w:pStyle w:val="Style34"/>
        <w:keepNext w:val="0"/>
        <w:keepLines w:val="0"/>
        <w:widowControl w:val="0"/>
        <w:shd w:val="clear" w:color="auto" w:fill="auto"/>
        <w:bidi w:val="0"/>
        <w:spacing w:before="0" w:after="24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年公司金融信息服务各业务板块经营发展情况如下：</w:t>
      </w:r>
    </w:p>
    <w:p>
      <w:pPr>
        <w:pStyle w:val="Style3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、银行金融业</w:t>
      </w:r>
    </w:p>
    <w:p>
      <w:pPr>
        <w:pStyle w:val="Style34"/>
        <w:keepNext w:val="0"/>
        <w:keepLines w:val="0"/>
        <w:widowControl w:val="0"/>
        <w:shd w:val="clear" w:color="auto" w:fill="auto"/>
        <w:bidi w:val="0"/>
        <w:spacing w:before="0" w:after="24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年虽然受到疫情的影响，但部分关键领域的银行科技业务依然维持了稳定的发展态势。行业中自主可控成为行业发 展的新趋势，中大型银行的科技开发需求有所提升。但另一些领域，如银行支付端业务，以及部分中小银行的开发业务需求 增长乏力。进入</w:t>
      </w:r>
      <w:r>
        <w:rPr>
          <w:color w:val="000000"/>
          <w:spacing w:val="0"/>
          <w:w w:val="100"/>
          <w:position w:val="0"/>
        </w:rPr>
        <w:t>2021</w:t>
      </w:r>
      <w:r>
        <w:rPr>
          <w:color w:val="000000"/>
          <w:spacing w:val="0"/>
          <w:w w:val="100"/>
          <w:position w:val="0"/>
        </w:rPr>
        <w:t>年，公司主要核心大客户的业务需求呈现了较快增长的态势。随着传统客户业务需求的增长，以及新增 战略性大客户需求的提升，预计</w:t>
      </w:r>
      <w:r>
        <w:rPr>
          <w:rFonts w:ascii="Times New Roman" w:eastAsia="Times New Roman" w:hAnsi="Times New Roman" w:cs="Times New Roman"/>
          <w:color w:val="000000"/>
          <w:spacing w:val="0"/>
          <w:w w:val="100"/>
          <w:position w:val="0"/>
        </w:rPr>
        <w:t>2021</w:t>
      </w:r>
      <w:r>
        <w:rPr>
          <w:color w:val="000000"/>
          <w:spacing w:val="0"/>
          <w:w w:val="100"/>
          <w:position w:val="0"/>
        </w:rPr>
        <w:t>年本公司银行科技业务整体将会保持增长。公司将继续重点布局解决方案中核心系统业 务、信贷系统业务和平台管理系统类业务。积极拓展与战略大客户的业务合作关系，更快提升自身业务规模。</w:t>
      </w:r>
    </w:p>
    <w:p>
      <w:pPr>
        <w:pStyle w:val="Style34"/>
        <w:keepNext w:val="0"/>
        <w:keepLines w:val="0"/>
        <w:widowControl w:val="0"/>
        <w:shd w:val="clear" w:color="auto" w:fill="auto"/>
        <w:bidi w:val="0"/>
        <w:spacing w:before="0" w:after="0"/>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、非银行金融业</w:t>
      </w:r>
    </w:p>
    <w:p>
      <w:pPr>
        <w:pStyle w:val="Style34"/>
        <w:keepNext w:val="0"/>
        <w:keepLines w:val="0"/>
        <w:widowControl w:val="0"/>
        <w:shd w:val="clear" w:color="auto" w:fill="auto"/>
        <w:bidi w:val="0"/>
        <w:spacing w:before="0" w:line="314" w:lineRule="exact"/>
        <w:ind w:left="0" w:right="0"/>
        <w:jc w:val="left"/>
      </w:pPr>
      <w:r>
        <w:rPr>
          <w:color w:val="000000"/>
          <w:spacing w:val="0"/>
          <w:w w:val="100"/>
          <w:position w:val="0"/>
        </w:rPr>
        <w:t>公司非银行金融业信息服务业务在</w:t>
      </w:r>
      <w:r>
        <w:rPr>
          <w:rFonts w:ascii="Times New Roman" w:eastAsia="Times New Roman" w:hAnsi="Times New Roman" w:cs="Times New Roman"/>
          <w:color w:val="000000"/>
          <w:spacing w:val="0"/>
          <w:w w:val="100"/>
          <w:position w:val="0"/>
        </w:rPr>
        <w:t>2020</w:t>
      </w:r>
      <w:r>
        <w:rPr>
          <w:color w:val="000000"/>
          <w:spacing w:val="0"/>
          <w:w w:val="100"/>
          <w:position w:val="0"/>
        </w:rPr>
        <w:t>年公司保持稳定。</w:t>
      </w:r>
    </w:p>
    <w:p>
      <w:pPr>
        <w:pStyle w:val="Style34"/>
        <w:keepNext w:val="0"/>
        <w:keepLines w:val="0"/>
        <w:widowControl w:val="0"/>
        <w:shd w:val="clear" w:color="auto" w:fill="auto"/>
        <w:bidi w:val="0"/>
        <w:spacing w:before="0" w:line="317" w:lineRule="exact"/>
        <w:ind w:left="0" w:right="0"/>
        <w:jc w:val="both"/>
      </w:pPr>
      <w:r>
        <w:rPr>
          <w:color w:val="000000"/>
          <w:spacing w:val="0"/>
          <w:w w:val="100"/>
          <w:position w:val="0"/>
        </w:rPr>
        <w:t>2021</w:t>
      </w:r>
      <w:r>
        <w:rPr>
          <w:color w:val="000000"/>
          <w:spacing w:val="0"/>
          <w:w w:val="100"/>
          <w:position w:val="0"/>
        </w:rPr>
        <w:t>年公司将继续围绕供应链金融和汽车金融领域积极布局。虽然创新业务并不能在短期带来整体业务规模的快速增 长，但这些创新业务的发展对未来公司业务转型升级具有重要意义。</w:t>
      </w:r>
      <w:r>
        <w:rPr>
          <w:rFonts w:ascii="Times New Roman" w:eastAsia="Times New Roman" w:hAnsi="Times New Roman" w:cs="Times New Roman"/>
          <w:color w:val="000000"/>
          <w:spacing w:val="0"/>
          <w:w w:val="100"/>
          <w:position w:val="0"/>
        </w:rPr>
        <w:t>2021</w:t>
      </w:r>
      <w:r>
        <w:rPr>
          <w:color w:val="000000"/>
          <w:spacing w:val="0"/>
          <w:w w:val="100"/>
          <w:position w:val="0"/>
        </w:rPr>
        <w:t>年在供应链金融和汽车金融等领域，公司都有新的 业务规划。公司将继续在以上创新领域加强投入，完善业务和组织架构，以便在该领域取得更多的实质性突破。</w:t>
      </w:r>
    </w:p>
    <w:p>
      <w:pPr>
        <w:pStyle w:val="Style34"/>
        <w:keepNext w:val="0"/>
        <w:keepLines w:val="0"/>
        <w:widowControl w:val="0"/>
        <w:shd w:val="clear" w:color="auto" w:fill="auto"/>
        <w:bidi w:val="0"/>
        <w:spacing w:before="0" w:line="326" w:lineRule="exact"/>
        <w:ind w:left="0" w:right="0"/>
        <w:jc w:val="both"/>
      </w:pPr>
      <w:r>
        <w:rPr>
          <w:color w:val="000000"/>
          <w:spacing w:val="0"/>
          <w:w w:val="100"/>
          <w:position w:val="0"/>
        </w:rPr>
        <w:t>随着区块链、数字货币、</w:t>
      </w:r>
      <w:r>
        <w:rPr>
          <w:rFonts w:ascii="Times New Roman" w:eastAsia="Times New Roman" w:hAnsi="Times New Roman" w:cs="Times New Roman"/>
          <w:color w:val="000000"/>
          <w:spacing w:val="0"/>
          <w:w w:val="100"/>
          <w:position w:val="0"/>
        </w:rPr>
        <w:t>AI</w:t>
      </w:r>
      <w:r>
        <w:rPr>
          <w:color w:val="000000"/>
          <w:spacing w:val="0"/>
          <w:w w:val="100"/>
          <w:position w:val="0"/>
        </w:rPr>
        <w:t>等新技术新产品的不断应用，银行科技也面临深刻的技术变革所带来的挑战与机遇。公司 将利用自身较为全面的技术积累，积极投入到新技术对银行应用系统的变革趋势中去，开拓进取。</w:t>
      </w:r>
    </w:p>
    <w:p>
      <w:pPr>
        <w:pStyle w:val="Style34"/>
        <w:keepNext w:val="0"/>
        <w:keepLines w:val="0"/>
        <w:widowControl w:val="0"/>
        <w:shd w:val="clear" w:color="auto" w:fill="auto"/>
        <w:tabs>
          <w:tab w:pos="799" w:val="left"/>
        </w:tabs>
        <w:bidi w:val="0"/>
        <w:spacing w:before="0" w:line="314" w:lineRule="exact"/>
        <w:ind w:left="0" w:right="0"/>
        <w:jc w:val="left"/>
      </w:pPr>
      <w:bookmarkStart w:id="129" w:name="bookmark129"/>
      <w:r>
        <w:rPr>
          <w:b/>
          <w:bCs/>
          <w:color w:val="000000"/>
          <w:spacing w:val="0"/>
          <w:w w:val="100"/>
          <w:position w:val="0"/>
        </w:rPr>
        <w:t>二</w:t>
      </w:r>
      <w:bookmarkEnd w:id="129"/>
      <w:r>
        <w:rPr>
          <w:b/>
          <w:bCs/>
          <w:color w:val="000000"/>
          <w:spacing w:val="0"/>
          <w:w w:val="100"/>
          <w:position w:val="0"/>
        </w:rPr>
        <w:t>、</w:t>
        <w:tab/>
        <w:t>移动营销行业经营状况</w:t>
      </w:r>
    </w:p>
    <w:p>
      <w:pPr>
        <w:pStyle w:val="Style34"/>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年，在疫情缓解之后，行业虽有恢复，但行业上游的竞争格局发生了较大变化，集中度进一步提升。目前，移动互 联网业务面临挑战，流量的聚合效应不断增强，成本提升较快。公司将继续围绕电商、在线阅读、自有平台业务和代理类业 务领域深耕布局，以便能够保持和恢复移动营销领域的业务规模。</w:t>
      </w:r>
    </w:p>
    <w:p>
      <w:pPr>
        <w:pStyle w:val="Style34"/>
        <w:keepNext w:val="0"/>
        <w:keepLines w:val="0"/>
        <w:widowControl w:val="0"/>
        <w:shd w:val="clear" w:color="auto" w:fill="auto"/>
        <w:tabs>
          <w:tab w:pos="804" w:val="left"/>
        </w:tabs>
        <w:bidi w:val="0"/>
        <w:spacing w:before="0" w:line="314" w:lineRule="exact"/>
        <w:ind w:left="0" w:right="0"/>
        <w:jc w:val="both"/>
      </w:pPr>
      <w:bookmarkStart w:id="130" w:name="bookmark130"/>
      <w:r>
        <w:rPr>
          <w:b/>
          <w:bCs/>
          <w:color w:val="000000"/>
          <w:spacing w:val="0"/>
          <w:w w:val="100"/>
          <w:position w:val="0"/>
        </w:rPr>
        <w:t>三</w:t>
      </w:r>
      <w:bookmarkEnd w:id="130"/>
      <w:r>
        <w:rPr>
          <w:b/>
          <w:bCs/>
          <w:color w:val="000000"/>
          <w:spacing w:val="0"/>
          <w:w w:val="100"/>
          <w:position w:val="0"/>
        </w:rPr>
        <w:t>、</w:t>
        <w:tab/>
        <w:t>计提商誉减值准备的具体情况</w:t>
      </w:r>
    </w:p>
    <w:p>
      <w:pPr>
        <w:pStyle w:val="Style34"/>
        <w:keepNext w:val="0"/>
        <w:keepLines w:val="0"/>
        <w:widowControl w:val="0"/>
        <w:shd w:val="clear" w:color="auto" w:fill="auto"/>
        <w:bidi w:val="0"/>
        <w:spacing w:before="0" w:after="1060" w:line="312" w:lineRule="exact"/>
        <w:ind w:left="0" w:right="0"/>
        <w:jc w:val="both"/>
      </w:pPr>
      <w:r>
        <w:rPr>
          <w:color w:val="000000"/>
          <w:spacing w:val="0"/>
          <w:w w:val="100"/>
          <w:position w:val="0"/>
        </w:rPr>
        <w:t>报告期内，受疫情、行业发展趋势，及自身不利因素的影响，公司全资子公司上海睿民、坚果技术、快读科技与公司原 全资子公司尚河科技，所在的资产组出现经营业绩下滑。综合客观因素和未来业务发展趋势判断，公司对以上子公司所在的</w:t>
      </w:r>
    </w:p>
    <w:p>
      <w:pPr>
        <w:pStyle w:val="Style17"/>
        <w:keepNext/>
        <w:keepLines/>
        <w:widowControl w:val="0"/>
        <w:shd w:val="clear" w:color="auto" w:fill="auto"/>
        <w:bidi w:val="0"/>
        <w:spacing w:before="0" w:after="0" w:line="240" w:lineRule="auto"/>
        <w:ind w:left="0" w:right="340" w:firstLine="0"/>
        <w:jc w:val="right"/>
        <w:rPr>
          <w:sz w:val="20"/>
          <w:szCs w:val="20"/>
        </w:rPr>
      </w:pPr>
      <w:bookmarkStart w:id="131" w:name="bookmark131"/>
      <w:bookmarkStart w:id="132" w:name="bookmark132"/>
      <w:bookmarkStart w:id="133" w:name="bookmark133"/>
      <w:r>
        <w:rPr>
          <w:rFonts w:ascii="Arial" w:eastAsia="Arial" w:hAnsi="Arial" w:cs="Arial"/>
          <w:color w:val="A2A2A2"/>
          <w:spacing w:val="0"/>
          <w:w w:val="100"/>
          <w:position w:val="0"/>
          <w:sz w:val="20"/>
          <w:szCs w:val="20"/>
        </w:rPr>
        <w:t>cninf^</w:t>
      </w:r>
      <w:bookmarkEnd w:id="131"/>
      <w:bookmarkEnd w:id="132"/>
      <w:bookmarkEnd w:id="133"/>
    </w:p>
    <w:p>
      <w:pPr>
        <w:pStyle w:val="Style20"/>
        <w:keepNext w:val="0"/>
        <w:keepLines w:val="0"/>
        <w:widowControl w:val="0"/>
        <w:shd w:val="clear" w:color="auto" w:fill="auto"/>
        <w:bidi w:val="0"/>
        <w:spacing w:before="0" w:after="120" w:line="240" w:lineRule="auto"/>
        <w:ind w:left="0" w:right="340" w:firstLine="0"/>
        <w:jc w:val="left"/>
        <w:rPr>
          <w:sz w:val="18"/>
          <w:szCs w:val="18"/>
        </w:rPr>
      </w:pPr>
      <w:r>
        <w:rPr>
          <w:spacing w:val="0"/>
          <w:w w:val="100"/>
          <w:position w:val="0"/>
          <w:sz w:val="12"/>
          <w:szCs w:val="12"/>
        </w:rPr>
        <w:t xml:space="preserve">巨潮资职 </w:t>
      </w:r>
      <w:r>
        <w:rPr>
          <w:rStyle w:val="CharStyle35"/>
        </w:rPr>
        <w:t>资产组的商誉计提减值准备。在本次计提商誉减值准备之前，公司账面商誉合计为</w:t>
      </w:r>
      <w:r>
        <w:rPr>
          <w:rStyle w:val="CharStyle35"/>
          <w:rFonts w:ascii="Times New Roman" w:eastAsia="Times New Roman" w:hAnsi="Times New Roman" w:cs="Times New Roman"/>
        </w:rPr>
        <w:t>91,902.22</w:t>
      </w:r>
      <w:r>
        <w:rPr>
          <w:rStyle w:val="CharStyle35"/>
        </w:rPr>
        <w:t>万元。</w:t>
      </w:r>
      <w:r>
        <w:rPr>
          <w:rStyle w:val="CharStyle35"/>
          <w:rFonts w:ascii="Times New Roman" w:eastAsia="Times New Roman" w:hAnsi="Times New Roman" w:cs="Times New Roman"/>
        </w:rPr>
        <w:t>2020</w:t>
      </w:r>
      <w:r>
        <w:rPr>
          <w:rStyle w:val="CharStyle35"/>
        </w:rPr>
        <w:t xml:space="preserve">年计提商誉减值准备 </w:t>
      </w:r>
      <w:r>
        <w:rPr>
          <w:rStyle w:val="CharStyle35"/>
          <w:rFonts w:ascii="Times New Roman" w:eastAsia="Times New Roman" w:hAnsi="Times New Roman" w:cs="Times New Roman"/>
        </w:rPr>
        <w:t>77,782.84</w:t>
      </w:r>
      <w:r>
        <w:rPr>
          <w:rStyle w:val="CharStyle35"/>
        </w:rPr>
        <w:t>万元。本次计提商誉减值准备之后，商誉余额为</w:t>
      </w:r>
      <w:r>
        <w:rPr>
          <w:rStyle w:val="CharStyle35"/>
          <w:rFonts w:ascii="Times New Roman" w:eastAsia="Times New Roman" w:hAnsi="Times New Roman" w:cs="Times New Roman"/>
        </w:rPr>
        <w:t>14,119.38</w:t>
      </w:r>
      <w:r>
        <w:rPr>
          <w:rStyle w:val="CharStyle35"/>
        </w:rPr>
        <w:t>万元。每个资产组计提商誉减值准备的具体情况如下：</w:t>
      </w:r>
    </w:p>
    <w:p>
      <w:pPr>
        <w:pStyle w:val="Style34"/>
        <w:keepNext w:val="0"/>
        <w:keepLines w:val="0"/>
        <w:widowControl w:val="0"/>
        <w:shd w:val="clear" w:color="auto" w:fill="auto"/>
        <w:bidi w:val="0"/>
        <w:spacing w:before="0" w:after="120" w:line="309" w:lineRule="exact"/>
        <w:ind w:left="0" w:right="0"/>
        <w:jc w:val="both"/>
      </w:pPr>
      <w:r>
        <w:rPr>
          <w:color w:val="000000"/>
          <w:spacing w:val="0"/>
          <w:w w:val="100"/>
          <w:position w:val="0"/>
        </w:rPr>
        <w:t>上海睿民因新冠疫情导致上半年开工率不足，收入确认被延缓。同时该公司产品结构和客户结构不适应新时期市场发展 的需求，管理团队的流失也给公司成长带来挑战。尽管</w:t>
      </w:r>
      <w:r>
        <w:rPr>
          <w:rFonts w:ascii="Times New Roman" w:eastAsia="Times New Roman" w:hAnsi="Times New Roman" w:cs="Times New Roman"/>
          <w:color w:val="000000"/>
          <w:spacing w:val="0"/>
          <w:w w:val="100"/>
          <w:position w:val="0"/>
        </w:rPr>
        <w:t>2020</w:t>
      </w:r>
      <w:r>
        <w:rPr>
          <w:color w:val="000000"/>
          <w:spacing w:val="0"/>
          <w:w w:val="100"/>
          <w:position w:val="0"/>
        </w:rPr>
        <w:t>年下半年上海睿民积极开拓市场，应对市场变化，但</w:t>
      </w:r>
      <w:r>
        <w:rPr>
          <w:rFonts w:ascii="Times New Roman" w:eastAsia="Times New Roman" w:hAnsi="Times New Roman" w:cs="Times New Roman"/>
          <w:color w:val="000000"/>
          <w:spacing w:val="0"/>
          <w:w w:val="100"/>
          <w:position w:val="0"/>
        </w:rPr>
        <w:t>2020</w:t>
      </w:r>
      <w:r>
        <w:rPr>
          <w:color w:val="000000"/>
          <w:spacing w:val="0"/>
          <w:w w:val="100"/>
          <w:position w:val="0"/>
        </w:rPr>
        <w:t>年整体 收入及利润实现情况不及预期，结合该子公司所在资产组未来业务发展预测，公司根据《企业会计准则第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资产减值》及 相关会计政策规定，对该子公司所在资产组计提商誉减值准备</w:t>
      </w:r>
      <w:r>
        <w:rPr>
          <w:rFonts w:ascii="Times New Roman" w:eastAsia="Times New Roman" w:hAnsi="Times New Roman" w:cs="Times New Roman"/>
          <w:color w:val="000000"/>
          <w:spacing w:val="0"/>
          <w:w w:val="100"/>
          <w:position w:val="0"/>
        </w:rPr>
        <w:t>15,555.33</w:t>
      </w:r>
      <w:r>
        <w:rPr>
          <w:color w:val="000000"/>
          <w:spacing w:val="0"/>
          <w:w w:val="100"/>
          <w:position w:val="0"/>
        </w:rPr>
        <w:t>万元。</w:t>
      </w:r>
    </w:p>
    <w:p>
      <w:pPr>
        <w:pStyle w:val="Style34"/>
        <w:keepNext w:val="0"/>
        <w:keepLines w:val="0"/>
        <w:widowControl w:val="0"/>
        <w:shd w:val="clear" w:color="auto" w:fill="auto"/>
        <w:bidi w:val="0"/>
        <w:spacing w:before="0" w:after="120" w:line="309" w:lineRule="exact"/>
        <w:ind w:left="0" w:right="0"/>
        <w:jc w:val="both"/>
      </w:pPr>
      <w:r>
        <w:rPr>
          <w:color w:val="000000"/>
          <w:spacing w:val="0"/>
          <w:w w:val="100"/>
          <w:position w:val="0"/>
        </w:rPr>
        <w:t>坚果技术上半年受新冠疫情影响，海外移动互联网业务迟迟未能恢复，而国内客户进行营销宣传的意愿降低，削减广告 投放支出，也进一步打压了国内业务的发展。大型客户基于自身业务调整等原因，部分中断了原来的合作。上游行业集中度 在疫情之后迅速提升，优质流量聚合效应增强，导致公司业务成本上涨较快。公司虽积极拓展新客户和新业务，但新拓展业 务不足以弥补原有业务流失带来的损失。上述原因导致坚果技术</w:t>
      </w:r>
      <w:r>
        <w:rPr>
          <w:rFonts w:ascii="Times New Roman" w:eastAsia="Times New Roman" w:hAnsi="Times New Roman" w:cs="Times New Roman"/>
          <w:color w:val="000000"/>
          <w:spacing w:val="0"/>
          <w:w w:val="100"/>
          <w:position w:val="0"/>
        </w:rPr>
        <w:t>2020</w:t>
      </w:r>
      <w:r>
        <w:rPr>
          <w:color w:val="000000"/>
          <w:spacing w:val="0"/>
          <w:w w:val="100"/>
          <w:position w:val="0"/>
        </w:rPr>
        <w:t>年业绩未达到预期。公司对该子公司未来发展预期持谨 慎态度。基于该子公司</w:t>
      </w:r>
      <w:r>
        <w:rPr>
          <w:rFonts w:ascii="Times New Roman" w:eastAsia="Times New Roman" w:hAnsi="Times New Roman" w:cs="Times New Roman"/>
          <w:color w:val="000000"/>
          <w:spacing w:val="0"/>
          <w:w w:val="100"/>
          <w:position w:val="0"/>
        </w:rPr>
        <w:t>2020</w:t>
      </w:r>
      <w:r>
        <w:rPr>
          <w:color w:val="000000"/>
          <w:spacing w:val="0"/>
          <w:w w:val="100"/>
          <w:position w:val="0"/>
        </w:rPr>
        <w:t>年的行业现状以及对未来的预测，公司根据《企业会计准则第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资产减值》及相关会计政策规 定，对该子公司所在资产组计提商誉减值准备</w:t>
      </w:r>
      <w:r>
        <w:rPr>
          <w:rFonts w:ascii="Times New Roman" w:eastAsia="Times New Roman" w:hAnsi="Times New Roman" w:cs="Times New Roman"/>
          <w:color w:val="000000"/>
          <w:spacing w:val="0"/>
          <w:w w:val="100"/>
          <w:position w:val="0"/>
        </w:rPr>
        <w:t>23,354.42</w:t>
      </w:r>
      <w:r>
        <w:rPr>
          <w:color w:val="000000"/>
          <w:spacing w:val="0"/>
          <w:w w:val="100"/>
          <w:position w:val="0"/>
        </w:rPr>
        <w:t>万元。</w:t>
      </w:r>
    </w:p>
    <w:p>
      <w:pPr>
        <w:pStyle w:val="Style34"/>
        <w:keepNext w:val="0"/>
        <w:keepLines w:val="0"/>
        <w:widowControl w:val="0"/>
        <w:shd w:val="clear" w:color="auto" w:fill="auto"/>
        <w:bidi w:val="0"/>
        <w:spacing w:before="0" w:after="620" w:line="310" w:lineRule="exact"/>
        <w:ind w:left="0" w:right="0"/>
        <w:jc w:val="both"/>
      </w:pPr>
      <w:r>
        <w:rPr>
          <w:color w:val="000000"/>
          <w:spacing w:val="0"/>
          <w:w w:val="100"/>
          <w:position w:val="0"/>
        </w:rPr>
        <w:t>快读科技与公司原全资子公司尚河科技，由于在</w:t>
      </w:r>
      <w:r>
        <w:rPr>
          <w:rFonts w:ascii="Times New Roman" w:eastAsia="Times New Roman" w:hAnsi="Times New Roman" w:cs="Times New Roman"/>
          <w:color w:val="000000"/>
          <w:spacing w:val="0"/>
          <w:w w:val="100"/>
          <w:position w:val="0"/>
        </w:rPr>
        <w:t>2020</w:t>
      </w:r>
      <w:r>
        <w:rPr>
          <w:color w:val="000000"/>
          <w:spacing w:val="0"/>
          <w:w w:val="100"/>
          <w:position w:val="0"/>
        </w:rPr>
        <w:t>年业务类型和目标市场趋于一致，管理逐渐整合统一，因此本年度 整体作为一个资产组进行商誉减值测试。该资产组的经营在</w:t>
      </w:r>
      <w:r>
        <w:rPr>
          <w:rFonts w:ascii="Times New Roman" w:eastAsia="Times New Roman" w:hAnsi="Times New Roman" w:cs="Times New Roman"/>
          <w:color w:val="000000"/>
          <w:spacing w:val="0"/>
          <w:w w:val="100"/>
          <w:position w:val="0"/>
        </w:rPr>
        <w:t>2020</w:t>
      </w:r>
      <w:r>
        <w:rPr>
          <w:color w:val="000000"/>
          <w:spacing w:val="0"/>
          <w:w w:val="100"/>
          <w:position w:val="0"/>
        </w:rPr>
        <w:t>年受到了疫情的影响，业务开展不利。其所在行业的客户付 费意愿降低，传统的中小广告主资源出现一定流失。与此同时，疫情之后，行业竞争格局发生较大变化。移动端的流量资源 的集中度进一步提升，流量成本上升，导致经营成本上升较快。部分大客户业务发生调整，中止或降低了与公司的业务合作。 自身经营牌照的续延停滞也限制了业务的发展。这些原因使得报告期该资产组的业绩下滑，也使得公司下调了其未来发展的 预期。基于谨慎考虑，以及对该子公司所在资产组未来发展的预测，公司根据《企业会计准则第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资产减值》及相关会计 政策规定，本年度计提该资产组商誉减值准备</w:t>
      </w:r>
      <w:r>
        <w:rPr>
          <w:rFonts w:ascii="Times New Roman" w:eastAsia="Times New Roman" w:hAnsi="Times New Roman" w:cs="Times New Roman"/>
          <w:color w:val="000000"/>
          <w:spacing w:val="0"/>
          <w:w w:val="100"/>
          <w:position w:val="0"/>
        </w:rPr>
        <w:t>38,873.09</w:t>
      </w:r>
      <w:r>
        <w:rPr>
          <w:color w:val="000000"/>
          <w:spacing w:val="0"/>
          <w:w w:val="100"/>
          <w:position w:val="0"/>
        </w:rPr>
        <w:t>万元。</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8</w:t>
      </w:r>
      <w:r>
        <w:rPr>
          <w:color w:val="000000"/>
          <w:spacing w:val="0"/>
          <w:w w:val="100"/>
          <w:position w:val="0"/>
        </w:rPr>
        <w:t>号——上市公司从事互联网营销及数据服务相关业务》的披露要</w:t>
      </w:r>
    </w:p>
    <w:p>
      <w:pPr>
        <w:pStyle w:val="Style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求：</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)互联网营销收入整体情况</w:t>
      </w:r>
    </w:p>
    <w:p>
      <w:pPr>
        <w:pStyle w:val="Style34"/>
        <w:keepNext w:val="0"/>
        <w:keepLines w:val="0"/>
        <w:widowControl w:val="0"/>
        <w:shd w:val="clear" w:color="auto" w:fill="auto"/>
        <w:bidi w:val="0"/>
        <w:spacing w:before="0" w:after="60" w:line="240" w:lineRule="auto"/>
        <w:ind w:left="90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left"/>
        <w:tblLayout w:type="fixed"/>
      </w:tblPr>
      <w:tblGrid>
        <w:gridCol w:w="1709"/>
        <w:gridCol w:w="1488"/>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互联网营销收入合计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323,416,065.13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17.08%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322,903,338.07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18.36%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r>
    </w:tbl>
    <w:p>
      <w:pPr>
        <w:pStyle w:val="Style45"/>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)广告主所处的主要行业领域</w:t>
      </w:r>
    </w:p>
    <w:p>
      <w:pPr>
        <w:widowControl w:val="0"/>
        <w:spacing w:after="119" w:line="1" w:lineRule="exact"/>
      </w:pPr>
    </w:p>
    <w:p>
      <w:pPr>
        <w:pStyle w:val="Style34"/>
        <w:keepNext w:val="0"/>
        <w:keepLines w:val="0"/>
        <w:widowControl w:val="0"/>
        <w:shd w:val="clear" w:color="auto" w:fill="auto"/>
        <w:bidi w:val="0"/>
        <w:spacing w:before="0" w:after="60" w:line="240" w:lineRule="auto"/>
        <w:ind w:left="90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left"/>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行业领域</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收入金额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收入金额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252,261,564.85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195,786,985.81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60.63%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35,463,155.31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10.97%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73,575,790.46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22.79%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-51.80%</w:t>
            </w:r>
          </w:p>
        </w:tc>
      </w:tr>
    </w:tbl>
    <w:p>
      <w:pPr>
        <w:pStyle w:val="Style45"/>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)直接类客户和代理类客户情况</w:t>
      </w:r>
    </w:p>
    <w:p>
      <w:pPr>
        <w:widowControl w:val="0"/>
        <w:spacing w:after="119" w:line="1" w:lineRule="exact"/>
      </w:pPr>
    </w:p>
    <w:p>
      <w:pPr>
        <w:pStyle w:val="Style34"/>
        <w:keepNext w:val="0"/>
        <w:keepLines w:val="0"/>
        <w:widowControl w:val="0"/>
        <w:shd w:val="clear" w:color="auto" w:fill="auto"/>
        <w:bidi w:val="0"/>
        <w:spacing w:before="0" w:after="60" w:line="240" w:lineRule="auto"/>
        <w:ind w:left="90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left"/>
        <w:tblLayout w:type="fixed"/>
      </w:tblPr>
      <w:tblGrid>
        <w:gridCol w:w="1378"/>
        <w:gridCol w:w="1363"/>
        <w:gridCol w:w="1368"/>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客户类型</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客户数量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客户留存率(如 适用)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客户数量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客户留存率(如 适用)</w:t>
            </w:r>
          </w:p>
        </w:tc>
      </w:tr>
    </w:tbl>
    <w:p>
      <w:pPr>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1900" w:h="16840"/>
          <w:pgMar w:top="671" w:right="552" w:bottom="946" w:left="567" w:header="0" w:footer="3" w:gutter="0"/>
          <w:cols w:space="720"/>
          <w:noEndnote/>
          <w:titlePg/>
          <w:rtlGutter w:val="0"/>
          <w:docGrid w:linePitch="360"/>
        </w:sectPr>
      </w:pPr>
    </w:p>
    <w:tbl>
      <w:tblPr>
        <w:tblOverlap w:val="never"/>
        <w:jc w:val="left"/>
        <w:tblLayout w:type="fixed"/>
      </w:tblPr>
      <w:tblGrid>
        <w:gridCol w:w="1378"/>
        <w:gridCol w:w="1363"/>
        <w:gridCol w:w="1368"/>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直接类客户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139,235,612.22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191,824,779.33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代理类客户</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184,180,452.91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131,078,558.75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w:t>
            </w:r>
          </w:p>
        </w:tc>
      </w:tr>
    </w:tbl>
    <w:p>
      <w:pPr>
        <w:pStyle w:val="Style45"/>
        <w:keepNext w:val="0"/>
        <w:keepLines w:val="0"/>
        <w:widowControl w:val="0"/>
        <w:shd w:val="clear" w:color="auto" w:fill="auto"/>
        <w:bidi w:val="0"/>
        <w:spacing w:before="0" w:after="0" w:line="240" w:lineRule="auto"/>
        <w:ind w:left="8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）其他需披露内容</w:t>
      </w:r>
    </w:p>
    <w:p>
      <w:pPr>
        <w:widowControl w:val="0"/>
        <w:spacing w:after="199" w:line="1" w:lineRule="exact"/>
      </w:pPr>
    </w:p>
    <w:p>
      <w:pPr>
        <w:pStyle w:val="Style34"/>
        <w:keepNext w:val="0"/>
        <w:keepLines w:val="0"/>
        <w:widowControl w:val="0"/>
        <w:shd w:val="clear" w:color="auto" w:fill="auto"/>
        <w:bidi w:val="0"/>
        <w:spacing w:before="0" w:after="240" w:line="240" w:lineRule="auto"/>
        <w:ind w:left="0" w:right="0"/>
        <w:jc w:val="left"/>
      </w:pPr>
      <w:r>
        <w:rPr>
          <w:color w:val="000000"/>
          <w:spacing w:val="0"/>
          <w:w w:val="100"/>
          <w:position w:val="0"/>
        </w:rPr>
        <w:t>坚果技术及上海魔力果技术移动互联网营销业务：</w:t>
      </w:r>
    </w:p>
    <w:p>
      <w:pPr>
        <w:pStyle w:val="Style45"/>
        <w:keepNext w:val="0"/>
        <w:keepLines w:val="0"/>
        <w:widowControl w:val="0"/>
        <w:shd w:val="clear" w:color="auto" w:fill="auto"/>
        <w:bidi w:val="0"/>
        <w:spacing w:before="0" w:after="0" w:line="240" w:lineRule="auto"/>
        <w:ind w:left="346" w:right="0" w:firstLine="0"/>
        <w:jc w:val="left"/>
      </w:pPr>
      <w:r>
        <w:rPr>
          <w:color w:val="000000"/>
          <w:spacing w:val="0"/>
          <w:w w:val="100"/>
          <w:position w:val="0"/>
        </w:rPr>
        <w:t>（一）按照直接类客户和代理类客户分别披露客户数量、收入金额及客户留存率</w:t>
      </w:r>
    </w:p>
    <w:tbl>
      <w:tblPr>
        <w:tblOverlap w:val="never"/>
        <w:jc w:val="left"/>
        <w:tblLayout w:type="fixed"/>
      </w:tblPr>
      <w:tblGrid>
        <w:gridCol w:w="2717"/>
        <w:gridCol w:w="2256"/>
        <w:gridCol w:w="2530"/>
        <w:gridCol w:w="1992"/>
      </w:tblGrid>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客户数量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收入金额（万元）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客户留存率（</w:t>
            </w:r>
            <w:r>
              <w:rPr>
                <w:color w:val="000000"/>
                <w:spacing w:val="0"/>
                <w:w w:val="100"/>
                <w:position w:val="0"/>
              </w:rPr>
              <w:t>％</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直接类客户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4,589.79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62.50%</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9,014.82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33.33%</w:t>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13,604.62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5"/>
        <w:keepNext w:val="0"/>
        <w:keepLines w:val="0"/>
        <w:widowControl w:val="0"/>
        <w:shd w:val="clear" w:color="auto" w:fill="auto"/>
        <w:bidi w:val="0"/>
        <w:spacing w:before="0" w:after="0" w:line="240" w:lineRule="auto"/>
        <w:ind w:left="442" w:right="0" w:firstLine="0"/>
        <w:jc w:val="left"/>
      </w:pPr>
      <w:r>
        <w:rPr>
          <w:color w:val="000000"/>
          <w:spacing w:val="0"/>
          <w:w w:val="100"/>
          <w:position w:val="0"/>
        </w:rPr>
        <w:t>（二）按照终端类型披露不同业务类别的收入金额</w:t>
      </w:r>
    </w:p>
    <w:p>
      <w:pPr>
        <w:widowControl w:val="0"/>
        <w:spacing w:after="199" w:line="1" w:lineRule="exact"/>
      </w:pPr>
    </w:p>
    <w:p>
      <w:pPr>
        <w:pStyle w:val="Style45"/>
        <w:keepNext w:val="0"/>
        <w:keepLines w:val="0"/>
        <w:widowControl w:val="0"/>
        <w:shd w:val="clear" w:color="auto" w:fill="auto"/>
        <w:bidi w:val="0"/>
        <w:spacing w:before="0" w:after="0" w:line="240" w:lineRule="auto"/>
        <w:ind w:left="8429" w:right="0" w:firstLine="0"/>
        <w:jc w:val="left"/>
      </w:pPr>
      <w:r>
        <w:rPr>
          <w:color w:val="000000"/>
          <w:spacing w:val="0"/>
          <w:w w:val="100"/>
          <w:position w:val="0"/>
        </w:rPr>
        <w:t>单位：万元</w:t>
      </w:r>
    </w:p>
    <w:tbl>
      <w:tblPr>
        <w:tblOverlap w:val="never"/>
        <w:jc w:val="left"/>
        <w:tblLayout w:type="fixed"/>
      </w:tblPr>
      <w:tblGrid>
        <w:gridCol w:w="2875"/>
        <w:gridCol w:w="3346"/>
        <w:gridCol w:w="3192"/>
      </w:tblGrid>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广告平台推广收入金额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单包推广收入金额</w:t>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4,716.95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8,887.67</w:t>
            </w:r>
          </w:p>
        </w:tc>
      </w:tr>
    </w:tbl>
    <w:p>
      <w:pPr>
        <w:pStyle w:val="Style45"/>
        <w:keepNext w:val="0"/>
        <w:keepLines w:val="0"/>
        <w:widowControl w:val="0"/>
        <w:shd w:val="clear" w:color="auto" w:fill="auto"/>
        <w:bidi w:val="0"/>
        <w:spacing w:before="0" w:after="0" w:line="240" w:lineRule="auto"/>
        <w:ind w:left="446" w:right="0" w:firstLine="0"/>
        <w:jc w:val="left"/>
      </w:pPr>
      <w:r>
        <w:rPr>
          <w:color w:val="000000"/>
          <w:spacing w:val="0"/>
          <w:w w:val="100"/>
          <w:position w:val="0"/>
        </w:rPr>
        <w:t>（三）按照合作媒体的类别汇总披露采购金额</w:t>
      </w:r>
    </w:p>
    <w:p>
      <w:pPr>
        <w:widowControl w:val="0"/>
        <w:spacing w:after="199" w:line="1" w:lineRule="exact"/>
      </w:pPr>
    </w:p>
    <w:p>
      <w:pPr>
        <w:pStyle w:val="Style45"/>
        <w:keepNext w:val="0"/>
        <w:keepLines w:val="0"/>
        <w:widowControl w:val="0"/>
        <w:shd w:val="clear" w:color="auto" w:fill="auto"/>
        <w:bidi w:val="0"/>
        <w:spacing w:before="0" w:after="0" w:line="240" w:lineRule="auto"/>
        <w:ind w:left="8410" w:right="0" w:firstLine="0"/>
        <w:jc w:val="left"/>
      </w:pPr>
      <w:r>
        <w:rPr>
          <w:color w:val="000000"/>
          <w:spacing w:val="0"/>
          <w:w w:val="100"/>
          <w:position w:val="0"/>
        </w:rPr>
        <w:t>单位：万元</w:t>
      </w:r>
    </w:p>
    <w:tbl>
      <w:tblPr>
        <w:tblOverlap w:val="never"/>
        <w:jc w:val="left"/>
        <w:tblLayout w:type="fixed"/>
      </w:tblPr>
      <w:tblGrid>
        <w:gridCol w:w="1930"/>
        <w:gridCol w:w="2290"/>
        <w:gridCol w:w="2285"/>
        <w:gridCol w:w="2890"/>
      </w:tblGrid>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分成计费采购金额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流量计费采购金额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合计采购金额</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桌面、软件预装商等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7.25</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代发平台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2,426.24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2,426.24</w:t>
            </w:r>
          </w:p>
        </w:tc>
      </w:tr>
      <w:tr>
        <w:trPr>
          <w:trHeight w:val="4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流量投放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23.76</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10,451.76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10,451.76</w:t>
            </w:r>
          </w:p>
        </w:tc>
      </w:tr>
      <w:tr>
        <w:trPr>
          <w:trHeight w:val="44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12,885.25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12,909.01</w:t>
            </w:r>
          </w:p>
        </w:tc>
      </w:tr>
    </w:tbl>
    <w:p>
      <w:pPr>
        <w:widowControl w:val="0"/>
        <w:spacing w:after="199" w:line="1" w:lineRule="exact"/>
      </w:pPr>
    </w:p>
    <w:p>
      <w:pPr>
        <w:pStyle w:val="Style34"/>
        <w:keepNext w:val="0"/>
        <w:keepLines w:val="0"/>
        <w:widowControl w:val="0"/>
        <w:shd w:val="clear" w:color="auto" w:fill="auto"/>
        <w:bidi w:val="0"/>
        <w:spacing w:before="0" w:after="200" w:line="240" w:lineRule="auto"/>
        <w:ind w:left="0" w:right="0"/>
        <w:jc w:val="left"/>
      </w:pPr>
      <w:r>
        <w:rPr>
          <w:color w:val="000000"/>
          <w:spacing w:val="0"/>
          <w:w w:val="100"/>
          <w:position w:val="0"/>
        </w:rPr>
        <w:t>快读科技移动互联网营销业务：</w:t>
      </w:r>
    </w:p>
    <w:p>
      <w:pPr>
        <w:pStyle w:val="Style34"/>
        <w:keepNext w:val="0"/>
        <w:keepLines w:val="0"/>
        <w:widowControl w:val="0"/>
        <w:shd w:val="clear" w:color="auto" w:fill="auto"/>
        <w:bidi w:val="0"/>
        <w:spacing w:before="0" w:after="240" w:line="240" w:lineRule="auto"/>
        <w:ind w:left="0" w:right="0"/>
        <w:jc w:val="left"/>
      </w:pPr>
      <w:r>
        <w:rPr>
          <w:color w:val="000000"/>
          <w:spacing w:val="0"/>
          <w:w w:val="100"/>
          <w:position w:val="0"/>
        </w:rPr>
        <w:t>（一）按照客户类别分别披露客户数量、收入金额及客户留存率</w:t>
      </w:r>
    </w:p>
    <w:p>
      <w:pPr>
        <w:pStyle w:val="Style45"/>
        <w:keepNext w:val="0"/>
        <w:keepLines w:val="0"/>
        <w:widowControl w:val="0"/>
        <w:shd w:val="clear" w:color="auto" w:fill="auto"/>
        <w:bidi w:val="0"/>
        <w:spacing w:before="0" w:after="0" w:line="240" w:lineRule="auto"/>
        <w:ind w:left="8568" w:right="0" w:firstLine="0"/>
        <w:jc w:val="left"/>
      </w:pPr>
      <w:r>
        <w:rPr>
          <w:color w:val="000000"/>
          <w:spacing w:val="0"/>
          <w:w w:val="100"/>
          <w:position w:val="0"/>
        </w:rPr>
        <w:t>单位：万元</w:t>
      </w:r>
    </w:p>
    <w:tbl>
      <w:tblPr>
        <w:tblOverlap w:val="never"/>
        <w:jc w:val="left"/>
        <w:tblLayout w:type="fixed"/>
      </w:tblPr>
      <w:tblGrid>
        <w:gridCol w:w="2755"/>
        <w:gridCol w:w="2064"/>
        <w:gridCol w:w="2410"/>
        <w:gridCol w:w="2242"/>
      </w:tblGrid>
      <w:tr>
        <w:trPr>
          <w:trHeight w:val="43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客户数量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客户留存率（</w:t>
            </w:r>
            <w:r>
              <w:rPr>
                <w:color w:val="000000"/>
                <w:spacing w:val="0"/>
                <w:w w:val="100"/>
                <w:position w:val="0"/>
              </w:rPr>
              <w:t>％</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直接类客户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9,333.77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66.67%</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代理类客户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9,403.22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23.47%</w:t>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18,736.99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5"/>
        <w:keepNext w:val="0"/>
        <w:keepLines w:val="0"/>
        <w:widowControl w:val="0"/>
        <w:shd w:val="clear" w:color="auto" w:fill="auto"/>
        <w:bidi w:val="0"/>
        <w:spacing w:before="0" w:after="0" w:line="240" w:lineRule="auto"/>
        <w:ind w:left="475" w:right="0" w:firstLine="0"/>
        <w:jc w:val="left"/>
      </w:pPr>
      <w:r>
        <w:rPr>
          <w:color w:val="000000"/>
          <w:spacing w:val="0"/>
          <w:w w:val="100"/>
          <w:position w:val="0"/>
        </w:rPr>
        <w:t>二）按照终端类型披露不同业务类别的收入金额</w:t>
      </w:r>
    </w:p>
    <w:p>
      <w:pPr>
        <w:widowControl w:val="0"/>
        <w:spacing w:after="199" w:line="1" w:lineRule="exact"/>
      </w:pPr>
    </w:p>
    <w:p>
      <w:pPr>
        <w:pStyle w:val="Style45"/>
        <w:keepNext w:val="0"/>
        <w:keepLines w:val="0"/>
        <w:widowControl w:val="0"/>
        <w:shd w:val="clear" w:color="auto" w:fill="auto"/>
        <w:bidi w:val="0"/>
        <w:spacing w:before="0" w:after="0" w:line="240" w:lineRule="auto"/>
        <w:ind w:left="8597" w:right="0" w:firstLine="0"/>
        <w:jc w:val="left"/>
      </w:pPr>
      <w:r>
        <w:rPr>
          <w:color w:val="000000"/>
          <w:spacing w:val="0"/>
          <w:w w:val="100"/>
          <w:position w:val="0"/>
        </w:rPr>
        <w:t>单位：万元</w:t>
      </w:r>
    </w:p>
    <w:tbl>
      <w:tblPr>
        <w:tblOverlap w:val="never"/>
        <w:jc w:val="left"/>
        <w:tblLayout w:type="fixed"/>
      </w:tblPr>
      <w:tblGrid>
        <w:gridCol w:w="1310"/>
        <w:gridCol w:w="1680"/>
        <w:gridCol w:w="1574"/>
        <w:gridCol w:w="1718"/>
        <w:gridCol w:w="1714"/>
        <w:gridCol w:w="1522"/>
      </w:tblGrid>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名称（收入金额）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自有平台广告业务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电商推广业务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小说代理业务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专有品牌广告业务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第三方平台业务</w:t>
            </w:r>
          </w:p>
        </w:tc>
      </w:tr>
      <w:tr>
        <w:trPr>
          <w:trHeight w:val="44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9,173.45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5,799.60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1,078.92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2,455.24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229.77</w:t>
            </w:r>
          </w:p>
        </w:tc>
      </w:tr>
    </w:tbl>
    <w:p>
      <w:pPr>
        <w:spacing w:lineRule="exact" w:line="1"/>
        <w:rPr>
          <w:sz w:val="2"/>
          <w:szCs w:val="2"/>
        </w:rPr>
      </w:pPr>
      <w:r>
        <w:br w:type="page"/>
      </w:r>
    </w:p>
    <w:tbl>
      <w:tblPr>
        <w:tblOverlap w:val="never"/>
        <w:jc w:val="left"/>
        <w:tblLayout w:type="fixed"/>
      </w:tblPr>
      <w:tblGrid>
        <w:gridCol w:w="1310"/>
        <w:gridCol w:w="1680"/>
        <w:gridCol w:w="1574"/>
        <w:gridCol w:w="1718"/>
        <w:gridCol w:w="1714"/>
        <w:gridCol w:w="1522"/>
      </w:tblGrid>
      <w:tr>
        <w:trPr>
          <w:trHeight w:val="446"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非移动端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5"/>
        <w:keepNext w:val="0"/>
        <w:keepLines w:val="0"/>
        <w:widowControl w:val="0"/>
        <w:shd w:val="clear" w:color="auto" w:fill="auto"/>
        <w:bidi w:val="0"/>
        <w:spacing w:before="0" w:after="0" w:line="240" w:lineRule="auto"/>
        <w:ind w:left="446" w:right="0" w:firstLine="0"/>
        <w:jc w:val="left"/>
      </w:pPr>
      <w:r>
        <w:rPr>
          <w:color w:val="000000"/>
          <w:spacing w:val="0"/>
          <w:w w:val="100"/>
          <w:position w:val="0"/>
        </w:rPr>
        <w:t>(三)按照合作媒体的类别汇总披露采购金额</w:t>
      </w:r>
    </w:p>
    <w:p>
      <w:pPr>
        <w:widowControl w:val="0"/>
        <w:spacing w:after="159" w:line="1" w:lineRule="exact"/>
      </w:pPr>
    </w:p>
    <w:p>
      <w:pPr>
        <w:pStyle w:val="Style45"/>
        <w:keepNext w:val="0"/>
        <w:keepLines w:val="0"/>
        <w:widowControl w:val="0"/>
        <w:shd w:val="clear" w:color="auto" w:fill="auto"/>
        <w:bidi w:val="0"/>
        <w:spacing w:before="0" w:after="0" w:line="240" w:lineRule="auto"/>
        <w:ind w:left="8664" w:right="0" w:firstLine="0"/>
        <w:jc w:val="left"/>
      </w:pPr>
      <w:r>
        <w:rPr>
          <w:color w:val="000000"/>
          <w:spacing w:val="0"/>
          <w:w w:val="100"/>
          <w:position w:val="0"/>
        </w:rPr>
        <w:t>单位：万元</w:t>
      </w:r>
    </w:p>
    <w:tbl>
      <w:tblPr>
        <w:tblOverlap w:val="never"/>
        <w:jc w:val="left"/>
        <w:tblLayout w:type="fixed"/>
      </w:tblPr>
      <w:tblGrid>
        <w:gridCol w:w="2083"/>
        <w:gridCol w:w="2654"/>
        <w:gridCol w:w="2870"/>
        <w:gridCol w:w="2107"/>
      </w:tblGrid>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包断计费采购金额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流量计费采购金额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合计采购金额</w:t>
            </w:r>
          </w:p>
        </w:tc>
      </w:tr>
      <w:tr>
        <w:trPr>
          <w:trHeight w:val="446"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应用开发商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13,260.47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13,260.47</w:t>
            </w:r>
          </w:p>
        </w:tc>
      </w:tr>
    </w:tbl>
    <w:p>
      <w:pPr>
        <w:widowControl w:val="0"/>
        <w:spacing w:after="299" w:line="1" w:lineRule="exact"/>
      </w:pPr>
    </w:p>
    <w:p>
      <w:pPr>
        <w:pStyle w:val="Style17"/>
        <w:keepNext/>
        <w:keepLines/>
        <w:widowControl w:val="0"/>
        <w:shd w:val="clear" w:color="auto" w:fill="auto"/>
        <w:bidi w:val="0"/>
        <w:spacing w:before="0" w:after="36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sz w:val="24"/>
          <w:szCs w:val="24"/>
        </w:rPr>
        <w:t>二</w:t>
      </w:r>
      <w:bookmarkEnd w:id="136"/>
      <w:r>
        <w:rPr>
          <w:color w:val="000000"/>
          <w:spacing w:val="0"/>
          <w:w w:val="100"/>
          <w:position w:val="0"/>
          <w:sz w:val="24"/>
          <w:szCs w:val="24"/>
        </w:rPr>
        <w:t>、主营业务分析</w:t>
      </w:r>
      <w:bookmarkEnd w:id="134"/>
      <w:bookmarkEnd w:id="135"/>
      <w:bookmarkEnd w:id="137"/>
    </w:p>
    <w:p>
      <w:pPr>
        <w:pStyle w:val="Style38"/>
        <w:keepNext/>
        <w:keepLines/>
        <w:widowControl w:val="0"/>
        <w:shd w:val="clear" w:color="auto" w:fill="auto"/>
        <w:bidi w:val="0"/>
        <w:spacing w:before="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1</w:t>
      </w:r>
      <w:bookmarkEnd w:id="140"/>
      <w:r>
        <w:rPr>
          <w:color w:val="000000"/>
          <w:spacing w:val="0"/>
          <w:w w:val="100"/>
          <w:position w:val="0"/>
        </w:rPr>
        <w:t>、概述</w:t>
      </w:r>
      <w:bookmarkEnd w:id="138"/>
      <w:bookmarkEnd w:id="139"/>
      <w:bookmarkEnd w:id="141"/>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8"/>
        <w:keepNext/>
        <w:keepLines/>
        <w:widowControl w:val="0"/>
        <w:shd w:val="clear" w:color="auto" w:fill="auto"/>
        <w:bidi w:val="0"/>
        <w:spacing w:before="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2</w:t>
      </w:r>
      <w:bookmarkEnd w:id="144"/>
      <w:r>
        <w:rPr>
          <w:color w:val="000000"/>
          <w:spacing w:val="0"/>
          <w:w w:val="100"/>
          <w:position w:val="0"/>
        </w:rPr>
        <w:t>、收入与成本</w:t>
      </w:r>
      <w:bookmarkEnd w:id="142"/>
      <w:bookmarkEnd w:id="143"/>
      <w:bookmarkEnd w:id="145"/>
    </w:p>
    <w:p>
      <w:pPr>
        <w:pStyle w:val="Style38"/>
        <w:keepNext/>
        <w:keepLines/>
        <w:widowControl w:val="0"/>
        <w:numPr>
          <w:ilvl w:val="0"/>
          <w:numId w:val="1"/>
        </w:numPr>
        <w:shd w:val="clear" w:color="auto" w:fill="auto"/>
        <w:bidi w:val="0"/>
        <w:spacing w:before="0" w:line="240" w:lineRule="auto"/>
        <w:ind w:left="0" w:right="0" w:firstLine="140"/>
        <w:jc w:val="left"/>
      </w:pPr>
      <w:bookmarkStart w:id="142" w:name="bookmark142"/>
      <w:bookmarkStart w:id="143" w:name="bookmark143"/>
      <w:bookmarkStart w:id="146" w:name="bookmark146"/>
      <w:bookmarkStart w:id="147" w:name="bookmark147"/>
      <w:bookmarkEnd w:id="146"/>
      <w:r>
        <w:rPr>
          <w:color w:val="000000"/>
          <w:spacing w:val="0"/>
          <w:w w:val="100"/>
          <w:position w:val="0"/>
        </w:rPr>
        <w:t>营业收入构成</w:t>
      </w:r>
      <w:bookmarkEnd w:id="142"/>
      <w:bookmarkEnd w:id="143"/>
      <w:bookmarkEnd w:id="147"/>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1,893,658,496.29</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1,758,318,368.99</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w:t>
            </w:r>
          </w:p>
        </w:tc>
      </w:tr>
      <w:tr>
        <w:trPr>
          <w:trHeight w:val="403" w:hRule="exact"/>
        </w:trPr>
        <w:tc>
          <w:tcPr>
            <w:gridSpan w:val="6"/>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银行金融业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1,404,265,366.06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1,202,137,461.68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91,515,057.53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156,230,015.98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323,416,065.13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322,903,338.07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74,462,007.57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77,047,553.26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w:t>
            </w:r>
          </w:p>
        </w:tc>
      </w:tr>
      <w:tr>
        <w:trPr>
          <w:trHeight w:val="398" w:hRule="exact"/>
        </w:trPr>
        <w:tc>
          <w:tcPr>
            <w:gridSpan w:val="6"/>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613,915,115.93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659,581,906.79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956,327,315.23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775,833,124.12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323,416,065.13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322,903,338.08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r>
      <w:tr>
        <w:trPr>
          <w:trHeight w:val="398" w:hRule="exact"/>
        </w:trPr>
        <w:tc>
          <w:tcPr>
            <w:gridSpan w:val="6"/>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38,364,387.92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20,027,745.03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1,207,990,132.48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899,512,201.37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344,330,620.37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383,971,449.76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146,210,139.24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255,507,230.97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36,947,614.26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61,599,721.91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21,093,208.36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17,273,700.93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22.11%</w:t>
            </w:r>
          </w:p>
        </w:tc>
      </w:tr>
    </w:tbl>
    <w:p>
      <w:pPr>
        <w:spacing w:lineRule="exact" w:line="1"/>
        <w:rPr>
          <w:sz w:val="2"/>
          <w:szCs w:val="2"/>
        </w:rPr>
      </w:pPr>
      <w:r>
        <w:br w:type="page"/>
      </w:r>
    </w:p>
    <w:tbl>
      <w:tblPr>
        <w:tblOverlap w:val="never"/>
        <w:jc w:val="left"/>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98,721,959.47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104,772,852.40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5.96%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其他国家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7,653,637.61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7,999,829.01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99" w:line="1" w:lineRule="exact"/>
      </w:pPr>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216,203,076.65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447,728,055.40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336,644,228.23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893,083,136.01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316,758,431.92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342,998,400.66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412,190,490.40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686,371,046.01</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归属于上市公司股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-3,289,460.95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32,362,130.58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11,034,118.47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-711,354,372.17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5,088,724.93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17,267,840.27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34,326,328.61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77,058,639.46</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-5,132,519.44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29,111,373.67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7,726,960.33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-733,461,802.24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4,803,117.78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15,709,150.97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33,754,197.45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69,936,462.57</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经营活动产生的现</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-340,174,175.30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185,034,907.02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-9,046,245.18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396,546,161.95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-229,436,233.61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-25,016,416.68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57,835,887.41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367,386,294.15</w:t>
            </w:r>
          </w:p>
        </w:tc>
      </w:tr>
    </w:tbl>
    <w:p>
      <w:pPr>
        <w:pStyle w:val="Style34"/>
        <w:keepNext w:val="0"/>
        <w:keepLines w:val="0"/>
        <w:widowControl w:val="0"/>
        <w:shd w:val="clear" w:color="auto" w:fill="auto"/>
        <w:bidi w:val="0"/>
        <w:spacing w:before="0" w:line="314" w:lineRule="exact"/>
        <w:ind w:left="0" w:right="0" w:firstLine="0"/>
        <w:jc w:val="both"/>
      </w:pPr>
      <w:r>
        <w:rPr>
          <w:color w:val="000000"/>
          <w:spacing w:val="0"/>
          <w:w w:val="100"/>
          <w:position w:val="0"/>
        </w:rPr>
        <w:t>说明经营季节性（或周期性）发生的原因及波动风险</w:t>
      </w:r>
    </w:p>
    <w:p>
      <w:pPr>
        <w:pStyle w:val="Style3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金融企业客户通常遵照预算决算体制，在年初完成预算的制定工作，年底进行决算。其预算、立项和采购均有一定的季节性 特征，因此金融科技企业的收入通常呈现一定的季节性波动。另在报告期末计提商誉减值准备也使得第四季度利润较前三季 度波动较大。</w:t>
      </w:r>
    </w:p>
    <w:p>
      <w:pPr>
        <w:pStyle w:val="Style38"/>
        <w:keepNext/>
        <w:keepLines/>
        <w:widowControl w:val="0"/>
        <w:shd w:val="clear" w:color="auto" w:fill="auto"/>
        <w:bidi w:val="0"/>
        <w:spacing w:before="0" w:after="380" w:line="240" w:lineRule="auto"/>
        <w:ind w:left="0" w:right="0" w:firstLine="0"/>
        <w:jc w:val="both"/>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8"/>
      <w:bookmarkEnd w:id="149"/>
      <w:bookmarkEnd w:id="151"/>
    </w:p>
    <w:p>
      <w:pPr>
        <w:pStyle w:val="Style3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银行金融业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1,404,265,366.06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1,148,091,469.16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-0.25%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323,416,065.13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259,019,003.31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w:t>
            </w:r>
          </w:p>
        </w:tc>
      </w:tr>
      <w:tr>
        <w:trPr>
          <w:trHeight w:val="403"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613,915,115.93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389,724,054.51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956,327,315.23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883,526,150.98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r>
      <w:tr>
        <w:trPr>
          <w:trHeight w:val="398"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1,207,990,132.48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1,009,087,208.22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-0.98%</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344,330,620.37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274,236,626.68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20.36%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-7.84%</w:t>
            </w:r>
          </w:p>
        </w:tc>
      </w:tr>
    </w:tbl>
    <w:p>
      <w:pPr>
        <w:pStyle w:val="Style34"/>
        <w:keepNext w:val="0"/>
        <w:keepLines w:val="0"/>
        <w:widowControl w:val="0"/>
        <w:shd w:val="clear" w:color="auto" w:fill="auto"/>
        <w:bidi w:val="0"/>
        <w:spacing w:before="0" w:after="240" w:line="322" w:lineRule="exact"/>
        <w:ind w:left="0" w:right="0" w:firstLine="0"/>
        <w:jc w:val="both"/>
      </w:pPr>
      <w:r>
        <w:rPr>
          <w:color w:val="000000"/>
          <w:spacing w:val="0"/>
          <w:w w:val="100"/>
          <w:position w:val="0"/>
        </w:rPr>
        <w:t>由于公司主营业务中金融科技业务的收入分类在报告期发生调整，公司对上一年度（</w:t>
      </w:r>
      <w:r>
        <w:rPr>
          <w:rFonts w:ascii="Times New Roman" w:eastAsia="Times New Roman" w:hAnsi="Times New Roman" w:cs="Times New Roman"/>
          <w:color w:val="000000"/>
          <w:spacing w:val="0"/>
          <w:w w:val="100"/>
          <w:position w:val="0"/>
        </w:rPr>
        <w:t>2019</w:t>
      </w:r>
      <w:r>
        <w:rPr>
          <w:color w:val="000000"/>
          <w:spacing w:val="0"/>
          <w:w w:val="100"/>
          <w:position w:val="0"/>
        </w:rPr>
        <w:t>）的收入分类数据，依照本年的分 类口径进行了如下还原：</w:t>
      </w:r>
      <w:r>
        <w:br w:type="page"/>
      </w:r>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659,581,906.79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436,279,285.76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775,833,124.12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719,024,495.98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11.54%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变更收入分类统计口径的理由</w:t>
      </w:r>
    </w:p>
    <w:p>
      <w:pPr>
        <w:pStyle w:val="Style34"/>
        <w:keepNext w:val="0"/>
        <w:keepLines w:val="0"/>
        <w:widowControl w:val="0"/>
        <w:shd w:val="clear" w:color="auto" w:fill="auto"/>
        <w:bidi w:val="0"/>
        <w:spacing w:before="0" w:after="340" w:line="314" w:lineRule="exact"/>
        <w:ind w:left="0" w:right="0"/>
        <w:jc w:val="both"/>
      </w:pPr>
      <w:r>
        <w:rPr>
          <w:color w:val="000000"/>
          <w:spacing w:val="0"/>
          <w:w w:val="100"/>
          <w:position w:val="0"/>
        </w:rPr>
        <w:t>为保证收入业务分类数据与行业惯例及公司管理整合变化趋势相一致，公司在</w:t>
      </w:r>
      <w:r>
        <w:rPr>
          <w:color w:val="000000"/>
          <w:spacing w:val="0"/>
          <w:w w:val="100"/>
          <w:position w:val="0"/>
        </w:rPr>
        <w:t>2020</w:t>
      </w:r>
      <w:r>
        <w:rPr>
          <w:color w:val="000000"/>
          <w:spacing w:val="0"/>
          <w:w w:val="100"/>
          <w:position w:val="0"/>
        </w:rPr>
        <w:t>年将原运维业务中与软件业务相关的 运维服务收入归集到软件开发及服务收入类别中，将原运维业务中与系统集成业务相关的运维服务收入归集到系统集成及服 务收入类别中。</w:t>
      </w:r>
    </w:p>
    <w:p>
      <w:pPr>
        <w:pStyle w:val="Style3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银行金融业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1,404,265,366.06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1,148,091,469.16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r>
      <w:tr>
        <w:trPr>
          <w:trHeight w:val="403"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613,915,115.93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389,724,054.51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956,327,315.23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883,526,150.98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22.88%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r>
      <w:tr>
        <w:trPr>
          <w:trHeight w:val="403"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960,387,661.80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816,105,138.86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296,593,665.02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231,278,450.60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22.02%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11.17%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w:t>
            </w:r>
          </w:p>
        </w:tc>
      </w:tr>
    </w:tbl>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上表为</w:t>
      </w:r>
      <w:r>
        <w:rPr>
          <w:rFonts w:ascii="Times New Roman" w:eastAsia="Times New Roman" w:hAnsi="Times New Roman" w:cs="Times New Roman"/>
          <w:color w:val="000000"/>
          <w:spacing w:val="0"/>
          <w:w w:val="100"/>
          <w:position w:val="0"/>
        </w:rPr>
        <w:t>2020</w:t>
      </w:r>
      <w:r>
        <w:rPr>
          <w:color w:val="000000"/>
          <w:spacing w:val="0"/>
          <w:w w:val="100"/>
          <w:position w:val="0"/>
        </w:rPr>
        <w:t>年度金融科技业务中主要业务分类数据</w:t>
      </w:r>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由于公司主营业务中金融科技业务的收入分类在报告期发生调整，公司对上一年度（</w:t>
      </w:r>
      <w:r>
        <w:rPr>
          <w:rFonts w:ascii="Times New Roman" w:eastAsia="Times New Roman" w:hAnsi="Times New Roman" w:cs="Times New Roman"/>
          <w:color w:val="000000"/>
          <w:spacing w:val="0"/>
          <w:w w:val="100"/>
          <w:position w:val="0"/>
        </w:rPr>
        <w:t>2019</w:t>
      </w:r>
      <w:r>
        <w:rPr>
          <w:color w:val="000000"/>
          <w:spacing w:val="0"/>
          <w:w w:val="100"/>
          <w:position w:val="0"/>
        </w:rPr>
        <w:t>）的收入分类数据，依照本年的分 类口径进行了如下还原：</w:t>
      </w:r>
    </w:p>
    <w:p>
      <w:pPr>
        <w:pStyle w:val="Style34"/>
        <w:keepNext w:val="0"/>
        <w:keepLines w:val="0"/>
        <w:widowControl w:val="0"/>
        <w:shd w:val="clear" w:color="auto" w:fill="auto"/>
        <w:bidi w:val="0"/>
        <w:spacing w:before="0" w:after="80" w:line="32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659,581,906.79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436,279,285.76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775,833,124.12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719,024,495.98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11.54%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pStyle w:val="Style38"/>
        <w:keepNext/>
        <w:keepLines/>
        <w:widowControl w:val="0"/>
        <w:shd w:val="clear" w:color="auto" w:fill="auto"/>
        <w:tabs>
          <w:tab w:pos="493" w:val="left"/>
        </w:tabs>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52"/>
      <w:bookmarkEnd w:id="153"/>
      <w:bookmarkEnd w:id="15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56"/>
      <w:bookmarkEnd w:id="157"/>
      <w:bookmarkEnd w:id="159"/>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60"/>
      <w:bookmarkEnd w:id="161"/>
      <w:bookmarkEnd w:id="163"/>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469,108.59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661,236.06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变动成本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58,072.22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323,432.12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-0.016%</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外购成本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258,491,822.50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210,481,456.95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外购成本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883,526,150.98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650,460,136.31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348,591,320.31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422,751,687.62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变动成本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31,400,816.99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37,896,004.01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外购成本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9,731,917.21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44,195,953.80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主营业务成本构成</w:t>
      </w:r>
    </w:p>
    <w:p>
      <w:pPr>
        <w:pStyle w:val="Style34"/>
        <w:keepNext w:val="0"/>
        <w:keepLines w:val="0"/>
        <w:widowControl w:val="0"/>
        <w:shd w:val="clear" w:color="auto" w:fill="auto"/>
        <w:bidi w:val="0"/>
        <w:spacing w:before="0" w:after="120" w:line="240" w:lineRule="auto"/>
        <w:ind w:left="0" w:right="1080" w:firstLine="0"/>
        <w:jc w:val="right"/>
      </w:pPr>
      <w:r>
        <w:rPr>
          <w:color w:val="000000"/>
          <w:spacing w:val="0"/>
          <w:w w:val="100"/>
          <w:position w:val="0"/>
        </w:rPr>
        <w:t>单位：元</w:t>
      </w:r>
    </w:p>
    <w:tbl>
      <w:tblPr>
        <w:tblOverlap w:val="never"/>
        <w:jc w:val="left"/>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893,258,068.19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694,656,090.11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348,591,320.31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422,751,687.62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变动成本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31,400,816.99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37,896,004.01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64"/>
      <w:bookmarkEnd w:id="165"/>
      <w:bookmarkEnd w:id="167"/>
    </w:p>
    <w:p>
      <w:pPr>
        <w:pStyle w:val="Style34"/>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4"/>
        <w:keepNext w:val="0"/>
        <w:keepLines w:val="0"/>
        <w:widowControl w:val="0"/>
        <w:shd w:val="clear" w:color="auto" w:fill="auto"/>
        <w:bidi w:val="0"/>
        <w:spacing w:before="0" w:after="40" w:line="314" w:lineRule="exact"/>
        <w:ind w:left="0" w:right="0"/>
        <w:jc w:val="left"/>
      </w:pPr>
      <w:bookmarkStart w:id="168" w:name="bookmark168"/>
      <w:r>
        <w:rPr>
          <w:rFonts w:ascii="Times New Roman" w:eastAsia="Times New Roman" w:hAnsi="Times New Roman" w:cs="Times New Roman"/>
          <w:color w:val="000000"/>
          <w:spacing w:val="0"/>
          <w:w w:val="100"/>
          <w:position w:val="0"/>
        </w:rPr>
        <w:t>1</w:t>
      </w:r>
      <w:bookmarkEnd w:id="168"/>
      <w:r>
        <w:rPr>
          <w:color w:val="000000"/>
          <w:spacing w:val="0"/>
          <w:w w:val="100"/>
          <w:position w:val="0"/>
        </w:rPr>
        <w:t>、以直接设立或投资等方式增加的子公司</w:t>
      </w:r>
    </w:p>
    <w:p>
      <w:pPr>
        <w:pStyle w:val="Style34"/>
        <w:keepNext w:val="0"/>
        <w:keepLines w:val="0"/>
        <w:widowControl w:val="0"/>
        <w:shd w:val="clear" w:color="auto" w:fill="auto"/>
        <w:tabs>
          <w:tab w:pos="762" w:val="left"/>
        </w:tabs>
        <w:bidi w:val="0"/>
        <w:spacing w:before="0" w:after="40" w:line="314" w:lineRule="exact"/>
        <w:ind w:left="0" w:right="0"/>
        <w:jc w:val="both"/>
      </w:pPr>
      <w:bookmarkStart w:id="169" w:name="bookmark169"/>
      <w:r>
        <w:rPr>
          <w:rFonts w:ascii="Times New Roman" w:eastAsia="Times New Roman" w:hAnsi="Times New Roman" w:cs="Times New Roman"/>
          <w:color w:val="000000"/>
          <w:spacing w:val="0"/>
          <w:w w:val="100"/>
          <w:position w:val="0"/>
        </w:rPr>
        <w:t>（</w:t>
      </w:r>
      <w:bookmarkEnd w:id="169"/>
      <w:r>
        <w:rPr>
          <w:rFonts w:ascii="Times New Roman" w:eastAsia="Times New Roman" w:hAnsi="Times New Roman" w:cs="Times New Roman"/>
          <w:color w:val="000000"/>
          <w:spacing w:val="0"/>
          <w:w w:val="100"/>
          <w:position w:val="0"/>
        </w:rPr>
        <w:t>1）</w:t>
        <w:tab/>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月，子公司坚果技术出资设立霍尔果斯坚果创娱信息技术有限公司（以下简称霍尔果斯坚果）。霍尔果斯坚 果于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日完成工商设立登记，注册资本为人民币</w:t>
      </w:r>
      <w:r>
        <w:rPr>
          <w:rFonts w:ascii="Times New Roman" w:eastAsia="Times New Roman" w:hAnsi="Times New Roman" w:cs="Times New Roman"/>
          <w:color w:val="000000"/>
          <w:spacing w:val="0"/>
          <w:w w:val="100"/>
          <w:position w:val="0"/>
        </w:rPr>
        <w:t>500.00</w:t>
      </w:r>
      <w:r>
        <w:rPr>
          <w:color w:val="000000"/>
          <w:spacing w:val="0"/>
          <w:w w:val="100"/>
          <w:position w:val="0"/>
        </w:rPr>
        <w:t>万元，全部由子公司坚果技术出资，拥有对其的控制权， 故自霍尔果斯坚果成立之日起，将其纳入合并财务报表范围。截止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日，子公司坚果技术尚未实际出资。</w:t>
      </w:r>
    </w:p>
    <w:p>
      <w:pPr>
        <w:pStyle w:val="Style34"/>
        <w:keepNext w:val="0"/>
        <w:keepLines w:val="0"/>
        <w:widowControl w:val="0"/>
        <w:shd w:val="clear" w:color="auto" w:fill="auto"/>
        <w:tabs>
          <w:tab w:pos="406" w:val="left"/>
        </w:tabs>
        <w:bidi w:val="0"/>
        <w:spacing w:before="0" w:after="140" w:line="314" w:lineRule="exact"/>
        <w:ind w:left="0" w:right="0"/>
        <w:jc w:val="both"/>
      </w:pPr>
      <w:bookmarkStart w:id="170" w:name="bookmark170"/>
      <w:r>
        <w:rPr>
          <w:rFonts w:ascii="Times New Roman" w:eastAsia="Times New Roman" w:hAnsi="Times New Roman" w:cs="Times New Roman"/>
          <w:color w:val="000000"/>
          <w:spacing w:val="0"/>
          <w:w w:val="100"/>
          <w:position w:val="0"/>
        </w:rPr>
        <w:t>（</w:t>
      </w:r>
      <w:bookmarkEnd w:id="170"/>
      <w:r>
        <w:rPr>
          <w:rFonts w:ascii="Times New Roman" w:eastAsia="Times New Roman" w:hAnsi="Times New Roman" w:cs="Times New Roman"/>
          <w:color w:val="000000"/>
          <w:spacing w:val="0"/>
          <w:w w:val="100"/>
          <w:position w:val="0"/>
        </w:rPr>
        <w:t>2）</w:t>
        <w:tab/>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月，子公司快读科技公出资设立成都市约莫科技有限公司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以下简称约莫科技</w:t>
      </w:r>
      <w:r>
        <w:rPr>
          <w:rFonts w:ascii="Times New Roman" w:eastAsia="Times New Roman" w:hAnsi="Times New Roman" w:cs="Times New Roman"/>
          <w:color w:val="000000"/>
          <w:spacing w:val="0"/>
          <w:w w:val="100"/>
          <w:position w:val="0"/>
        </w:rPr>
        <w:t>）</w:t>
      </w:r>
      <w:r>
        <w:rPr>
          <w:color w:val="000000"/>
          <w:spacing w:val="0"/>
          <w:w w:val="100"/>
          <w:position w:val="0"/>
        </w:rPr>
        <w:t>。约莫科技于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日完 </w:t>
      </w:r>
      <w:r>
        <w:rPr>
          <w:color w:val="000000"/>
          <w:spacing w:val="0"/>
          <w:w w:val="100"/>
          <w:position w:val="0"/>
        </w:rPr>
        <w:t>成工商设立登记，注册资本为人民币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万元，全部由子公司快读科技出资，拥有对其的控制权，故自约莫科技成立之日 起，将其纳入合并财务报表范围。截止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日，子公司快读科技尚未实际出资。</w:t>
      </w:r>
    </w:p>
    <w:p>
      <w:pPr>
        <w:pStyle w:val="Style34"/>
        <w:keepNext w:val="0"/>
        <w:keepLines w:val="0"/>
        <w:widowControl w:val="0"/>
        <w:shd w:val="clear" w:color="auto" w:fill="auto"/>
        <w:bidi w:val="0"/>
        <w:spacing w:before="0" w:after="0"/>
        <w:ind w:left="0" w:right="0"/>
        <w:jc w:val="both"/>
      </w:pPr>
      <w:bookmarkStart w:id="171" w:name="bookmark171"/>
      <w:r>
        <w:rPr>
          <w:rFonts w:ascii="Times New Roman" w:eastAsia="Times New Roman" w:hAnsi="Times New Roman" w:cs="Times New Roman"/>
          <w:color w:val="000000"/>
          <w:spacing w:val="0"/>
          <w:w w:val="100"/>
          <w:position w:val="0"/>
        </w:rPr>
        <w:t>2</w:t>
      </w:r>
      <w:bookmarkEnd w:id="171"/>
      <w:r>
        <w:rPr>
          <w:color w:val="000000"/>
          <w:spacing w:val="0"/>
          <w:w w:val="100"/>
          <w:position w:val="0"/>
        </w:rPr>
        <w:t>、因其他原因减少子公司的情况</w:t>
      </w:r>
    </w:p>
    <w:p>
      <w:pPr>
        <w:pStyle w:val="Style34"/>
        <w:keepNext w:val="0"/>
        <w:keepLines w:val="0"/>
        <w:widowControl w:val="0"/>
        <w:numPr>
          <w:ilvl w:val="0"/>
          <w:numId w:val="3"/>
        </w:numPr>
        <w:shd w:val="clear" w:color="auto" w:fill="auto"/>
        <w:tabs>
          <w:tab w:pos="766" w:val="left"/>
        </w:tabs>
        <w:bidi w:val="0"/>
        <w:spacing w:before="0" w:after="0" w:line="312" w:lineRule="exact"/>
        <w:ind w:left="0" w:right="0"/>
        <w:jc w:val="both"/>
      </w:pPr>
      <w:bookmarkStart w:id="172" w:name="bookmark172"/>
      <w:bookmarkEnd w:id="172"/>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喀什完美时空信息科技有限公司股东会决议公司解散。喀什完美时空信息科技有限公司已于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0</w:t>
      </w:r>
      <w:r>
        <w:rPr>
          <w:color w:val="000000"/>
          <w:spacing w:val="0"/>
          <w:w w:val="100"/>
          <w:position w:val="0"/>
        </w:rPr>
        <w:t>办妥注销手续。故自该公司注销时起，不再将其纳入合并财务报表范围。</w:t>
      </w:r>
    </w:p>
    <w:p>
      <w:pPr>
        <w:pStyle w:val="Style34"/>
        <w:keepNext w:val="0"/>
        <w:keepLines w:val="0"/>
        <w:widowControl w:val="0"/>
        <w:numPr>
          <w:ilvl w:val="0"/>
          <w:numId w:val="3"/>
        </w:numPr>
        <w:shd w:val="clear" w:color="auto" w:fill="auto"/>
        <w:tabs>
          <w:tab w:pos="762" w:val="left"/>
        </w:tabs>
        <w:bidi w:val="0"/>
        <w:spacing w:before="0" w:after="0" w:line="326" w:lineRule="exact"/>
        <w:ind w:left="0" w:right="0"/>
        <w:jc w:val="both"/>
      </w:pPr>
      <w:bookmarkStart w:id="173" w:name="bookmark173"/>
      <w:bookmarkEnd w:id="173"/>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喀什尚河信息科技有限公司股东会决议公司解散。喀什尚河信息科技有限公司已于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 xml:space="preserve">0 </w:t>
      </w:r>
      <w:r>
        <w:rPr>
          <w:color w:val="000000"/>
          <w:spacing w:val="0"/>
          <w:w w:val="100"/>
          <w:position w:val="0"/>
        </w:rPr>
        <w:t>办妥注销手续。故自该公司注销时起，不再将其纳入合并财务报表范围。</w:t>
      </w:r>
    </w:p>
    <w:p>
      <w:pPr>
        <w:pStyle w:val="Style34"/>
        <w:keepNext w:val="0"/>
        <w:keepLines w:val="0"/>
        <w:widowControl w:val="0"/>
        <w:numPr>
          <w:ilvl w:val="0"/>
          <w:numId w:val="3"/>
        </w:numPr>
        <w:shd w:val="clear" w:color="auto" w:fill="auto"/>
        <w:tabs>
          <w:tab w:pos="762" w:val="left"/>
        </w:tabs>
        <w:bidi w:val="0"/>
        <w:spacing w:before="0" w:after="0" w:line="312" w:lineRule="exact"/>
        <w:ind w:left="0" w:right="0"/>
        <w:jc w:val="both"/>
      </w:pPr>
      <w:bookmarkStart w:id="174" w:name="bookmark174"/>
      <w:bookmarkEnd w:id="174"/>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日，霍尔果斯魔力果信息技术有限公司股东会决议公司解散。霍尔果斯魔力果信息技术有限公司已于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日办妥注销手续。故自该公司注销时起，不再将其纳入合并财务报表范围。</w:t>
      </w:r>
    </w:p>
    <w:p>
      <w:pPr>
        <w:pStyle w:val="Style34"/>
        <w:keepNext w:val="0"/>
        <w:keepLines w:val="0"/>
        <w:widowControl w:val="0"/>
        <w:numPr>
          <w:ilvl w:val="0"/>
          <w:numId w:val="3"/>
        </w:numPr>
        <w:shd w:val="clear" w:color="auto" w:fill="auto"/>
        <w:tabs>
          <w:tab w:pos="762" w:val="left"/>
        </w:tabs>
        <w:bidi w:val="0"/>
        <w:spacing w:before="0" w:after="0" w:line="319" w:lineRule="exact"/>
        <w:ind w:left="0" w:right="0"/>
        <w:jc w:val="both"/>
      </w:pPr>
      <w:bookmarkStart w:id="175" w:name="bookmark175"/>
      <w:bookmarkEnd w:id="175"/>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日，公司批准北京伟达金科科技有限公司解散。北京伟达金科科技有限公司已于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日办妥 注销手续。故自该公司注销时起，不再将其纳入合并财务报表范围。</w:t>
      </w:r>
    </w:p>
    <w:p>
      <w:pPr>
        <w:pStyle w:val="Style34"/>
        <w:keepNext w:val="0"/>
        <w:keepLines w:val="0"/>
        <w:widowControl w:val="0"/>
        <w:numPr>
          <w:ilvl w:val="0"/>
          <w:numId w:val="3"/>
        </w:numPr>
        <w:shd w:val="clear" w:color="auto" w:fill="auto"/>
        <w:tabs>
          <w:tab w:pos="762" w:val="left"/>
        </w:tabs>
        <w:bidi w:val="0"/>
        <w:spacing w:before="0" w:after="380" w:line="319" w:lineRule="exact"/>
        <w:ind w:left="0" w:right="0"/>
        <w:jc w:val="both"/>
      </w:pPr>
      <w:bookmarkStart w:id="176" w:name="bookmark176"/>
      <w:bookmarkEnd w:id="176"/>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日，公司批准北京蚂达软件信息技术有限责任公司解散。北京蚂达软件信息技术有限责任公司已于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0</w:t>
      </w:r>
      <w:r>
        <w:rPr>
          <w:color w:val="000000"/>
          <w:spacing w:val="0"/>
          <w:w w:val="100"/>
          <w:position w:val="0"/>
        </w:rPr>
        <w:t>办妥注销手续。故自该公司注销时起，不再将其纳入合并财务报表范围。</w:t>
      </w:r>
    </w:p>
    <w:p>
      <w:pPr>
        <w:pStyle w:val="Style38"/>
        <w:keepNext/>
        <w:keepLines/>
        <w:widowControl w:val="0"/>
        <w:numPr>
          <w:ilvl w:val="0"/>
          <w:numId w:val="5"/>
        </w:numPr>
        <w:shd w:val="clear" w:color="auto" w:fill="auto"/>
        <w:bidi w:val="0"/>
        <w:spacing w:before="0" w:after="380" w:line="240" w:lineRule="auto"/>
        <w:ind w:left="0" w:right="0" w:firstLine="140"/>
        <w:jc w:val="left"/>
      </w:pPr>
      <w:bookmarkStart w:id="177" w:name="bookmark177"/>
      <w:bookmarkStart w:id="178" w:name="bookmark178"/>
      <w:bookmarkStart w:id="179" w:name="bookmark179"/>
      <w:bookmarkStart w:id="180" w:name="bookmark180"/>
      <w:bookmarkEnd w:id="179"/>
      <w:r>
        <w:rPr>
          <w:color w:val="000000"/>
          <w:spacing w:val="0"/>
          <w:w w:val="100"/>
          <w:position w:val="0"/>
        </w:rPr>
        <w:t>公司报告期内业务、产品或服务发生重大变化或调整有关情况</w:t>
      </w:r>
      <w:bookmarkEnd w:id="177"/>
      <w:bookmarkEnd w:id="178"/>
      <w:bookmarkEnd w:id="180"/>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numPr>
          <w:ilvl w:val="0"/>
          <w:numId w:val="5"/>
        </w:numPr>
        <w:shd w:val="clear" w:color="auto" w:fill="auto"/>
        <w:bidi w:val="0"/>
        <w:spacing w:before="0" w:after="380" w:line="240" w:lineRule="auto"/>
        <w:ind w:left="0" w:right="0" w:firstLine="140"/>
        <w:jc w:val="left"/>
      </w:pPr>
      <w:bookmarkStart w:id="181" w:name="bookmark181"/>
      <w:bookmarkStart w:id="182" w:name="bookmark182"/>
      <w:bookmarkStart w:id="183" w:name="bookmark183"/>
      <w:bookmarkStart w:id="184" w:name="bookmark184"/>
      <w:bookmarkEnd w:id="183"/>
      <w:r>
        <w:rPr>
          <w:color w:val="000000"/>
          <w:spacing w:val="0"/>
          <w:w w:val="100"/>
          <w:position w:val="0"/>
        </w:rPr>
        <w:t>主要销售客户和主要供应商情况</w:t>
      </w:r>
      <w:bookmarkEnd w:id="181"/>
      <w:bookmarkEnd w:id="182"/>
      <w:bookmarkEnd w:id="184"/>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left"/>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1,040,021,487.17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54.92%</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left"/>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657,141,088.00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132,944,660.93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7.02%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95,086,499.22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5.02%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83,084,849.06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4.39%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71,764,389.96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3.79%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1,040,021,487.17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54.92%</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left"/>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652,072,440.25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tbl>
      <w:tblPr>
        <w:tblOverlap w:val="never"/>
        <w:jc w:val="left"/>
        <w:tblLayout w:type="fixed"/>
      </w:tblPr>
      <w:tblGrid>
        <w:gridCol w:w="4267"/>
        <w:gridCol w:w="5318"/>
      </w:tblGrid>
      <w:tr>
        <w:trPr>
          <w:trHeight w:val="374"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left"/>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238,070,741.00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149,572,952.43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8.73%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109,316,668.96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6.38%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89,601,221.19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5.23%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65,510,856.67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3.82%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652,072,440.25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、费用</w:t>
      </w:r>
      <w:bookmarkEnd w:id="185"/>
      <w:bookmarkEnd w:id="186"/>
      <w:bookmarkEnd w:id="188"/>
    </w:p>
    <w:p>
      <w:pPr>
        <w:pStyle w:val="Style34"/>
        <w:keepNext w:val="0"/>
        <w:keepLines w:val="0"/>
        <w:widowControl w:val="0"/>
        <w:shd w:val="clear" w:color="auto" w:fill="auto"/>
        <w:bidi w:val="0"/>
        <w:spacing w:before="0" w:after="80" w:line="240" w:lineRule="auto"/>
        <w:ind w:left="0" w:right="1100" w:firstLine="0"/>
        <w:jc w:val="right"/>
      </w:pPr>
      <w:r>
        <w:rPr>
          <w:color w:val="000000"/>
          <w:spacing w:val="0"/>
          <w:w w:val="100"/>
          <w:position w:val="0"/>
        </w:rPr>
        <w:t>单位：元</w:t>
      </w:r>
    </w:p>
    <w:tbl>
      <w:tblPr>
        <w:tblOverlap w:val="never"/>
        <w:jc w:val="left"/>
        <w:tblLayout w:type="fixed"/>
      </w:tblPr>
      <w:tblGrid>
        <w:gridCol w:w="1925"/>
        <w:gridCol w:w="1637"/>
        <w:gridCol w:w="1637"/>
        <w:gridCol w:w="1046"/>
        <w:gridCol w:w="334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66,013,326.34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65,447,755.45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销售费用基本持平</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72,272,546.59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79,273,664.97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主要系公司严控预算考核，控制费用支出</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31,353,882.69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26,796,776.67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主要系公司融资规模扩大，融资成本增加 所致。</w:t>
            </w: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78,497,779.09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72,131,542.86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主要系集团内各子公司为提高技术创新能 力，增加研发投入所致</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、研发投入</w:t>
      </w:r>
      <w:bookmarkEnd w:id="189"/>
      <w:bookmarkEnd w:id="190"/>
      <w:bookmarkEnd w:id="192"/>
    </w:p>
    <w:p>
      <w:pPr>
        <w:pStyle w:val="Style34"/>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tabs>
          <w:tab w:pos="334" w:val="left"/>
        </w:tabs>
        <w:bidi w:val="0"/>
        <w:spacing w:before="0" w:after="40" w:line="312" w:lineRule="exact"/>
        <w:ind w:left="0" w:right="0" w:firstLine="0"/>
        <w:jc w:val="left"/>
      </w:pPr>
      <w:bookmarkStart w:id="193" w:name="bookmark193"/>
      <w:r>
        <w:rPr>
          <w:rFonts w:ascii="Times New Roman" w:eastAsia="Times New Roman" w:hAnsi="Times New Roman" w:cs="Times New Roman"/>
          <w:color w:val="000000"/>
          <w:spacing w:val="0"/>
          <w:w w:val="100"/>
          <w:position w:val="0"/>
        </w:rPr>
        <w:t>1</w:t>
      </w:r>
      <w:bookmarkEnd w:id="193"/>
      <w:r>
        <w:rPr>
          <w:color w:val="000000"/>
          <w:spacing w:val="0"/>
          <w:w w:val="100"/>
          <w:position w:val="0"/>
        </w:rPr>
        <w:t>、</w:t>
        <w:tab/>
        <w:t>新一代汽车金融服务平台软件：</w:t>
      </w:r>
    </w:p>
    <w:p>
      <w:pPr>
        <w:pStyle w:val="Style34"/>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该款软件产品面向汽车金融公司和融资租赁公司，是基于多年汽车金融领域精细耕耘的积累，并结合公司整体分布式技 术架构平台战略而研发出的新一代汽车金融软件平台产品。平台对汽车金融业务进行微服务划分，衍生出了金融产品、渠道 管理、进件、案件审批统、合同聚合、财务管理、银企管理、风控决策平台等业务子系统和金融核算、工作流、统一登陆、 数据仓库等工具化子系统。</w:t>
      </w:r>
    </w:p>
    <w:p>
      <w:pPr>
        <w:pStyle w:val="Style34"/>
        <w:keepNext w:val="0"/>
        <w:keepLines w:val="0"/>
        <w:widowControl w:val="0"/>
        <w:shd w:val="clear" w:color="auto" w:fill="auto"/>
        <w:bidi w:val="0"/>
        <w:spacing w:before="0" w:after="40" w:line="322" w:lineRule="exact"/>
        <w:ind w:left="0" w:right="0" w:firstLine="360"/>
        <w:jc w:val="both"/>
      </w:pPr>
      <w:r>
        <w:rPr>
          <w:color w:val="000000"/>
          <w:spacing w:val="0"/>
          <w:w w:val="100"/>
          <w:position w:val="0"/>
        </w:rPr>
        <w:t>技术上使用微服务技术，实现了多服务多子系统统一技术生态圈，统一登陆、统一授权，构建了分布式、微服务的应用 架构。</w:t>
      </w:r>
    </w:p>
    <w:p>
      <w:pPr>
        <w:pStyle w:val="Style34"/>
        <w:keepNext w:val="0"/>
        <w:keepLines w:val="0"/>
        <w:widowControl w:val="0"/>
        <w:shd w:val="clear" w:color="auto" w:fill="auto"/>
        <w:bidi w:val="0"/>
        <w:spacing w:before="0" w:after="40" w:line="302" w:lineRule="exact"/>
        <w:ind w:left="0" w:right="0" w:firstLine="360"/>
        <w:jc w:val="left"/>
      </w:pPr>
      <w:r>
        <w:rPr>
          <w:color w:val="000000"/>
          <w:spacing w:val="0"/>
          <w:w w:val="100"/>
          <w:position w:val="0"/>
        </w:rPr>
        <w:t>基于此软件的汽车金融平台在业务上实现了产品创新、业务创新、流程创新、金融生态融合，满足业务和技术上未来 的发展方向。</w:t>
      </w:r>
      <w:r>
        <w:rPr>
          <w:rFonts w:ascii="Times New Roman" w:eastAsia="Times New Roman" w:hAnsi="Times New Roman" w:cs="Times New Roman"/>
          <w:color w:val="000000"/>
          <w:spacing w:val="0"/>
          <w:w w:val="100"/>
          <w:position w:val="0"/>
        </w:rPr>
        <w:t>2020</w:t>
      </w:r>
      <w:r>
        <w:rPr>
          <w:color w:val="000000"/>
          <w:spacing w:val="0"/>
          <w:w w:val="100"/>
          <w:position w:val="0"/>
        </w:rPr>
        <w:t>年在长城滨银汽车金融得到了应用，预计未来将在汽车金融</w:t>
      </w:r>
      <w:r>
        <w:rPr>
          <w:rFonts w:ascii="Times New Roman" w:eastAsia="Times New Roman" w:hAnsi="Times New Roman" w:cs="Times New Roman"/>
          <w:color w:val="000000"/>
          <w:spacing w:val="0"/>
          <w:w w:val="100"/>
          <w:position w:val="0"/>
        </w:rPr>
        <w:t>IT</w:t>
      </w:r>
      <w:r>
        <w:rPr>
          <w:color w:val="000000"/>
          <w:spacing w:val="0"/>
          <w:w w:val="100"/>
          <w:position w:val="0"/>
        </w:rPr>
        <w:t>市场带了可观的市场效益。</w:t>
      </w:r>
    </w:p>
    <w:p>
      <w:pPr>
        <w:pStyle w:val="Style34"/>
        <w:keepNext w:val="0"/>
        <w:keepLines w:val="0"/>
        <w:widowControl w:val="0"/>
        <w:shd w:val="clear" w:color="auto" w:fill="auto"/>
        <w:tabs>
          <w:tab w:pos="354" w:val="left"/>
        </w:tabs>
        <w:bidi w:val="0"/>
        <w:spacing w:before="0" w:after="40" w:line="312" w:lineRule="exact"/>
        <w:ind w:left="0" w:right="0" w:firstLine="0"/>
        <w:jc w:val="left"/>
      </w:pPr>
      <w:bookmarkStart w:id="194" w:name="bookmark194"/>
      <w:r>
        <w:rPr>
          <w:rFonts w:ascii="Times New Roman" w:eastAsia="Times New Roman" w:hAnsi="Times New Roman" w:cs="Times New Roman"/>
          <w:color w:val="000000"/>
          <w:spacing w:val="0"/>
          <w:w w:val="100"/>
          <w:position w:val="0"/>
        </w:rPr>
        <w:t>2</w:t>
      </w:r>
      <w:bookmarkEnd w:id="194"/>
      <w:r>
        <w:rPr>
          <w:color w:val="000000"/>
          <w:spacing w:val="0"/>
          <w:w w:val="100"/>
          <w:position w:val="0"/>
        </w:rPr>
        <w:t>、</w:t>
        <w:tab/>
      </w:r>
      <w:r>
        <w:rPr>
          <w:rFonts w:ascii="Times New Roman" w:eastAsia="Times New Roman" w:hAnsi="Times New Roman" w:cs="Times New Roman"/>
          <w:color w:val="000000"/>
          <w:spacing w:val="0"/>
          <w:w w:val="100"/>
          <w:position w:val="0"/>
        </w:rPr>
        <w:t>iPaaS</w:t>
      </w:r>
      <w:r>
        <w:rPr>
          <w:color w:val="000000"/>
          <w:spacing w:val="0"/>
          <w:w w:val="100"/>
          <w:position w:val="0"/>
        </w:rPr>
        <w:t>中间件应用平台</w:t>
      </w:r>
    </w:p>
    <w:p>
      <w:pPr>
        <w:pStyle w:val="Style34"/>
        <w:keepNext w:val="0"/>
        <w:keepLines w:val="0"/>
        <w:widowControl w:val="0"/>
        <w:shd w:val="clear" w:color="auto" w:fill="auto"/>
        <w:bidi w:val="0"/>
        <w:spacing w:before="0" w:after="0" w:line="307" w:lineRule="exact"/>
        <w:ind w:left="0" w:right="0" w:firstLine="360"/>
        <w:jc w:val="left"/>
      </w:pPr>
      <w:r>
        <w:rPr>
          <w:color w:val="000000"/>
          <w:spacing w:val="0"/>
          <w:w w:val="100"/>
          <w:position w:val="0"/>
        </w:rPr>
        <w:t>公司预计随着云计算、物联网以及数字开发平台的成熟，企业在中间件工具上的投资和需求将会出现历史新高。今天的 企业需要灵活、可消费、敏捷和动态的集成能力，</w:t>
      </w:r>
      <w:r>
        <w:rPr>
          <w:rFonts w:ascii="Times New Roman" w:eastAsia="Times New Roman" w:hAnsi="Times New Roman" w:cs="Times New Roman"/>
          <w:color w:val="000000"/>
          <w:spacing w:val="0"/>
          <w:w w:val="100"/>
          <w:position w:val="0"/>
        </w:rPr>
        <w:t>iPaaS</w:t>
      </w:r>
      <w:r>
        <w:rPr>
          <w:color w:val="000000"/>
          <w:spacing w:val="0"/>
          <w:w w:val="100"/>
          <w:position w:val="0"/>
        </w:rPr>
        <w:t>平台作为一种较新类型的云服务模式势必成为新宠。未来类似的项 目也会对</w:t>
      </w:r>
      <w:r>
        <w:rPr>
          <w:rFonts w:ascii="Times New Roman" w:eastAsia="Times New Roman" w:hAnsi="Times New Roman" w:cs="Times New Roman"/>
          <w:color w:val="000000"/>
          <w:spacing w:val="0"/>
          <w:w w:val="100"/>
          <w:position w:val="0"/>
        </w:rPr>
        <w:t>iPaa S</w:t>
      </w:r>
      <w:r>
        <w:rPr>
          <w:color w:val="000000"/>
          <w:spacing w:val="0"/>
          <w:w w:val="100"/>
          <w:position w:val="0"/>
        </w:rPr>
        <w:t>中间件有较高的功能及技术要求。公司基于类似的市场场景，针对</w:t>
      </w:r>
      <w:r>
        <w:rPr>
          <w:rFonts w:ascii="Times New Roman" w:eastAsia="Times New Roman" w:hAnsi="Times New Roman" w:cs="Times New Roman"/>
          <w:color w:val="000000"/>
          <w:spacing w:val="0"/>
          <w:w w:val="100"/>
          <w:position w:val="0"/>
        </w:rPr>
        <w:t>iPaa S</w:t>
      </w:r>
      <w:r>
        <w:rPr>
          <w:color w:val="000000"/>
          <w:spacing w:val="0"/>
          <w:w w:val="100"/>
          <w:position w:val="0"/>
        </w:rPr>
        <w:t xml:space="preserve">中间件平台所需具备的功能进行产品 </w:t>
      </w:r>
      <w:r>
        <w:rPr>
          <w:color w:val="000000"/>
          <w:spacing w:val="0"/>
          <w:w w:val="100"/>
          <w:position w:val="0"/>
        </w:rPr>
        <w:t>设计和研发，将工作流组件、规则引擎、模板服务、搜索引擎、文件服务等不可或缺的核心功能结合混合云的运营业务流程 进行了设计研发；</w:t>
      </w:r>
    </w:p>
    <w:p>
      <w:pPr>
        <w:pStyle w:val="Style34"/>
        <w:keepNext w:val="0"/>
        <w:keepLines w:val="0"/>
        <w:widowControl w:val="0"/>
        <w:shd w:val="clear" w:color="auto" w:fill="auto"/>
        <w:bidi w:val="0"/>
        <w:spacing w:before="0" w:after="140" w:line="317" w:lineRule="exact"/>
        <w:ind w:left="0" w:right="0" w:firstLine="360"/>
        <w:jc w:val="both"/>
      </w:pPr>
      <w:r>
        <w:rPr>
          <w:rFonts w:ascii="Arial" w:eastAsia="Arial" w:hAnsi="Arial" w:cs="Arial"/>
          <w:color w:val="000000"/>
          <w:spacing w:val="0"/>
          <w:w w:val="100"/>
          <w:position w:val="0"/>
          <w:sz w:val="15"/>
          <w:szCs w:val="15"/>
        </w:rPr>
        <w:t>i</w:t>
      </w:r>
      <w:r>
        <w:rPr>
          <w:rFonts w:ascii="Times New Roman" w:eastAsia="Times New Roman" w:hAnsi="Times New Roman" w:cs="Times New Roman"/>
          <w:color w:val="000000"/>
          <w:spacing w:val="0"/>
          <w:w w:val="100"/>
          <w:position w:val="0"/>
        </w:rPr>
        <w:t>paa S</w:t>
      </w:r>
      <w:r>
        <w:rPr>
          <w:color w:val="000000"/>
          <w:spacing w:val="0"/>
          <w:w w:val="100"/>
          <w:position w:val="0"/>
        </w:rPr>
        <w:t>中间件平台产品采用微服务架构，建立</w:t>
      </w:r>
      <w:r>
        <w:rPr>
          <w:rFonts w:ascii="Times New Roman" w:eastAsia="Times New Roman" w:hAnsi="Times New Roman" w:cs="Times New Roman"/>
          <w:color w:val="000000"/>
          <w:spacing w:val="0"/>
          <w:w w:val="100"/>
          <w:position w:val="0"/>
        </w:rPr>
        <w:t>PaaS</w:t>
      </w:r>
      <w:r>
        <w:rPr>
          <w:color w:val="000000"/>
          <w:spacing w:val="0"/>
          <w:w w:val="100"/>
          <w:position w:val="0"/>
        </w:rPr>
        <w:t>层规则引擎服务，利用</w:t>
      </w:r>
      <w:r>
        <w:rPr>
          <w:rFonts w:ascii="Times New Roman" w:eastAsia="Times New Roman" w:hAnsi="Times New Roman" w:cs="Times New Roman"/>
          <w:color w:val="000000"/>
          <w:spacing w:val="0"/>
          <w:w w:val="100"/>
          <w:position w:val="0"/>
        </w:rPr>
        <w:t>S pringCloud+Activiti</w:t>
      </w:r>
      <w:r>
        <w:rPr>
          <w:color w:val="000000"/>
          <w:spacing w:val="0"/>
          <w:w w:val="100"/>
          <w:position w:val="0"/>
        </w:rPr>
        <w:t>构建基础工作流引擎服务， 实现可视化流程设计，流程动态发布管理，应用程序与表单的集成使用，流程环节的监控及图形化展示，并提供开放</w:t>
      </w:r>
      <w:r>
        <w:rPr>
          <w:rFonts w:ascii="Times New Roman" w:eastAsia="Times New Roman" w:hAnsi="Times New Roman" w:cs="Times New Roman"/>
          <w:color w:val="000000"/>
          <w:spacing w:val="0"/>
          <w:w w:val="100"/>
          <w:position w:val="0"/>
        </w:rPr>
        <w:t xml:space="preserve">APL </w:t>
      </w:r>
      <w:r>
        <w:rPr>
          <w:color w:val="000000"/>
          <w:spacing w:val="0"/>
          <w:w w:val="100"/>
          <w:position w:val="0"/>
        </w:rPr>
        <w:t>实现灵活的控制管理，为业务系统提供支持服务，帮助企业更容易地管理、维护本地和多云应用程序环境中的混合资源，同 时助力公司的产品在更广泛的行业中取得成就扩展业务范围。</w:t>
      </w:r>
    </w:p>
    <w:p>
      <w:pPr>
        <w:pStyle w:val="Style34"/>
        <w:keepNext w:val="0"/>
        <w:keepLines w:val="0"/>
        <w:widowControl w:val="0"/>
        <w:shd w:val="clear" w:color="auto" w:fill="auto"/>
        <w:tabs>
          <w:tab w:pos="284" w:val="left"/>
        </w:tabs>
        <w:bidi w:val="0"/>
        <w:spacing w:before="0" w:after="0"/>
        <w:ind w:left="0" w:right="0" w:firstLine="0"/>
        <w:jc w:val="left"/>
      </w:pPr>
      <w:bookmarkStart w:id="195" w:name="bookmark195"/>
      <w:r>
        <w:rPr>
          <w:rFonts w:ascii="Times New Roman" w:eastAsia="Times New Roman" w:hAnsi="Times New Roman" w:cs="Times New Roman"/>
          <w:color w:val="000000"/>
          <w:spacing w:val="0"/>
          <w:w w:val="100"/>
          <w:position w:val="0"/>
        </w:rPr>
        <w:t>3</w:t>
      </w:r>
      <w:bookmarkEnd w:id="195"/>
      <w:r>
        <w:rPr>
          <w:color w:val="000000"/>
          <w:spacing w:val="0"/>
          <w:w w:val="100"/>
          <w:position w:val="0"/>
        </w:rPr>
        <w:t>、</w:t>
        <w:tab/>
        <w:t>银行互联网用户中心平台：</w:t>
      </w:r>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银行互联网用户中心平台，是传统的企业级客户信息管理系统</w:t>
      </w:r>
      <w:r>
        <w:rPr>
          <w:color w:val="000000"/>
          <w:spacing w:val="0"/>
          <w:w w:val="100"/>
          <w:position w:val="0"/>
        </w:rPr>
        <w:t>（</w:t>
      </w:r>
      <w:r>
        <w:rPr>
          <w:rFonts w:ascii="Times New Roman" w:eastAsia="Times New Roman" w:hAnsi="Times New Roman" w:cs="Times New Roman"/>
          <w:color w:val="000000"/>
          <w:spacing w:val="0"/>
          <w:w w:val="100"/>
          <w:position w:val="0"/>
        </w:rPr>
        <w:t>EASYECIF</w:t>
      </w:r>
      <w:r>
        <w:rPr>
          <w:color w:val="000000"/>
          <w:spacing w:val="0"/>
          <w:w w:val="100"/>
          <w:position w:val="0"/>
        </w:rPr>
        <w:t>）</w:t>
      </w:r>
      <w:r>
        <w:rPr>
          <w:color w:val="000000"/>
          <w:spacing w:val="0"/>
          <w:w w:val="100"/>
          <w:position w:val="0"/>
        </w:rPr>
        <w:t>在互联网领域的延展。将方便用户系统审 视全局，制定符合市场诉求的数据规划，并基于规划整合传统用户数据和互联网用户数据。在系统建设过程中同步驱动用户 数据治理，提升用户数据质量和用户信息服务能力，为未来各层次用户数据应用提供准确数据和技术保障。</w:t>
      </w:r>
    </w:p>
    <w:p>
      <w:pPr>
        <w:pStyle w:val="Style34"/>
        <w:keepNext w:val="0"/>
        <w:keepLines w:val="0"/>
        <w:widowControl w:val="0"/>
        <w:shd w:val="clear" w:color="auto" w:fill="auto"/>
        <w:bidi w:val="0"/>
        <w:spacing w:before="0" w:after="140" w:line="315" w:lineRule="exact"/>
        <w:ind w:left="0" w:right="0" w:firstLine="0"/>
        <w:jc w:val="both"/>
      </w:pPr>
      <w:r>
        <w:rPr>
          <w:color w:val="000000"/>
          <w:spacing w:val="0"/>
          <w:w w:val="100"/>
          <w:position w:val="0"/>
        </w:rPr>
        <w:t>互联网用户中心平台基于微服务体系构建，完全符合银行的新一代</w:t>
      </w:r>
      <w:r>
        <w:rPr>
          <w:rFonts w:ascii="Times New Roman" w:eastAsia="Times New Roman" w:hAnsi="Times New Roman" w:cs="Times New Roman"/>
          <w:color w:val="000000"/>
          <w:spacing w:val="0"/>
          <w:w w:val="100"/>
          <w:position w:val="0"/>
        </w:rPr>
        <w:t>IT</w:t>
      </w:r>
      <w:r>
        <w:rPr>
          <w:color w:val="000000"/>
          <w:spacing w:val="0"/>
          <w:w w:val="100"/>
          <w:position w:val="0"/>
        </w:rPr>
        <w:t>规划。系统提供包括用户基础信息管理、用户认证信息 管理、用户设备管理、用户生命周期管理等一系列职能。平台的产品化程度较高，基本实现功能配置化，服务标准化，部署 便捷化，运维可视化，有效降低实施成本，提升系统接入体验。本系统专业性较高，对其它系统的依赖程度相对较低，对银 行其他业务系统的改造要求不高，适用性较强。可面向金融、泛金融业进行全面推广。</w:t>
      </w:r>
    </w:p>
    <w:p>
      <w:pPr>
        <w:pStyle w:val="Style34"/>
        <w:keepNext w:val="0"/>
        <w:keepLines w:val="0"/>
        <w:widowControl w:val="0"/>
        <w:shd w:val="clear" w:color="auto" w:fill="auto"/>
        <w:tabs>
          <w:tab w:pos="294" w:val="left"/>
        </w:tabs>
        <w:bidi w:val="0"/>
        <w:spacing w:before="0" w:after="0"/>
        <w:ind w:left="0" w:right="0" w:firstLine="0"/>
        <w:jc w:val="both"/>
      </w:pPr>
      <w:bookmarkStart w:id="196" w:name="bookmark196"/>
      <w:r>
        <w:rPr>
          <w:rFonts w:ascii="Times New Roman" w:eastAsia="Times New Roman" w:hAnsi="Times New Roman" w:cs="Times New Roman"/>
          <w:color w:val="000000"/>
          <w:spacing w:val="0"/>
          <w:w w:val="100"/>
          <w:position w:val="0"/>
        </w:rPr>
        <w:t>4</w:t>
      </w:r>
      <w:bookmarkEnd w:id="196"/>
      <w:r>
        <w:rPr>
          <w:color w:val="000000"/>
          <w:spacing w:val="0"/>
          <w:w w:val="100"/>
          <w:position w:val="0"/>
        </w:rPr>
        <w:t>、</w:t>
        <w:tab/>
        <w:t>新信贷业务系统</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信贷业务系统</w:t>
      </w:r>
      <w:r>
        <w:rPr>
          <w:rFonts w:ascii="Times New Roman" w:eastAsia="Times New Roman" w:hAnsi="Times New Roman" w:cs="Times New Roman"/>
          <w:color w:val="000000"/>
          <w:spacing w:val="0"/>
          <w:w w:val="100"/>
          <w:position w:val="0"/>
        </w:rPr>
        <w:t>V8.0</w:t>
      </w:r>
      <w:r>
        <w:rPr>
          <w:color w:val="000000"/>
          <w:spacing w:val="0"/>
          <w:w w:val="100"/>
          <w:position w:val="0"/>
        </w:rPr>
        <w:t>研发项目建设过程中有效地结合行业监管政策、金融机构信贷管理制度、行业法律法规等，以确保系 统的建设能有效契合银行业信贷管理的实际需要，有力的支持银行业信贷业务的全面提升。该系统引入先进的信贷管理系统 技术平台，以</w:t>
      </w:r>
      <w:r>
        <w:rPr>
          <w:rFonts w:ascii="Times New Roman" w:eastAsia="Times New Roman" w:hAnsi="Times New Roman" w:cs="Times New Roman"/>
          <w:color w:val="000000"/>
          <w:spacing w:val="0"/>
          <w:w w:val="100"/>
          <w:position w:val="0"/>
        </w:rPr>
        <w:t>“</w:t>
      </w:r>
      <w:r>
        <w:rPr>
          <w:color w:val="000000"/>
          <w:spacing w:val="0"/>
          <w:w w:val="100"/>
          <w:position w:val="0"/>
        </w:rPr>
        <w:t>适用性、灵活性、经济性、可操作性、安全性、规范性、可靠性、可扩展性</w:t>
      </w:r>
      <w:r>
        <w:rPr>
          <w:rFonts w:ascii="Times New Roman" w:eastAsia="Times New Roman" w:hAnsi="Times New Roman" w:cs="Times New Roman"/>
          <w:color w:val="000000"/>
          <w:spacing w:val="0"/>
          <w:w w:val="100"/>
          <w:position w:val="0"/>
        </w:rPr>
        <w:t>”</w:t>
      </w:r>
      <w:r>
        <w:rPr>
          <w:color w:val="000000"/>
          <w:spacing w:val="0"/>
          <w:w w:val="100"/>
          <w:position w:val="0"/>
        </w:rPr>
        <w:t>为建设原则完成研发产品。项目 建设范围实现信贷管理系统支持独立账务核算；通过细分客户群体，建立评级模型，实现对不同客户群体的差别化流程控制； 支持授信管理、利率定价、押品管理、风险分类、贷后管理和统计查询等功能；拥有完善的风险防范及预警机制；支持多渠 道办理业务，支持移动端及互联网端业务的应用。通过建设信贷业务系统</w:t>
      </w:r>
      <w:r>
        <w:rPr>
          <w:rFonts w:ascii="Times New Roman" w:eastAsia="Times New Roman" w:hAnsi="Times New Roman" w:cs="Times New Roman"/>
          <w:color w:val="000000"/>
          <w:spacing w:val="0"/>
          <w:w w:val="100"/>
          <w:position w:val="0"/>
        </w:rPr>
        <w:t>V</w:t>
      </w:r>
      <w:r>
        <w:rPr>
          <w:rFonts w:ascii="Times New Roman" w:eastAsia="Times New Roman" w:hAnsi="Times New Roman" w:cs="Times New Roman"/>
          <w:color w:val="000000"/>
          <w:spacing w:val="0"/>
          <w:w w:val="100"/>
          <w:position w:val="0"/>
        </w:rPr>
        <w:t>8.0</w:t>
      </w:r>
      <w:r>
        <w:rPr>
          <w:color w:val="000000"/>
          <w:spacing w:val="0"/>
          <w:w w:val="100"/>
          <w:position w:val="0"/>
        </w:rPr>
        <w:t>,</w:t>
      </w:r>
      <w:r>
        <w:rPr>
          <w:color w:val="000000"/>
          <w:spacing w:val="0"/>
          <w:w w:val="100"/>
          <w:position w:val="0"/>
        </w:rPr>
        <w:t>提供一套先进的风险控制平台和工具。</w:t>
      </w:r>
    </w:p>
    <w:p>
      <w:pPr>
        <w:pStyle w:val="Style3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研发完成的基础上，研发成果在邮储银行资产质量管理系统、河北农信新一代信贷管理系统项目中得到应用，预期在未来能 够为公司带来市场效益。</w:t>
      </w:r>
    </w:p>
    <w:p>
      <w:pPr>
        <w:pStyle w:val="Style34"/>
        <w:keepNext w:val="0"/>
        <w:keepLines w:val="0"/>
        <w:widowControl w:val="0"/>
        <w:shd w:val="clear" w:color="auto" w:fill="auto"/>
        <w:tabs>
          <w:tab w:pos="294" w:val="left"/>
        </w:tabs>
        <w:bidi w:val="0"/>
        <w:spacing w:before="0" w:after="0"/>
        <w:ind w:left="0" w:right="0" w:firstLine="0"/>
        <w:jc w:val="both"/>
      </w:pPr>
      <w:bookmarkStart w:id="197" w:name="bookmark197"/>
      <w:r>
        <w:rPr>
          <w:rFonts w:ascii="Times New Roman" w:eastAsia="Times New Roman" w:hAnsi="Times New Roman" w:cs="Times New Roman"/>
          <w:color w:val="000000"/>
          <w:spacing w:val="0"/>
          <w:w w:val="100"/>
          <w:position w:val="0"/>
        </w:rPr>
        <w:t>5</w:t>
      </w:r>
      <w:bookmarkEnd w:id="197"/>
      <w:r>
        <w:rPr>
          <w:color w:val="000000"/>
          <w:spacing w:val="0"/>
          <w:w w:val="100"/>
          <w:position w:val="0"/>
        </w:rPr>
        <w:t>、</w:t>
        <w:tab/>
        <w:t>信贷应用开发平台（支持分布式架构）</w:t>
      </w:r>
      <w:r>
        <w:rPr>
          <w:rFonts w:ascii="Times New Roman" w:eastAsia="Times New Roman" w:hAnsi="Times New Roman" w:cs="Times New Roman"/>
          <w:color w:val="000000"/>
          <w:spacing w:val="0"/>
          <w:w w:val="100"/>
          <w:position w:val="0"/>
        </w:rPr>
        <w:t>V2.0</w:t>
      </w:r>
    </w:p>
    <w:p>
      <w:pPr>
        <w:pStyle w:val="Style34"/>
        <w:keepNext w:val="0"/>
        <w:keepLines w:val="0"/>
        <w:widowControl w:val="0"/>
        <w:shd w:val="clear" w:color="auto" w:fill="auto"/>
        <w:bidi w:val="0"/>
        <w:spacing w:before="0" w:after="0" w:line="316" w:lineRule="exact"/>
        <w:ind w:left="0" w:right="0" w:firstLine="360"/>
        <w:jc w:val="left"/>
      </w:pPr>
      <w:r>
        <w:rPr>
          <w:color w:val="000000"/>
          <w:spacing w:val="0"/>
          <w:w w:val="100"/>
          <w:position w:val="0"/>
        </w:rPr>
        <w:t>支持分布式架构的信贷应用开发平台</w:t>
      </w:r>
      <w:r>
        <w:rPr>
          <w:rFonts w:ascii="Times New Roman" w:eastAsia="Times New Roman" w:hAnsi="Times New Roman" w:cs="Times New Roman"/>
          <w:color w:val="000000"/>
          <w:spacing w:val="0"/>
          <w:w w:val="100"/>
          <w:position w:val="0"/>
        </w:rPr>
        <w:t>V2.0</w:t>
      </w:r>
      <w:r>
        <w:rPr>
          <w:color w:val="000000"/>
          <w:spacing w:val="0"/>
          <w:w w:val="100"/>
          <w:position w:val="0"/>
        </w:rPr>
        <w:t>的建设，能有效地平衡软件目标（用户需求目标或者市场定位目标）与技术特 性。通过基础开发平台的建设，满足高性能、高度抽象以及高可扩展性等特性，同时还满足高可靠、高安全等特性的要求。 此次开发平台的建设针对高性能、高可用性、高可靠、高安全等特性进行了设计，实现统一的技术框架、统一的数据规范、 统一的开发规范。项目建设范围包括支持分布式的信贷应用平台技术规范制定、平台技术架构设计、开发平台建设、报表平 台建设、平台非功能性设计、平台应用软硬件资源配置设计等内容。</w:t>
      </w:r>
    </w:p>
    <w:p>
      <w:pPr>
        <w:pStyle w:val="Style3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在完成产品研发的基础上，研发成果在邮储银行资产质量管理系统、河北农信新一代信贷管理系统项目中得到应用，预 期在未来能够为公司带来市场效益。</w:t>
      </w:r>
    </w:p>
    <w:p>
      <w:pPr>
        <w:pStyle w:val="Style34"/>
        <w:keepNext w:val="0"/>
        <w:keepLines w:val="0"/>
        <w:widowControl w:val="0"/>
        <w:shd w:val="clear" w:color="auto" w:fill="auto"/>
        <w:tabs>
          <w:tab w:pos="294" w:val="left"/>
        </w:tabs>
        <w:bidi w:val="0"/>
        <w:spacing w:before="0" w:after="0"/>
        <w:ind w:left="0" w:right="0" w:firstLine="0"/>
        <w:jc w:val="left"/>
      </w:pPr>
      <w:bookmarkStart w:id="198" w:name="bookmark198"/>
      <w:r>
        <w:rPr>
          <w:rFonts w:ascii="Times New Roman" w:eastAsia="Times New Roman" w:hAnsi="Times New Roman" w:cs="Times New Roman"/>
          <w:color w:val="000000"/>
          <w:spacing w:val="0"/>
          <w:w w:val="100"/>
          <w:position w:val="0"/>
        </w:rPr>
        <w:t>6</w:t>
      </w:r>
      <w:bookmarkEnd w:id="198"/>
      <w:r>
        <w:rPr>
          <w:color w:val="000000"/>
          <w:spacing w:val="0"/>
          <w:w w:val="100"/>
          <w:position w:val="0"/>
        </w:rPr>
        <w:t>、</w:t>
        <w:tab/>
        <w:t>供应链票据业务管理平台</w:t>
      </w:r>
    </w:p>
    <w:p>
      <w:pPr>
        <w:pStyle w:val="Style34"/>
        <w:keepNext w:val="0"/>
        <w:keepLines w:val="0"/>
        <w:widowControl w:val="0"/>
        <w:shd w:val="clear" w:color="auto" w:fill="auto"/>
        <w:bidi w:val="0"/>
        <w:spacing w:before="0" w:after="0" w:line="322"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年，根据商务部、工业和信息化部、人民银行等八部委推动应收账款规范创新的政策要求，上海票交所启动了票交 所供应链票据平台的基础建设，公司紧跟监管步伐快速推进供应链票据业务管理平台（简称</w:t>
      </w:r>
      <w:r>
        <w:rPr>
          <w:rFonts w:ascii="Times New Roman" w:eastAsia="Times New Roman" w:hAnsi="Times New Roman" w:cs="Times New Roman"/>
          <w:color w:val="000000"/>
          <w:spacing w:val="0"/>
          <w:w w:val="100"/>
          <w:position w:val="0"/>
        </w:rPr>
        <w:t>“</w:t>
      </w:r>
      <w:r>
        <w:rPr>
          <w:color w:val="000000"/>
          <w:spacing w:val="0"/>
          <w:w w:val="100"/>
          <w:position w:val="0"/>
        </w:rPr>
        <w:t>供票平台</w:t>
      </w:r>
      <w:r>
        <w:rPr>
          <w:rFonts w:ascii="Times New Roman" w:eastAsia="Times New Roman" w:hAnsi="Times New Roman" w:cs="Times New Roman"/>
          <w:color w:val="000000"/>
          <w:spacing w:val="0"/>
          <w:w w:val="100"/>
          <w:position w:val="0"/>
        </w:rPr>
        <w:t>”</w:t>
      </w:r>
      <w:r>
        <w:rPr>
          <w:color w:val="000000"/>
          <w:spacing w:val="0"/>
          <w:w w:val="100"/>
          <w:position w:val="0"/>
        </w:rPr>
        <w:t>）的研发。</w:t>
      </w:r>
    </w:p>
    <w:p>
      <w:pPr>
        <w:pStyle w:val="Style34"/>
        <w:keepNext w:val="0"/>
        <w:keepLines w:val="0"/>
        <w:widowControl w:val="0"/>
        <w:shd w:val="clear" w:color="auto" w:fill="auto"/>
        <w:bidi w:val="0"/>
        <w:spacing w:before="0" w:after="0" w:line="314" w:lineRule="exact"/>
        <w:ind w:left="0" w:right="0" w:firstLine="360"/>
        <w:jc w:val="left"/>
      </w:pPr>
      <w:r>
        <w:rPr>
          <w:color w:val="000000"/>
          <w:spacing w:val="0"/>
          <w:w w:val="100"/>
          <w:position w:val="0"/>
        </w:rPr>
        <w:t>供票平台通过与企业供应链平台和票交所供应链票据平台集成对接，为企业提供出票、承兑、背书、质押、保证、贴现、 存托、交易、到期处理、信息服务等商业汇票全生命周期线上服务，同时支持金融机构通过贴现、标准化票据等方式为企业 提供融资服务。</w:t>
      </w:r>
    </w:p>
    <w:p>
      <w:pPr>
        <w:pStyle w:val="Style34"/>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公司研发的供票平台面向以核心企业为中心的供应链企业提供票据流转和融资服务，与之前研发的产品一道面向</w:t>
      </w:r>
      <w:r>
        <w:rPr>
          <w:rFonts w:ascii="Times New Roman" w:eastAsia="Times New Roman" w:hAnsi="Times New Roman" w:cs="Times New Roman"/>
          <w:color w:val="000000"/>
          <w:spacing w:val="0"/>
          <w:w w:val="100"/>
          <w:position w:val="0"/>
        </w:rPr>
        <w:t>B2B</w:t>
      </w:r>
      <w:r>
        <w:rPr>
          <w:color w:val="000000"/>
          <w:spacing w:val="0"/>
          <w:w w:val="100"/>
          <w:position w:val="0"/>
        </w:rPr>
        <w:t>平 台电商企业、供应链企业而提供线上票据支付服务，产品之间互为依托、有效结合，从不同场景为企业客户提供全方位的融 资和支付金融服务。</w:t>
      </w:r>
    </w:p>
    <w:p>
      <w:pPr>
        <w:pStyle w:val="Style34"/>
        <w:keepNext w:val="0"/>
        <w:keepLines w:val="0"/>
        <w:widowControl w:val="0"/>
        <w:shd w:val="clear" w:color="auto" w:fill="auto"/>
        <w:bidi w:val="0"/>
        <w:spacing w:before="0" w:after="0" w:line="322" w:lineRule="exact"/>
        <w:ind w:left="0" w:right="0" w:firstLine="360"/>
        <w:jc w:val="both"/>
      </w:pPr>
      <w:r>
        <w:rPr>
          <w:color w:val="000000"/>
          <w:spacing w:val="0"/>
          <w:w w:val="100"/>
          <w:position w:val="0"/>
        </w:rPr>
        <w:t>目前供票平台研发成果已在江苏银行得到应用，供票贴现和存托功能也在浦发银行、上海银行等相继落地，近期并将启 动多个供票平台项目商务接洽，预计在未来能够为高伟达公司带来客观市场效益。</w:t>
      </w:r>
    </w:p>
    <w:p>
      <w:pPr>
        <w:pStyle w:val="Style34"/>
        <w:keepNext w:val="0"/>
        <w:keepLines w:val="0"/>
        <w:widowControl w:val="0"/>
        <w:shd w:val="clear" w:color="auto" w:fill="auto"/>
        <w:tabs>
          <w:tab w:pos="299" w:val="left"/>
        </w:tabs>
        <w:bidi w:val="0"/>
        <w:spacing w:before="0" w:after="0" w:line="313" w:lineRule="exact"/>
        <w:ind w:left="0" w:right="0" w:firstLine="0"/>
        <w:jc w:val="left"/>
      </w:pPr>
      <w:bookmarkStart w:id="199" w:name="bookmark199"/>
      <w:r>
        <w:rPr>
          <w:rFonts w:ascii="Times New Roman" w:eastAsia="Times New Roman" w:hAnsi="Times New Roman" w:cs="Times New Roman"/>
          <w:color w:val="000000"/>
          <w:spacing w:val="0"/>
          <w:w w:val="100"/>
          <w:position w:val="0"/>
        </w:rPr>
        <w:t>7</w:t>
      </w:r>
      <w:bookmarkEnd w:id="199"/>
      <w:r>
        <w:rPr>
          <w:color w:val="000000"/>
          <w:spacing w:val="0"/>
          <w:w w:val="100"/>
          <w:position w:val="0"/>
        </w:rPr>
        <w:t>、</w:t>
        <w:tab/>
        <w:t>核心业务系统</w:t>
      </w:r>
      <w:r>
        <w:rPr>
          <w:rFonts w:ascii="Times New Roman" w:eastAsia="Times New Roman" w:hAnsi="Times New Roman" w:cs="Times New Roman"/>
          <w:color w:val="000000"/>
          <w:spacing w:val="0"/>
          <w:w w:val="100"/>
          <w:position w:val="0"/>
        </w:rPr>
        <w:t>2020</w:t>
      </w:r>
    </w:p>
    <w:p>
      <w:pPr>
        <w:pStyle w:val="Style34"/>
        <w:keepNext w:val="0"/>
        <w:keepLines w:val="0"/>
        <w:widowControl w:val="0"/>
        <w:shd w:val="clear" w:color="auto" w:fill="auto"/>
        <w:bidi w:val="0"/>
        <w:spacing w:before="0" w:after="0" w:line="316"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年银行核心系统完成了分布式架构基础设施层的设计、选项和验证。传统核心系统是集中式架构，采用</w:t>
      </w:r>
      <w:r>
        <w:rPr>
          <w:rFonts w:ascii="Times New Roman" w:eastAsia="Times New Roman" w:hAnsi="Times New Roman" w:cs="Times New Roman"/>
          <w:color w:val="000000"/>
          <w:spacing w:val="0"/>
          <w:w w:val="100"/>
          <w:position w:val="0"/>
        </w:rPr>
        <w:t>C</w:t>
      </w:r>
      <w:r>
        <w:rPr>
          <w:color w:val="000000"/>
          <w:spacing w:val="0"/>
          <w:w w:val="100"/>
          <w:position w:val="0"/>
        </w:rPr>
        <w:t>语言作 为主要的开发语言；而新一代核心系统采用分布式架构，采用</w:t>
      </w:r>
      <w:r>
        <w:rPr>
          <w:rFonts w:ascii="Times New Roman" w:eastAsia="Times New Roman" w:hAnsi="Times New Roman" w:cs="Times New Roman"/>
          <w:color w:val="000000"/>
          <w:spacing w:val="0"/>
          <w:w w:val="100"/>
          <w:position w:val="0"/>
        </w:rPr>
        <w:t>JAVA</w:t>
      </w:r>
      <w:r>
        <w:rPr>
          <w:color w:val="000000"/>
          <w:spacing w:val="0"/>
          <w:w w:val="100"/>
          <w:position w:val="0"/>
        </w:rPr>
        <w:t xml:space="preserve">开发语言。结合分布式微服务架构以及面向领域的设计 </w:t>
      </w:r>
      <w:r>
        <w:rPr>
          <w:color w:val="000000"/>
          <w:spacing w:val="0"/>
          <w:w w:val="100"/>
          <w:position w:val="0"/>
        </w:rPr>
        <w:t>（</w:t>
      </w:r>
      <w:r>
        <w:rPr>
          <w:rFonts w:ascii="Times New Roman" w:eastAsia="Times New Roman" w:hAnsi="Times New Roman" w:cs="Times New Roman"/>
          <w:color w:val="000000"/>
          <w:spacing w:val="0"/>
          <w:w w:val="100"/>
          <w:position w:val="0"/>
        </w:rPr>
        <w:t xml:space="preserve">Domain Driven Design </w:t>
      </w:r>
      <w:r>
        <w:rPr>
          <w:color w:val="000000"/>
          <w:spacing w:val="0"/>
          <w:w w:val="100"/>
          <w:position w:val="0"/>
        </w:rPr>
        <w:t>）理念</w:t>
      </w:r>
      <w:r>
        <w:rPr>
          <w:color w:val="000000"/>
          <w:spacing w:val="0"/>
          <w:w w:val="100"/>
          <w:position w:val="0"/>
        </w:rPr>
        <w:t>，</w:t>
      </w:r>
      <w:r>
        <w:rPr>
          <w:color w:val="000000"/>
          <w:spacing w:val="0"/>
          <w:w w:val="100"/>
          <w:position w:val="0"/>
        </w:rPr>
        <w:t>分布式核心系统分为基础设施层、业务领域服务层以及服务接口编排层。基础设施层包括服 务注册</w:t>
      </w:r>
      <w:r>
        <w:rPr>
          <w:rFonts w:ascii="Times New Roman" w:eastAsia="Times New Roman" w:hAnsi="Times New Roman" w:cs="Times New Roman"/>
          <w:color w:val="000000"/>
          <w:spacing w:val="0"/>
          <w:w w:val="100"/>
          <w:position w:val="0"/>
        </w:rPr>
        <w:t>/</w:t>
      </w:r>
      <w:r>
        <w:rPr>
          <w:color w:val="000000"/>
          <w:spacing w:val="0"/>
          <w:w w:val="100"/>
          <w:position w:val="0"/>
        </w:rPr>
        <w:t>发现、分布式事务框架、分布式数据库等基础服务；业务领域服务层基于微服务架构细分为产品及参数管理服务、 存款服务、贷款核算服务、会计核算服务、以及机构员工运营服务等。</w:t>
      </w:r>
    </w:p>
    <w:p>
      <w:pPr>
        <w:pStyle w:val="Style34"/>
        <w:keepNext w:val="0"/>
        <w:keepLines w:val="0"/>
        <w:widowControl w:val="0"/>
        <w:shd w:val="clear" w:color="auto" w:fill="auto"/>
        <w:tabs>
          <w:tab w:pos="299" w:val="left"/>
        </w:tabs>
        <w:bidi w:val="0"/>
        <w:spacing w:before="0" w:after="0" w:line="313" w:lineRule="exact"/>
        <w:ind w:left="0" w:right="0" w:firstLine="0"/>
        <w:jc w:val="left"/>
      </w:pPr>
      <w:bookmarkStart w:id="200" w:name="bookmark200"/>
      <w:r>
        <w:rPr>
          <w:rFonts w:ascii="Times New Roman" w:eastAsia="Times New Roman" w:hAnsi="Times New Roman" w:cs="Times New Roman"/>
          <w:color w:val="000000"/>
          <w:spacing w:val="0"/>
          <w:w w:val="100"/>
          <w:position w:val="0"/>
        </w:rPr>
        <w:t>8</w:t>
      </w:r>
      <w:bookmarkEnd w:id="200"/>
      <w:r>
        <w:rPr>
          <w:color w:val="000000"/>
          <w:spacing w:val="0"/>
          <w:w w:val="100"/>
          <w:position w:val="0"/>
        </w:rPr>
        <w:t>、</w:t>
        <w:tab/>
        <w:t>客户营销标准化解决方案</w:t>
      </w:r>
    </w:p>
    <w:p>
      <w:pPr>
        <w:pStyle w:val="Style34"/>
        <w:keepNext w:val="0"/>
        <w:keepLines w:val="0"/>
        <w:widowControl w:val="0"/>
        <w:shd w:val="clear" w:color="auto" w:fill="auto"/>
        <w:bidi w:val="0"/>
        <w:spacing w:before="0" w:after="140" w:line="311" w:lineRule="exact"/>
        <w:ind w:left="0" w:right="0"/>
        <w:jc w:val="left"/>
      </w:pPr>
      <w:r>
        <w:rPr>
          <w:color w:val="000000"/>
          <w:spacing w:val="0"/>
          <w:w w:val="100"/>
          <w:position w:val="0"/>
        </w:rPr>
        <w:t>银行客户营销标准化解决方案包含客户管理的系统化和自动化，一方面便于各级管理部门和推广人员及时掌握业绩情况 和业务动态信息，实现人力资源管理系统化；另一方面借助系统提高数据统计及发布时效和准确性，解放总、分行生产力， 实现自动化。业务模板功能包括：推广人员及资格代码申报、审核，客户管理，信息发布，人员招聘，客户信息及资格代码 管理，编制管理，业绩管理等功能。银行客户营销标准化解决方案及相关产品，已经申请软件著作权，新的研发成果已在多 个银行落地，预计在未来几年能够为公司带来收益。</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left"/>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63,133,646.45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52,503,277.04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48,110,165.19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36,424.50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7,532,788.08</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w:t>
            </w: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w:t>
            </w:r>
          </w:p>
        </w:tc>
      </w:tr>
    </w:tbl>
    <w:p>
      <w:pPr>
        <w:pStyle w:val="Style34"/>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、现金流</w:t>
      </w:r>
      <w:bookmarkEnd w:id="201"/>
      <w:bookmarkEnd w:id="202"/>
      <w:bookmarkEnd w:id="204"/>
    </w:p>
    <w:p>
      <w:pPr>
        <w:pStyle w:val="Style34"/>
        <w:keepNext w:val="0"/>
        <w:keepLines w:val="0"/>
        <w:widowControl w:val="0"/>
        <w:shd w:val="clear" w:color="auto" w:fill="auto"/>
        <w:bidi w:val="0"/>
        <w:spacing w:before="0" w:after="80" w:line="240" w:lineRule="auto"/>
        <w:ind w:left="0" w:right="1100" w:firstLine="0"/>
        <w:jc w:val="right"/>
      </w:pPr>
      <w:r>
        <w:rPr>
          <w:color w:val="000000"/>
          <w:spacing w:val="0"/>
          <w:w w:val="100"/>
          <w:position w:val="0"/>
        </w:rPr>
        <w:t>单位：元</w:t>
      </w:r>
    </w:p>
    <w:tbl>
      <w:tblPr>
        <w:tblOverlap w:val="never"/>
        <w:jc w:val="left"/>
        <w:tblLayout w:type="fixed"/>
      </w:tblPr>
      <w:tblGrid>
        <w:gridCol w:w="2558"/>
        <w:gridCol w:w="2232"/>
        <w:gridCol w:w="2395"/>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2,181,114,244.63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1,935,280,424.92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1,948,753,596.14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1,764,510,893.65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232,360,648.49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170,769,531.27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727,712,988.67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264,705,968.32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962,264,836.29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364,360,295.13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-234,551,847.62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-99,654,326.81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-135.37%</w:t>
            </w:r>
          </w:p>
        </w:tc>
      </w:tr>
    </w:tbl>
    <w:p>
      <w:pPr>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671" w:right="552" w:bottom="946" w:left="567" w:header="0" w:footer="3" w:gutter="0"/>
          <w:cols w:space="720"/>
          <w:noEndnote/>
          <w:rtlGutter w:val="0"/>
          <w:docGrid w:linePitch="360"/>
        </w:sectPr>
      </w:pPr>
    </w:p>
    <w:tbl>
      <w:tblPr>
        <w:tblOverlap w:val="never"/>
        <w:jc w:val="left"/>
        <w:tblLayout w:type="fixed"/>
      </w:tblPr>
      <w:tblGrid>
        <w:gridCol w:w="2558"/>
        <w:gridCol w:w="2232"/>
        <w:gridCol w:w="2395"/>
        <w:gridCol w:w="240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471,522,665.56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378,088,977.67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24.71%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479,912,583.62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462,687,709.40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-8,389,918.06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-84,598,731.73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90.08%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-10,430,845.74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-13,144,349.79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20.64%</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tabs>
          <w:tab w:pos="704" w:val="left"/>
        </w:tabs>
        <w:bidi w:val="0"/>
        <w:spacing w:before="0" w:after="0" w:line="322" w:lineRule="exact"/>
        <w:ind w:left="0" w:right="0"/>
        <w:jc w:val="left"/>
      </w:pPr>
      <w:bookmarkStart w:id="205" w:name="bookmark205"/>
      <w:r>
        <w:rPr>
          <w:rFonts w:ascii="Times New Roman" w:eastAsia="Times New Roman" w:hAnsi="Times New Roman" w:cs="Times New Roman"/>
          <w:color w:val="000000"/>
          <w:spacing w:val="0"/>
          <w:w w:val="100"/>
          <w:position w:val="0"/>
        </w:rPr>
        <w:t>1</w:t>
      </w:r>
      <w:bookmarkEnd w:id="205"/>
      <w:r>
        <w:rPr>
          <w:color w:val="000000"/>
          <w:spacing w:val="0"/>
          <w:w w:val="100"/>
          <w:position w:val="0"/>
        </w:rPr>
        <w:t>、</w:t>
        <w:tab/>
        <w:t>经营活动产生的现金流量净额较上年同期增加</w:t>
      </w:r>
      <w:r>
        <w:rPr>
          <w:rFonts w:ascii="Times New Roman" w:eastAsia="Times New Roman" w:hAnsi="Times New Roman" w:cs="Times New Roman"/>
          <w:color w:val="000000"/>
          <w:spacing w:val="0"/>
          <w:w w:val="100"/>
          <w:position w:val="0"/>
        </w:rPr>
        <w:t>36.07%</w:t>
      </w:r>
      <w:r>
        <w:rPr>
          <w:color w:val="000000"/>
          <w:spacing w:val="0"/>
          <w:w w:val="100"/>
          <w:position w:val="0"/>
        </w:rPr>
        <w:t>，主要系报告期回款增加，及公司充分利用供应商信用政策， 进行资金管理所致。</w:t>
      </w:r>
    </w:p>
    <w:p>
      <w:pPr>
        <w:pStyle w:val="Style34"/>
        <w:keepNext w:val="0"/>
        <w:keepLines w:val="0"/>
        <w:widowControl w:val="0"/>
        <w:shd w:val="clear" w:color="auto" w:fill="auto"/>
        <w:tabs>
          <w:tab w:pos="734" w:val="left"/>
        </w:tabs>
        <w:bidi w:val="0"/>
        <w:spacing w:before="0" w:after="0" w:line="322" w:lineRule="exact"/>
        <w:ind w:left="0" w:right="0"/>
        <w:jc w:val="left"/>
      </w:pPr>
      <w:bookmarkStart w:id="206" w:name="bookmark206"/>
      <w:r>
        <w:rPr>
          <w:rFonts w:ascii="Times New Roman" w:eastAsia="Times New Roman" w:hAnsi="Times New Roman" w:cs="Times New Roman"/>
          <w:color w:val="000000"/>
          <w:spacing w:val="0"/>
          <w:w w:val="100"/>
          <w:position w:val="0"/>
        </w:rPr>
        <w:t>2</w:t>
      </w:r>
      <w:bookmarkEnd w:id="206"/>
      <w:r>
        <w:rPr>
          <w:color w:val="000000"/>
          <w:spacing w:val="0"/>
          <w:w w:val="100"/>
          <w:position w:val="0"/>
        </w:rPr>
        <w:t>、</w:t>
        <w:tab/>
        <w:t>投资活动产生的现金流量净额较上年同期下降</w:t>
      </w:r>
      <w:r>
        <w:rPr>
          <w:rFonts w:ascii="Times New Roman" w:eastAsia="Times New Roman" w:hAnsi="Times New Roman" w:cs="Times New Roman"/>
          <w:color w:val="000000"/>
          <w:spacing w:val="0"/>
          <w:w w:val="100"/>
          <w:position w:val="0"/>
        </w:rPr>
        <w:t>135.37%</w:t>
      </w:r>
      <w:r>
        <w:rPr>
          <w:color w:val="000000"/>
          <w:spacing w:val="0"/>
          <w:w w:val="100"/>
          <w:position w:val="0"/>
        </w:rPr>
        <w:t>，主要系报告期公司进行现金管理所致。</w:t>
      </w:r>
    </w:p>
    <w:p>
      <w:pPr>
        <w:pStyle w:val="Style34"/>
        <w:keepNext w:val="0"/>
        <w:keepLines w:val="0"/>
        <w:widowControl w:val="0"/>
        <w:shd w:val="clear" w:color="auto" w:fill="auto"/>
        <w:tabs>
          <w:tab w:pos="734" w:val="left"/>
        </w:tabs>
        <w:bidi w:val="0"/>
        <w:spacing w:before="0" w:after="340" w:line="322" w:lineRule="exact"/>
        <w:ind w:left="0" w:right="0"/>
        <w:jc w:val="left"/>
      </w:pPr>
      <w:bookmarkStart w:id="207" w:name="bookmark207"/>
      <w:r>
        <w:rPr>
          <w:rFonts w:ascii="Times New Roman" w:eastAsia="Times New Roman" w:hAnsi="Times New Roman" w:cs="Times New Roman"/>
          <w:color w:val="000000"/>
          <w:spacing w:val="0"/>
          <w:w w:val="100"/>
          <w:position w:val="0"/>
        </w:rPr>
        <w:t>3</w:t>
      </w:r>
      <w:bookmarkEnd w:id="207"/>
      <w:r>
        <w:rPr>
          <w:color w:val="000000"/>
          <w:spacing w:val="0"/>
          <w:w w:val="100"/>
          <w:position w:val="0"/>
        </w:rPr>
        <w:t>、</w:t>
        <w:tab/>
        <w:t>筹资活动产生的现金流量净额较上年同期增加</w:t>
      </w:r>
      <w:r>
        <w:rPr>
          <w:rFonts w:ascii="Times New Roman" w:eastAsia="Times New Roman" w:hAnsi="Times New Roman" w:cs="Times New Roman"/>
          <w:color w:val="000000"/>
          <w:spacing w:val="0"/>
          <w:w w:val="100"/>
          <w:position w:val="0"/>
        </w:rPr>
        <w:t>90.08%</w:t>
      </w:r>
      <w:r>
        <w:rPr>
          <w:color w:val="000000"/>
          <w:spacing w:val="0"/>
          <w:w w:val="100"/>
          <w:position w:val="0"/>
        </w:rPr>
        <w:t>，主要系报告期公司融资规模增加所致。</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340" w:line="317" w:lineRule="exact"/>
        <w:ind w:left="0" w:right="0"/>
        <w:jc w:val="left"/>
      </w:pPr>
      <w:r>
        <w:rPr>
          <w:color w:val="000000"/>
          <w:spacing w:val="0"/>
          <w:w w:val="100"/>
          <w:position w:val="0"/>
        </w:rPr>
        <w:t>公司本报告期净利润为</w:t>
      </w:r>
      <w:r>
        <w:rPr>
          <w:rFonts w:ascii="Times New Roman" w:eastAsia="Times New Roman" w:hAnsi="Times New Roman" w:cs="Times New Roman"/>
          <w:color w:val="000000"/>
          <w:spacing w:val="0"/>
          <w:w w:val="100"/>
          <w:position w:val="0"/>
        </w:rPr>
        <w:t>-66,124.6</w:t>
      </w:r>
      <w:r>
        <w:rPr>
          <w:rFonts w:ascii="Times New Roman" w:eastAsia="Times New Roman" w:hAnsi="Times New Roman" w:cs="Times New Roman"/>
          <w:color w:val="000000"/>
          <w:spacing w:val="0"/>
          <w:w w:val="100"/>
          <w:position w:val="0"/>
        </w:rPr>
        <w:t>0</w:t>
      </w:r>
      <w:r>
        <w:rPr>
          <w:color w:val="000000"/>
          <w:spacing w:val="0"/>
          <w:w w:val="100"/>
          <w:position w:val="0"/>
        </w:rPr>
        <w:t>万元，商誉减值金额为</w:t>
      </w:r>
      <w:r>
        <w:rPr>
          <w:rFonts w:ascii="Times New Roman" w:eastAsia="Times New Roman" w:hAnsi="Times New Roman" w:cs="Times New Roman"/>
          <w:color w:val="000000"/>
          <w:spacing w:val="0"/>
          <w:w w:val="100"/>
          <w:position w:val="0"/>
        </w:rPr>
        <w:t>77,782.84</w:t>
      </w:r>
      <w:r>
        <w:rPr>
          <w:color w:val="000000"/>
          <w:spacing w:val="0"/>
          <w:w w:val="100"/>
          <w:position w:val="0"/>
        </w:rPr>
        <w:t xml:space="preserve">万元，剔除计提商誉减值准备影响后，公司净利润为 </w:t>
      </w:r>
      <w:r>
        <w:rPr>
          <w:rFonts w:ascii="Times New Roman" w:eastAsia="Times New Roman" w:hAnsi="Times New Roman" w:cs="Times New Roman"/>
          <w:color w:val="000000"/>
          <w:spacing w:val="0"/>
          <w:w w:val="100"/>
          <w:position w:val="0"/>
        </w:rPr>
        <w:t>11,658.25</w:t>
      </w:r>
      <w:r>
        <w:rPr>
          <w:color w:val="000000"/>
          <w:spacing w:val="0"/>
          <w:w w:val="100"/>
          <w:position w:val="0"/>
        </w:rPr>
        <w:t>万元。同时报告期内，公司信用减值损失、资产摊销等非付现支出、非经营性支出为</w:t>
      </w:r>
      <w:r>
        <w:rPr>
          <w:rFonts w:ascii="Times New Roman" w:eastAsia="Times New Roman" w:hAnsi="Times New Roman" w:cs="Times New Roman"/>
          <w:color w:val="000000"/>
          <w:spacing w:val="0"/>
          <w:w w:val="100"/>
          <w:position w:val="0"/>
        </w:rPr>
        <w:t>9,025.29</w:t>
      </w:r>
      <w:r>
        <w:rPr>
          <w:color w:val="000000"/>
          <w:spacing w:val="0"/>
          <w:w w:val="100"/>
          <w:position w:val="0"/>
        </w:rPr>
        <w:t>万元。公司当期经营 活动产生的现金流量净额</w:t>
      </w:r>
      <w:r>
        <w:rPr>
          <w:rFonts w:ascii="Times New Roman" w:eastAsia="Times New Roman" w:hAnsi="Times New Roman" w:cs="Times New Roman"/>
          <w:color w:val="000000"/>
          <w:spacing w:val="0"/>
          <w:w w:val="100"/>
          <w:position w:val="0"/>
        </w:rPr>
        <w:t>23,236.06</w:t>
      </w:r>
      <w:r>
        <w:rPr>
          <w:color w:val="000000"/>
          <w:spacing w:val="0"/>
          <w:w w:val="100"/>
          <w:position w:val="0"/>
        </w:rPr>
        <w:t>万元，与以上利润指标的差异为</w:t>
      </w:r>
      <w:r>
        <w:rPr>
          <w:rFonts w:ascii="Times New Roman" w:eastAsia="Times New Roman" w:hAnsi="Times New Roman" w:cs="Times New Roman"/>
          <w:color w:val="000000"/>
          <w:spacing w:val="0"/>
          <w:w w:val="100"/>
          <w:position w:val="0"/>
        </w:rPr>
        <w:t>2,552.52</w:t>
      </w:r>
      <w:r>
        <w:rPr>
          <w:color w:val="000000"/>
          <w:spacing w:val="0"/>
          <w:w w:val="100"/>
          <w:position w:val="0"/>
        </w:rPr>
        <w:t>万元，此差异主要由于报告期内公司收回以前年 度应收账款、合同负债增加等原因所致。</w:t>
      </w:r>
    </w:p>
    <w:p>
      <w:pPr>
        <w:pStyle w:val="Style17"/>
        <w:keepNext/>
        <w:keepLines/>
        <w:widowControl w:val="0"/>
        <w:shd w:val="clear" w:color="auto" w:fill="auto"/>
        <w:tabs>
          <w:tab w:pos="583" w:val="left"/>
        </w:tabs>
        <w:bidi w:val="0"/>
        <w:spacing w:before="0" w:after="260" w:line="240" w:lineRule="auto"/>
        <w:ind w:left="0" w:right="0" w:firstLine="0"/>
        <w:jc w:val="both"/>
      </w:pPr>
      <w:bookmarkStart w:id="208" w:name="bookmark208"/>
      <w:bookmarkStart w:id="209" w:name="bookmark209"/>
      <w:bookmarkStart w:id="210" w:name="bookmark210"/>
      <w:bookmarkStart w:id="211" w:name="bookmark211"/>
      <w:r>
        <w:rPr>
          <w:color w:val="000000"/>
          <w:spacing w:val="0"/>
          <w:w w:val="100"/>
          <w:position w:val="0"/>
          <w:sz w:val="24"/>
          <w:szCs w:val="24"/>
        </w:rPr>
        <w:t>三</w:t>
      </w:r>
      <w:bookmarkEnd w:id="210"/>
      <w:r>
        <w:rPr>
          <w:color w:val="000000"/>
          <w:spacing w:val="0"/>
          <w:w w:val="100"/>
          <w:position w:val="0"/>
          <w:sz w:val="24"/>
          <w:szCs w:val="24"/>
        </w:rPr>
        <w:t>、</w:t>
        <w:tab/>
        <w:t>非主营业务情况</w:t>
      </w:r>
      <w:bookmarkEnd w:id="208"/>
      <w:bookmarkEnd w:id="209"/>
      <w:bookmarkEnd w:id="211"/>
    </w:p>
    <w:p>
      <w:pPr>
        <w:pStyle w:val="Style34"/>
        <w:keepNext w:val="0"/>
        <w:keepLines w:val="0"/>
        <w:widowControl w:val="0"/>
        <w:shd w:val="clear" w:color="auto" w:fill="auto"/>
        <w:bidi w:val="0"/>
        <w:spacing w:before="0" w:after="340" w:line="32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tabs>
          <w:tab w:pos="583" w:val="left"/>
        </w:tabs>
        <w:bidi w:val="0"/>
        <w:spacing w:before="0" w:after="340" w:line="240" w:lineRule="auto"/>
        <w:ind w:left="0" w:right="0" w:firstLine="0"/>
        <w:jc w:val="both"/>
      </w:pPr>
      <w:bookmarkStart w:id="212" w:name="bookmark212"/>
      <w:bookmarkStart w:id="213" w:name="bookmark213"/>
      <w:bookmarkStart w:id="214" w:name="bookmark214"/>
      <w:bookmarkStart w:id="215" w:name="bookmark215"/>
      <w:r>
        <w:rPr>
          <w:color w:val="000000"/>
          <w:spacing w:val="0"/>
          <w:w w:val="100"/>
          <w:position w:val="0"/>
          <w:sz w:val="24"/>
          <w:szCs w:val="24"/>
        </w:rPr>
        <w:t>四</w:t>
      </w:r>
      <w:bookmarkEnd w:id="214"/>
      <w:r>
        <w:rPr>
          <w:color w:val="000000"/>
          <w:spacing w:val="0"/>
          <w:w w:val="100"/>
          <w:position w:val="0"/>
          <w:sz w:val="24"/>
          <w:szCs w:val="24"/>
        </w:rPr>
        <w:t>、</w:t>
        <w:tab/>
        <w:t>资产及负债状况分析</w:t>
      </w:r>
      <w:bookmarkEnd w:id="212"/>
      <w:bookmarkEnd w:id="213"/>
      <w:bookmarkEnd w:id="215"/>
    </w:p>
    <w:p>
      <w:pPr>
        <w:pStyle w:val="Style38"/>
        <w:keepNext/>
        <w:keepLines/>
        <w:widowControl w:val="0"/>
        <w:shd w:val="clear" w:color="auto" w:fill="auto"/>
        <w:bidi w:val="0"/>
        <w:spacing w:before="0" w:after="200" w:line="240" w:lineRule="auto"/>
        <w:ind w:left="0" w:right="0" w:firstLine="0"/>
        <w:jc w:val="both"/>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、资产构成重大变动情况</w:t>
      </w:r>
      <w:bookmarkEnd w:id="216"/>
      <w:bookmarkEnd w:id="217"/>
      <w:bookmarkEnd w:id="219"/>
    </w:p>
    <w:p>
      <w:pPr>
        <w:pStyle w:val="Style34"/>
        <w:keepNext w:val="0"/>
        <w:keepLines w:val="0"/>
        <w:widowControl w:val="0"/>
        <w:shd w:val="clear" w:color="auto" w:fill="auto"/>
        <w:bidi w:val="0"/>
        <w:spacing w:before="0" w:after="140" w:line="350"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286"/>
        <w:gridCol w:w="1253"/>
        <w:gridCol w:w="1066"/>
        <w:gridCol w:w="1195"/>
        <w:gridCol w:w="1061"/>
        <w:gridCol w:w="797"/>
        <w:gridCol w:w="313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577,368,063.80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507,399,322.97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主要系公司经营回款增加所致</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363,796,975.46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483,847,844.42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占资产比例基本持平</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436,614,107.98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283,414,899.90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主要系期末在执行项目尚未验收所致</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12,575,981.52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21,024,090.51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主要系参股公司亏损所致</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64,356,403.06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62,656,890.64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主要系人员规模扩大，购置、置换电子 设备所致</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269,483,670.00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13.90%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232,435,264.06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9.48%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主要系经营性资金需求融资增加所致</w:t>
            </w:r>
          </w:p>
        </w:tc>
      </w:tr>
    </w:tbl>
    <w:tbl>
      <w:tblPr>
        <w:tblOverlap w:val="never"/>
        <w:jc w:val="left"/>
        <w:tblLayout w:type="fixed"/>
      </w:tblPr>
      <w:tblGrid>
        <w:gridCol w:w="1286"/>
        <w:gridCol w:w="1253"/>
        <w:gridCol w:w="1066"/>
        <w:gridCol w:w="1195"/>
        <w:gridCol w:w="1061"/>
        <w:gridCol w:w="797"/>
        <w:gridCol w:w="3139"/>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30,800,000.00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主要系经营性资金需求融资增加所致</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134,900,278.52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71,094,271.69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主要系预付集成设备采购款增加所致</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141,193,756.54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919,022,158.47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主要系计提商誉减值准备所致</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、以公允价值计量的资产和负债</w:t>
      </w:r>
      <w:bookmarkEnd w:id="220"/>
      <w:bookmarkEnd w:id="221"/>
      <w:bookmarkEnd w:id="223"/>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1100" w:firstLine="0"/>
        <w:jc w:val="right"/>
      </w:pPr>
      <w:r>
        <w:rPr>
          <w:color w:val="000000"/>
          <w:spacing w:val="0"/>
          <w:w w:val="100"/>
          <w:position w:val="0"/>
        </w:rPr>
        <w:t>单位：元</w:t>
      </w:r>
    </w:p>
    <w:tbl>
      <w:tblPr>
        <w:tblOverlap w:val="never"/>
        <w:jc w:val="left"/>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本期公允价</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2,467,543.25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r>
    </w:tbl>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其他变动的内容</w:t>
      </w:r>
    </w:p>
    <w:p>
      <w:pPr>
        <w:pStyle w:val="Style3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bidi w:val="0"/>
        <w:spacing w:before="0" w:after="24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3</w:t>
      </w:r>
      <w:bookmarkEnd w:id="226"/>
      <w:r>
        <w:rPr>
          <w:color w:val="000000"/>
          <w:spacing w:val="0"/>
          <w:w w:val="100"/>
          <w:position w:val="0"/>
        </w:rPr>
        <w:t>、截至报告期末的资产权利受限情况</w:t>
      </w:r>
      <w:bookmarkEnd w:id="224"/>
      <w:bookmarkEnd w:id="225"/>
      <w:bookmarkEnd w:id="227"/>
    </w:p>
    <w:p>
      <w:pPr>
        <w:pStyle w:val="Style3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不适用</w:t>
      </w:r>
    </w:p>
    <w:p>
      <w:pPr>
        <w:pStyle w:val="Style17"/>
        <w:keepNext/>
        <w:keepLines/>
        <w:widowControl w:val="0"/>
        <w:shd w:val="clear" w:color="auto" w:fill="auto"/>
        <w:bidi w:val="0"/>
        <w:spacing w:before="0" w:after="36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五</w:t>
      </w:r>
      <w:bookmarkEnd w:id="230"/>
      <w:r>
        <w:rPr>
          <w:color w:val="000000"/>
          <w:spacing w:val="0"/>
          <w:w w:val="100"/>
          <w:position w:val="0"/>
          <w:sz w:val="24"/>
          <w:szCs w:val="24"/>
        </w:rPr>
        <w:t>、投资状况分析</w:t>
      </w:r>
      <w:bookmarkEnd w:id="228"/>
      <w:bookmarkEnd w:id="229"/>
      <w:bookmarkEnd w:id="231"/>
    </w:p>
    <w:p>
      <w:pPr>
        <w:pStyle w:val="Style38"/>
        <w:keepNext/>
        <w:keepLines/>
        <w:widowControl w:val="0"/>
        <w:shd w:val="clear" w:color="auto" w:fill="auto"/>
        <w:bidi w:val="0"/>
        <w:spacing w:before="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1</w:t>
      </w:r>
      <w:bookmarkEnd w:id="234"/>
      <w:r>
        <w:rPr>
          <w:color w:val="000000"/>
          <w:spacing w:val="0"/>
          <w:w w:val="100"/>
          <w:position w:val="0"/>
        </w:rPr>
        <w:t>、总体情况</w:t>
      </w:r>
      <w:bookmarkEnd w:id="232"/>
      <w:bookmarkEnd w:id="233"/>
      <w:bookmarkEnd w:id="235"/>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27,591,954.92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26,943,500.79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r>
    </w:tbl>
    <w:p>
      <w:pPr>
        <w:widowControl w:val="0"/>
        <w:spacing w:after="359" w:line="1" w:lineRule="exact"/>
      </w:pPr>
    </w:p>
    <w:p>
      <w:pPr>
        <w:pStyle w:val="Style38"/>
        <w:keepNext/>
        <w:keepLines/>
        <w:widowControl w:val="0"/>
        <w:shd w:val="clear" w:color="auto" w:fill="auto"/>
        <w:tabs>
          <w:tab w:pos="378" w:val="left"/>
        </w:tabs>
        <w:bidi w:val="0"/>
        <w:spacing w:before="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2</w:t>
      </w:r>
      <w:bookmarkEnd w:id="238"/>
      <w:r>
        <w:rPr>
          <w:color w:val="000000"/>
          <w:spacing w:val="0"/>
          <w:w w:val="100"/>
          <w:position w:val="0"/>
        </w:rPr>
        <w:t>、</w:t>
        <w:tab/>
        <w:t>报告期内获取的重大的股权投资情况</w:t>
      </w:r>
      <w:bookmarkEnd w:id="236"/>
      <w:bookmarkEnd w:id="237"/>
      <w:bookmarkEnd w:id="239"/>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3</w:t>
      </w:r>
      <w:bookmarkEnd w:id="242"/>
      <w:r>
        <w:rPr>
          <w:color w:val="000000"/>
          <w:spacing w:val="0"/>
          <w:w w:val="100"/>
          <w:position w:val="0"/>
        </w:rPr>
        <w:t>、</w:t>
        <w:tab/>
        <w:t>报告期内正在进行的重大的非股权投资情况</w:t>
      </w:r>
      <w:bookmarkEnd w:id="240"/>
      <w:bookmarkEnd w:id="241"/>
      <w:bookmarkEnd w:id="243"/>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4</w:t>
      </w:r>
      <w:bookmarkEnd w:id="246"/>
      <w:r>
        <w:rPr>
          <w:color w:val="000000"/>
          <w:spacing w:val="0"/>
          <w:w w:val="100"/>
          <w:position w:val="0"/>
        </w:rPr>
        <w:t>、</w:t>
        <w:tab/>
        <w:t>以公允价值计量的金融资产</w:t>
      </w:r>
      <w:bookmarkEnd w:id="244"/>
      <w:bookmarkEnd w:id="245"/>
      <w:bookmarkEnd w:id="247"/>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5</w:t>
      </w:r>
      <w:bookmarkEnd w:id="250"/>
      <w:r>
        <w:rPr>
          <w:color w:val="000000"/>
          <w:spacing w:val="0"/>
          <w:w w:val="100"/>
          <w:position w:val="0"/>
        </w:rPr>
        <w:t>、募集资金使用情况</w:t>
      </w:r>
      <w:bookmarkEnd w:id="248"/>
      <w:bookmarkEnd w:id="249"/>
      <w:bookmarkEnd w:id="251"/>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17"/>
        <w:keepNext/>
        <w:keepLines/>
        <w:widowControl w:val="0"/>
        <w:shd w:val="clear" w:color="auto" w:fill="auto"/>
        <w:tabs>
          <w:tab w:pos="517" w:val="left"/>
        </w:tabs>
        <w:bidi w:val="0"/>
        <w:spacing w:before="0" w:after="36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六</w:t>
      </w:r>
      <w:bookmarkEnd w:id="254"/>
      <w:r>
        <w:rPr>
          <w:color w:val="000000"/>
          <w:spacing w:val="0"/>
          <w:w w:val="100"/>
          <w:position w:val="0"/>
          <w:sz w:val="24"/>
          <w:szCs w:val="24"/>
        </w:rPr>
        <w:t>、</w:t>
        <w:tab/>
        <w:t>重大资产和股权出售</w:t>
      </w:r>
      <w:bookmarkEnd w:id="252"/>
      <w:bookmarkEnd w:id="253"/>
      <w:bookmarkEnd w:id="255"/>
    </w:p>
    <w:p>
      <w:pPr>
        <w:pStyle w:val="Style38"/>
        <w:keepNext/>
        <w:keepLines/>
        <w:widowControl w:val="0"/>
        <w:shd w:val="clear" w:color="auto" w:fill="auto"/>
        <w:tabs>
          <w:tab w:pos="402" w:val="left"/>
        </w:tabs>
        <w:bidi w:val="0"/>
        <w:spacing w:before="0" w:line="240" w:lineRule="auto"/>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w:t>
        <w:tab/>
        <w:t>出售重大资产情况</w:t>
      </w:r>
      <w:bookmarkEnd w:id="256"/>
      <w:bookmarkEnd w:id="257"/>
      <w:bookmarkEnd w:id="259"/>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8"/>
        <w:keepNext/>
        <w:keepLines/>
        <w:widowControl w:val="0"/>
        <w:shd w:val="clear" w:color="auto" w:fill="auto"/>
        <w:tabs>
          <w:tab w:pos="402" w:val="left"/>
        </w:tabs>
        <w:bidi w:val="0"/>
        <w:spacing w:before="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2</w:t>
      </w:r>
      <w:bookmarkEnd w:id="262"/>
      <w:r>
        <w:rPr>
          <w:color w:val="000000"/>
          <w:spacing w:val="0"/>
          <w:w w:val="100"/>
          <w:position w:val="0"/>
        </w:rPr>
        <w:t>、</w:t>
        <w:tab/>
        <w:t>出售重大股权情况</w:t>
      </w:r>
      <w:bookmarkEnd w:id="260"/>
      <w:bookmarkEnd w:id="261"/>
      <w:bookmarkEnd w:id="263"/>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tabs>
          <w:tab w:pos="522" w:val="left"/>
        </w:tabs>
        <w:bidi w:val="0"/>
        <w:spacing w:before="0" w:after="36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七</w:t>
      </w:r>
      <w:bookmarkEnd w:id="266"/>
      <w:r>
        <w:rPr>
          <w:color w:val="000000"/>
          <w:spacing w:val="0"/>
          <w:w w:val="100"/>
          <w:position w:val="0"/>
          <w:sz w:val="24"/>
          <w:szCs w:val="24"/>
        </w:rPr>
        <w:t>、</w:t>
        <w:tab/>
        <w:t>主要控股参股公司分析</w:t>
      </w:r>
      <w:bookmarkEnd w:id="264"/>
      <w:bookmarkEnd w:id="265"/>
      <w:bookmarkEnd w:id="267"/>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45"/>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left"/>
        <w:tblLayout w:type="fixed"/>
      </w:tblPr>
      <w:tblGrid>
        <w:gridCol w:w="1277"/>
        <w:gridCol w:w="984"/>
        <w:gridCol w:w="1114"/>
        <w:gridCol w:w="134"/>
        <w:gridCol w:w="1027"/>
        <w:gridCol w:w="1042"/>
        <w:gridCol w:w="1042"/>
        <w:gridCol w:w="1046"/>
        <w:gridCol w:w="1046"/>
        <w:gridCol w:w="1061"/>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净利润</w:t>
            </w:r>
          </w:p>
        </w:tc>
      </w:tr>
      <w:tr>
        <w:trPr>
          <w:trHeight w:val="661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上海睿民互联 网科技有限公 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gridSpan w:val="2"/>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计算机网络科 技、互联网科技 专业领域内的 技术开发、技术 咨询、技术转 让、技术服务， 电子商务（不得 从事增值电信、 金融业务），计 算机系统集 成，计算机网络 工程，计算机 软硬件开发、 销售接受金融 机构委托从事 金融信息技 术外包，接受金 融机构委托从 事金融业务 流程外包，市 场信息咨询与</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168,842,347.96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133,904,600.07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134,648,394.48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14,281,519.41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15,132,508.00</w:t>
            </w:r>
          </w:p>
        </w:tc>
      </w:tr>
    </w:tbl>
    <w:p>
      <w:pPr>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Restart w:val="continuous"/>
          </w:footnotePr>
          <w:pgSz w:w="11900" w:h="16840"/>
          <w:pgMar w:top="671" w:right="552" w:bottom="946" w:left="567" w:header="0" w:footer="3" w:gutter="0"/>
          <w:cols w:space="720"/>
          <w:noEndnote/>
          <w:titlePg/>
          <w:rtlGutter w:val="0"/>
          <w:docGrid w:linePitch="360"/>
        </w:sectPr>
      </w:pPr>
    </w:p>
    <w:tbl>
      <w:tblPr>
        <w:tblOverlap w:val="never"/>
        <w:jc w:val="left"/>
        <w:tblLayout w:type="fixed"/>
      </w:tblPr>
      <w:tblGrid>
        <w:gridCol w:w="1277"/>
        <w:gridCol w:w="984"/>
        <w:gridCol w:w="1248"/>
        <w:gridCol w:w="1027"/>
        <w:gridCol w:w="1046"/>
        <w:gridCol w:w="1042"/>
        <w:gridCol w:w="1046"/>
        <w:gridCol w:w="1046"/>
        <w:gridCol w:w="1056"/>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调查（不得从 事社会调查、 社会调研、民意 调查、民意测 验），会务服务， 市场营销策划， 设计、制作各类 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江苏盈达信息</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 硬件及相关技 术研发、技术咨 询、技术服务； 生产、销售计算 机软、硬件；计 算机系统集成；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36,000,000.00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85,359,448.23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63,630,875.78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93,355,721.52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18,381,224.42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18,661,175.92</w:t>
            </w:r>
          </w:p>
        </w:tc>
      </w:tr>
      <w:tr>
        <w:trPr>
          <w:trHeight w:val="352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上海翕振信息</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从事信息技术、 软件技术、计 算机科技领域 内的技术开发、 技术转让、技 术咨询、技术 服务，通讯设 备、计算机、 软件及辅助设 备的销售，计 算机系统集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79,507,733.48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35,744,490.69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89,409,888.88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10,493,347.41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11,831,141.12</w:t>
            </w:r>
          </w:p>
        </w:tc>
      </w:tr>
      <w:tr>
        <w:trPr>
          <w:trHeight w:val="536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深圳市快读科 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计算机技术开 发与咨询；互 联网技术开发； 从事广告业务</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（法律、行政法 规、国务院决定 规定需另行办 理广告经营项 目审批的，需取 得许可后方可 经营）；电子产 品、电子兀器 件、通信设备、 手机配件、五金 产品、机械设 备、塑料制品、 建筑材料、数码</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5,000,000.00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199,925,751.79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171,413,543.48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187,369,883.73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49,735,786.04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49,742,968.54</w:t>
            </w:r>
          </w:p>
        </w:tc>
      </w:tr>
    </w:tbl>
    <w:tbl>
      <w:tblPr>
        <w:tblOverlap w:val="never"/>
        <w:jc w:val="center"/>
        <w:tblLayout w:type="fixed"/>
      </w:tblPr>
      <w:tblGrid>
        <w:gridCol w:w="1277"/>
        <w:gridCol w:w="984"/>
        <w:gridCol w:w="1248"/>
        <w:gridCol w:w="1027"/>
        <w:gridCol w:w="1046"/>
        <w:gridCol w:w="1042"/>
        <w:gridCol w:w="1046"/>
        <w:gridCol w:w="1046"/>
        <w:gridCol w:w="1056"/>
      </w:tblGrid>
      <w:tr>
        <w:trPr>
          <w:trHeight w:val="25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产品、计算机软 硬件的技术开 发与销售；经 济信息咨询；国 内贸易；经营进 出口业务；提 供婚姻介绍信 息咨询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报告期内取得和处置子公司的情况</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主要控股参股公司情况说明</w:t>
      </w:r>
    </w:p>
    <w:p>
      <w:pPr>
        <w:pStyle w:val="Style17"/>
        <w:keepNext/>
        <w:keepLines/>
        <w:widowControl w:val="0"/>
        <w:shd w:val="clear" w:color="auto" w:fill="auto"/>
        <w:tabs>
          <w:tab w:pos="517" w:val="left"/>
        </w:tabs>
        <w:bidi w:val="0"/>
        <w:spacing w:before="0" w:after="36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八</w:t>
      </w:r>
      <w:bookmarkEnd w:id="270"/>
      <w:r>
        <w:rPr>
          <w:color w:val="000000"/>
          <w:spacing w:val="0"/>
          <w:w w:val="100"/>
          <w:position w:val="0"/>
          <w:sz w:val="24"/>
          <w:szCs w:val="24"/>
        </w:rPr>
        <w:t>、</w:t>
        <w:tab/>
        <w:t>公司控制的结构化主体情况</w:t>
      </w:r>
      <w:bookmarkEnd w:id="268"/>
      <w:bookmarkEnd w:id="269"/>
      <w:bookmarkEnd w:id="271"/>
    </w:p>
    <w:p>
      <w:pPr>
        <w:pStyle w:val="Style3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tabs>
          <w:tab w:pos="517" w:val="left"/>
        </w:tabs>
        <w:bidi w:val="0"/>
        <w:spacing w:before="0" w:after="26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九</w:t>
      </w:r>
      <w:bookmarkEnd w:id="274"/>
      <w:r>
        <w:rPr>
          <w:color w:val="000000"/>
          <w:spacing w:val="0"/>
          <w:w w:val="100"/>
          <w:position w:val="0"/>
          <w:sz w:val="24"/>
          <w:szCs w:val="24"/>
        </w:rPr>
        <w:t>、</w:t>
        <w:tab/>
        <w:t>公司未来发展的展望</w:t>
      </w:r>
      <w:bookmarkEnd w:id="272"/>
      <w:bookmarkEnd w:id="273"/>
      <w:bookmarkEnd w:id="275"/>
    </w:p>
    <w:p>
      <w:pPr>
        <w:pStyle w:val="Style34"/>
        <w:keepNext w:val="0"/>
        <w:keepLines w:val="0"/>
        <w:widowControl w:val="0"/>
        <w:shd w:val="clear" w:color="auto" w:fill="auto"/>
        <w:bidi w:val="0"/>
        <w:spacing w:before="0" w:after="12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年公司各个主要业务规划和展望如下：</w:t>
      </w:r>
    </w:p>
    <w:p>
      <w:pPr>
        <w:pStyle w:val="Style34"/>
        <w:keepNext w:val="0"/>
        <w:keepLines w:val="0"/>
        <w:widowControl w:val="0"/>
        <w:shd w:val="clear" w:color="auto" w:fill="auto"/>
        <w:bidi w:val="0"/>
        <w:spacing w:before="0" w:after="120" w:line="312" w:lineRule="exact"/>
        <w:ind w:left="0" w:right="0"/>
        <w:jc w:val="both"/>
      </w:pPr>
      <w:r>
        <w:rPr>
          <w:color w:val="000000"/>
          <w:spacing w:val="0"/>
          <w:w w:val="100"/>
          <w:position w:val="0"/>
        </w:rPr>
        <w:t>系统集成及服务业务，基于国家对金融科技实行自主可控的战略导向，金融机构预计在</w:t>
      </w:r>
      <w:r>
        <w:rPr>
          <w:rFonts w:ascii="Times New Roman" w:eastAsia="Times New Roman" w:hAnsi="Times New Roman" w:cs="Times New Roman"/>
          <w:color w:val="000000"/>
          <w:spacing w:val="0"/>
          <w:w w:val="100"/>
          <w:position w:val="0"/>
        </w:rPr>
        <w:t>2021</w:t>
      </w:r>
      <w:r>
        <w:rPr>
          <w:color w:val="000000"/>
          <w:spacing w:val="0"/>
          <w:w w:val="100"/>
          <w:position w:val="0"/>
        </w:rPr>
        <w:t>年将继续集中对集成设备和 基础类软件进行升级换代，这为公司系统集成及服务业务提供了商机。公司将积极做好资金筹划，利用良好的客户关系，扩 大系统集成及服务业务的规模。</w:t>
      </w:r>
    </w:p>
    <w:p>
      <w:pPr>
        <w:pStyle w:val="Style34"/>
        <w:keepNext w:val="0"/>
        <w:keepLines w:val="0"/>
        <w:widowControl w:val="0"/>
        <w:shd w:val="clear" w:color="auto" w:fill="auto"/>
        <w:bidi w:val="0"/>
        <w:spacing w:before="0" w:after="120" w:line="313" w:lineRule="exact"/>
        <w:ind w:left="0" w:right="0"/>
        <w:jc w:val="both"/>
      </w:pPr>
      <w:r>
        <w:rPr>
          <w:color w:val="000000"/>
          <w:spacing w:val="0"/>
          <w:w w:val="100"/>
          <w:position w:val="0"/>
        </w:rPr>
        <w:t>软件开发及服务业务，预计</w:t>
      </w:r>
      <w:r>
        <w:rPr>
          <w:rFonts w:ascii="Times New Roman" w:eastAsia="Times New Roman" w:hAnsi="Times New Roman" w:cs="Times New Roman"/>
          <w:color w:val="000000"/>
          <w:spacing w:val="0"/>
          <w:w w:val="100"/>
          <w:position w:val="0"/>
        </w:rPr>
        <w:t>2021</w:t>
      </w:r>
      <w:r>
        <w:rPr>
          <w:color w:val="000000"/>
          <w:spacing w:val="0"/>
          <w:w w:val="100"/>
          <w:position w:val="0"/>
        </w:rPr>
        <w:t>年订单规模保持上涨的态势。银行软件应用系统的开发使用迭代呈现一定的周期性规律。 同时为适应国家防范系统性金融风险和加强自主可控的相关要求，目前各大银行对自身的应用软件系统升级改造的工作正陆 续展开。我们预计</w:t>
      </w:r>
      <w:r>
        <w:rPr>
          <w:rFonts w:ascii="Times New Roman" w:eastAsia="Times New Roman" w:hAnsi="Times New Roman" w:cs="Times New Roman"/>
          <w:color w:val="000000"/>
          <w:spacing w:val="0"/>
          <w:w w:val="100"/>
          <w:position w:val="0"/>
        </w:rPr>
        <w:t>2021</w:t>
      </w:r>
      <w:r>
        <w:rPr>
          <w:color w:val="000000"/>
          <w:spacing w:val="0"/>
          <w:w w:val="100"/>
          <w:position w:val="0"/>
        </w:rPr>
        <w:t>年除现有存量业务的订单增速将保持增长外，来自新的战略客户的业务拓展也将为公司带来稳定的软 件业务订单。</w:t>
      </w:r>
      <w:r>
        <w:rPr>
          <w:rFonts w:ascii="Times New Roman" w:eastAsia="Times New Roman" w:hAnsi="Times New Roman" w:cs="Times New Roman"/>
          <w:color w:val="000000"/>
          <w:spacing w:val="0"/>
          <w:w w:val="100"/>
          <w:position w:val="0"/>
        </w:rPr>
        <w:t>2021</w:t>
      </w:r>
      <w:r>
        <w:rPr>
          <w:color w:val="000000"/>
          <w:spacing w:val="0"/>
          <w:w w:val="100"/>
          <w:position w:val="0"/>
        </w:rPr>
        <w:t>年，公司将抓住市场机遇，持续扩大软件开发及服务业务的规模。预计软件业务的毛利率将保持稳中有升。 与此同时，公司也将鼓励各区域子公司，继续做深做大做强区域性银行市场。</w:t>
      </w:r>
    </w:p>
    <w:p>
      <w:pPr>
        <w:pStyle w:val="Style34"/>
        <w:keepNext w:val="0"/>
        <w:keepLines w:val="0"/>
        <w:widowControl w:val="0"/>
        <w:shd w:val="clear" w:color="auto" w:fill="auto"/>
        <w:bidi w:val="0"/>
        <w:spacing w:before="0" w:after="360" w:line="307" w:lineRule="exact"/>
        <w:ind w:left="0" w:right="0"/>
        <w:jc w:val="both"/>
      </w:pPr>
      <w:r>
        <w:rPr>
          <w:color w:val="000000"/>
          <w:spacing w:val="0"/>
          <w:w w:val="100"/>
          <w:position w:val="0"/>
        </w:rPr>
        <w:t>移动互联网营销业务，在发展原有业务的同时，将积极与公司现有银行业务相融合，形成渠道和客户资源的协同。积极 拓展其他流量入口，稳定毛利率水平，稳定和恢复该业务的发展规模。</w:t>
      </w:r>
    </w:p>
    <w:p>
      <w:pPr>
        <w:pStyle w:val="Style17"/>
        <w:keepNext/>
        <w:keepLines/>
        <w:widowControl w:val="0"/>
        <w:shd w:val="clear" w:color="auto" w:fill="auto"/>
        <w:bidi w:val="0"/>
        <w:spacing w:before="0" w:after="360" w:line="240" w:lineRule="auto"/>
        <w:ind w:left="0" w:right="0" w:firstLine="0"/>
        <w:jc w:val="left"/>
      </w:pPr>
      <w:bookmarkStart w:id="276" w:name="bookmark276"/>
      <w:bookmarkStart w:id="277" w:name="bookmark277"/>
      <w:bookmarkStart w:id="278" w:name="bookmark278"/>
      <w:r>
        <w:rPr>
          <w:color w:val="000000"/>
          <w:spacing w:val="0"/>
          <w:w w:val="100"/>
          <w:position w:val="0"/>
          <w:sz w:val="24"/>
          <w:szCs w:val="24"/>
        </w:rPr>
        <w:t>十、接待调研、沟通、采访等活动登记表</w:t>
      </w:r>
      <w:bookmarkEnd w:id="276"/>
      <w:bookmarkEnd w:id="277"/>
      <w:bookmarkEnd w:id="278"/>
    </w:p>
    <w:p>
      <w:pPr>
        <w:pStyle w:val="Style38"/>
        <w:keepNext/>
        <w:keepLines/>
        <w:widowControl w:val="0"/>
        <w:shd w:val="clear" w:color="auto" w:fill="auto"/>
        <w:bidi w:val="0"/>
        <w:spacing w:before="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、报告期内接待调研、沟通、采访等活动登记表</w:t>
      </w:r>
      <w:bookmarkEnd w:id="279"/>
      <w:bookmarkEnd w:id="280"/>
      <w:bookmarkEnd w:id="282"/>
    </w:p>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1133"/>
        <w:gridCol w:w="1190"/>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34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机构投资者</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公司主营业务 内容及行业发 展现状等相关 问题</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ind w:left="0" w:right="0" w:firstLine="0"/>
              <w:jc w:val="left"/>
            </w:pPr>
            <w:r>
              <w:fldChar w:fldCharType="begin"/>
            </w:r>
            <w:r>
              <w:rPr/>
              <w:instrText> HYPERLINK "https://view.ofliceapps.l" </w:instrText>
            </w:r>
            <w:r>
              <w:fldChar w:fldCharType="separate"/>
            </w:r>
            <w:r>
              <w:rPr>
                <w:rFonts w:ascii="Times New Roman" w:eastAsia="Times New Roman" w:hAnsi="Times New Roman" w:cs="Times New Roman"/>
                <w:color w:val="000000"/>
                <w:spacing w:val="0"/>
                <w:w w:val="100"/>
                <w:position w:val="0"/>
              </w:rPr>
              <w:t>https://view.ofliceapps.l</w:t>
            </w:r>
            <w:r>
              <w:fldChar w:fldCharType="end"/>
            </w:r>
            <w:r>
              <w:rPr>
                <w:rFonts w:ascii="Times New Roman" w:eastAsia="Times New Roman" w:hAnsi="Times New Roman" w:cs="Times New Roman"/>
                <w:color w:val="000000"/>
                <w:spacing w:val="0"/>
                <w:w w:val="100"/>
                <w:position w:val="0"/>
              </w:rPr>
              <w:t xml:space="preserve"> ive.com/op/view.aspx?s rc=http%3A%2F%2Fst atic. cninfo. com. cn%2F f</w:t>
            </w:r>
          </w:p>
        </w:tc>
      </w:tr>
    </w:tbl>
    <w:p>
      <w:pPr>
        <w:spacing w:lineRule="exact" w:line="1"/>
        <w:rPr>
          <w:sz w:val="2"/>
          <w:szCs w:val="2"/>
        </w:rPr>
      </w:pPr>
      <w:r>
        <w:br w:type="page"/>
      </w:r>
    </w:p>
    <w:tbl>
      <w:tblPr>
        <w:tblOverlap w:val="never"/>
        <w:jc w:val="center"/>
        <w:tblLayout w:type="fixed"/>
      </w:tblPr>
      <w:tblGrid>
        <w:gridCol w:w="1570"/>
        <w:gridCol w:w="1133"/>
        <w:gridCol w:w="1190"/>
        <w:gridCol w:w="1296"/>
        <w:gridCol w:w="1291"/>
        <w:gridCol w:w="1296"/>
        <w:gridCol w:w="181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inalpage%2F2020-01-1</w:t>
            </w:r>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5%2F1207253217.DO</w:t>
            </w:r>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CX</w:t>
            </w:r>
          </w:p>
        </w:tc>
      </w:tr>
      <w:tr>
        <w:trPr>
          <w:trHeight w:val="259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北京辖区深 市上市公司 投资者集体 接待（网上路 演）</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网上投资者</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公司主营业务 内容及行业发 展现状等相关 问题</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http: //www. cninfo .com. cn/new/disclo sure/detai l?plate=szse&amp;orgld= 99 00023805&amp;stockCode= 300465&amp;announcement Id=1208275538&amp;annou ncementTime=2020-08- 28</w:t>
            </w:r>
          </w:p>
        </w:tc>
      </w:tr>
    </w:tbl>
    <w:p>
      <w:pPr>
        <w:pStyle w:val="Style13"/>
        <w:keepNext/>
        <w:keepLines/>
        <w:widowControl w:val="0"/>
        <w:shd w:val="clear" w:color="auto" w:fill="auto"/>
        <w:bidi w:val="0"/>
        <w:spacing w:before="0" w:line="240" w:lineRule="auto"/>
        <w:ind w:left="0" w:right="0" w:firstLine="0"/>
        <w:jc w:val="center"/>
      </w:pPr>
      <w:bookmarkStart w:id="283" w:name="bookmark283"/>
      <w:bookmarkStart w:id="284" w:name="bookmark284"/>
      <w:bookmarkStart w:id="285" w:name="bookmark285"/>
      <w:r>
        <w:rPr>
          <w:color w:val="000000"/>
          <w:spacing w:val="0"/>
          <w:w w:val="100"/>
          <w:position w:val="0"/>
        </w:rPr>
        <w:t>第五节重要事项</w:t>
      </w:r>
      <w:bookmarkEnd w:id="283"/>
      <w:bookmarkEnd w:id="284"/>
      <w:bookmarkEnd w:id="285"/>
    </w:p>
    <w:p>
      <w:pPr>
        <w:pStyle w:val="Style17"/>
        <w:keepNext/>
        <w:keepLines/>
        <w:widowControl w:val="0"/>
        <w:shd w:val="clear" w:color="auto" w:fill="auto"/>
        <w:bidi w:val="0"/>
        <w:spacing w:before="0" w:after="260" w:line="240" w:lineRule="auto"/>
        <w:ind w:left="0" w:right="0" w:firstLine="0"/>
        <w:jc w:val="both"/>
      </w:pPr>
      <w:bookmarkStart w:id="286" w:name="bookmark286"/>
      <w:bookmarkStart w:id="287" w:name="bookmark287"/>
      <w:bookmarkStart w:id="288" w:name="bookmark288"/>
      <w:bookmarkStart w:id="289" w:name="bookmark289"/>
      <w:bookmarkStart w:id="290" w:name="bookmark290"/>
      <w:r>
        <w:rPr>
          <w:color w:val="000000"/>
          <w:spacing w:val="0"/>
          <w:w w:val="100"/>
          <w:position w:val="0"/>
          <w:sz w:val="24"/>
          <w:szCs w:val="24"/>
        </w:rPr>
        <w:t>一</w:t>
      </w:r>
      <w:bookmarkEnd w:id="289"/>
      <w:r>
        <w:rPr>
          <w:color w:val="000000"/>
          <w:spacing w:val="0"/>
          <w:w w:val="100"/>
          <w:position w:val="0"/>
          <w:sz w:val="24"/>
          <w:szCs w:val="24"/>
        </w:rPr>
        <w:t>、公司普通股利润分配及资本公积金转增股本情况</w:t>
      </w:r>
      <w:bookmarkEnd w:id="287"/>
      <w:bookmarkEnd w:id="288"/>
      <w:bookmarkEnd w:id="290"/>
      <w:bookmarkEnd w:id="286"/>
    </w:p>
    <w:p>
      <w:pPr>
        <w:pStyle w:val="Style34"/>
        <w:keepNext w:val="0"/>
        <w:keepLines w:val="0"/>
        <w:widowControl w:val="0"/>
        <w:shd w:val="clear" w:color="auto" w:fill="auto"/>
        <w:bidi w:val="0"/>
        <w:spacing w:before="0" w:after="140" w:line="310" w:lineRule="exact"/>
        <w:ind w:left="0" w:right="0" w:firstLine="0"/>
        <w:jc w:val="both"/>
      </w:pPr>
      <w:r>
        <w:rPr>
          <w:color w:val="000000"/>
          <w:spacing w:val="0"/>
          <w:w w:val="100"/>
          <w:position w:val="0"/>
        </w:rPr>
        <w:t>报告期内普通股利润分配政策，特别是现金分红政策的制定、执行或调整情况</w:t>
      </w:r>
    </w:p>
    <w:p>
      <w:pPr>
        <w:pStyle w:val="Style3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公司上市后的利润分配政策如下：</w:t>
      </w:r>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公司可以采取现金或者股票方式分配利润。公司的利润分配政策应保持连续性和稳定性。公司实施股利分配应当遵守以 下规定</w:t>
      </w:r>
      <w:r>
        <w:rPr>
          <w:color w:val="000000"/>
          <w:spacing w:val="0"/>
          <w:w w:val="100"/>
          <w:position w:val="0"/>
        </w:rPr>
        <w:t>：</w:t>
      </w:r>
    </w:p>
    <w:p>
      <w:pPr>
        <w:pStyle w:val="Style34"/>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公司的利润分配应重视对投资者的合理投资回报，同时兼顾公司的实际经营情况及公司的远期战略发展目标；公司一般 进行年度分红，在有条件的情况下，公司可以进行中期利润分配。在公司当年盈利且无重大投资计划或重大现金支出事项发 生的情况下，公司必须进行现金分红，以现金形式分配的利润不少于当年实现的可供分配利润的</w:t>
      </w:r>
      <w:r>
        <w:rPr>
          <w:rFonts w:ascii="Times New Roman" w:eastAsia="Times New Roman" w:hAnsi="Times New Roman" w:cs="Times New Roman"/>
          <w:color w:val="000000"/>
          <w:spacing w:val="0"/>
          <w:w w:val="100"/>
          <w:position w:val="0"/>
        </w:rPr>
        <w:t>15%</w:t>
      </w:r>
      <w:r>
        <w:rPr>
          <w:color w:val="000000"/>
          <w:spacing w:val="0"/>
          <w:w w:val="100"/>
          <w:position w:val="0"/>
        </w:rPr>
        <w:t>；公司最近三年以现金 方式累计分配的利润不少于最近三年实现的年均可分配利润的</w:t>
      </w:r>
      <w:r>
        <w:rPr>
          <w:rFonts w:ascii="Times New Roman" w:eastAsia="Times New Roman" w:hAnsi="Times New Roman" w:cs="Times New Roman"/>
          <w:color w:val="000000"/>
          <w:spacing w:val="0"/>
          <w:w w:val="100"/>
          <w:position w:val="0"/>
        </w:rPr>
        <w:t>45%</w:t>
      </w:r>
      <w:r>
        <w:rPr>
          <w:color w:val="000000"/>
          <w:spacing w:val="0"/>
          <w:w w:val="100"/>
          <w:position w:val="0"/>
        </w:rPr>
        <w:t>。</w:t>
      </w:r>
    </w:p>
    <w:p>
      <w:pPr>
        <w:pStyle w:val="Style34"/>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公司出现以下情况，可以进行股票股利分配：公司营业收入增长迅速，并且董事会认为公司股票价格与公司股本规模不 匹配时，可以在满足上述现金股利分配的同时，制定股票股利分配预案。</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446,762,257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-240,103,577.42</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671" w:right="552" w:bottom="946" w:left="567" w:header="0" w:footer="3" w:gutter="0"/>
          <w:cols w:space="720"/>
          <w:noEndnote/>
          <w:rtlGutter w:val="0"/>
          <w:docGrid w:linePitch="360"/>
        </w:sectPr>
      </w:pP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019" w:val="left"/>
        </w:tabs>
        <w:bidi w:val="0"/>
        <w:spacing w:before="0" w:after="80" w:line="317" w:lineRule="exact"/>
        <w:ind w:left="0" w:right="0" w:firstLine="0"/>
        <w:jc w:val="left"/>
      </w:pPr>
      <w:r>
        <w:rPr>
          <w:color w:val="000000"/>
          <w:spacing w:val="0"/>
          <w:w w:val="100"/>
          <w:position w:val="0"/>
        </w:rPr>
        <w:t>现金分红总额（含其他方式）占利润分配总额的比例</w:t>
        <w:tab/>
      </w:r>
      <w:r>
        <w:rPr>
          <w:rFonts w:ascii="Times New Roman" w:eastAsia="Times New Roman" w:hAnsi="Times New Roman" w:cs="Times New Roman"/>
          <w:color w:val="000000"/>
          <w:spacing w:val="0"/>
          <w:w w:val="100"/>
          <w:position w:val="0"/>
        </w:rPr>
        <w:t>0.00%</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本次现金分红情况</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left"/>
      </w:pPr>
      <w:r>
        <w:rPr>
          <w:color w:val="000000"/>
          <w:spacing w:val="0"/>
          <w:w w:val="100"/>
          <w:position w:val="0"/>
        </w:rPr>
        <w:t>其他</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利润分配或资本公积金转增预案的详细情况说明</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both"/>
      </w:pPr>
      <w:r>
        <w:rPr>
          <w:color w:val="000000"/>
          <w:spacing w:val="0"/>
          <w:w w:val="100"/>
          <w:position w:val="0"/>
        </w:rPr>
        <w:t>根据中国证券监督管理委员会有关规定及《公司章程》的相关规定，鉴于</w:t>
      </w:r>
      <w:r>
        <w:rPr>
          <w:rFonts w:ascii="Times New Roman" w:eastAsia="Times New Roman" w:hAnsi="Times New Roman" w:cs="Times New Roman"/>
          <w:color w:val="000000"/>
          <w:spacing w:val="0"/>
          <w:w w:val="100"/>
          <w:position w:val="0"/>
        </w:rPr>
        <w:t>2020</w:t>
      </w:r>
      <w:r>
        <w:rPr>
          <w:color w:val="000000"/>
          <w:spacing w:val="0"/>
          <w:w w:val="100"/>
          <w:position w:val="0"/>
        </w:rPr>
        <w:t>年度母公司实现的净利润为负</w:t>
      </w:r>
      <w:r>
        <w:rPr>
          <w:color w:val="000000"/>
          <w:spacing w:val="0"/>
          <w:w w:val="100"/>
          <w:position w:val="0"/>
        </w:rPr>
        <w:t>，</w:t>
      </w:r>
      <w:r>
        <w:rPr>
          <w:color w:val="000000"/>
          <w:spacing w:val="0"/>
          <w:w w:val="100"/>
          <w:position w:val="0"/>
        </w:rPr>
        <w:t>不具备分红 的条件，同时结合公司未来经营发展需要，公司拟定</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年度利润分配预案为：不派发现金红利，不送红股，亦不以资 本公积金转增股本。</w:t>
      </w:r>
    </w:p>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4"/>
        <w:keepNext w:val="0"/>
        <w:keepLines w:val="0"/>
        <w:widowControl w:val="0"/>
        <w:shd w:val="clear" w:color="auto" w:fill="auto"/>
        <w:tabs>
          <w:tab w:pos="344" w:val="left"/>
        </w:tabs>
        <w:bidi w:val="0"/>
        <w:spacing w:before="0" w:after="0" w:line="314" w:lineRule="exact"/>
        <w:ind w:left="0" w:right="0" w:firstLine="0"/>
        <w:jc w:val="both"/>
      </w:pPr>
      <w:bookmarkStart w:id="291" w:name="bookmark291"/>
      <w:r>
        <w:rPr>
          <w:rFonts w:ascii="Times New Roman" w:eastAsia="Times New Roman" w:hAnsi="Times New Roman" w:cs="Times New Roman"/>
          <w:color w:val="000000"/>
          <w:spacing w:val="0"/>
          <w:w w:val="100"/>
          <w:position w:val="0"/>
        </w:rPr>
        <w:t>1</w:t>
      </w:r>
      <w:bookmarkEnd w:id="291"/>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日，公司股东大会审议通过《关于</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年度利润分配预案</w:t>
      </w:r>
      <w:r>
        <w:rPr>
          <w:color w:val="000000"/>
          <w:spacing w:val="0"/>
          <w:w w:val="100"/>
          <w:position w:val="0"/>
        </w:rPr>
        <w:t>〉</w:t>
      </w:r>
      <w:r>
        <w:rPr>
          <w:color w:val="000000"/>
          <w:spacing w:val="0"/>
          <w:w w:val="100"/>
          <w:position w:val="0"/>
        </w:rPr>
        <w:t>的议案》，鉴于</w:t>
      </w:r>
      <w:r>
        <w:rPr>
          <w:rFonts w:ascii="Times New Roman" w:eastAsia="Times New Roman" w:hAnsi="Times New Roman" w:cs="Times New Roman"/>
          <w:color w:val="000000"/>
          <w:spacing w:val="0"/>
          <w:w w:val="100"/>
          <w:position w:val="0"/>
        </w:rPr>
        <w:t>2017</w:t>
      </w:r>
      <w:r>
        <w:rPr>
          <w:color w:val="000000"/>
          <w:spacing w:val="0"/>
          <w:w w:val="100"/>
          <w:position w:val="0"/>
        </w:rPr>
        <w:t>年度母公司实现净利润为 负</w:t>
      </w:r>
      <w:r>
        <w:rPr>
          <w:rFonts w:ascii="Times New Roman" w:eastAsia="Times New Roman" w:hAnsi="Times New Roman" w:cs="Times New Roman"/>
          <w:color w:val="000000"/>
          <w:spacing w:val="0"/>
          <w:w w:val="100"/>
          <w:position w:val="0"/>
        </w:rPr>
        <w:t>,</w:t>
      </w:r>
      <w:r>
        <w:rPr>
          <w:color w:val="000000"/>
          <w:spacing w:val="0"/>
          <w:w w:val="100"/>
          <w:position w:val="0"/>
        </w:rPr>
        <w:t>已不具备现金分红的条件。同时考虑到</w:t>
      </w:r>
      <w:r>
        <w:rPr>
          <w:rFonts w:ascii="Times New Roman" w:eastAsia="Times New Roman" w:hAnsi="Times New Roman" w:cs="Times New Roman"/>
          <w:color w:val="000000"/>
          <w:spacing w:val="0"/>
          <w:w w:val="100"/>
          <w:position w:val="0"/>
        </w:rPr>
        <w:t>2018</w:t>
      </w:r>
      <w:r>
        <w:rPr>
          <w:color w:val="000000"/>
          <w:spacing w:val="0"/>
          <w:w w:val="100"/>
          <w:position w:val="0"/>
        </w:rPr>
        <w:t>年及以后可预见的时期内上市公司存在支付已收购公司的股权交易款，以及 归还银行贷款等大额现金支出的需要，为公司长远发展计，</w:t>
      </w:r>
      <w:r>
        <w:rPr>
          <w:rFonts w:ascii="Times New Roman" w:eastAsia="Times New Roman" w:hAnsi="Times New Roman" w:cs="Times New Roman"/>
          <w:color w:val="000000"/>
          <w:spacing w:val="0"/>
          <w:w w:val="100"/>
          <w:position w:val="0"/>
        </w:rPr>
        <w:t>2017</w:t>
      </w:r>
      <w:r>
        <w:rPr>
          <w:color w:val="000000"/>
          <w:spacing w:val="0"/>
          <w:w w:val="100"/>
          <w:position w:val="0"/>
        </w:rPr>
        <w:t>年度不进行利润分配。</w:t>
      </w:r>
    </w:p>
    <w:p>
      <w:pPr>
        <w:pStyle w:val="Style34"/>
        <w:keepNext w:val="0"/>
        <w:keepLines w:val="0"/>
        <w:widowControl w:val="0"/>
        <w:shd w:val="clear" w:color="auto" w:fill="auto"/>
        <w:bidi w:val="0"/>
        <w:spacing w:before="0" w:after="0" w:line="317" w:lineRule="exact"/>
        <w:ind w:left="0" w:right="0" w:firstLine="0"/>
        <w:jc w:val="both"/>
      </w:pPr>
      <w:bookmarkStart w:id="292" w:name="bookmark292"/>
      <w:r>
        <w:rPr>
          <w:rFonts w:ascii="Times New Roman" w:eastAsia="Times New Roman" w:hAnsi="Times New Roman" w:cs="Times New Roman"/>
          <w:color w:val="000000"/>
          <w:spacing w:val="0"/>
          <w:w w:val="100"/>
          <w:position w:val="0"/>
        </w:rPr>
        <w:t>2</w:t>
      </w:r>
      <w:bookmarkEnd w:id="292"/>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日，公司股东大会审议通过《</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年度利润分配预案》，公司以总股本</w:t>
      </w:r>
      <w:r>
        <w:rPr>
          <w:rFonts w:ascii="Times New Roman" w:eastAsia="Times New Roman" w:hAnsi="Times New Roman" w:cs="Times New Roman"/>
          <w:color w:val="000000"/>
          <w:spacing w:val="0"/>
          <w:w w:val="100"/>
          <w:position w:val="0"/>
        </w:rPr>
        <w:t>446,787,857</w:t>
      </w: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0.36</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16,084,362.85</w:t>
      </w:r>
      <w:r>
        <w:rPr>
          <w:color w:val="000000"/>
          <w:spacing w:val="0"/>
          <w:w w:val="100"/>
          <w:position w:val="0"/>
        </w:rPr>
        <w:t>元，其余未分配利润结转以后年度分配。</w:t>
      </w:r>
    </w:p>
    <w:p>
      <w:pPr>
        <w:pStyle w:val="Style34"/>
        <w:keepNext w:val="0"/>
        <w:keepLines w:val="0"/>
        <w:widowControl w:val="0"/>
        <w:shd w:val="clear" w:color="auto" w:fill="auto"/>
        <w:tabs>
          <w:tab w:pos="354" w:val="left"/>
        </w:tabs>
        <w:bidi w:val="0"/>
        <w:spacing w:before="0" w:after="0" w:line="322" w:lineRule="exact"/>
        <w:ind w:left="0" w:right="0" w:firstLine="0"/>
        <w:jc w:val="both"/>
      </w:pPr>
      <w:bookmarkStart w:id="293" w:name="bookmark293"/>
      <w:r>
        <w:rPr>
          <w:rFonts w:ascii="Times New Roman" w:eastAsia="Times New Roman" w:hAnsi="Times New Roman" w:cs="Times New Roman"/>
          <w:color w:val="000000"/>
          <w:spacing w:val="0"/>
          <w:w w:val="100"/>
          <w:position w:val="0"/>
        </w:rPr>
        <w:t>3</w:t>
      </w:r>
      <w:bookmarkEnd w:id="29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日，公司股东大会审议通过《关于</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w:t>
      </w:r>
      <w:r>
        <w:rPr>
          <w:color w:val="000000"/>
          <w:spacing w:val="0"/>
          <w:w w:val="100"/>
          <w:position w:val="0"/>
        </w:rPr>
        <w:t>〉</w:t>
      </w:r>
      <w:r>
        <w:rPr>
          <w:color w:val="000000"/>
          <w:spacing w:val="0"/>
          <w:w w:val="100"/>
          <w:position w:val="0"/>
        </w:rPr>
        <w:t>的议案》，公司以总股本</w:t>
      </w:r>
      <w:r>
        <w:rPr>
          <w:rFonts w:ascii="Times New Roman" w:eastAsia="Times New Roman" w:hAnsi="Times New Roman" w:cs="Times New Roman"/>
          <w:color w:val="000000"/>
          <w:spacing w:val="0"/>
          <w:w w:val="100"/>
          <w:position w:val="0"/>
        </w:rPr>
        <w:t>446,762,257</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.45</w:t>
      </w:r>
      <w:r>
        <w:rPr>
          <w:color w:val="000000"/>
          <w:spacing w:val="0"/>
          <w:w w:val="100"/>
          <w:position w:val="0"/>
        </w:rPr>
        <w:t>元人民币（含税），合计派发现金股利</w:t>
      </w:r>
      <w:r>
        <w:rPr>
          <w:rFonts w:ascii="Times New Roman" w:eastAsia="Times New Roman" w:hAnsi="Times New Roman" w:cs="Times New Roman"/>
          <w:color w:val="000000"/>
          <w:spacing w:val="0"/>
          <w:w w:val="100"/>
          <w:position w:val="0"/>
        </w:rPr>
        <w:t>20,104,301.57</w:t>
      </w:r>
      <w:r>
        <w:rPr>
          <w:color w:val="000000"/>
          <w:spacing w:val="0"/>
          <w:w w:val="100"/>
          <w:position w:val="0"/>
        </w:rPr>
        <w:t>元（含税），其余未分配利润结转 以后年度分配。</w:t>
      </w:r>
    </w:p>
    <w:p>
      <w:pPr>
        <w:pStyle w:val="Style3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公司近三年（包括本报告期）普通股现金分红情况表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272"/>
        <w:gridCol w:w="1320"/>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现金分红金额</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现金分红总额</w:t>
            </w:r>
          </w:p>
          <w:p>
            <w:pPr>
              <w:pStyle w:val="Style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现金分红总额</w:t>
            </w:r>
          </w:p>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-671,247,584.07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20,104,301.57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133,741,533.27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20,104,301.57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16,084,362.85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104,546,602.00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16,084,362.85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w:t>
            </w:r>
          </w:p>
        </w:tc>
      </w:tr>
    </w:tbl>
    <w:p>
      <w:pPr>
        <w:pStyle w:val="Style34"/>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0" w:after="32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二</w:t>
      </w:r>
      <w:bookmarkEnd w:id="296"/>
      <w:r>
        <w:rPr>
          <w:color w:val="000000"/>
          <w:spacing w:val="0"/>
          <w:w w:val="100"/>
          <w:position w:val="0"/>
          <w:sz w:val="24"/>
          <w:szCs w:val="24"/>
        </w:rPr>
        <w:t>、承诺事项履行情况</w:t>
      </w:r>
      <w:bookmarkEnd w:id="294"/>
      <w:bookmarkEnd w:id="295"/>
      <w:bookmarkEnd w:id="297"/>
    </w:p>
    <w:p>
      <w:pPr>
        <w:pStyle w:val="Style38"/>
        <w:keepNext/>
        <w:keepLines/>
        <w:widowControl w:val="0"/>
        <w:shd w:val="clear" w:color="auto" w:fill="auto"/>
        <w:bidi w:val="0"/>
        <w:spacing w:before="0" w:after="380" w:line="312" w:lineRule="exact"/>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、公司实际控制人、股东、关联方、收购人以及公司等承诺相关方在报告期内履行完毕及截至报告期末 尚未履行完毕的承诺事项</w:t>
      </w:r>
      <w:bookmarkEnd w:id="298"/>
      <w:bookmarkEnd w:id="299"/>
      <w:bookmarkEnd w:id="301"/>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91"/>
        <w:gridCol w:w="864"/>
        <w:gridCol w:w="437"/>
        <w:gridCol w:w="4862"/>
        <w:gridCol w:w="571"/>
        <w:gridCol w:w="312"/>
        <w:gridCol w:w="1349"/>
      </w:tblGrid>
      <w:tr>
        <w:trPr>
          <w:trHeight w:val="100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承诺</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时间</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 诺 期</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bl>
    <w:p>
      <w:pPr>
        <w:spacing w:lineRule="exact" w:line="1"/>
        <w:rPr>
          <w:sz w:val="2"/>
          <w:szCs w:val="2"/>
        </w:rPr>
      </w:pPr>
      <w:r>
        <w:br w:type="page"/>
      </w:r>
    </w:p>
    <w:tbl>
      <w:tblPr>
        <w:tblOverlap w:val="never"/>
        <w:jc w:val="center"/>
        <w:tblLayout w:type="fixed"/>
      </w:tblPr>
      <w:tblGrid>
        <w:gridCol w:w="1291"/>
        <w:gridCol w:w="864"/>
        <w:gridCol w:w="437"/>
        <w:gridCol w:w="4862"/>
        <w:gridCol w:w="571"/>
        <w:gridCol w:w="312"/>
        <w:gridCol w:w="134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资产重组时所</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4"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首次公开发行</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或再融资时所</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公司实际 控制人及 董事长于 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股份</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减持</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前述锁定期限届满后，在任职期间每年转让的股份不超过其间 接所持股份总数的</w:t>
            </w:r>
            <w:r>
              <w:rPr>
                <w:rFonts w:ascii="Times New Roman" w:eastAsia="Times New Roman" w:hAnsi="Times New Roman" w:cs="Times New Roman"/>
                <w:color w:val="000000"/>
                <w:spacing w:val="0"/>
                <w:w w:val="100"/>
                <w:position w:val="0"/>
              </w:rPr>
              <w:t>25%</w:t>
            </w:r>
            <w:r>
              <w:rPr>
                <w:color w:val="000000"/>
                <w:spacing w:val="0"/>
                <w:w w:val="100"/>
                <w:position w:val="0"/>
              </w:rPr>
              <w:t>,离职后半年内不转让其间接所持有的 公司股份。如果其在本公司首次公开发行股票上市之日起六个 月内申报离职的，自申报离职之日起十八个月内不转让其间接 持有的本公司股份；在首次公开发行股票上市之日起第七个月 至第十二个月之间申报离职的，自申报离职之日起十二个月内 不转让其间接持有的公司股份。因本公司进行权益分派等导致 其间接持有的本公司股份发生变化的，仍遵守上述承诺。本人 所持公司股票在锁定期满后两年内减持的，减持价格不低于发 行价。公司上市后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 盘价均低于发行价，或者上市后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 价，本人持有公司股票的锁定期限自动延长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个月。上述减持 价格和股份锁定承诺不因本人职务变更、离职等原因放弃履行 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长</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截止本报告期 末，承诺人严格 信守承诺，未出 现违反承诺的情 况</w:t>
            </w:r>
          </w:p>
        </w:tc>
      </w:tr>
      <w:tr>
        <w:trPr>
          <w:trHeight w:val="352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公司实际 控制人及 董事长于 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避免 关联 交易 的承 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本人及本人实际控制的企业将继续严格按照《公司法》等法律 法规以及高伟达软件股份有限公司章程的有关规定行使股东 权利；在股东大会对有关涉及本人或本人实际控制的企业的关 联交易事项进行表决时，履行回避表决的义务；本人承诺杜绝 一切非法占用上市公司的资金、资产的行为；在任何情况下， 不要求上市公司向本人或本人直接或间接持股的企业提供任 何形式的担保；在双方的关联交易上，严格遵循市场原则，尽 量避免不必要的关联交易发生，对持续经营所发生的必要的关 联交易，应以双方协议规定的方式进行处理，遵循市场化的定 价原则，避免损害高伟达软件股份有限公司及广大中小股东权 益的情况发生。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长</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截止本报告期 末，承诺人严格 信守承诺，未出 现违反承诺的情 况</w:t>
            </w:r>
          </w:p>
        </w:tc>
      </w:tr>
      <w:tr>
        <w:trPr>
          <w:trHeight w:val="380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公司实际 控制人及 董事长于 伟</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避免 同业 竞争 的承 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、如拟出售本人与公司生产、经营相关的任何其它资产、业 务或权益，公司均有优先购买的权利；本人将尽最大努力使有 关交易的价格公平合理，且该等交易价格按与独立第三方进行 正常商业交易的交易价格为基础确定。</w:t>
            </w:r>
            <w:r>
              <w:rPr>
                <w:rFonts w:ascii="Times New Roman" w:eastAsia="Times New Roman" w:hAnsi="Times New Roman" w:cs="Times New Roman"/>
                <w:color w:val="000000"/>
                <w:spacing w:val="0"/>
                <w:w w:val="100"/>
                <w:position w:val="0"/>
              </w:rPr>
              <w:t>2</w:t>
            </w:r>
            <w:r>
              <w:rPr>
                <w:color w:val="000000"/>
                <w:spacing w:val="0"/>
                <w:w w:val="100"/>
                <w:position w:val="0"/>
              </w:rPr>
              <w:t>、本人目前没有在中 国境内任何地方或中国境外，直接或间接发展、经营或协助经 营或参与与公司业务存在竞争的任何活动，亦没有在任何与公 司业务有直接或间接竞争的公司或企业拥有任何权益（不论直 接或间接）。</w:t>
            </w:r>
            <w:r>
              <w:rPr>
                <w:rFonts w:ascii="Times New Roman" w:eastAsia="Times New Roman" w:hAnsi="Times New Roman" w:cs="Times New Roman"/>
                <w:color w:val="000000"/>
                <w:spacing w:val="0"/>
                <w:w w:val="100"/>
                <w:position w:val="0"/>
              </w:rPr>
              <w:t>3</w:t>
            </w:r>
            <w:r>
              <w:rPr>
                <w:color w:val="000000"/>
                <w:spacing w:val="0"/>
                <w:w w:val="100"/>
                <w:position w:val="0"/>
              </w:rPr>
              <w:t>、本人保证及承诺除非经公司书面同意，不会直 接或间接发展、经营或协助经营或参与或从事与公司业务相竞 争的任何活动。</w:t>
            </w:r>
            <w:r>
              <w:rPr>
                <w:rFonts w:ascii="Times New Roman" w:eastAsia="Times New Roman" w:hAnsi="Times New Roman" w:cs="Times New Roman"/>
                <w:color w:val="000000"/>
                <w:spacing w:val="0"/>
                <w:w w:val="100"/>
                <w:position w:val="0"/>
              </w:rPr>
              <w:t>4</w:t>
            </w:r>
            <w:r>
              <w:rPr>
                <w:color w:val="000000"/>
                <w:spacing w:val="0"/>
                <w:w w:val="100"/>
                <w:position w:val="0"/>
              </w:rPr>
              <w:t>、本人将依法律、法规及公司的规定向公司 及有关机构或部门及时披露与公司业务构成竞争或可能构成 竞争的任何业务或权益的详情，直至本人不再作为公司实际控</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长</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截止本报告期 末，承诺人严格 信守承诺，未出 现违反承诺的情 况</w:t>
            </w:r>
          </w:p>
        </w:tc>
      </w:tr>
    </w:tbl>
    <w:p>
      <w:pPr>
        <w:spacing w:lineRule="exact" w:line="1"/>
        <w:rPr>
          <w:sz w:val="2"/>
          <w:szCs w:val="2"/>
        </w:rPr>
      </w:pPr>
      <w:r>
        <w:br w:type="page"/>
      </w:r>
    </w:p>
    <w:tbl>
      <w:tblPr>
        <w:tblOverlap w:val="never"/>
        <w:jc w:val="center"/>
        <w:tblLayout w:type="fixed"/>
      </w:tblPr>
      <w:tblGrid>
        <w:gridCol w:w="1291"/>
        <w:gridCol w:w="864"/>
        <w:gridCol w:w="437"/>
        <w:gridCol w:w="4862"/>
        <w:gridCol w:w="571"/>
        <w:gridCol w:w="312"/>
        <w:gridCol w:w="1349"/>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制人为止。</w:t>
            </w:r>
            <w:r>
              <w:rPr>
                <w:rFonts w:ascii="Times New Roman" w:eastAsia="Times New Roman" w:hAnsi="Times New Roman" w:cs="Times New Roman"/>
                <w:color w:val="000000"/>
                <w:spacing w:val="0"/>
                <w:w w:val="100"/>
                <w:position w:val="0"/>
              </w:rPr>
              <w:t>5</w:t>
            </w:r>
            <w:r>
              <w:rPr>
                <w:color w:val="000000"/>
                <w:spacing w:val="0"/>
                <w:w w:val="100"/>
                <w:position w:val="0"/>
              </w:rPr>
              <w:t>、本人将不会利用公司实际控制人的身份进行损 害公司及其它股东利益的经营活动。</w:t>
            </w:r>
            <w:r>
              <w:rPr>
                <w:rFonts w:ascii="Times New Roman" w:eastAsia="Times New Roman" w:hAnsi="Times New Roman" w:cs="Times New Roman"/>
                <w:color w:val="000000"/>
                <w:spacing w:val="0"/>
                <w:w w:val="100"/>
                <w:position w:val="0"/>
              </w:rPr>
              <w:t>6</w:t>
            </w:r>
            <w:r>
              <w:rPr>
                <w:color w:val="000000"/>
                <w:spacing w:val="0"/>
                <w:w w:val="100"/>
                <w:position w:val="0"/>
              </w:rPr>
              <w:t>、本人愿意承担因违反 上述承诺而给公司造成的全部经济损失。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公司实际 控制人及 董事长于 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其他</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实际控制人于伟针对</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月无形资产出资一事出具如下 承诺：公司已于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月对此次无形资产增资行为进行了 纠正，以截至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月的未分配利润补足了该次出资。如 因此次出资相关事宜导致高伟达软件股份有限公司及股东利 益遭受损害，相应责任及损失将全部由本人承担，且在承担相 应损失后不向高伟达软件股份有限公司寻求补偿。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长</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截止本报告期 末，承诺人严格 信守承诺，未出 现违反承诺的情 况</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公司实际 控制人及 董事长于 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其他</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实际控制人于伟针对拟境外上市架构事宜出具了《针对高伟达 控股存续期间有关事项的承诺函》，承诺如下：在拟境外上市 架构建立及解除的整个过程中，全部事项（包括但不限于高伟 达控股设立、历次股权转让、优先股发行、股份回购、对境内 控制公司增资及注销等）均符合英属维尔京群岛当地及中国国 内相关法律规定，不存在纠纷或潜在的纠纷。如因上述事项产 生纠纷导致发行人及其股东利益遭受损害，所有损失及开支均 由本人承担，且不以任何形式向发行人寻求补偿。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长</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截止本报告期 末，承诺人严格 信守承诺，未出 现违反承诺的情 况</w:t>
            </w:r>
          </w:p>
        </w:tc>
      </w:tr>
      <w:tr>
        <w:trPr>
          <w:trHeight w:val="81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本公司控 股股东鹰 高投资</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股份</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减持</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、本公司将长期持有公司股票。</w:t>
            </w:r>
            <w:r>
              <w:rPr>
                <w:rFonts w:ascii="Times New Roman" w:eastAsia="Times New Roman" w:hAnsi="Times New Roman" w:cs="Times New Roman"/>
                <w:color w:val="000000"/>
                <w:spacing w:val="0"/>
                <w:w w:val="100"/>
                <w:position w:val="0"/>
              </w:rPr>
              <w:t>2</w:t>
            </w:r>
            <w:r>
              <w:rPr>
                <w:color w:val="000000"/>
                <w:spacing w:val="0"/>
                <w:w w:val="100"/>
                <w:position w:val="0"/>
              </w:rPr>
              <w:t>、本公司将严格根据证券监 管机构、自律机构及证券交易所等有权部门颁布的相关法律法 规及规范性文件的有关规定以及本公司就持股锁定事项出具 的相关承诺执行有关股份限售事项，在证券监管机构、自律机 构及证券交易所等有权部门颁布的相关法律法规及规范性文 件的有关规定以及本公司股份锁定承诺规定的限售期内，本公 司不会进行任何违反相关规定及股份锁定承诺的股份减持行 为。</w:t>
            </w:r>
            <w:r>
              <w:rPr>
                <w:rFonts w:ascii="Times New Roman" w:eastAsia="Times New Roman" w:hAnsi="Times New Roman" w:cs="Times New Roman"/>
                <w:color w:val="000000"/>
                <w:spacing w:val="0"/>
                <w:w w:val="100"/>
                <w:position w:val="0"/>
              </w:rPr>
              <w:t>3</w:t>
            </w:r>
            <w:r>
              <w:rPr>
                <w:color w:val="000000"/>
                <w:spacing w:val="0"/>
                <w:w w:val="100"/>
                <w:position w:val="0"/>
              </w:rPr>
              <w:t>、持股限售期结束后，本公司届时将综合考虑资金需求、 投资安排等各方面因素审慎制定股票减持计划，如本公司确定 依法减持公司股份的，应提前三个交易日予以公告；</w:t>
            </w:r>
            <w:r>
              <w:rPr>
                <w:rFonts w:ascii="Times New Roman" w:eastAsia="Times New Roman" w:hAnsi="Times New Roman" w:cs="Times New Roman"/>
                <w:color w:val="000000"/>
                <w:spacing w:val="0"/>
                <w:w w:val="100"/>
                <w:position w:val="0"/>
              </w:rPr>
              <w:t>4</w:t>
            </w:r>
            <w:r>
              <w:rPr>
                <w:color w:val="000000"/>
                <w:spacing w:val="0"/>
                <w:w w:val="100"/>
                <w:position w:val="0"/>
              </w:rPr>
              <w:t>、持股 限售期结束后，如本公司确定依法减持公司股份的，将在满足 以下条件后减持：（</w:t>
            </w:r>
            <w:r>
              <w:rPr>
                <w:rFonts w:ascii="Times New Roman" w:eastAsia="Times New Roman" w:hAnsi="Times New Roman" w:cs="Times New Roman"/>
                <w:color w:val="000000"/>
                <w:spacing w:val="0"/>
                <w:w w:val="100"/>
                <w:position w:val="0"/>
              </w:rPr>
              <w:t>1</w:t>
            </w:r>
            <w:r>
              <w:rPr>
                <w:color w:val="000000"/>
                <w:spacing w:val="0"/>
                <w:w w:val="100"/>
                <w:position w:val="0"/>
              </w:rPr>
              <w:t>）公司股价不低于最近一期经审计的每股 净资产</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）公司运营正常、减持对公司二级市场不构成重大 干扰。（</w:t>
            </w:r>
            <w:r>
              <w:rPr>
                <w:rFonts w:ascii="Times New Roman" w:eastAsia="Times New Roman" w:hAnsi="Times New Roman" w:cs="Times New Roman"/>
                <w:color w:val="000000"/>
                <w:spacing w:val="0"/>
                <w:w w:val="100"/>
                <w:position w:val="0"/>
              </w:rPr>
              <w:t>3</w:t>
            </w:r>
            <w:r>
              <w:rPr>
                <w:color w:val="000000"/>
                <w:spacing w:val="0"/>
                <w:w w:val="100"/>
                <w:position w:val="0"/>
              </w:rPr>
              <w:t>）本公司减持价格不低于公司首次公开发行股票的发 行价格，如自公司首次公开发行股票至上述减持公告之日公司 发生过除权除息等事项的，发行价格应相应调整。</w:t>
            </w:r>
            <w:r>
              <w:rPr>
                <w:rFonts w:ascii="Times New Roman" w:eastAsia="Times New Roman" w:hAnsi="Times New Roman" w:cs="Times New Roman"/>
                <w:color w:val="000000"/>
                <w:spacing w:val="0"/>
                <w:w w:val="100"/>
                <w:position w:val="0"/>
              </w:rPr>
              <w:t>5</w:t>
            </w:r>
            <w:r>
              <w:rPr>
                <w:color w:val="000000"/>
                <w:spacing w:val="0"/>
                <w:w w:val="100"/>
                <w:position w:val="0"/>
              </w:rPr>
              <w:t>、在遵守 股份转让相关法律法规及证券交易所相关规定的条件下，本公 司将在公告中明确减持的具体数量或区间、减持的执行期限等 信息；本公司将在公告的减持期限内以证券监管机构、自律机 构及证券交易所等有权部门允许的方式进行减持，具体方式包 括但不限于交易所集中竞价交易方式、大宗交易方式、协议转 让方式等。</w:t>
            </w:r>
            <w:r>
              <w:rPr>
                <w:rFonts w:ascii="Times New Roman" w:eastAsia="Times New Roman" w:hAnsi="Times New Roman" w:cs="Times New Roman"/>
                <w:color w:val="000000"/>
                <w:spacing w:val="0"/>
                <w:w w:val="100"/>
                <w:position w:val="0"/>
              </w:rPr>
              <w:t>6</w:t>
            </w:r>
            <w:r>
              <w:rPr>
                <w:color w:val="000000"/>
                <w:spacing w:val="0"/>
                <w:w w:val="100"/>
                <w:position w:val="0"/>
              </w:rPr>
              <w:t>、如本公司未来依法发生任何增持或减持公司股 份情形的，本公司将严格按照证券监管机构、自律机构及证券 交易所等有权部门颁布的相关法律法规及规范性文件的规定 进行相应增持或减持操作，并及时履行有关信息披露义务。本 公司持有公司股份低于</w:t>
            </w:r>
            <w:r>
              <w:rPr>
                <w:rFonts w:ascii="Times New Roman" w:eastAsia="Times New Roman" w:hAnsi="Times New Roman" w:cs="Times New Roman"/>
                <w:color w:val="000000"/>
                <w:spacing w:val="0"/>
                <w:w w:val="100"/>
                <w:position w:val="0"/>
              </w:rPr>
              <w:t>5%</w:t>
            </w:r>
            <w:r>
              <w:rPr>
                <w:color w:val="000000"/>
                <w:spacing w:val="0"/>
                <w:w w:val="100"/>
                <w:position w:val="0"/>
              </w:rPr>
              <w:t>以下时除外。</w:t>
            </w:r>
            <w:r>
              <w:rPr>
                <w:rFonts w:ascii="Times New Roman" w:eastAsia="Times New Roman" w:hAnsi="Times New Roman" w:cs="Times New Roman"/>
                <w:color w:val="000000"/>
                <w:spacing w:val="0"/>
                <w:w w:val="100"/>
                <w:position w:val="0"/>
              </w:rPr>
              <w:t>7</w:t>
            </w:r>
            <w:r>
              <w:rPr>
                <w:color w:val="000000"/>
                <w:spacing w:val="0"/>
                <w:w w:val="100"/>
                <w:position w:val="0"/>
              </w:rPr>
              <w:t>、如果本公司未履行</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长</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截止本报告期 末，承诺人严格 信守承诺，未出 现违反承诺的情 况</w:t>
            </w:r>
          </w:p>
        </w:tc>
      </w:tr>
    </w:tbl>
    <w:p>
      <w:pPr>
        <w:spacing w:lineRule="exact" w:line="1"/>
        <w:rPr>
          <w:sz w:val="2"/>
          <w:szCs w:val="2"/>
        </w:rPr>
      </w:pPr>
      <w:r>
        <w:br w:type="page"/>
      </w:r>
    </w:p>
    <w:tbl>
      <w:tblPr>
        <w:tblOverlap w:val="never"/>
        <w:jc w:val="center"/>
        <w:tblLayout w:type="fixed"/>
      </w:tblPr>
      <w:tblGrid>
        <w:gridCol w:w="1291"/>
        <w:gridCol w:w="864"/>
        <w:gridCol w:w="437"/>
        <w:gridCol w:w="4862"/>
        <w:gridCol w:w="571"/>
        <w:gridCol w:w="312"/>
        <w:gridCol w:w="1349"/>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上述减持意向，本公司将在股东大会及中国证监会指定的披露 媒体上公开说明未履行承诺的具体原因并向公司股东和社会 公众投资者道歉。</w:t>
            </w:r>
            <w:r>
              <w:rPr>
                <w:rFonts w:ascii="Times New Roman" w:eastAsia="Times New Roman" w:hAnsi="Times New Roman" w:cs="Times New Roman"/>
                <w:color w:val="000000"/>
                <w:spacing w:val="0"/>
                <w:w w:val="100"/>
                <w:position w:val="0"/>
              </w:rPr>
              <w:t>8</w:t>
            </w:r>
            <w:r>
              <w:rPr>
                <w:color w:val="000000"/>
                <w:spacing w:val="0"/>
                <w:w w:val="100"/>
                <w:position w:val="0"/>
              </w:rPr>
              <w:t>、如果本公司未履行上述减持意向，本公 司持有的公司股份自本公司未履行上述减持意向之日起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本公司控 股股东鹰 高投资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避免 关联 交易 的承 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本人及本人实际控制的企业将继续严格按照《公司法》等法律 法规以及高伟达软件股份有限公司章程的有关规定行使股东 权利；在股东大会对有关涉及本人或本人实际控制的企业的关 联交易事项进行表决时，履行回避表决的义务；本人承诺杜绝 一切非法占用上市公司的资金、资产的行为；在任何情况下， 不要求上市公司向本人或本人直接或间接持股的企业提供任 何形式的担保；在双方的关联交易上，严格遵循市场原则，尽 量避免不必要的关联交易发生，对持续经营所发生的必要的关 联交易，应以双方协议规定的方式进行处理，遵循市场化的定 价原则，避免损害高伟达软件股份有限公司及广大中小股东权 益的情况发生。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长</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截止本报告期 末，承诺人严格 信守承诺，未出 现违反承诺的情 况</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本公司控 股股东鹰 高投资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避免 同业 竞争 的承 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、如拟出售本企业与公司生产、经营相关的任何其它资产、 业务或权益，公司均有优先购买的权利；本企业将尽最大努力 使有关交易的价格公平合理，且该等交易价格按与独立第三方 进行正常商业交易的交易价格为基础确定。</w:t>
            </w:r>
            <w:r>
              <w:rPr>
                <w:rFonts w:ascii="Times New Roman" w:eastAsia="Times New Roman" w:hAnsi="Times New Roman" w:cs="Times New Roman"/>
                <w:color w:val="000000"/>
                <w:spacing w:val="0"/>
                <w:w w:val="100"/>
                <w:position w:val="0"/>
              </w:rPr>
              <w:t>2</w:t>
            </w:r>
            <w:r>
              <w:rPr>
                <w:color w:val="000000"/>
                <w:spacing w:val="0"/>
                <w:w w:val="100"/>
                <w:position w:val="0"/>
              </w:rPr>
              <w:t>、本企业目前没 有在中国境内任何地方或中国境外，直接或间接发展、经营或 协助经营或参与与公司业务存在竞争的任何活动，亦没有在任 何与公司业务有直接或间接竞争的公司或企业拥有任何权益</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（不论直接或间接）。</w:t>
            </w:r>
            <w:r>
              <w:rPr>
                <w:rFonts w:ascii="Times New Roman" w:eastAsia="Times New Roman" w:hAnsi="Times New Roman" w:cs="Times New Roman"/>
                <w:color w:val="000000"/>
                <w:spacing w:val="0"/>
                <w:w w:val="100"/>
                <w:position w:val="0"/>
              </w:rPr>
              <w:t>3</w:t>
            </w:r>
            <w:r>
              <w:rPr>
                <w:color w:val="000000"/>
                <w:spacing w:val="0"/>
                <w:w w:val="100"/>
                <w:position w:val="0"/>
              </w:rPr>
              <w:t>、本企业保证及承诺除非经公司书面同 意，不会直接或间接发展、经营或协助经营或参与或从事与公 司业务相竞争的任何活动。</w:t>
            </w:r>
            <w:r>
              <w:rPr>
                <w:rFonts w:ascii="Times New Roman" w:eastAsia="Times New Roman" w:hAnsi="Times New Roman" w:cs="Times New Roman"/>
                <w:color w:val="000000"/>
                <w:spacing w:val="0"/>
                <w:w w:val="100"/>
                <w:position w:val="0"/>
              </w:rPr>
              <w:t>4</w:t>
            </w:r>
            <w:r>
              <w:rPr>
                <w:color w:val="000000"/>
                <w:spacing w:val="0"/>
                <w:w w:val="100"/>
                <w:position w:val="0"/>
              </w:rPr>
              <w:t>、本企业将依法律、法规及公司 的规定向公司及有关机构或部门及时披露与公司业务构成竞 争或可能构成竞争的任何业务或权益的详情，直至本企业不再 作为公司股东为止。</w:t>
            </w:r>
            <w:r>
              <w:rPr>
                <w:rFonts w:ascii="Times New Roman" w:eastAsia="Times New Roman" w:hAnsi="Times New Roman" w:cs="Times New Roman"/>
                <w:color w:val="000000"/>
                <w:spacing w:val="0"/>
                <w:w w:val="100"/>
                <w:position w:val="0"/>
              </w:rPr>
              <w:t>5</w:t>
            </w:r>
            <w:r>
              <w:rPr>
                <w:color w:val="000000"/>
                <w:spacing w:val="0"/>
                <w:w w:val="100"/>
                <w:position w:val="0"/>
              </w:rPr>
              <w:t>、本企业将不会利用公司股东的身份进 行损害公司及其它股东利益的经营活动。</w:t>
            </w:r>
            <w:r>
              <w:rPr>
                <w:rFonts w:ascii="Times New Roman" w:eastAsia="Times New Roman" w:hAnsi="Times New Roman" w:cs="Times New Roman"/>
                <w:color w:val="000000"/>
                <w:spacing w:val="0"/>
                <w:w w:val="100"/>
                <w:position w:val="0"/>
              </w:rPr>
              <w:t>6</w:t>
            </w:r>
            <w:r>
              <w:rPr>
                <w:color w:val="000000"/>
                <w:spacing w:val="0"/>
                <w:w w:val="100"/>
                <w:position w:val="0"/>
              </w:rPr>
              <w:t>、本企业愿意承担 因违反上述承诺而给公司造成的全部经济损失。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长</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截止本报告期 末，承诺人严格 信守承诺，未出 现违反承诺的情 况</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 上的股东 银联科技</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9" w:lineRule="exact"/>
              <w:ind w:left="0" w:right="0" w:firstLine="0"/>
              <w:jc w:val="both"/>
            </w:pPr>
            <w:r>
              <w:rPr>
                <w:color w:val="000000"/>
                <w:spacing w:val="0"/>
                <w:w w:val="100"/>
                <w:position w:val="0"/>
              </w:rPr>
              <w:t>股份 减持 的承 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、本机构所持有的公司股份具体减持计划为：（</w:t>
            </w:r>
            <w:r>
              <w:rPr>
                <w:rFonts w:ascii="Times New Roman" w:eastAsia="Times New Roman" w:hAnsi="Times New Roman" w:cs="Times New Roman"/>
                <w:color w:val="000000"/>
                <w:spacing w:val="0"/>
                <w:w w:val="100"/>
                <w:position w:val="0"/>
              </w:rPr>
              <w:t>1</w:t>
            </w:r>
            <w:r>
              <w:rPr>
                <w:color w:val="000000"/>
                <w:spacing w:val="0"/>
                <w:w w:val="100"/>
                <w:position w:val="0"/>
              </w:rPr>
              <w:t>）在所持有 公司股份锁定期满后</w:t>
            </w:r>
            <w:r>
              <w:rPr>
                <w:rFonts w:ascii="Times New Roman" w:eastAsia="Times New Roman" w:hAnsi="Times New Roman" w:cs="Times New Roman"/>
                <w:color w:val="000000"/>
                <w:spacing w:val="0"/>
                <w:w w:val="100"/>
                <w:position w:val="0"/>
              </w:rPr>
              <w:t>12</w:t>
            </w:r>
            <w:r>
              <w:rPr>
                <w:color w:val="000000"/>
                <w:spacing w:val="0"/>
                <w:w w:val="100"/>
                <w:position w:val="0"/>
              </w:rPr>
              <w:t>个月内，累计减持股份总数不超过本 机构持股数量的</w:t>
            </w:r>
            <w:r>
              <w:rPr>
                <w:rFonts w:ascii="Times New Roman" w:eastAsia="Times New Roman" w:hAnsi="Times New Roman" w:cs="Times New Roman"/>
                <w:color w:val="000000"/>
                <w:spacing w:val="0"/>
                <w:w w:val="100"/>
                <w:position w:val="0"/>
              </w:rPr>
              <w:t>90%</w:t>
            </w:r>
            <w:r>
              <w:rPr>
                <w:color w:val="000000"/>
                <w:spacing w:val="0"/>
                <w:w w:val="100"/>
                <w:position w:val="0"/>
              </w:rPr>
              <w:t>，减持价格不低于最近一期经审计的每股 净资产；（</w:t>
            </w:r>
            <w:r>
              <w:rPr>
                <w:rFonts w:ascii="Times New Roman" w:eastAsia="Times New Roman" w:hAnsi="Times New Roman" w:cs="Times New Roman"/>
                <w:color w:val="000000"/>
                <w:spacing w:val="0"/>
                <w:w w:val="100"/>
                <w:position w:val="0"/>
              </w:rPr>
              <w:t>2</w:t>
            </w:r>
            <w:r>
              <w:rPr>
                <w:color w:val="000000"/>
                <w:spacing w:val="0"/>
                <w:w w:val="100"/>
                <w:position w:val="0"/>
              </w:rPr>
              <w:t>）在所持公司股份锁定期满</w:t>
            </w:r>
            <w:r>
              <w:rPr>
                <w:rFonts w:ascii="Times New Roman" w:eastAsia="Times New Roman" w:hAnsi="Times New Roman" w:cs="Times New Roman"/>
                <w:color w:val="000000"/>
                <w:spacing w:val="0"/>
                <w:w w:val="100"/>
                <w:position w:val="0"/>
              </w:rPr>
              <w:t>13-24</w:t>
            </w:r>
            <w:r>
              <w:rPr>
                <w:color w:val="000000"/>
                <w:spacing w:val="0"/>
                <w:w w:val="100"/>
                <w:position w:val="0"/>
              </w:rPr>
              <w:t>个月内，本机构 减持数量不受限制，减持价格不低于最近一期经审计的每股净 资产；（</w:t>
            </w:r>
            <w:r>
              <w:rPr>
                <w:rFonts w:ascii="Times New Roman" w:eastAsia="Times New Roman" w:hAnsi="Times New Roman" w:cs="Times New Roman"/>
                <w:color w:val="000000"/>
                <w:spacing w:val="0"/>
                <w:w w:val="100"/>
                <w:position w:val="0"/>
              </w:rPr>
              <w:t>3</w:t>
            </w:r>
            <w:r>
              <w:rPr>
                <w:color w:val="000000"/>
                <w:spacing w:val="0"/>
                <w:w w:val="100"/>
                <w:position w:val="0"/>
              </w:rPr>
              <w:t>）在所持公司股份锁定期满</w:t>
            </w:r>
            <w:r>
              <w:rPr>
                <w:rFonts w:ascii="Times New Roman" w:eastAsia="Times New Roman" w:hAnsi="Times New Roman" w:cs="Times New Roman"/>
                <w:color w:val="000000"/>
                <w:spacing w:val="0"/>
                <w:w w:val="100"/>
                <w:position w:val="0"/>
              </w:rPr>
              <w:t>24</w:t>
            </w:r>
            <w:r>
              <w:rPr>
                <w:color w:val="000000"/>
                <w:spacing w:val="0"/>
                <w:w w:val="100"/>
                <w:position w:val="0"/>
              </w:rPr>
              <w:t>个月后，本机构减持 数量和价格均不受限制。</w:t>
            </w:r>
            <w:r>
              <w:rPr>
                <w:rFonts w:ascii="Times New Roman" w:eastAsia="Times New Roman" w:hAnsi="Times New Roman" w:cs="Times New Roman"/>
                <w:color w:val="000000"/>
                <w:spacing w:val="0"/>
                <w:w w:val="100"/>
                <w:position w:val="0"/>
              </w:rPr>
              <w:t>2</w:t>
            </w:r>
            <w:r>
              <w:rPr>
                <w:color w:val="000000"/>
                <w:spacing w:val="0"/>
                <w:w w:val="100"/>
                <w:position w:val="0"/>
              </w:rPr>
              <w:t>、本机构减持公司股份应符合相关 法律、法规、规章的规定，具体方式包括但不限于交易所集中 竞价交易方式、大宗交易方式、协议转让方式等。</w:t>
            </w:r>
            <w:r>
              <w:rPr>
                <w:rFonts w:ascii="Times New Roman" w:eastAsia="Times New Roman" w:hAnsi="Times New Roman" w:cs="Times New Roman"/>
                <w:color w:val="000000"/>
                <w:spacing w:val="0"/>
                <w:w w:val="100"/>
                <w:position w:val="0"/>
              </w:rPr>
              <w:t>3</w:t>
            </w:r>
            <w:r>
              <w:rPr>
                <w:color w:val="000000"/>
                <w:spacing w:val="0"/>
                <w:w w:val="100"/>
                <w:position w:val="0"/>
              </w:rPr>
              <w:t>、本机构 减持公司股份前，应提前三个交易日予以公告，并按照证券交 易所的规则及时、准确地履行信息披露义务；本机构持有公司 股份低于</w:t>
            </w:r>
            <w:r>
              <w:rPr>
                <w:rFonts w:ascii="Times New Roman" w:eastAsia="Times New Roman" w:hAnsi="Times New Roman" w:cs="Times New Roman"/>
                <w:color w:val="000000"/>
                <w:spacing w:val="0"/>
                <w:w w:val="100"/>
                <w:position w:val="0"/>
              </w:rPr>
              <w:t>5%</w:t>
            </w:r>
            <w:r>
              <w:rPr>
                <w:color w:val="000000"/>
                <w:spacing w:val="0"/>
                <w:w w:val="100"/>
                <w:position w:val="0"/>
              </w:rPr>
              <w:t>以下时除外。</w:t>
            </w:r>
            <w:r>
              <w:rPr>
                <w:rFonts w:ascii="Times New Roman" w:eastAsia="Times New Roman" w:hAnsi="Times New Roman" w:cs="Times New Roman"/>
                <w:color w:val="000000"/>
                <w:spacing w:val="0"/>
                <w:w w:val="100"/>
                <w:position w:val="0"/>
              </w:rPr>
              <w:t>4</w:t>
            </w:r>
            <w:r>
              <w:rPr>
                <w:color w:val="000000"/>
                <w:spacing w:val="0"/>
                <w:w w:val="100"/>
                <w:position w:val="0"/>
              </w:rPr>
              <w:t>、如果本机构未履行上述减持意向，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长</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截止本报告期 末，银联科技严 格信守承诺，未 出现违反承诺的 情况；贵昌有限 已履行完毕</w:t>
            </w:r>
          </w:p>
        </w:tc>
      </w:tr>
    </w:tbl>
    <w:p>
      <w:pPr>
        <w:spacing w:lineRule="exact" w:line="1"/>
        <w:rPr>
          <w:sz w:val="2"/>
          <w:szCs w:val="2"/>
        </w:rPr>
      </w:pPr>
      <w:r>
        <w:br w:type="page"/>
      </w:r>
    </w:p>
    <w:tbl>
      <w:tblPr>
        <w:tblOverlap w:val="never"/>
        <w:jc w:val="center"/>
        <w:tblLayout w:type="fixed"/>
      </w:tblPr>
      <w:tblGrid>
        <w:gridCol w:w="1291"/>
        <w:gridCol w:w="864"/>
        <w:gridCol w:w="437"/>
        <w:gridCol w:w="4862"/>
        <w:gridCol w:w="571"/>
        <w:gridCol w:w="312"/>
        <w:gridCol w:w="1349"/>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本机构将在股东大会及中国证监会指定的披露媒体上公开说 明未履行承诺的具体原因并向公司股东和社会公众投资者道 歉。</w:t>
            </w:r>
            <w:r>
              <w:rPr>
                <w:rFonts w:ascii="Times New Roman" w:eastAsia="Times New Roman" w:hAnsi="Times New Roman" w:cs="Times New Roman"/>
                <w:color w:val="000000"/>
                <w:spacing w:val="0"/>
                <w:w w:val="100"/>
                <w:position w:val="0"/>
              </w:rPr>
              <w:t>5</w:t>
            </w:r>
            <w:r>
              <w:rPr>
                <w:color w:val="000000"/>
                <w:spacing w:val="0"/>
                <w:w w:val="100"/>
                <w:position w:val="0"/>
              </w:rPr>
              <w:t>、如果本机构未履行上述减持意向，本机构持有的公司 股份自本机构未履行上述减持意向之日起</w:t>
            </w:r>
            <w:r>
              <w:rPr>
                <w:rFonts w:ascii="Times New Roman" w:eastAsia="Times New Roman" w:hAnsi="Times New Roman" w:cs="Times New Roman"/>
                <w:color w:val="000000"/>
                <w:spacing w:val="0"/>
                <w:w w:val="100"/>
                <w:position w:val="0"/>
              </w:rPr>
              <w:t>6</w:t>
            </w:r>
            <w:r>
              <w:rPr>
                <w:color w:val="000000"/>
                <w:spacing w:val="0"/>
                <w:w w:val="100"/>
                <w:position w:val="0"/>
              </w:rPr>
              <w:t>个月内不得减持。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 上的股东 银联科技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避免 同业 竞争 的承 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、如拟出售本企业与公司生产、经营相关的任何其它资产、 业务或权益，公司均有优先购买的权利；本企业将尽最大努力 使有关交易的价格公平合理，且该等交易价格按与独立第三方 进行正常商业交易的交易价格为基础确定。</w:t>
            </w:r>
            <w:r>
              <w:rPr>
                <w:rFonts w:ascii="Times New Roman" w:eastAsia="Times New Roman" w:hAnsi="Times New Roman" w:cs="Times New Roman"/>
                <w:color w:val="000000"/>
                <w:spacing w:val="0"/>
                <w:w w:val="100"/>
                <w:position w:val="0"/>
              </w:rPr>
              <w:t>2</w:t>
            </w:r>
            <w:r>
              <w:rPr>
                <w:color w:val="000000"/>
                <w:spacing w:val="0"/>
                <w:w w:val="100"/>
                <w:position w:val="0"/>
              </w:rPr>
              <w:t>、本企业目前没 有在中国境内任何地方或中国境外，直接或间接发展、经营或 协助经营或参与与公司业务存在竞争的任何活动，亦没有在任 何与公司业务有直接或间接竞争的公司或企业拥有任何权益</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（不论直接或间接）。</w:t>
            </w:r>
            <w:r>
              <w:rPr>
                <w:rFonts w:ascii="Times New Roman" w:eastAsia="Times New Roman" w:hAnsi="Times New Roman" w:cs="Times New Roman"/>
                <w:color w:val="000000"/>
                <w:spacing w:val="0"/>
                <w:w w:val="100"/>
                <w:position w:val="0"/>
              </w:rPr>
              <w:t>3</w:t>
            </w:r>
            <w:r>
              <w:rPr>
                <w:color w:val="000000"/>
                <w:spacing w:val="0"/>
                <w:w w:val="100"/>
                <w:position w:val="0"/>
              </w:rPr>
              <w:t>、本企业保证及承诺除非经公司书面同 意，不会直接或间接发展、经营或协助经营或参与或从事与公 司业务相竞争的任何活动。</w:t>
            </w:r>
            <w:r>
              <w:rPr>
                <w:rFonts w:ascii="Times New Roman" w:eastAsia="Times New Roman" w:hAnsi="Times New Roman" w:cs="Times New Roman"/>
                <w:color w:val="000000"/>
                <w:spacing w:val="0"/>
                <w:w w:val="100"/>
                <w:position w:val="0"/>
              </w:rPr>
              <w:t>4</w:t>
            </w:r>
            <w:r>
              <w:rPr>
                <w:color w:val="000000"/>
                <w:spacing w:val="0"/>
                <w:w w:val="100"/>
                <w:position w:val="0"/>
              </w:rPr>
              <w:t>、本企业将依法律、法规及公司 的规定向公司及有关机构或部门及时披露与公司业务构成竞 争或可能构成竞争的任何业务或权益的详情，直至本企业不再 作为公司股东为止。</w:t>
            </w:r>
            <w:r>
              <w:rPr>
                <w:rFonts w:ascii="Times New Roman" w:eastAsia="Times New Roman" w:hAnsi="Times New Roman" w:cs="Times New Roman"/>
                <w:color w:val="000000"/>
                <w:spacing w:val="0"/>
                <w:w w:val="100"/>
                <w:position w:val="0"/>
              </w:rPr>
              <w:t>5</w:t>
            </w:r>
            <w:r>
              <w:rPr>
                <w:color w:val="000000"/>
                <w:spacing w:val="0"/>
                <w:w w:val="100"/>
                <w:position w:val="0"/>
              </w:rPr>
              <w:t>、本企业将不会利用公司股东的身份进 行损害公司及其它股东利益的经营活动。</w:t>
            </w:r>
            <w:r>
              <w:rPr>
                <w:rFonts w:ascii="Times New Roman" w:eastAsia="Times New Roman" w:hAnsi="Times New Roman" w:cs="Times New Roman"/>
                <w:color w:val="000000"/>
                <w:spacing w:val="0"/>
                <w:w w:val="100"/>
                <w:position w:val="0"/>
              </w:rPr>
              <w:t>6</w:t>
            </w:r>
            <w:r>
              <w:rPr>
                <w:color w:val="000000"/>
                <w:spacing w:val="0"/>
                <w:w w:val="100"/>
                <w:position w:val="0"/>
              </w:rPr>
              <w:t>、本企业愿意承担 因违反上述承诺而给公司造成的全部经济损失。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长</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截止本报告期 末，银联科技严 格信守承诺，未 出现违反承诺的 情况；贵昌有限 已履行完毕</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本公司上 市时时任 董事、监 事、高级 管理人员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减持 的承 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前述锁定期限届满后，在任职期间每年转让的股份不超过其间 接所持股份总数的</w:t>
            </w:r>
            <w:r>
              <w:rPr>
                <w:rFonts w:ascii="Times New Roman" w:eastAsia="Times New Roman" w:hAnsi="Times New Roman" w:cs="Times New Roman"/>
                <w:color w:val="000000"/>
                <w:spacing w:val="0"/>
                <w:w w:val="100"/>
                <w:position w:val="0"/>
              </w:rPr>
              <w:t>25%</w:t>
            </w:r>
            <w:r>
              <w:rPr>
                <w:color w:val="000000"/>
                <w:spacing w:val="0"/>
                <w:w w:val="100"/>
                <w:position w:val="0"/>
              </w:rPr>
              <w:t>,离职后半年内不转让其间接所持有的 公司股份。如果其在本公司首次公开发行股票上市之日起六个 月内申报离职的，自申报离职之日起十八个月内不转让其间接 持有的本公司股份；在首次公开发行股票上市之日起第七个月 至第十二个月之间申报离职的，自申报离职之日起十二个月内 不转让其间接持有的公司股份。因本公司进行权益分派等导致 其间接持有的本公司股份发生变化的，仍遵守上述承诺。本人 所持公司股票在锁定期满后两年内减持的，减持价格不低于发 行价。公司上市后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 盘价均低于发行价，或者上市后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 价，本人持有公司股票的锁定期限自动延长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个月。上述减持 价格和股份锁定承诺不因本人职务变更、离职等原因放弃履行 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长</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截止本报告期 末，所有承诺人 严格信守承诺， 未出现违反承诺 的情况</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承诺是否按时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c>
          <w:tcPr>
            <w:gridSpan w:val="6"/>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94"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如承诺超期未</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履行完毕的，应</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当详细说明未</w:t>
            </w:r>
          </w:p>
        </w:tc>
        <w:tc>
          <w:tcPr>
            <w:gridSpan w:val="6"/>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截止本报告期末，所有承诺人严格信守承诺，未出现违反承诺的情况。</w:t>
            </w:r>
          </w:p>
        </w:tc>
      </w:tr>
    </w:tbl>
    <w:p>
      <w:pPr>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Restart w:val="continuous"/>
          </w:footnotePr>
          <w:pgSz w:w="11900" w:h="16840"/>
          <w:pgMar w:top="671" w:right="552" w:bottom="946" w:left="567" w:header="0" w:footer="3" w:gutter="0"/>
          <w:cols w:space="720"/>
          <w:noEndnote/>
          <w:titlePg/>
          <w:rtlGutter w:val="0"/>
          <w:docGrid w:linePitch="360"/>
        </w:sectPr>
      </w:pPr>
    </w:p>
    <w:tbl>
      <w:tblPr>
        <w:tblOverlap w:val="never"/>
        <w:jc w:val="center"/>
        <w:tblLayout w:type="fixed"/>
      </w:tblPr>
      <w:tblGrid>
        <w:gridCol w:w="1315"/>
        <w:gridCol w:w="8395"/>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完成履行的具</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体原因及下一</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步的工作计划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8"/>
        <w:keepNext/>
        <w:keepLines/>
        <w:widowControl w:val="0"/>
        <w:shd w:val="clear" w:color="auto" w:fill="auto"/>
        <w:bidi w:val="0"/>
        <w:spacing w:before="0" w:line="322" w:lineRule="exact"/>
        <w:ind w:left="0" w:right="0" w:firstLine="0"/>
        <w:jc w:val="both"/>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、公司资产或项目存在盈利预测，且报告期仍处在盈利预测期间，公司就资产或项目达到原盈利预测及 其原因做出说明</w:t>
      </w:r>
      <w:bookmarkEnd w:id="302"/>
      <w:bookmarkEnd w:id="303"/>
      <w:bookmarkEnd w:id="305"/>
    </w:p>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当期预测业绩</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当期实际业绩</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384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5" w:lineRule="exact"/>
              <w:ind w:left="0" w:right="0" w:firstLine="0"/>
              <w:jc w:val="left"/>
            </w:pPr>
            <w:r>
              <w:rPr>
                <w:color w:val="000000"/>
                <w:spacing w:val="0"/>
                <w:w w:val="100"/>
                <w:position w:val="0"/>
              </w:rPr>
              <w:t>收购深圳市快 读科技有限公 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5,470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4,681.56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ind w:left="0" w:right="0" w:firstLine="0"/>
              <w:jc w:val="both"/>
            </w:pPr>
            <w:r>
              <w:fldChar w:fldCharType="begin"/>
            </w:r>
            <w:r>
              <w:rPr/>
              <w:instrText> HYPERLINK "http://www.cninfo.com.cn/ne" </w:instrText>
            </w:r>
            <w:r>
              <w:fldChar w:fldCharType="separate"/>
            </w:r>
            <w:r>
              <w:rPr>
                <w:rFonts w:ascii="Times New Roman" w:eastAsia="Times New Roman" w:hAnsi="Times New Roman" w:cs="Times New Roman"/>
                <w:color w:val="000000"/>
                <w:spacing w:val="0"/>
                <w:w w:val="100"/>
                <w:position w:val="0"/>
              </w:rPr>
              <w:t>http://www.cninfo.com.cn/ne</w:t>
            </w:r>
            <w:r>
              <w:fldChar w:fldCharType="end"/>
            </w:r>
            <w:r>
              <w:rPr>
                <w:rFonts w:ascii="Times New Roman" w:eastAsia="Times New Roman" w:hAnsi="Times New Roman" w:cs="Times New Roman"/>
                <w:color w:val="000000"/>
                <w:spacing w:val="0"/>
                <w:w w:val="100"/>
                <w:position w:val="0"/>
              </w:rPr>
              <w:t xml:space="preserve"> w/disclosure/de tail?plate=szse &amp;orgld=99000 23805&amp;stockC ode=300465&amp;a nnouncementId =1204469694 &amp;announcemen tTime=2018-03 -13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ind w:left="0" w:right="0" w:firstLine="0"/>
              <w:jc w:val="left"/>
            </w:pPr>
            <w:r>
              <w:fldChar w:fldCharType="begin"/>
            </w:r>
            <w:r>
              <w:rPr/>
              <w:instrText> HYPERLINK "http://www.cninfo.com.cn/ne" </w:instrText>
            </w:r>
            <w:r>
              <w:fldChar w:fldCharType="separate"/>
            </w:r>
            <w:r>
              <w:rPr>
                <w:rFonts w:ascii="Times New Roman" w:eastAsia="Times New Roman" w:hAnsi="Times New Roman" w:cs="Times New Roman"/>
                <w:color w:val="000000"/>
                <w:spacing w:val="0"/>
                <w:w w:val="100"/>
                <w:position w:val="0"/>
              </w:rPr>
              <w:t>http://www.cninfo.com.cn/ne</w:t>
            </w:r>
            <w:r>
              <w:fldChar w:fldCharType="end"/>
            </w:r>
            <w:r>
              <w:rPr>
                <w:rFonts w:ascii="Times New Roman" w:eastAsia="Times New Roman" w:hAnsi="Times New Roman" w:cs="Times New Roman"/>
                <w:color w:val="000000"/>
                <w:spacing w:val="0"/>
                <w:w w:val="100"/>
                <w:position w:val="0"/>
              </w:rPr>
              <w:t xml:space="preserve"> w/disclosure/de tail?plate=szse &amp;orgld=99000 23805&amp;stockC ode=300465&amp;a nnouncementId =1204469694 &amp;announcemen tTime=2018-03 -13</w:t>
            </w:r>
          </w:p>
        </w:tc>
      </w:tr>
    </w:tbl>
    <w:p>
      <w:pPr>
        <w:pStyle w:val="Style3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公司股东、交易对手方对公司或相关资产年度经营业绩作出的承诺情况</w:t>
      </w:r>
    </w:p>
    <w:p>
      <w:pPr>
        <w:pStyle w:val="Style3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深圳市快读科技有限公司原股东在收购协议中对该公司</w:t>
      </w:r>
      <w:r>
        <w:rPr>
          <w:rFonts w:ascii="Times New Roman" w:eastAsia="Times New Roman" w:hAnsi="Times New Roman" w:cs="Times New Roman"/>
          <w:color w:val="000000"/>
          <w:spacing w:val="0"/>
          <w:w w:val="100"/>
          <w:position w:val="0"/>
        </w:rPr>
        <w:t>2020</w:t>
      </w:r>
      <w:r>
        <w:rPr>
          <w:color w:val="000000"/>
          <w:spacing w:val="0"/>
          <w:w w:val="100"/>
          <w:position w:val="0"/>
        </w:rPr>
        <w:t>年业绩承诺为实现扣除非经常性损益后的净利润</w:t>
      </w:r>
      <w:r>
        <w:rPr>
          <w:rFonts w:ascii="Times New Roman" w:eastAsia="Times New Roman" w:hAnsi="Times New Roman" w:cs="Times New Roman"/>
          <w:color w:val="000000"/>
          <w:spacing w:val="0"/>
          <w:w w:val="100"/>
          <w:position w:val="0"/>
        </w:rPr>
        <w:t>5,470</w:t>
      </w:r>
      <w:r>
        <w:rPr>
          <w:color w:val="000000"/>
          <w:spacing w:val="0"/>
          <w:w w:val="100"/>
          <w:position w:val="0"/>
        </w:rPr>
        <w:t>万元。</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业绩承诺的完成情况及其对商誉减值测试的影响</w:t>
      </w:r>
    </w:p>
    <w:p>
      <w:pPr>
        <w:pStyle w:val="Style3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深圳市快读科技有限公司原股东在收购协议中对该公司</w:t>
      </w:r>
      <w:r>
        <w:rPr>
          <w:rFonts w:ascii="Times New Roman" w:eastAsia="Times New Roman" w:hAnsi="Times New Roman" w:cs="Times New Roman"/>
          <w:color w:val="000000"/>
          <w:spacing w:val="0"/>
          <w:w w:val="100"/>
          <w:position w:val="0"/>
        </w:rPr>
        <w:t>2020</w:t>
      </w:r>
      <w:r>
        <w:rPr>
          <w:color w:val="000000"/>
          <w:spacing w:val="0"/>
          <w:w w:val="100"/>
          <w:position w:val="0"/>
        </w:rPr>
        <w:t>年业绩承诺为实现扣除非经常性损益后的净利润</w:t>
      </w:r>
      <w:r>
        <w:rPr>
          <w:rFonts w:ascii="Times New Roman" w:eastAsia="Times New Roman" w:hAnsi="Times New Roman" w:cs="Times New Roman"/>
          <w:color w:val="000000"/>
          <w:spacing w:val="0"/>
          <w:w w:val="100"/>
          <w:position w:val="0"/>
        </w:rPr>
        <w:t>5,470</w:t>
      </w:r>
      <w:r>
        <w:rPr>
          <w:color w:val="000000"/>
          <w:spacing w:val="0"/>
          <w:w w:val="100"/>
          <w:position w:val="0"/>
        </w:rPr>
        <w:t>万元，快 读科技业绩承诺实现主体在</w:t>
      </w:r>
      <w:r>
        <w:rPr>
          <w:rFonts w:ascii="Times New Roman" w:eastAsia="Times New Roman" w:hAnsi="Times New Roman" w:cs="Times New Roman"/>
          <w:color w:val="000000"/>
          <w:spacing w:val="0"/>
          <w:w w:val="100"/>
          <w:position w:val="0"/>
        </w:rPr>
        <w:t>2020</w:t>
      </w:r>
      <w:r>
        <w:rPr>
          <w:color w:val="000000"/>
          <w:spacing w:val="0"/>
          <w:w w:val="100"/>
          <w:position w:val="0"/>
        </w:rPr>
        <w:t>年度经审计的扣除非经常性损益后归属于母公司所有者的净利润</w:t>
      </w:r>
      <w:r>
        <w:rPr>
          <w:rFonts w:ascii="Times New Roman" w:eastAsia="Times New Roman" w:hAnsi="Times New Roman" w:cs="Times New Roman"/>
          <w:color w:val="000000"/>
          <w:spacing w:val="0"/>
          <w:w w:val="100"/>
          <w:position w:val="0"/>
        </w:rPr>
        <w:t>4,681.56</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年未实 现收购协议承诺的业绩。基于谨慎考虑，以及对该资产组未来发展的预测，公司根据《企业会计准则第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资产减值》及相 关会计政策规定，计提该资产组商誉减值准备为</w:t>
      </w:r>
      <w:r>
        <w:rPr>
          <w:rFonts w:ascii="Times New Roman" w:eastAsia="Times New Roman" w:hAnsi="Times New Roman" w:cs="Times New Roman"/>
          <w:color w:val="000000"/>
          <w:spacing w:val="0"/>
          <w:w w:val="100"/>
          <w:position w:val="0"/>
        </w:rPr>
        <w:t>38,873.09</w:t>
      </w:r>
      <w:r>
        <w:rPr>
          <w:color w:val="000000"/>
          <w:spacing w:val="0"/>
          <w:w w:val="100"/>
          <w:position w:val="0"/>
        </w:rPr>
        <w:t>万元。</w:t>
      </w:r>
    </w:p>
    <w:p>
      <w:pPr>
        <w:pStyle w:val="Style17"/>
        <w:keepNext/>
        <w:keepLines/>
        <w:widowControl w:val="0"/>
        <w:shd w:val="clear" w:color="auto" w:fill="auto"/>
        <w:tabs>
          <w:tab w:pos="522" w:val="left"/>
        </w:tabs>
        <w:bidi w:val="0"/>
        <w:spacing w:before="0" w:after="360" w:line="240" w:lineRule="auto"/>
        <w:ind w:left="0" w:right="0" w:firstLine="0"/>
        <w:jc w:val="both"/>
      </w:pPr>
      <w:bookmarkStart w:id="306" w:name="bookmark306"/>
      <w:bookmarkStart w:id="307" w:name="bookmark307"/>
      <w:bookmarkStart w:id="308" w:name="bookmark308"/>
      <w:bookmarkStart w:id="309" w:name="bookmark309"/>
      <w:r>
        <w:rPr>
          <w:color w:val="000000"/>
          <w:spacing w:val="0"/>
          <w:w w:val="100"/>
          <w:position w:val="0"/>
          <w:sz w:val="24"/>
          <w:szCs w:val="24"/>
        </w:rPr>
        <w:t>三</w:t>
      </w:r>
      <w:bookmarkEnd w:id="308"/>
      <w:r>
        <w:rPr>
          <w:color w:val="000000"/>
          <w:spacing w:val="0"/>
          <w:w w:val="100"/>
          <w:position w:val="0"/>
          <w:sz w:val="24"/>
          <w:szCs w:val="24"/>
        </w:rPr>
        <w:t>、</w:t>
        <w:tab/>
        <w:t>控股股东及其关联方对上市公司的非经营性占用资金情况</w:t>
      </w:r>
      <w:bookmarkEnd w:id="306"/>
      <w:bookmarkEnd w:id="307"/>
      <w:bookmarkEnd w:id="309"/>
    </w:p>
    <w:p>
      <w:pPr>
        <w:pStyle w:val="Style3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公司报告期不存在控股股东及其关联方对上市公司的非经营性占用资金。</w:t>
      </w:r>
    </w:p>
    <w:p>
      <w:pPr>
        <w:pStyle w:val="Style17"/>
        <w:keepNext/>
        <w:keepLines/>
        <w:widowControl w:val="0"/>
        <w:shd w:val="clear" w:color="auto" w:fill="auto"/>
        <w:tabs>
          <w:tab w:pos="522" w:val="left"/>
        </w:tabs>
        <w:bidi w:val="0"/>
        <w:spacing w:before="0" w:after="360" w:line="240" w:lineRule="auto"/>
        <w:ind w:left="0" w:right="0" w:firstLine="0"/>
        <w:jc w:val="both"/>
      </w:pPr>
      <w:bookmarkStart w:id="310" w:name="bookmark310"/>
      <w:bookmarkStart w:id="311" w:name="bookmark311"/>
      <w:bookmarkStart w:id="312" w:name="bookmark312"/>
      <w:bookmarkStart w:id="313" w:name="bookmark313"/>
      <w:r>
        <w:rPr>
          <w:color w:val="000000"/>
          <w:spacing w:val="0"/>
          <w:w w:val="100"/>
          <w:position w:val="0"/>
          <w:sz w:val="24"/>
          <w:szCs w:val="24"/>
        </w:rPr>
        <w:t>四</w:t>
      </w:r>
      <w:bookmarkEnd w:id="31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10"/>
      <w:bookmarkEnd w:id="311"/>
      <w:bookmarkEnd w:id="313"/>
    </w:p>
    <w:p>
      <w:pPr>
        <w:pStyle w:val="Style34"/>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0" w:after="360" w:line="240" w:lineRule="auto"/>
        <w:ind w:left="0" w:right="0" w:firstLine="0"/>
        <w:jc w:val="both"/>
      </w:pPr>
      <w:bookmarkStart w:id="314" w:name="bookmark314"/>
      <w:bookmarkStart w:id="315" w:name="bookmark315"/>
      <w:bookmarkStart w:id="316" w:name="bookmark316"/>
      <w:bookmarkStart w:id="317" w:name="bookmark317"/>
      <w:r>
        <w:rPr>
          <w:color w:val="000000"/>
          <w:spacing w:val="0"/>
          <w:w w:val="100"/>
          <w:position w:val="0"/>
          <w:sz w:val="24"/>
          <w:szCs w:val="24"/>
        </w:rPr>
        <w:t>五</w:t>
      </w:r>
      <w:bookmarkEnd w:id="316"/>
      <w:r>
        <w:rPr>
          <w:color w:val="000000"/>
          <w:spacing w:val="0"/>
          <w:w w:val="100"/>
          <w:position w:val="0"/>
          <w:sz w:val="24"/>
          <w:szCs w:val="24"/>
        </w:rPr>
        <w:t>、 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4"/>
      <w:bookmarkEnd w:id="315"/>
      <w:bookmarkEnd w:id="317"/>
    </w:p>
    <w:p>
      <w:pPr>
        <w:pStyle w:val="Style34"/>
        <w:keepNext w:val="0"/>
        <w:keepLines w:val="0"/>
        <w:widowControl w:val="0"/>
        <w:shd w:val="clear" w:color="auto" w:fill="auto"/>
        <w:bidi w:val="0"/>
        <w:spacing w:before="0" w:after="360"/>
        <w:ind w:left="0" w:right="0" w:firstLine="0"/>
        <w:jc w:val="both"/>
        <w:sectPr>
          <w:headerReference w:type="default" r:id="rId53"/>
          <w:footerReference w:type="default" r:id="rId54"/>
          <w:headerReference w:type="even" r:id="rId55"/>
          <w:footerReference w:type="even" r:id="rId56"/>
          <w:footnotePr>
            <w:pos w:val="pageBottom"/>
            <w:numFmt w:val="decimal"/>
            <w:numRestart w:val="continuous"/>
          </w:footnotePr>
          <w:type w:val="continuous"/>
          <w:pgSz w:w="11900" w:h="16840"/>
          <w:pgMar w:top="671" w:right="552" w:bottom="946" w:left="56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tabs>
          <w:tab w:pos="517" w:val="left"/>
        </w:tabs>
        <w:bidi w:val="0"/>
        <w:spacing w:before="0" w:after="36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六</w:t>
      </w:r>
      <w:bookmarkEnd w:id="320"/>
      <w:r>
        <w:rPr>
          <w:color w:val="000000"/>
          <w:spacing w:val="0"/>
          <w:w w:val="100"/>
          <w:position w:val="0"/>
          <w:sz w:val="24"/>
          <w:szCs w:val="24"/>
        </w:rPr>
        <w:t>、</w:t>
        <w:tab/>
        <w:t>董事会关于报告期会计政策、会计估计变更或重大会计差错更正的说明</w:t>
      </w:r>
      <w:bookmarkEnd w:id="318"/>
      <w:bookmarkEnd w:id="319"/>
      <w:bookmarkEnd w:id="321"/>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tabs>
          <w:tab w:pos="522" w:val="left"/>
        </w:tabs>
        <w:bidi w:val="0"/>
        <w:spacing w:before="0" w:after="36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七</w:t>
      </w:r>
      <w:bookmarkEnd w:id="324"/>
      <w:r>
        <w:rPr>
          <w:color w:val="000000"/>
          <w:spacing w:val="0"/>
          <w:w w:val="100"/>
          <w:position w:val="0"/>
          <w:sz w:val="24"/>
          <w:szCs w:val="24"/>
        </w:rPr>
        <w:t>、</w:t>
        <w:tab/>
        <w:t>与上年度财务报告相比，合并报表范围发生变化的情况说明</w:t>
      </w:r>
      <w:bookmarkEnd w:id="322"/>
      <w:bookmarkEnd w:id="323"/>
      <w:bookmarkEnd w:id="325"/>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见十二节</w:t>
      </w:r>
      <w:r>
        <w:rPr>
          <w:rFonts w:ascii="Times New Roman" w:eastAsia="Times New Roman" w:hAnsi="Times New Roman" w:cs="Times New Roman"/>
          <w:color w:val="000000"/>
          <w:spacing w:val="0"/>
          <w:w w:val="100"/>
          <w:position w:val="0"/>
        </w:rPr>
        <w:t>-</w:t>
      </w:r>
      <w:r>
        <w:rPr>
          <w:color w:val="000000"/>
          <w:spacing w:val="0"/>
          <w:w w:val="100"/>
          <w:position w:val="0"/>
        </w:rPr>
        <w:t>八</w:t>
      </w:r>
      <w:r>
        <w:rPr>
          <w:rFonts w:ascii="Times New Roman" w:eastAsia="Times New Roman" w:hAnsi="Times New Roman" w:cs="Times New Roman"/>
          <w:color w:val="000000"/>
          <w:spacing w:val="0"/>
          <w:w w:val="100"/>
          <w:position w:val="0"/>
        </w:rPr>
        <w:t>-5</w:t>
      </w:r>
      <w:r>
        <w:rPr>
          <w:color w:val="000000"/>
          <w:spacing w:val="0"/>
          <w:w w:val="100"/>
          <w:position w:val="0"/>
        </w:rPr>
        <w:t>、其他原因的合并范围变动</w:t>
      </w:r>
    </w:p>
    <w:p>
      <w:pPr>
        <w:pStyle w:val="Style17"/>
        <w:keepNext/>
        <w:keepLines/>
        <w:widowControl w:val="0"/>
        <w:shd w:val="clear" w:color="auto" w:fill="auto"/>
        <w:tabs>
          <w:tab w:pos="522" w:val="left"/>
        </w:tabs>
        <w:bidi w:val="0"/>
        <w:spacing w:before="0" w:after="36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八</w:t>
      </w:r>
      <w:bookmarkEnd w:id="328"/>
      <w:r>
        <w:rPr>
          <w:color w:val="000000"/>
          <w:spacing w:val="0"/>
          <w:w w:val="100"/>
          <w:position w:val="0"/>
          <w:sz w:val="24"/>
          <w:szCs w:val="24"/>
        </w:rPr>
        <w:t>、</w:t>
        <w:tab/>
        <w:t>聘任、解聘会计师事务所情况</w:t>
      </w:r>
      <w:bookmarkEnd w:id="326"/>
      <w:bookmarkEnd w:id="327"/>
      <w:bookmarkEnd w:id="329"/>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66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潘高峰、张军伟、秦妍</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66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66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6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是否改聘会计师事务所</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九</w:t>
      </w:r>
      <w:bookmarkEnd w:id="332"/>
      <w:r>
        <w:rPr>
          <w:color w:val="000000"/>
          <w:spacing w:val="0"/>
          <w:w w:val="100"/>
          <w:position w:val="0"/>
          <w:sz w:val="24"/>
          <w:szCs w:val="24"/>
        </w:rPr>
        <w:t>、年度报告披露后面临退市情况</w:t>
      </w:r>
      <w:bookmarkEnd w:id="330"/>
      <w:bookmarkEnd w:id="331"/>
      <w:bookmarkEnd w:id="333"/>
    </w:p>
    <w:p>
      <w:pPr>
        <w:pStyle w:val="Style34"/>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十、破产重整相关事项</w:t>
      </w:r>
      <w:bookmarkEnd w:id="334"/>
      <w:bookmarkEnd w:id="335"/>
      <w:bookmarkEnd w:id="336"/>
    </w:p>
    <w:p>
      <w:pPr>
        <w:pStyle w:val="Style3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公司报告期未发生破产重整相关事项。</w:t>
      </w:r>
    </w:p>
    <w:p>
      <w:pPr>
        <w:pStyle w:val="Style17"/>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十一、重大诉讼、仲裁事项</w:t>
      </w:r>
      <w:bookmarkEnd w:id="337"/>
      <w:bookmarkEnd w:id="338"/>
      <w:bookmarkEnd w:id="339"/>
    </w:p>
    <w:p>
      <w:pPr>
        <w:pStyle w:val="Style3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180" w:line="341" w:lineRule="exact"/>
        <w:ind w:left="0" w:right="0" w:firstLine="0"/>
        <w:jc w:val="left"/>
      </w:pPr>
      <w:r>
        <w:rPr>
          <w:color w:val="000000"/>
          <w:spacing w:val="0"/>
          <w:w w:val="100"/>
          <w:position w:val="0"/>
        </w:rPr>
        <w:t>本年度公司无重大诉讼、仲裁事项。</w:t>
      </w:r>
    </w:p>
    <w:p>
      <w:pPr>
        <w:widowControl w:val="0"/>
        <w:jc w:val="center"/>
        <w:rPr>
          <w:sz w:val="2"/>
          <w:szCs w:val="2"/>
        </w:rPr>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460" w:right="1094" w:bottom="946" w:left="1096" w:header="0" w:footer="3" w:gutter="0"/>
          <w:cols w:space="720"/>
          <w:noEndnote/>
          <w:rtlGutter w:val="0"/>
          <w:docGrid w:linePitch="360"/>
        </w:sectPr>
      </w:pPr>
      <w:r>
        <w:drawing>
          <wp:inline>
            <wp:extent cx="554990" cy="158750"/>
            <wp:docPr id="231" name="Picutre 231"/>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61"/>
                    <a:stretch/>
                  </pic:blipFill>
                  <pic:spPr>
                    <a:xfrm>
                      <a:ext cx="554990" cy="158750"/>
                    </a:xfrm>
                    <a:prstGeom prst="rect"/>
                  </pic:spPr>
                </pic:pic>
              </a:graphicData>
            </a:graphic>
          </wp:inline>
        </w:drawing>
      </w:r>
    </w:p>
    <w:p>
      <w:pPr>
        <w:pStyle w:val="Style17"/>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十二、处罚及整改情况</w:t>
      </w:r>
      <w:bookmarkEnd w:id="346"/>
      <w:bookmarkEnd w:id="347"/>
      <w:bookmarkEnd w:id="348"/>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公司报告期不存在处罚及整改情况。</w:t>
      </w:r>
    </w:p>
    <w:p>
      <w:pPr>
        <w:widowControl w:val="0"/>
        <w:spacing w:line="1" w:lineRule="exact"/>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Restart w:val="continuous"/>
          </w:footnotePr>
          <w:pgSz w:w="11900" w:h="16840"/>
          <w:pgMar w:top="1460" w:right="1113" w:bottom="1474" w:left="1100" w:header="0" w:footer="3" w:gutter="0"/>
          <w:cols w:space="720"/>
          <w:noEndnote/>
          <w:titlePg/>
          <w:rtlGutter w:val="0"/>
          <w:docGrid w:linePitch="360"/>
        </w:sectPr>
      </w:pPr>
      <w:r>
        <mc:AlternateContent>
          <mc:Choice Requires="wps">
            <w:drawing>
              <wp:anchor distT="152400" distB="368935" distL="0" distR="0" simplePos="0" relativeHeight="125829384" behindDoc="0" locked="0" layoutInCell="1" allowOverlap="1">
                <wp:simplePos x="0" y="0"/>
                <wp:positionH relativeFrom="page">
                  <wp:posOffset>701675</wp:posOffset>
                </wp:positionH>
                <wp:positionV relativeFrom="paragraph">
                  <wp:posOffset>152400</wp:posOffset>
                </wp:positionV>
                <wp:extent cx="411480" cy="194945"/>
                <wp:wrapTopAndBottom/>
                <wp:docPr id="253" name="Shape 253"/>
                <a:graphic xmlns:a="http://schemas.openxmlformats.org/drawingml/2006/main">
                  <a:graphicData uri="http://schemas.microsoft.com/office/word/2010/wordprocessingShape">
                    <wps:wsp>
                      <wps:cNvSpPr txBox="1"/>
                      <wps:spPr>
                        <a:xfrm>
                          <a:ext cx="411480" cy="194945"/>
                        </a:xfrm>
                        <a:prstGeom prst="rect"/>
                        <a:noFill/>
                      </wps:spPr>
                      <wps:txbx>
                        <w:txbxContent>
                          <w:p>
                            <w:pPr>
                              <w:pStyle w:val="Style17"/>
                              <w:keepNext/>
                              <w:keepLines/>
                              <w:widowControl w:val="0"/>
                              <w:shd w:val="clear" w:color="auto" w:fill="auto"/>
                              <w:bidi w:val="0"/>
                              <w:spacing w:before="0" w:after="0" w:line="240" w:lineRule="auto"/>
                              <w:ind w:left="0" w:right="0" w:firstLine="0"/>
                              <w:jc w:val="both"/>
                            </w:pPr>
                            <w:bookmarkStart w:id="340" w:name="bookmark340"/>
                            <w:bookmarkStart w:id="341" w:name="bookmark341"/>
                            <w:bookmarkStart w:id="342" w:name="bookmark342"/>
                            <w:r>
                              <w:rPr>
                                <w:color w:val="000000"/>
                                <w:spacing w:val="0"/>
                                <w:w w:val="100"/>
                                <w:position w:val="0"/>
                                <w:sz w:val="24"/>
                                <w:szCs w:val="24"/>
                              </w:rPr>
                              <w:t>十三、</w:t>
                            </w:r>
                            <w:bookmarkEnd w:id="340"/>
                            <w:bookmarkEnd w:id="341"/>
                            <w:bookmarkEnd w:id="342"/>
                          </w:p>
                        </w:txbxContent>
                      </wps:txbx>
                      <wps:bodyPr wrap="none" lIns="0" tIns="0" rIns="0" bIns="0">
                        <a:noAutoFit/>
                      </wps:bodyPr>
                    </wps:wsp>
                  </a:graphicData>
                </a:graphic>
              </wp:anchor>
            </w:drawing>
          </mc:Choice>
          <mc:Fallback>
            <w:pict>
              <v:shape id="_x0000_s1279" type="#_x0000_t202" style="position:absolute;margin-left:55.25pt;margin-top:12.pt;width:32.399999999999999pt;height:15.35pt;z-index:-125829369;mso-wrap-distance-left:0;mso-wrap-distance-top:12.pt;mso-wrap-distance-right:0;mso-wrap-distance-bottom:29.05000000000000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both"/>
                      </w:pPr>
                      <w:bookmarkStart w:id="340" w:name="bookmark340"/>
                      <w:bookmarkStart w:id="341" w:name="bookmark341"/>
                      <w:bookmarkStart w:id="342" w:name="bookmark342"/>
                      <w:r>
                        <w:rPr>
                          <w:color w:val="000000"/>
                          <w:spacing w:val="0"/>
                          <w:w w:val="100"/>
                          <w:position w:val="0"/>
                          <w:sz w:val="24"/>
                          <w:szCs w:val="24"/>
                        </w:rPr>
                        <w:t>十三、</w:t>
                      </w:r>
                      <w:bookmarkEnd w:id="340"/>
                      <w:bookmarkEnd w:id="341"/>
                      <w:bookmarkEnd w:id="342"/>
                    </w:p>
                  </w:txbxContent>
                </v:textbox>
                <w10:wrap type="topAndBottom" anchorx="page"/>
              </v:shape>
            </w:pict>
          </mc:Fallback>
        </mc:AlternateContent>
      </w:r>
      <w:r>
        <mc:AlternateContent>
          <mc:Choice Requires="wps">
            <w:drawing>
              <wp:anchor distT="152400" distB="377825" distL="0" distR="0" simplePos="0" relativeHeight="125829386" behindDoc="0" locked="0" layoutInCell="1" allowOverlap="1">
                <wp:simplePos x="0" y="0"/>
                <wp:positionH relativeFrom="page">
                  <wp:posOffset>1165225</wp:posOffset>
                </wp:positionH>
                <wp:positionV relativeFrom="paragraph">
                  <wp:posOffset>152400</wp:posOffset>
                </wp:positionV>
                <wp:extent cx="2926080" cy="186055"/>
                <wp:wrapTopAndBottom/>
                <wp:docPr id="255" name="Shape 255"/>
                <a:graphic xmlns:a="http://schemas.openxmlformats.org/drawingml/2006/main">
                  <a:graphicData uri="http://schemas.microsoft.com/office/word/2010/wordprocessingShape">
                    <wps:wsp>
                      <wps:cNvSpPr txBox="1"/>
                      <wps:spPr>
                        <a:xfrm>
                          <a:ext cx="2926080" cy="186055"/>
                        </a:xfrm>
                        <a:prstGeom prst="rect"/>
                        <a:noFill/>
                      </wps:spPr>
                      <wps:txbx>
                        <w:txbxContent>
                          <w:p>
                            <w:pPr>
                              <w:pStyle w:val="Style17"/>
                              <w:keepNext/>
                              <w:keepLines/>
                              <w:widowControl w:val="0"/>
                              <w:shd w:val="clear" w:color="auto" w:fill="auto"/>
                              <w:bidi w:val="0"/>
                              <w:spacing w:before="0" w:after="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公司及其控股股东、实际控制人的诚信状况</w:t>
                            </w:r>
                            <w:bookmarkEnd w:id="343"/>
                            <w:bookmarkEnd w:id="344"/>
                            <w:bookmarkEnd w:id="345"/>
                          </w:p>
                        </w:txbxContent>
                      </wps:txbx>
                      <wps:bodyPr wrap="none" lIns="0" tIns="0" rIns="0" bIns="0">
                        <a:noAutoFit/>
                      </wps:bodyPr>
                    </wps:wsp>
                  </a:graphicData>
                </a:graphic>
              </wp:anchor>
            </w:drawing>
          </mc:Choice>
          <mc:Fallback>
            <w:pict>
              <v:shape id="_x0000_s1281" type="#_x0000_t202" style="position:absolute;margin-left:91.75pt;margin-top:12.pt;width:230.40000000000001pt;height:14.65pt;z-index:-125829367;mso-wrap-distance-left:0;mso-wrap-distance-top:12.pt;mso-wrap-distance-right:0;mso-wrap-distance-bottom:29.75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公司及其控股股东、实际控制人的诚信状况</w:t>
                      </w:r>
                      <w:bookmarkEnd w:id="343"/>
                      <w:bookmarkEnd w:id="344"/>
                      <w:bookmarkEnd w:id="345"/>
                    </w:p>
                  </w:txbxContent>
                </v:textbox>
                <w10:wrap type="topAndBottom" anchorx="page"/>
              </v:shape>
            </w:pict>
          </mc:Fallback>
        </mc:AlternateContent>
      </w:r>
      <w:r>
        <mc:AlternateContent>
          <mc:Choice Requires="wps">
            <w:drawing>
              <wp:anchor distT="560705" distB="0" distL="0" distR="0" simplePos="0" relativeHeight="125829388" behindDoc="0" locked="0" layoutInCell="1" allowOverlap="1">
                <wp:simplePos x="0" y="0"/>
                <wp:positionH relativeFrom="page">
                  <wp:posOffset>704850</wp:posOffset>
                </wp:positionH>
                <wp:positionV relativeFrom="paragraph">
                  <wp:posOffset>560705</wp:posOffset>
                </wp:positionV>
                <wp:extent cx="377825" cy="155575"/>
                <wp:wrapTopAndBottom/>
                <wp:docPr id="257" name="Shape 257"/>
                <a:graphic xmlns:a="http://schemas.openxmlformats.org/drawingml/2006/main">
                  <a:graphicData uri="http://schemas.microsoft.com/office/word/2010/wordprocessingShape">
                    <wps:wsp>
                      <wps:cNvSpPr txBox="1"/>
                      <wps:spPr>
                        <a:xfrm>
                          <a:ext cx="377825"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p>
                        </w:txbxContent>
                      </wps:txbx>
                      <wps:bodyPr wrap="none" lIns="0" tIns="0" rIns="0" bIns="0">
                        <a:noAutoFit/>
                      </wps:bodyPr>
                    </wps:wsp>
                  </a:graphicData>
                </a:graphic>
              </wp:anchor>
            </w:drawing>
          </mc:Choice>
          <mc:Fallback>
            <w:pict>
              <v:shape id="_x0000_s1283" type="#_x0000_t202" style="position:absolute;margin-left:55.5pt;margin-top:44.149999999999999pt;width:29.75pt;height:12.25pt;z-index:-125829365;mso-wrap-distance-left:0;mso-wrap-distance-top:44.149999999999999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p>
                  </w:txbxContent>
                </v:textbox>
                <w10:wrap type="topAndBottom" anchorx="page"/>
              </v:shape>
            </w:pict>
          </mc:Fallback>
        </mc:AlternateContent>
      </w:r>
      <w:r>
        <mc:AlternateContent>
          <mc:Choice Requires="wps">
            <w:drawing>
              <wp:anchor distT="548640" distB="3175" distL="0" distR="0" simplePos="0" relativeHeight="125829390" behindDoc="0" locked="0" layoutInCell="1" allowOverlap="1">
                <wp:simplePos x="0" y="0"/>
                <wp:positionH relativeFrom="page">
                  <wp:posOffset>1116330</wp:posOffset>
                </wp:positionH>
                <wp:positionV relativeFrom="paragraph">
                  <wp:posOffset>548640</wp:posOffset>
                </wp:positionV>
                <wp:extent cx="487680" cy="164465"/>
                <wp:wrapTopAndBottom/>
                <wp:docPr id="259" name="Shape 259"/>
                <a:graphic xmlns:a="http://schemas.openxmlformats.org/drawingml/2006/main">
                  <a:graphicData uri="http://schemas.microsoft.com/office/word/2010/wordprocessingShape">
                    <wps:wsp>
                      <wps:cNvSpPr txBox="1"/>
                      <wps:spPr>
                        <a:xfrm>
                          <a:ext cx="487680" cy="1644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不适用</w:t>
                            </w:r>
                          </w:p>
                        </w:txbxContent>
                      </wps:txbx>
                      <wps:bodyPr wrap="none" lIns="0" tIns="0" rIns="0" bIns="0">
                        <a:noAutoFit/>
                      </wps:bodyPr>
                    </wps:wsp>
                  </a:graphicData>
                </a:graphic>
              </wp:anchor>
            </w:drawing>
          </mc:Choice>
          <mc:Fallback>
            <w:pict>
              <v:shape id="_x0000_s1285" type="#_x0000_t202" style="position:absolute;margin-left:87.900000000000006pt;margin-top:43.200000000000003pt;width:38.399999999999999pt;height:12.950000000000001pt;z-index:-125829363;mso-wrap-distance-left:0;mso-wrap-distance-top:43.200000000000003pt;mso-wrap-distance-right:0;mso-wrap-distance-bottom:0.2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不适用</w:t>
                      </w:r>
                    </w:p>
                  </w:txbxContent>
                </v:textbox>
                <w10:wrap type="topAndBottom" anchorx="page"/>
              </v:shape>
            </w:pict>
          </mc:Fallback>
        </mc:AlternateContent>
      </w:r>
    </w:p>
    <w:p>
      <w:pPr>
        <w:widowControl w:val="0"/>
        <w:spacing w:before="2" w:after="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8" w:right="0" w:bottom="1436" w:left="0" w:header="0" w:footer="3" w:gutter="0"/>
          <w:cols w:space="720"/>
          <w:noEndnote/>
          <w:rtlGutter w:val="0"/>
          <w:docGrid w:linePitch="360"/>
        </w:sectPr>
      </w:pPr>
    </w:p>
    <w:p>
      <w:pPr>
        <w:pStyle w:val="Style17"/>
        <w:keepNext/>
        <w:keepLines/>
        <w:widowControl w:val="0"/>
        <w:shd w:val="clear" w:color="auto" w:fill="auto"/>
        <w:bidi w:val="0"/>
        <w:spacing w:before="0" w:after="260" w:line="240" w:lineRule="auto"/>
        <w:ind w:left="0" w:right="0" w:firstLine="0"/>
        <w:jc w:val="left"/>
      </w:pPr>
      <w:r>
        <mc:AlternateContent>
          <mc:Choice Requires="wps">
            <w:drawing>
              <wp:anchor distT="0" distB="0" distL="38100" distR="38100" simplePos="0" relativeHeight="125829392" behindDoc="0" locked="0" layoutInCell="1" allowOverlap="1">
                <wp:simplePos x="0" y="0"/>
                <wp:positionH relativeFrom="page">
                  <wp:posOffset>701675</wp:posOffset>
                </wp:positionH>
                <wp:positionV relativeFrom="paragraph">
                  <wp:posOffset>12700</wp:posOffset>
                </wp:positionV>
                <wp:extent cx="411480" cy="191770"/>
                <wp:wrapSquare wrapText="right"/>
                <wp:docPr id="261" name="Shape 261"/>
                <a:graphic xmlns:a="http://schemas.openxmlformats.org/drawingml/2006/main">
                  <a:graphicData uri="http://schemas.microsoft.com/office/word/2010/wordprocessingShape">
                    <wps:wsp>
                      <wps:cNvSpPr txBox="1"/>
                      <wps:spPr>
                        <a:xfrm>
                          <a:ext cx="411480" cy="191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十四、</w:t>
                            </w:r>
                          </w:p>
                        </w:txbxContent>
                      </wps:txbx>
                      <wps:bodyPr wrap="none" lIns="0" tIns="0" rIns="0" bIns="0">
                        <a:noAutoFit/>
                      </wps:bodyPr>
                    </wps:wsp>
                  </a:graphicData>
                </a:graphic>
              </wp:anchor>
            </w:drawing>
          </mc:Choice>
          <mc:Fallback>
            <w:pict>
              <v:shape id="_x0000_s1287" type="#_x0000_t202" style="position:absolute;margin-left:55.25pt;margin-top:1.pt;width:32.399999999999999pt;height:15.1pt;z-index:-125829361;mso-wrap-distance-left:3.pt;mso-wrap-distance-right:3.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十四、</w:t>
                      </w:r>
                    </w:p>
                  </w:txbxContent>
                </v:textbox>
                <w10:wrap type="square" side="right" anchorx="page"/>
              </v:shape>
            </w:pict>
          </mc:Fallback>
        </mc:AlternateContent>
      </w:r>
      <w:bookmarkStart w:id="352" w:name="bookmark352"/>
      <w:bookmarkStart w:id="353" w:name="bookmark353"/>
      <w:bookmarkStart w:id="354" w:name="bookmark354"/>
      <w:r>
        <w:rPr>
          <w:color w:val="000000"/>
          <w:spacing w:val="0"/>
          <w:w w:val="100"/>
          <w:position w:val="0"/>
          <w:sz w:val="24"/>
          <w:szCs w:val="24"/>
        </w:rPr>
        <w:t>公司股权激励计划、员工持股计划或其他员工激励措施的实施情况</w:t>
      </w:r>
      <w:bookmarkEnd w:id="352"/>
      <w:bookmarkEnd w:id="353"/>
      <w:bookmarkEnd w:id="354"/>
    </w:p>
    <w:p>
      <w:pPr>
        <w:pStyle w:val="Style3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317"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月泪，公司召开第四届董事会第五次会议，审议通过了《关于</w:t>
      </w:r>
      <w:r>
        <w:rPr>
          <w:color w:val="000000"/>
          <w:spacing w:val="0"/>
          <w:w w:val="100"/>
          <w:position w:val="0"/>
        </w:rPr>
        <w:t>〈</w:t>
      </w: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年第一期员 工持股计划（草案）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及其摘要的议案》等相关议案，同意公司实施员工持股计划，具体内容请查阅巨潮资讯网。</w:t>
      </w:r>
    </w:p>
    <w:p>
      <w:pPr>
        <w:pStyle w:val="Style34"/>
        <w:keepNext w:val="0"/>
        <w:keepLines w:val="0"/>
        <w:widowControl w:val="0"/>
        <w:shd w:val="clear" w:color="auto" w:fill="auto"/>
        <w:bidi w:val="0"/>
        <w:spacing w:before="0" w:after="480" w:line="240" w:lineRule="auto"/>
        <w:ind w:left="0" w:right="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年第一期员工持股计划已经购买完成，具体内容请查阅具体内容请查阅巨潮资讯网。</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 xml:space="preserve">号——上市公司从事软件与信息技术服务业务》的披露要求 </w:t>
      </w:r>
      <w:r>
        <w:rPr>
          <w:color w:val="000000"/>
          <w:spacing w:val="0"/>
          <w:w w:val="100"/>
          <w:position w:val="0"/>
        </w:rPr>
        <w:t>不适用</w:t>
      </w:r>
    </w:p>
    <w:p>
      <w:pPr>
        <w:pStyle w:val="Style17"/>
        <w:keepNext/>
        <w:keepLines/>
        <w:widowControl w:val="0"/>
        <w:shd w:val="clear" w:color="auto" w:fill="auto"/>
        <w:bidi w:val="0"/>
        <w:spacing w:before="0" w:after="36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十五、重大关联交易</w:t>
      </w:r>
      <w:bookmarkEnd w:id="355"/>
      <w:bookmarkEnd w:id="356"/>
      <w:bookmarkEnd w:id="357"/>
    </w:p>
    <w:p>
      <w:pPr>
        <w:pStyle w:val="Style38"/>
        <w:keepNext/>
        <w:keepLines/>
        <w:widowControl w:val="0"/>
        <w:shd w:val="clear" w:color="auto" w:fill="auto"/>
        <w:bidi w:val="0"/>
        <w:spacing w:before="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、与日常经营相关的关联交易</w:t>
      </w:r>
      <w:bookmarkEnd w:id="358"/>
      <w:bookmarkEnd w:id="359"/>
      <w:bookmarkEnd w:id="361"/>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8"/>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、资产或股权收购、出售发生的关联交易</w:t>
      </w:r>
      <w:bookmarkEnd w:id="362"/>
      <w:bookmarkEnd w:id="363"/>
      <w:bookmarkEnd w:id="365"/>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8"/>
        <w:keepNext/>
        <w:keepLines/>
        <w:widowControl w:val="0"/>
        <w:shd w:val="clear" w:color="auto" w:fill="auto"/>
        <w:bidi w:val="0"/>
        <w:spacing w:before="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3</w:t>
      </w:r>
      <w:bookmarkEnd w:id="368"/>
      <w:r>
        <w:rPr>
          <w:color w:val="000000"/>
          <w:spacing w:val="0"/>
          <w:w w:val="100"/>
          <w:position w:val="0"/>
        </w:rPr>
        <w:t>、共同对外投资的关联交易</w:t>
      </w:r>
      <w:bookmarkEnd w:id="366"/>
      <w:bookmarkEnd w:id="367"/>
      <w:bookmarkEnd w:id="369"/>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8"/>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4</w:t>
      </w:r>
      <w:bookmarkEnd w:id="372"/>
      <w:r>
        <w:rPr>
          <w:color w:val="000000"/>
          <w:spacing w:val="0"/>
          <w:w w:val="100"/>
          <w:position w:val="0"/>
        </w:rPr>
        <w:t>、关联债权债务往来</w:t>
      </w:r>
      <w:bookmarkEnd w:id="370"/>
      <w:bookmarkEnd w:id="371"/>
      <w:bookmarkEnd w:id="373"/>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8"/>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5</w:t>
      </w:r>
      <w:bookmarkEnd w:id="376"/>
      <w:r>
        <w:rPr>
          <w:color w:val="000000"/>
          <w:spacing w:val="0"/>
          <w:w w:val="100"/>
          <w:position w:val="0"/>
        </w:rPr>
        <w:t>、其他重大关联交易</w:t>
      </w:r>
      <w:bookmarkEnd w:id="374"/>
      <w:bookmarkEnd w:id="375"/>
      <w:bookmarkEnd w:id="377"/>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w:t>
      </w:r>
      <w:r>
        <w:rPr>
          <w:color w:val="000000"/>
          <w:spacing w:val="0"/>
          <w:w w:val="100"/>
          <w:position w:val="0"/>
        </w:rPr>
        <w:t>公司报告期无其他重大关联交易。</w:t>
      </w:r>
    </w:p>
    <w:p>
      <w:pPr>
        <w:pStyle w:val="Style17"/>
        <w:keepNext/>
        <w:keepLines/>
        <w:widowControl w:val="0"/>
        <w:shd w:val="clear" w:color="auto" w:fill="auto"/>
        <w:bidi w:val="0"/>
        <w:spacing w:before="0" w:after="360" w:line="240" w:lineRule="auto"/>
        <w:ind w:left="0" w:right="0" w:firstLine="0"/>
        <w:jc w:val="left"/>
      </w:pPr>
      <w:bookmarkStart w:id="378" w:name="bookmark378"/>
      <w:bookmarkStart w:id="379" w:name="bookmark379"/>
      <w:bookmarkStart w:id="380" w:name="bookmark380"/>
      <w:r>
        <w:rPr>
          <w:color w:val="000000"/>
          <w:spacing w:val="0"/>
          <w:w w:val="100"/>
          <w:position w:val="0"/>
          <w:sz w:val="24"/>
          <w:szCs w:val="24"/>
        </w:rPr>
        <w:t>十六、重大合同及其履行情况</w:t>
      </w:r>
      <w:bookmarkEnd w:id="378"/>
      <w:bookmarkEnd w:id="379"/>
      <w:bookmarkEnd w:id="380"/>
    </w:p>
    <w:p>
      <w:pPr>
        <w:pStyle w:val="Style38"/>
        <w:keepNext/>
        <w:keepLines/>
        <w:widowControl w:val="0"/>
        <w:shd w:val="clear" w:color="auto" w:fill="auto"/>
        <w:bidi w:val="0"/>
        <w:spacing w:before="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、托管、承包、租赁事项情况</w:t>
      </w:r>
      <w:bookmarkEnd w:id="381"/>
      <w:bookmarkEnd w:id="382"/>
      <w:bookmarkEnd w:id="384"/>
    </w:p>
    <w:p>
      <w:pPr>
        <w:pStyle w:val="Style38"/>
        <w:keepNext/>
        <w:keepLines/>
        <w:widowControl w:val="0"/>
        <w:numPr>
          <w:ilvl w:val="0"/>
          <w:numId w:val="7"/>
        </w:numPr>
        <w:shd w:val="clear" w:color="auto" w:fill="auto"/>
        <w:bidi w:val="0"/>
        <w:spacing w:before="0" w:line="240" w:lineRule="auto"/>
        <w:ind w:left="0" w:right="0" w:firstLine="0"/>
        <w:jc w:val="both"/>
      </w:pPr>
      <w:bookmarkStart w:id="381" w:name="bookmark381"/>
      <w:bookmarkStart w:id="382" w:name="bookmark382"/>
      <w:bookmarkStart w:id="385" w:name="bookmark385"/>
      <w:bookmarkStart w:id="386" w:name="bookmark386"/>
      <w:bookmarkEnd w:id="385"/>
      <w:r>
        <w:rPr>
          <w:color w:val="000000"/>
          <w:spacing w:val="0"/>
          <w:w w:val="100"/>
          <w:position w:val="0"/>
        </w:rPr>
        <w:t>托管情况</w:t>
      </w:r>
      <w:bookmarkEnd w:id="381"/>
      <w:bookmarkEnd w:id="382"/>
      <w:bookmarkEnd w:id="386"/>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8"/>
        <w:keepNext/>
        <w:keepLines/>
        <w:widowControl w:val="0"/>
        <w:numPr>
          <w:ilvl w:val="0"/>
          <w:numId w:val="7"/>
        </w:numPr>
        <w:shd w:val="clear" w:color="auto" w:fill="auto"/>
        <w:bidi w:val="0"/>
        <w:spacing w:before="0" w:line="240" w:lineRule="auto"/>
        <w:ind w:left="0" w:right="0" w:firstLine="0"/>
        <w:jc w:val="left"/>
      </w:pPr>
      <w:bookmarkStart w:id="387" w:name="bookmark387"/>
      <w:bookmarkStart w:id="388" w:name="bookmark388"/>
      <w:bookmarkStart w:id="389" w:name="bookmark389"/>
      <w:bookmarkStart w:id="390" w:name="bookmark390"/>
      <w:bookmarkEnd w:id="389"/>
      <w:r>
        <w:rPr>
          <w:color w:val="000000"/>
          <w:spacing w:val="0"/>
          <w:w w:val="100"/>
          <w:position w:val="0"/>
        </w:rPr>
        <w:t>承包情况</w:t>
      </w:r>
      <w:bookmarkEnd w:id="387"/>
      <w:bookmarkEnd w:id="388"/>
      <w:bookmarkEnd w:id="390"/>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8"/>
        <w:keepNext/>
        <w:keepLines/>
        <w:widowControl w:val="0"/>
        <w:numPr>
          <w:ilvl w:val="0"/>
          <w:numId w:val="7"/>
        </w:numPr>
        <w:shd w:val="clear" w:color="auto" w:fill="auto"/>
        <w:bidi w:val="0"/>
        <w:spacing w:before="0" w:line="240" w:lineRule="auto"/>
        <w:ind w:left="0" w:right="0" w:firstLine="0"/>
        <w:jc w:val="left"/>
      </w:pPr>
      <w:bookmarkStart w:id="391" w:name="bookmark391"/>
      <w:bookmarkStart w:id="392" w:name="bookmark392"/>
      <w:bookmarkStart w:id="393" w:name="bookmark393"/>
      <w:bookmarkStart w:id="394" w:name="bookmark394"/>
      <w:bookmarkEnd w:id="393"/>
      <w:r>
        <w:rPr>
          <w:color w:val="000000"/>
          <w:spacing w:val="0"/>
          <w:w w:val="100"/>
          <w:position w:val="0"/>
        </w:rPr>
        <w:t>租赁情况</w:t>
      </w:r>
      <w:bookmarkEnd w:id="391"/>
      <w:bookmarkEnd w:id="392"/>
      <w:bookmarkEnd w:id="394"/>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8"/>
        <w:keepNext/>
        <w:keepLines/>
        <w:widowControl w:val="0"/>
        <w:shd w:val="clear" w:color="auto" w:fill="auto"/>
        <w:bidi w:val="0"/>
        <w:spacing w:before="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、重大担保</w:t>
      </w:r>
      <w:bookmarkEnd w:id="395"/>
      <w:bookmarkEnd w:id="396"/>
      <w:bookmarkEnd w:id="398"/>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8"/>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3</w:t>
      </w:r>
      <w:bookmarkEnd w:id="401"/>
      <w:r>
        <w:rPr>
          <w:color w:val="000000"/>
          <w:spacing w:val="0"/>
          <w:w w:val="100"/>
          <w:position w:val="0"/>
        </w:rPr>
        <w:t>、日常经营重大合同</w:t>
      </w:r>
      <w:bookmarkEnd w:id="399"/>
      <w:bookmarkEnd w:id="400"/>
      <w:bookmarkEnd w:id="40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6"/>
        <w:gridCol w:w="1061"/>
        <w:gridCol w:w="1070"/>
      </w:tblGrid>
      <w:tr>
        <w:trPr>
          <w:trHeight w:val="1666"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累计确认的 销售收入金</w:t>
            </w:r>
          </w:p>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影响重大合 同履行的各 项条件是否 发生重大变</w:t>
            </w:r>
          </w:p>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是否存在合 同无法履行 的重大风险</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4</w:t>
      </w:r>
      <w:bookmarkEnd w:id="405"/>
      <w:r>
        <w:rPr>
          <w:color w:val="000000"/>
          <w:spacing w:val="0"/>
          <w:w w:val="100"/>
          <w:position w:val="0"/>
        </w:rPr>
        <w:t>、委托他人进行现金资产管理情况</w:t>
      </w:r>
      <w:bookmarkEnd w:id="403"/>
      <w:bookmarkEnd w:id="404"/>
      <w:bookmarkEnd w:id="406"/>
    </w:p>
    <w:p>
      <w:pPr>
        <w:pStyle w:val="Style38"/>
        <w:keepNext/>
        <w:keepLines/>
        <w:widowControl w:val="0"/>
        <w:numPr>
          <w:ilvl w:val="0"/>
          <w:numId w:val="9"/>
        </w:numPr>
        <w:shd w:val="clear" w:color="auto" w:fill="auto"/>
        <w:bidi w:val="0"/>
        <w:spacing w:before="0" w:line="240" w:lineRule="auto"/>
        <w:ind w:left="0" w:right="0" w:firstLine="0"/>
        <w:jc w:val="left"/>
      </w:pPr>
      <w:bookmarkStart w:id="403" w:name="bookmark403"/>
      <w:bookmarkStart w:id="404" w:name="bookmark404"/>
      <w:bookmarkStart w:id="407" w:name="bookmark407"/>
      <w:bookmarkStart w:id="408" w:name="bookmark408"/>
      <w:bookmarkEnd w:id="407"/>
      <w:r>
        <w:rPr>
          <w:color w:val="000000"/>
          <w:spacing w:val="0"/>
          <w:w w:val="100"/>
          <w:position w:val="0"/>
        </w:rPr>
        <w:t>委托理财情况</w:t>
      </w:r>
      <w:bookmarkEnd w:id="403"/>
      <w:bookmarkEnd w:id="404"/>
      <w:bookmarkEnd w:id="408"/>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r>
    </w:tbl>
    <w:p>
      <w:pPr>
        <w:widowControl w:val="0"/>
        <w:spacing w:line="1" w:lineRule="exact"/>
        <w:sectPr>
          <w:footnotePr>
            <w:pos w:val="pageBottom"/>
            <w:numFmt w:val="decimal"/>
            <w:numRestart w:val="continuous"/>
          </w:footnotePr>
          <w:type w:val="continuous"/>
          <w:pgSz w:w="11900" w:h="16840"/>
          <w:pgMar w:top="1378" w:right="1091" w:bottom="1436" w:left="1041" w:header="0" w:footer="3" w:gutter="0"/>
          <w:cols w:space="720"/>
          <w:noEndnote/>
          <w:rtlGutter w:val="0"/>
          <w:docGrid w:linePitch="360"/>
        </w:sectPr>
      </w:pPr>
    </w:p>
    <w:tbl>
      <w:tblPr>
        <w:tblOverlap w:val="never"/>
        <w:jc w:val="center"/>
        <w:tblLayout w:type="fixed"/>
      </w:tblPr>
      <w:tblGrid>
        <w:gridCol w:w="1877"/>
        <w:gridCol w:w="1963"/>
        <w:gridCol w:w="1978"/>
        <w:gridCol w:w="1910"/>
        <w:gridCol w:w="1858"/>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单项金额重大或安全性较低、流动性较差、不保本的高风险委托理财具体情况</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委托理财出现预期无法收回本金或存在其他可能导致减值的情形</w:t>
      </w:r>
    </w:p>
    <w:p>
      <w:pPr>
        <w:pStyle w:val="Style3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numPr>
          <w:ilvl w:val="0"/>
          <w:numId w:val="9"/>
        </w:numPr>
        <w:shd w:val="clear" w:color="auto" w:fill="auto"/>
        <w:bidi w:val="0"/>
        <w:spacing w:before="0" w:after="380" w:line="240" w:lineRule="auto"/>
        <w:ind w:left="0" w:right="0" w:firstLine="0"/>
        <w:jc w:val="left"/>
      </w:pPr>
      <w:bookmarkStart w:id="409" w:name="bookmark409"/>
      <w:bookmarkStart w:id="410" w:name="bookmark410"/>
      <w:bookmarkStart w:id="411" w:name="bookmark411"/>
      <w:bookmarkStart w:id="412" w:name="bookmark412"/>
      <w:bookmarkEnd w:id="411"/>
      <w:r>
        <w:rPr>
          <w:color w:val="000000"/>
          <w:spacing w:val="0"/>
          <w:w w:val="100"/>
          <w:position w:val="0"/>
        </w:rPr>
        <w:t>委托贷款情况</w:t>
      </w:r>
      <w:bookmarkEnd w:id="409"/>
      <w:bookmarkEnd w:id="410"/>
      <w:bookmarkEnd w:id="412"/>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公司报告期不存在委托贷款。</w:t>
      </w:r>
    </w:p>
    <w:p>
      <w:pPr>
        <w:pStyle w:val="Style38"/>
        <w:keepNext/>
        <w:keepLines/>
        <w:widowControl w:val="0"/>
        <w:shd w:val="clear" w:color="auto" w:fill="auto"/>
        <w:bidi w:val="0"/>
        <w:spacing w:before="0" w:after="38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5</w:t>
      </w:r>
      <w:bookmarkEnd w:id="415"/>
      <w:r>
        <w:rPr>
          <w:color w:val="000000"/>
          <w:spacing w:val="0"/>
          <w:w w:val="100"/>
          <w:position w:val="0"/>
        </w:rPr>
        <w:t>、其他重大合同</w:t>
      </w:r>
      <w:bookmarkEnd w:id="413"/>
      <w:bookmarkEnd w:id="414"/>
      <w:bookmarkEnd w:id="416"/>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公司报告期不存在其他重大合同。</w:t>
      </w:r>
    </w:p>
    <w:p>
      <w:pPr>
        <w:pStyle w:val="Style17"/>
        <w:keepNext/>
        <w:keepLines/>
        <w:widowControl w:val="0"/>
        <w:shd w:val="clear" w:color="auto" w:fill="auto"/>
        <w:bidi w:val="0"/>
        <w:spacing w:before="0" w:after="380" w:line="240" w:lineRule="auto"/>
        <w:ind w:left="0" w:right="0" w:firstLine="0"/>
        <w:jc w:val="left"/>
      </w:pPr>
      <w:bookmarkStart w:id="417" w:name="bookmark417"/>
      <w:bookmarkStart w:id="418" w:name="bookmark418"/>
      <w:bookmarkStart w:id="419" w:name="bookmark419"/>
      <w:r>
        <w:rPr>
          <w:color w:val="000000"/>
          <w:spacing w:val="0"/>
          <w:w w:val="100"/>
          <w:position w:val="0"/>
          <w:sz w:val="24"/>
          <w:szCs w:val="24"/>
        </w:rPr>
        <w:t>十七、社会责任情况</w:t>
      </w:r>
      <w:bookmarkEnd w:id="417"/>
      <w:bookmarkEnd w:id="418"/>
      <w:bookmarkEnd w:id="419"/>
    </w:p>
    <w:p>
      <w:pPr>
        <w:pStyle w:val="Style38"/>
        <w:keepNext/>
        <w:keepLines/>
        <w:widowControl w:val="0"/>
        <w:shd w:val="clear" w:color="auto" w:fill="auto"/>
        <w:bidi w:val="0"/>
        <w:spacing w:before="0" w:after="26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1</w:t>
      </w:r>
      <w:bookmarkEnd w:id="422"/>
      <w:r>
        <w:rPr>
          <w:color w:val="000000"/>
          <w:spacing w:val="0"/>
          <w:w w:val="100"/>
          <w:position w:val="0"/>
        </w:rPr>
        <w:t>、履行社会责任情况</w:t>
      </w:r>
      <w:bookmarkEnd w:id="420"/>
      <w:bookmarkEnd w:id="421"/>
      <w:bookmarkEnd w:id="423"/>
    </w:p>
    <w:p>
      <w:pPr>
        <w:pStyle w:val="Style3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年，公司积极履行各项社会责任与义务，努力促进公司和社会的和谐发展与共处。</w:t>
      </w:r>
    </w:p>
    <w:p>
      <w:pPr>
        <w:pStyle w:val="Style34"/>
        <w:keepNext w:val="0"/>
        <w:keepLines w:val="0"/>
        <w:widowControl w:val="0"/>
        <w:shd w:val="clear" w:color="auto" w:fill="auto"/>
        <w:tabs>
          <w:tab w:pos="430" w:val="left"/>
        </w:tabs>
        <w:bidi w:val="0"/>
        <w:spacing w:before="0" w:after="0" w:line="317" w:lineRule="exact"/>
        <w:ind w:left="0" w:right="0" w:firstLine="0"/>
        <w:jc w:val="left"/>
      </w:pPr>
      <w:bookmarkStart w:id="424" w:name="bookmark424"/>
      <w:r>
        <w:rPr>
          <w:color w:val="000000"/>
          <w:spacing w:val="0"/>
          <w:w w:val="100"/>
          <w:position w:val="0"/>
        </w:rPr>
        <w:t>一</w:t>
      </w:r>
      <w:bookmarkEnd w:id="424"/>
      <w:r>
        <w:rPr>
          <w:color w:val="000000"/>
          <w:spacing w:val="0"/>
          <w:w w:val="100"/>
          <w:position w:val="0"/>
        </w:rPr>
        <w:t>、</w:t>
        <w:tab/>
        <w:t>诚信为本，保障客户利益</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公司在与客户业务中，强调诚实守信，以满足客户需求、帮助客户解决问题为己任，实时了解客户行业政策变动，把握客户 需求，提高研发能力，以优质服务提升客户的满意度和运行效率。</w:t>
      </w:r>
    </w:p>
    <w:p>
      <w:pPr>
        <w:pStyle w:val="Style34"/>
        <w:keepNext w:val="0"/>
        <w:keepLines w:val="0"/>
        <w:widowControl w:val="0"/>
        <w:shd w:val="clear" w:color="auto" w:fill="auto"/>
        <w:tabs>
          <w:tab w:pos="430" w:val="left"/>
        </w:tabs>
        <w:bidi w:val="0"/>
        <w:spacing w:before="0" w:after="0" w:line="317" w:lineRule="exact"/>
        <w:ind w:left="0" w:right="0" w:firstLine="0"/>
        <w:jc w:val="left"/>
      </w:pPr>
      <w:bookmarkStart w:id="425" w:name="bookmark425"/>
      <w:r>
        <w:rPr>
          <w:color w:val="000000"/>
          <w:spacing w:val="0"/>
          <w:w w:val="100"/>
          <w:position w:val="0"/>
        </w:rPr>
        <w:t>二</w:t>
      </w:r>
      <w:bookmarkEnd w:id="425"/>
      <w:r>
        <w:rPr>
          <w:color w:val="000000"/>
          <w:spacing w:val="0"/>
          <w:w w:val="100"/>
          <w:position w:val="0"/>
        </w:rPr>
        <w:t>、</w:t>
        <w:tab/>
        <w:t>依法纳税，奉献社会</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公司始终将依法经营作为公司运行的基本原则，注重企业经济效益与社会效益的和谐共赢。公司积极依法纳税，促进就业， 支持地方经济的发展。</w:t>
      </w:r>
    </w:p>
    <w:p>
      <w:pPr>
        <w:pStyle w:val="Style34"/>
        <w:keepNext w:val="0"/>
        <w:keepLines w:val="0"/>
        <w:widowControl w:val="0"/>
        <w:shd w:val="clear" w:color="auto" w:fill="auto"/>
        <w:tabs>
          <w:tab w:pos="430" w:val="left"/>
        </w:tabs>
        <w:bidi w:val="0"/>
        <w:spacing w:before="0" w:after="0" w:line="317" w:lineRule="exact"/>
        <w:ind w:left="0" w:right="0" w:firstLine="0"/>
        <w:jc w:val="left"/>
      </w:pPr>
      <w:bookmarkStart w:id="426" w:name="bookmark426"/>
      <w:r>
        <w:rPr>
          <w:color w:val="000000"/>
          <w:spacing w:val="0"/>
          <w:w w:val="100"/>
          <w:position w:val="0"/>
        </w:rPr>
        <w:t>三</w:t>
      </w:r>
      <w:bookmarkEnd w:id="426"/>
      <w:r>
        <w:rPr>
          <w:color w:val="000000"/>
          <w:spacing w:val="0"/>
          <w:w w:val="100"/>
          <w:position w:val="0"/>
        </w:rPr>
        <w:t>、</w:t>
        <w:tab/>
        <w:t>投身公益，传播爱的能量</w:t>
      </w:r>
    </w:p>
    <w:p>
      <w:pPr>
        <w:pStyle w:val="Style34"/>
        <w:keepNext w:val="0"/>
        <w:keepLines w:val="0"/>
        <w:widowControl w:val="0"/>
        <w:shd w:val="clear" w:color="auto" w:fill="auto"/>
        <w:bidi w:val="0"/>
        <w:spacing w:before="0" w:after="200" w:line="322" w:lineRule="exact"/>
        <w:ind w:left="0" w:right="0" w:firstLine="0"/>
        <w:jc w:val="left"/>
      </w:pPr>
      <w:r>
        <w:rPr>
          <w:color w:val="000000"/>
          <w:spacing w:val="0"/>
          <w:w w:val="100"/>
          <w:position w:val="0"/>
        </w:rPr>
        <w:t>上市以来，公司共向上百所乡村贫困学校捐赠电子设备，供学校师生使用，帮助了乡村教师提高教学水平，拓展山村孩子们 的视野，填补信息鸿沟，缩短城乡教育差距。激励广大贫困学子以一颗感恩的心发奋学习、回报社会。</w:t>
      </w:r>
    </w:p>
    <w:p>
      <w:pPr>
        <w:pStyle w:val="Style62"/>
        <w:keepNext w:val="0"/>
        <w:keepLines w:val="0"/>
        <w:widowControl w:val="0"/>
        <w:shd w:val="clear" w:color="auto" w:fill="auto"/>
        <w:bidi w:val="0"/>
        <w:spacing w:before="0" w:line="240" w:lineRule="auto"/>
        <w:ind w:left="0" w:right="0" w:firstLine="0"/>
        <w:jc w:val="left"/>
      </w:pPr>
      <w:bookmarkStart w:id="427" w:name="bookmark427"/>
      <w:r>
        <w:rPr>
          <w:rFonts w:ascii="Times New Roman" w:eastAsia="Times New Roman" w:hAnsi="Times New Roman" w:cs="Times New Roman"/>
          <w:color w:val="000000"/>
          <w:spacing w:val="0"/>
          <w:w w:val="100"/>
          <w:position w:val="0"/>
        </w:rPr>
        <w:t>2</w:t>
      </w:r>
      <w:bookmarkEnd w:id="427"/>
      <w:r>
        <w:rPr>
          <w:color w:val="000000"/>
          <w:spacing w:val="0"/>
          <w:w w:val="100"/>
          <w:position w:val="0"/>
        </w:rPr>
        <w:t>、履行精准扶贫社会责任情况</w:t>
      </w:r>
    </w:p>
    <w:p>
      <w:pPr>
        <w:pStyle w:val="Style62"/>
        <w:keepNext w:val="0"/>
        <w:keepLines w:val="0"/>
        <w:widowControl w:val="0"/>
        <w:shd w:val="clear" w:color="auto" w:fill="auto"/>
        <w:tabs>
          <w:tab w:pos="633" w:val="left"/>
        </w:tabs>
        <w:bidi w:val="0"/>
        <w:spacing w:before="0" w:line="240" w:lineRule="auto"/>
        <w:ind w:left="0" w:right="0" w:firstLine="140"/>
        <w:jc w:val="left"/>
      </w:pPr>
      <w:bookmarkStart w:id="428" w:name="bookmark428"/>
      <w:r>
        <w:rPr>
          <w:rFonts w:ascii="Times New Roman" w:eastAsia="Times New Roman" w:hAnsi="Times New Roman" w:cs="Times New Roman"/>
          <w:color w:val="000000"/>
          <w:spacing w:val="0"/>
          <w:w w:val="100"/>
          <w:position w:val="0"/>
        </w:rPr>
        <w:t>（</w:t>
      </w:r>
      <w:bookmarkEnd w:id="428"/>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p>
    <w:p>
      <w:pPr>
        <w:pStyle w:val="Style62"/>
        <w:keepNext w:val="0"/>
        <w:keepLines w:val="0"/>
        <w:widowControl w:val="0"/>
        <w:shd w:val="clear" w:color="auto" w:fill="auto"/>
        <w:tabs>
          <w:tab w:pos="633" w:val="left"/>
        </w:tabs>
        <w:bidi w:val="0"/>
        <w:spacing w:before="0" w:line="240" w:lineRule="auto"/>
        <w:ind w:left="0" w:right="0" w:firstLine="140"/>
        <w:jc w:val="left"/>
      </w:pPr>
      <w:bookmarkStart w:id="429" w:name="bookmark429"/>
      <w:r>
        <w:rPr>
          <w:color w:val="000000"/>
          <w:spacing w:val="0"/>
          <w:w w:val="100"/>
          <w:position w:val="0"/>
        </w:rPr>
        <w:t>（</w:t>
      </w:r>
      <w:bookmarkEnd w:id="429"/>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p>
    <w:p>
      <w:pPr>
        <w:pStyle w:val="Style62"/>
        <w:keepNext w:val="0"/>
        <w:keepLines w:val="0"/>
        <w:widowControl w:val="0"/>
        <w:shd w:val="clear" w:color="auto" w:fill="auto"/>
        <w:tabs>
          <w:tab w:pos="633" w:val="left"/>
        </w:tabs>
        <w:bidi w:val="0"/>
        <w:spacing w:before="0" w:line="240" w:lineRule="auto"/>
        <w:ind w:left="0" w:right="0" w:firstLine="140"/>
        <w:jc w:val="left"/>
      </w:pPr>
      <w:bookmarkStart w:id="430" w:name="bookmark430"/>
      <w:r>
        <w:rPr>
          <w:rFonts w:ascii="Times New Roman" w:eastAsia="Times New Roman" w:hAnsi="Times New Roman" w:cs="Times New Roman"/>
          <w:color w:val="000000"/>
          <w:spacing w:val="0"/>
          <w:w w:val="100"/>
          <w:position w:val="0"/>
        </w:rPr>
        <w:t>（</w:t>
      </w:r>
      <w:bookmarkEnd w:id="430"/>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教育扶贫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62"/>
        <w:keepNext w:val="0"/>
        <w:keepLines w:val="0"/>
        <w:widowControl w:val="0"/>
        <w:shd w:val="clear" w:color="auto" w:fill="auto"/>
        <w:bidi w:val="0"/>
        <w:spacing w:before="0" w:line="240" w:lineRule="auto"/>
        <w:ind w:left="0" w:right="0" w:firstLine="0"/>
        <w:jc w:val="left"/>
      </w:pPr>
      <w:bookmarkStart w:id="431" w:name="bookmark431"/>
      <w:r>
        <w:rPr>
          <w:color w:val="000000"/>
          <w:spacing w:val="0"/>
          <w:w w:val="100"/>
          <w:position w:val="0"/>
        </w:rPr>
        <w:t>（</w:t>
      </w:r>
      <w:bookmarkEnd w:id="431"/>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p>
    <w:p>
      <w:pPr>
        <w:pStyle w:val="Style62"/>
        <w:keepNext w:val="0"/>
        <w:keepLines w:val="0"/>
        <w:widowControl w:val="0"/>
        <w:shd w:val="clear" w:color="auto" w:fill="auto"/>
        <w:bidi w:val="0"/>
        <w:spacing w:before="0" w:after="240" w:line="240" w:lineRule="auto"/>
        <w:ind w:left="0" w:right="0" w:firstLine="0"/>
        <w:jc w:val="left"/>
      </w:pPr>
      <w:bookmarkStart w:id="432" w:name="bookmark432"/>
      <w:r>
        <w:rPr>
          <w:rFonts w:ascii="Times New Roman" w:eastAsia="Times New Roman" w:hAnsi="Times New Roman" w:cs="Times New Roman"/>
          <w:color w:val="000000"/>
          <w:spacing w:val="0"/>
          <w:w w:val="100"/>
          <w:position w:val="0"/>
        </w:rPr>
        <w:t>3</w:t>
      </w:r>
      <w:bookmarkEnd w:id="432"/>
      <w:r>
        <w:rPr>
          <w:color w:val="000000"/>
          <w:spacing w:val="0"/>
          <w:w w:val="100"/>
          <w:position w:val="0"/>
        </w:rPr>
        <w:t>、环境保护相关的情况</w:t>
      </w:r>
    </w:p>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上市公司及其子公司是否属于环境保护部门公布的重点排污单位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不适用</w:t>
      </w:r>
    </w:p>
    <w:p>
      <w:pPr>
        <w:pStyle w:val="Style17"/>
        <w:keepNext/>
        <w:keepLines/>
        <w:widowControl w:val="0"/>
        <w:shd w:val="clear" w:color="auto" w:fill="auto"/>
        <w:bidi w:val="0"/>
        <w:spacing w:before="0" w:after="240" w:line="240" w:lineRule="auto"/>
        <w:ind w:left="0" w:right="0" w:firstLine="0"/>
        <w:jc w:val="left"/>
      </w:pPr>
      <w:bookmarkStart w:id="433" w:name="bookmark433"/>
      <w:bookmarkStart w:id="434" w:name="bookmark434"/>
      <w:bookmarkStart w:id="435" w:name="bookmark435"/>
      <w:r>
        <w:rPr>
          <w:color w:val="000000"/>
          <w:spacing w:val="0"/>
          <w:w w:val="100"/>
          <w:position w:val="0"/>
          <w:sz w:val="24"/>
          <w:szCs w:val="24"/>
        </w:rPr>
        <w:t>十八、其他重大事项的说明</w:t>
      </w:r>
      <w:bookmarkEnd w:id="433"/>
      <w:bookmarkEnd w:id="434"/>
      <w:bookmarkEnd w:id="435"/>
    </w:p>
    <w:p>
      <w:pPr>
        <w:pStyle w:val="Style34"/>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公司报告期不存在需要说明的其他重大事项。</w:t>
      </w:r>
    </w:p>
    <w:p>
      <w:pPr>
        <w:pStyle w:val="Style17"/>
        <w:keepNext/>
        <w:keepLines/>
        <w:widowControl w:val="0"/>
        <w:shd w:val="clear" w:color="auto" w:fill="auto"/>
        <w:bidi w:val="0"/>
        <w:spacing w:before="0" w:after="240" w:line="240" w:lineRule="auto"/>
        <w:ind w:left="0" w:right="0" w:firstLine="0"/>
        <w:jc w:val="left"/>
      </w:pPr>
      <w:bookmarkStart w:id="436" w:name="bookmark436"/>
      <w:bookmarkStart w:id="437" w:name="bookmark437"/>
      <w:bookmarkStart w:id="438" w:name="bookmark438"/>
      <w:r>
        <w:rPr>
          <w:color w:val="000000"/>
          <w:spacing w:val="0"/>
          <w:w w:val="100"/>
          <w:position w:val="0"/>
          <w:sz w:val="24"/>
          <w:szCs w:val="24"/>
        </w:rPr>
        <w:t>十九、公司子公司重大事项</w:t>
      </w:r>
      <w:bookmarkEnd w:id="436"/>
      <w:bookmarkEnd w:id="437"/>
      <w:bookmarkEnd w:id="438"/>
    </w:p>
    <w:p>
      <w:pPr>
        <w:pStyle w:val="Style34"/>
        <w:keepNext w:val="0"/>
        <w:keepLines w:val="0"/>
        <w:widowControl w:val="0"/>
        <w:shd w:val="clear" w:color="auto" w:fill="auto"/>
        <w:bidi w:val="0"/>
        <w:spacing w:before="0" w:after="360" w:line="34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0"/>
        <w:jc w:val="center"/>
      </w:pPr>
      <w:bookmarkStart w:id="439" w:name="bookmark439"/>
      <w:bookmarkStart w:id="440" w:name="bookmark440"/>
      <w:bookmarkStart w:id="441" w:name="bookmark441"/>
      <w:r>
        <w:rPr>
          <w:color w:val="000000"/>
          <w:spacing w:val="0"/>
          <w:w w:val="100"/>
          <w:position w:val="0"/>
        </w:rPr>
        <w:t>第六节股份变动及股东情况</w:t>
      </w:r>
      <w:bookmarkEnd w:id="439"/>
      <w:bookmarkEnd w:id="440"/>
      <w:bookmarkEnd w:id="441"/>
    </w:p>
    <w:p>
      <w:pPr>
        <w:pStyle w:val="Style17"/>
        <w:keepNext/>
        <w:keepLines/>
        <w:widowControl w:val="0"/>
        <w:shd w:val="clear" w:color="auto" w:fill="auto"/>
        <w:bidi w:val="0"/>
        <w:spacing w:before="0" w:after="360" w:line="240" w:lineRule="auto"/>
        <w:ind w:left="0" w:right="0" w:firstLine="0"/>
        <w:jc w:val="left"/>
      </w:pPr>
      <w:bookmarkStart w:id="442" w:name="bookmark442"/>
      <w:bookmarkStart w:id="443" w:name="bookmark443"/>
      <w:bookmarkStart w:id="444" w:name="bookmark444"/>
      <w:bookmarkStart w:id="445" w:name="bookmark445"/>
      <w:bookmarkStart w:id="446" w:name="bookmark446"/>
      <w:r>
        <w:rPr>
          <w:color w:val="000000"/>
          <w:spacing w:val="0"/>
          <w:w w:val="100"/>
          <w:position w:val="0"/>
          <w:sz w:val="24"/>
          <w:szCs w:val="24"/>
        </w:rPr>
        <w:t>一</w:t>
      </w:r>
      <w:bookmarkEnd w:id="445"/>
      <w:r>
        <w:rPr>
          <w:color w:val="000000"/>
          <w:spacing w:val="0"/>
          <w:w w:val="100"/>
          <w:position w:val="0"/>
          <w:sz w:val="24"/>
          <w:szCs w:val="24"/>
        </w:rPr>
        <w:t>、股份变动情况</w:t>
      </w:r>
      <w:bookmarkEnd w:id="443"/>
      <w:bookmarkEnd w:id="444"/>
      <w:bookmarkEnd w:id="446"/>
      <w:bookmarkEnd w:id="442"/>
    </w:p>
    <w:p>
      <w:pPr>
        <w:pStyle w:val="Style38"/>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1</w:t>
      </w:r>
      <w:bookmarkEnd w:id="449"/>
      <w:r>
        <w:rPr>
          <w:color w:val="000000"/>
          <w:spacing w:val="0"/>
          <w:w w:val="100"/>
          <w:position w:val="0"/>
        </w:rPr>
        <w:t>、股份变动情况</w:t>
      </w:r>
      <w:bookmarkEnd w:id="447"/>
      <w:bookmarkEnd w:id="448"/>
      <w:bookmarkEnd w:id="45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85"/>
        <w:gridCol w:w="1066"/>
        <w:gridCol w:w="782"/>
        <w:gridCol w:w="869"/>
        <w:gridCol w:w="461"/>
        <w:gridCol w:w="1070"/>
        <w:gridCol w:w="682"/>
        <w:gridCol w:w="682"/>
        <w:gridCol w:w="1066"/>
        <w:gridCol w:w="79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446,762,257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446,762,257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446,762,257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446,762,257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446,787,857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446,762,257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440" w:line="315"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日，公司召开第三届董事会第二十四次会议，审议通过了《关于回购注销部分限制性股票的议案》，鉴于 原</w:t>
      </w:r>
      <w:r>
        <w:rPr>
          <w:rFonts w:ascii="Times New Roman" w:eastAsia="Times New Roman" w:hAnsi="Times New Roman" w:cs="Times New Roman"/>
          <w:color w:val="000000"/>
          <w:spacing w:val="0"/>
          <w:w w:val="100"/>
          <w:position w:val="0"/>
        </w:rPr>
        <w:t>1</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年限制性股票股权激励对象因离职已不符合激励条件，公司对离职的原激励对象已获授但未解锁的限制性股票共 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.28</w:t>
      </w:r>
      <w:r>
        <w:rPr>
          <w:color w:val="000000"/>
          <w:spacing w:val="0"/>
          <w:w w:val="100"/>
          <w:position w:val="0"/>
        </w:rPr>
        <w:t>万股进行回购注销。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日，公司召开第三届董事会第二十六次会议，审议通过了《关于回购注销部分限制 性股票的议案》，鉴于原</w:t>
      </w:r>
      <w:r>
        <w:rPr>
          <w:rFonts w:ascii="Times New Roman" w:eastAsia="Times New Roman" w:hAnsi="Times New Roman" w:cs="Times New Roman"/>
          <w:color w:val="000000"/>
          <w:spacing w:val="0"/>
          <w:w w:val="100"/>
          <w:position w:val="0"/>
        </w:rPr>
        <w:t>1</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年限制性股票股权激励对象因离职已不符合激励条件，公司对离职的原激励对象已获授但 未解锁的限制性股票共计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.28</w:t>
      </w:r>
      <w:r>
        <w:rPr>
          <w:color w:val="000000"/>
          <w:spacing w:val="0"/>
          <w:w w:val="100"/>
          <w:position w:val="0"/>
        </w:rPr>
        <w:t>万股进行回购注销。上述股份已在中国证券登记结算有限责任公司深圳分公司完成相关股票的 解锁手续及部分股票的回购注销登记。</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240" w:line="240" w:lineRule="auto"/>
        <w:ind w:left="0" w:right="0" w:firstLine="0"/>
        <w:jc w:val="left"/>
      </w:pPr>
      <w:r>
        <w:rPr>
          <w:color w:val="000000"/>
          <w:spacing w:val="0"/>
          <w:w w:val="100"/>
          <w:position w:val="0"/>
        </w:rPr>
        <w:t>股份变动的过户情况</w:t>
      </w:r>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w:t>
      </w:r>
      <w:r>
        <w:rPr>
          <w:rFonts w:ascii="Times New Roman" w:eastAsia="Times New Roman" w:hAnsi="Times New Roman" w:cs="Times New Roman"/>
          <w:color w:val="000000"/>
          <w:spacing w:val="0"/>
          <w:w w:val="100"/>
          <w:position w:val="0"/>
        </w:rPr>
        <w:t>“</w:t>
      </w:r>
      <w:r>
        <w:rPr>
          <w:color w:val="000000"/>
          <w:spacing w:val="0"/>
          <w:w w:val="100"/>
          <w:position w:val="0"/>
        </w:rPr>
        <w:t>股份变动的原因</w:t>
      </w: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股份回购的实施进展情况</w:t>
      </w:r>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采用集中竞价方式减持回购股份的实施进展情况</w:t>
      </w:r>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2</w:t>
      </w:r>
      <w:bookmarkEnd w:id="453"/>
      <w:r>
        <w:rPr>
          <w:color w:val="000000"/>
          <w:spacing w:val="0"/>
          <w:w w:val="100"/>
          <w:position w:val="0"/>
        </w:rPr>
        <w:t>、限售股份变动情况</w:t>
      </w:r>
      <w:bookmarkEnd w:id="451"/>
      <w:bookmarkEnd w:id="452"/>
      <w:bookmarkEnd w:id="454"/>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本期增加限售股</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本期解除限售股</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年度股权</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激励参与人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17"/>
        <w:keepNext/>
        <w:keepLines/>
        <w:widowControl w:val="0"/>
        <w:shd w:val="clear" w:color="auto" w:fill="auto"/>
        <w:bidi w:val="0"/>
        <w:spacing w:before="0" w:after="36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sz w:val="24"/>
          <w:szCs w:val="24"/>
        </w:rPr>
        <w:t>二</w:t>
      </w:r>
      <w:bookmarkEnd w:id="457"/>
      <w:r>
        <w:rPr>
          <w:color w:val="000000"/>
          <w:spacing w:val="0"/>
          <w:w w:val="100"/>
          <w:position w:val="0"/>
          <w:sz w:val="24"/>
          <w:szCs w:val="24"/>
        </w:rPr>
        <w:t>、证券发行与上市情况</w:t>
      </w:r>
      <w:bookmarkEnd w:id="455"/>
      <w:bookmarkEnd w:id="456"/>
      <w:bookmarkEnd w:id="458"/>
    </w:p>
    <w:p>
      <w:pPr>
        <w:pStyle w:val="Style38"/>
        <w:keepNext/>
        <w:keepLines/>
        <w:widowControl w:val="0"/>
        <w:shd w:val="clear" w:color="auto" w:fill="auto"/>
        <w:tabs>
          <w:tab w:pos="368" w:val="left"/>
        </w:tabs>
        <w:bidi w:val="0"/>
        <w:spacing w:before="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w:t>
        <w:tab/>
        <w:t>报告期内证券发行（不含优先股）情况</w:t>
      </w:r>
      <w:bookmarkEnd w:id="459"/>
      <w:bookmarkEnd w:id="460"/>
      <w:bookmarkEnd w:id="462"/>
    </w:p>
    <w:p>
      <w:pPr>
        <w:pStyle w:val="Style3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w:t>
        <w:tab/>
        <w:t>公司股份总数及股东结构的变动、公司资产和负债结构的变动情况说明</w:t>
      </w:r>
      <w:bookmarkEnd w:id="463"/>
      <w:bookmarkEnd w:id="464"/>
      <w:bookmarkEnd w:id="466"/>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日，公司召开第三届董事会第二十四次会议，审议通过了《关于回购注销部分限制性股票的议案》，鉴于原</w:t>
      </w:r>
      <w:r>
        <w:rPr>
          <w:rFonts w:ascii="Times New Roman" w:eastAsia="Times New Roman" w:hAnsi="Times New Roman" w:cs="Times New Roman"/>
          <w:color w:val="000000"/>
          <w:spacing w:val="0"/>
          <w:w w:val="100"/>
          <w:position w:val="0"/>
        </w:rPr>
        <w:t xml:space="preserve">1 </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年限制性股票股权激励对象因离职已不符合激励条件，公司对离职的原激励对象已获授但未解锁的限制性股票共计 </w:t>
      </w:r>
      <w:r>
        <w:rPr>
          <w:rFonts w:ascii="Times New Roman" w:eastAsia="Times New Roman" w:hAnsi="Times New Roman" w:cs="Times New Roman"/>
          <w:color w:val="000000"/>
          <w:spacing w:val="0"/>
          <w:w w:val="100"/>
          <w:position w:val="0"/>
        </w:rPr>
        <w:t>1.28</w:t>
      </w:r>
      <w:r>
        <w:rPr>
          <w:color w:val="000000"/>
          <w:spacing w:val="0"/>
          <w:w w:val="100"/>
          <w:position w:val="0"/>
        </w:rPr>
        <w:t>万股进行回购注销。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日，公司召开第三届董事会第二十六次会议，审议通过了《关于回购注销部分限制性 股票的议案》，鉴于原</w:t>
      </w:r>
      <w:r>
        <w:rPr>
          <w:rFonts w:ascii="Times New Roman" w:eastAsia="Times New Roman" w:hAnsi="Times New Roman" w:cs="Times New Roman"/>
          <w:color w:val="000000"/>
          <w:spacing w:val="0"/>
          <w:w w:val="100"/>
          <w:position w:val="0"/>
        </w:rPr>
        <w:t>1</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年限制性股票股权激励对象因离职已不符合激励条件，公司对离职的原激励对象已获授但未 解锁的限制性股票共计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.28</w:t>
      </w:r>
      <w:r>
        <w:rPr>
          <w:color w:val="000000"/>
          <w:spacing w:val="0"/>
          <w:w w:val="100"/>
          <w:position w:val="0"/>
        </w:rPr>
        <w:t>万股进行回购注销。上述股份已在中国证券登记结算有限责任公司深圳分公司完成相关股票的解 锁手续及部分股票的回购注销登记。公司股份总数由</w:t>
      </w:r>
      <w:r>
        <w:rPr>
          <w:rFonts w:ascii="Times New Roman" w:eastAsia="Times New Roman" w:hAnsi="Times New Roman" w:cs="Times New Roman"/>
          <w:color w:val="000000"/>
          <w:spacing w:val="0"/>
          <w:w w:val="100"/>
          <w:position w:val="0"/>
        </w:rPr>
        <w:t>446,787,857</w:t>
      </w:r>
      <w:r>
        <w:rPr>
          <w:color w:val="000000"/>
          <w:spacing w:val="0"/>
          <w:w w:val="100"/>
          <w:position w:val="0"/>
        </w:rPr>
        <w:t>股变更为</w:t>
      </w:r>
      <w:r>
        <w:rPr>
          <w:rFonts w:ascii="Times New Roman" w:eastAsia="Times New Roman" w:hAnsi="Times New Roman" w:cs="Times New Roman"/>
          <w:color w:val="000000"/>
          <w:spacing w:val="0"/>
          <w:w w:val="100"/>
          <w:position w:val="0"/>
        </w:rPr>
        <w:t>446,762,257</w:t>
      </w:r>
      <w:r>
        <w:rPr>
          <w:color w:val="000000"/>
          <w:spacing w:val="0"/>
          <w:w w:val="100"/>
          <w:position w:val="0"/>
        </w:rPr>
        <w:t>股。</w:t>
      </w:r>
    </w:p>
    <w:p>
      <w:pPr>
        <w:pStyle w:val="Style38"/>
        <w:keepNext/>
        <w:keepLines/>
        <w:widowControl w:val="0"/>
        <w:shd w:val="clear" w:color="auto" w:fill="auto"/>
        <w:tabs>
          <w:tab w:pos="378" w:val="left"/>
        </w:tabs>
        <w:bidi w:val="0"/>
        <w:spacing w:before="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3</w:t>
      </w:r>
      <w:bookmarkEnd w:id="469"/>
      <w:r>
        <w:rPr>
          <w:color w:val="000000"/>
          <w:spacing w:val="0"/>
          <w:w w:val="100"/>
          <w:position w:val="0"/>
        </w:rPr>
        <w:t>、</w:t>
        <w:tab/>
        <w:t>现存的内部职工股情况</w:t>
      </w:r>
      <w:bookmarkEnd w:id="467"/>
      <w:bookmarkEnd w:id="468"/>
      <w:bookmarkEnd w:id="470"/>
    </w:p>
    <w:p>
      <w:pPr>
        <w:pStyle w:val="Style34"/>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7"/>
        <w:keepNext/>
        <w:keepLines/>
        <w:widowControl w:val="0"/>
        <w:shd w:val="clear" w:color="auto" w:fill="auto"/>
        <w:bidi w:val="0"/>
        <w:spacing w:before="0" w:after="36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三</w:t>
      </w:r>
      <w:bookmarkEnd w:id="473"/>
      <w:r>
        <w:rPr>
          <w:color w:val="000000"/>
          <w:spacing w:val="0"/>
          <w:w w:val="100"/>
          <w:position w:val="0"/>
          <w:sz w:val="24"/>
          <w:szCs w:val="24"/>
        </w:rPr>
        <w:t>、股东和实际控制人情况</w:t>
      </w:r>
      <w:bookmarkEnd w:id="471"/>
      <w:bookmarkEnd w:id="472"/>
      <w:bookmarkEnd w:id="474"/>
    </w:p>
    <w:p>
      <w:pPr>
        <w:pStyle w:val="Style38"/>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、公司股东数量及持股情况</w:t>
      </w:r>
      <w:bookmarkEnd w:id="475"/>
      <w:bookmarkEnd w:id="476"/>
      <w:bookmarkEnd w:id="47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349"/>
        <w:gridCol w:w="778"/>
        <w:gridCol w:w="1061"/>
        <w:gridCol w:w="1066"/>
        <w:gridCol w:w="782"/>
        <w:gridCol w:w="994"/>
        <w:gridCol w:w="1282"/>
        <w:gridCol w:w="1066"/>
      </w:tblGrid>
      <w:tr>
        <w:trPr>
          <w:trHeight w:val="227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报告期末普通</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52,300</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47,147</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 决权恢复的 优先股股东 总数（如有）</w:t>
            </w:r>
          </w:p>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年度报告披露日前上一月末 表决权恢复的优先股股东总 数（如有）（参见注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持有无限售</w:t>
            </w:r>
          </w:p>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条件的股份</w:t>
            </w:r>
          </w:p>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5" w:lineRule="exact"/>
              <w:ind w:left="0" w:right="0" w:firstLine="0"/>
              <w:jc w:val="both"/>
            </w:pPr>
            <w:r>
              <w:rPr>
                <w:color w:val="000000"/>
                <w:spacing w:val="0"/>
                <w:w w:val="100"/>
                <w:position w:val="0"/>
              </w:rPr>
              <w:t>鹰潭市鹰高投 资咨询有限公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104,149,776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104,149,776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26,677,000</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银联科技有限</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37,101,580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博时基金管理 有限公司一社 保基金四一九 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8,000,583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8,000,583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8,000,583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易方达基金一 中央汇金资产 管理有限责任 公司一易方达 基金一汇金资 管单一资产管 理计划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7,521,920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7,521,920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北京睿韬科技</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4,427,265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4,427,265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4,427,265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刘佳玉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宁波镇海翔易 融联企业管理 合伙企业（有 限合伙）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2,208,300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-741,077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2,208,300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广州九逸资产 管理有限公司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0.39%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1,743,000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1,743,000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1378" w:right="1091" w:bottom="1436" w:left="1041" w:header="0" w:footer="3" w:gutter="0"/>
          <w:cols w:space="720"/>
          <w:noEndnote/>
          <w:titlePg/>
          <w:rtlGutter w:val="0"/>
          <w:docGrid w:linePitch="360"/>
        </w:sectPr>
      </w:pPr>
    </w:p>
    <w:tbl>
      <w:tblPr>
        <w:tblOverlap w:val="never"/>
        <w:jc w:val="center"/>
        <w:tblLayout w:type="fixed"/>
      </w:tblPr>
      <w:tblGrid>
        <w:gridCol w:w="1210"/>
        <w:gridCol w:w="1349"/>
        <w:gridCol w:w="778"/>
        <w:gridCol w:w="1061"/>
        <w:gridCol w:w="1066"/>
        <w:gridCol w:w="782"/>
        <w:gridCol w:w="994"/>
        <w:gridCol w:w="1282"/>
        <w:gridCol w:w="1066"/>
      </w:tblGrid>
      <w:tr>
        <w:trPr>
          <w:trHeight w:val="98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—九逸量化</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号私募证券投 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8" w:lineRule="exact"/>
              <w:ind w:left="0" w:right="0" w:firstLine="0"/>
              <w:jc w:val="both"/>
            </w:pPr>
            <w:r>
              <w:rPr>
                <w:color w:val="000000"/>
                <w:spacing w:val="0"/>
                <w:w w:val="100"/>
                <w:position w:val="0"/>
              </w:rPr>
              <w:t>浙江兆信投资 管理有限公司 —兆信</w:t>
            </w:r>
            <w:r>
              <w:rPr>
                <w:rFonts w:ascii="Times New Roman" w:eastAsia="Times New Roman" w:hAnsi="Times New Roman" w:cs="Times New Roman"/>
                <w:color w:val="000000"/>
                <w:spacing w:val="0"/>
                <w:w w:val="100"/>
                <w:position w:val="0"/>
              </w:rPr>
              <w:t>12</w:t>
            </w:r>
            <w:r>
              <w:rPr>
                <w:color w:val="000000"/>
                <w:spacing w:val="0"/>
                <w:w w:val="100"/>
                <w:position w:val="0"/>
              </w:rPr>
              <w:t>号私 募证券投资基 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1,471,500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中国工商银行 股份有限公司 —易方达中证 人工智能主题 交易型开放式 指数证券投资 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1,228,300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鹰潭市鹰高投资咨询有限公司</w:t>
            </w:r>
          </w:p>
        </w:tc>
        <w:tc>
          <w:tcPr>
            <w:gridSpan w:val="5"/>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104,149,776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104,149,776</w:t>
            </w:r>
          </w:p>
        </w:tc>
      </w:tr>
      <w:tr>
        <w:trPr>
          <w:trHeight w:val="403"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银联科技有限公司</w:t>
            </w:r>
          </w:p>
        </w:tc>
        <w:tc>
          <w:tcPr>
            <w:gridSpan w:val="5"/>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37,101,580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37,101,580</w:t>
            </w:r>
          </w:p>
        </w:tc>
      </w:tr>
      <w:tr>
        <w:trPr>
          <w:trHeight w:val="715"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博时基金管理有限公司一社保 基金四一九组合</w:t>
            </w:r>
          </w:p>
        </w:tc>
        <w:tc>
          <w:tcPr>
            <w:gridSpan w:val="5"/>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8,000,583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8,000,583</w:t>
            </w:r>
          </w:p>
        </w:tc>
      </w:tr>
      <w:tr>
        <w:trPr>
          <w:trHeight w:val="1022"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易方达基金一中央汇金资产管 理有限责任公司一易方达基金 一汇金资管单一资产管理计划</w:t>
            </w:r>
          </w:p>
        </w:tc>
        <w:tc>
          <w:tcPr>
            <w:gridSpan w:val="5"/>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7,521,920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7,521,920</w:t>
            </w:r>
          </w:p>
        </w:tc>
      </w:tr>
      <w:tr>
        <w:trPr>
          <w:trHeight w:val="403"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北京睿韬科技有限责任公司</w:t>
            </w:r>
          </w:p>
        </w:tc>
        <w:tc>
          <w:tcPr>
            <w:gridSpan w:val="5"/>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4,427,265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4,427,265</w:t>
            </w:r>
          </w:p>
        </w:tc>
      </w:tr>
      <w:tr>
        <w:trPr>
          <w:trHeight w:val="403"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刘佳玉</w:t>
            </w:r>
          </w:p>
        </w:tc>
        <w:tc>
          <w:tcPr>
            <w:gridSpan w:val="5"/>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3,700,000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3,700,000</w:t>
            </w:r>
          </w:p>
        </w:tc>
      </w:tr>
      <w:tr>
        <w:trPr>
          <w:trHeight w:val="715"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宁波镇海翔易融联企业管理合 伙企业（有限合伙）</w:t>
            </w:r>
          </w:p>
        </w:tc>
        <w:tc>
          <w:tcPr>
            <w:gridSpan w:val="5"/>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2,208,300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2,208,300</w:t>
            </w:r>
          </w:p>
        </w:tc>
      </w:tr>
      <w:tr>
        <w:trPr>
          <w:trHeight w:val="710"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广州九逸资产管理有限公司一 九逸量化</w:t>
            </w:r>
            <w:r>
              <w:rPr>
                <w:rFonts w:ascii="Times New Roman" w:eastAsia="Times New Roman" w:hAnsi="Times New Roman" w:cs="Times New Roman"/>
                <w:color w:val="000000"/>
                <w:spacing w:val="0"/>
                <w:w w:val="100"/>
                <w:position w:val="0"/>
              </w:rPr>
              <w:t>2</w:t>
            </w:r>
            <w:r>
              <w:rPr>
                <w:color w:val="000000"/>
                <w:spacing w:val="0"/>
                <w:w w:val="100"/>
                <w:position w:val="0"/>
              </w:rPr>
              <w:t>号私募证券投资基金</w:t>
            </w:r>
          </w:p>
        </w:tc>
        <w:tc>
          <w:tcPr>
            <w:gridSpan w:val="5"/>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1,743,000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1,743,000</w:t>
            </w:r>
          </w:p>
        </w:tc>
      </w:tr>
      <w:tr>
        <w:trPr>
          <w:trHeight w:val="720"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浙江兆信投资管理有限公司一 兆信</w:t>
            </w:r>
            <w:r>
              <w:rPr>
                <w:rFonts w:ascii="Times New Roman" w:eastAsia="Times New Roman" w:hAnsi="Times New Roman" w:cs="Times New Roman"/>
                <w:color w:val="000000"/>
                <w:spacing w:val="0"/>
                <w:w w:val="100"/>
                <w:position w:val="0"/>
              </w:rPr>
              <w:t>12</w:t>
            </w:r>
            <w:r>
              <w:rPr>
                <w:color w:val="000000"/>
                <w:spacing w:val="0"/>
                <w:w w:val="100"/>
                <w:position w:val="0"/>
              </w:rPr>
              <w:t>号私募证券投资基金</w:t>
            </w:r>
          </w:p>
        </w:tc>
        <w:tc>
          <w:tcPr>
            <w:gridSpan w:val="5"/>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1,471,500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1,471,500</w:t>
            </w:r>
          </w:p>
        </w:tc>
      </w:tr>
      <w:tr>
        <w:trPr>
          <w:trHeight w:val="408" w:hRule="exact"/>
        </w:trPr>
        <w:tc>
          <w:tcPr>
            <w:gridSpan w:val="2"/>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中国工商银行股份有限公司一</w:t>
            </w:r>
          </w:p>
        </w:tc>
        <w:tc>
          <w:tcPr>
            <w:gridSpan w:val="5"/>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1,228,300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1,228,300</w:t>
            </w:r>
          </w:p>
        </w:tc>
      </w:tr>
    </w:tbl>
    <w:p>
      <w:pPr>
        <w:widowControl w:val="0"/>
        <w:spacing w:line="1" w:lineRule="exact"/>
      </w:pPr>
      <w:r>
        <w:br w:type="page"/>
      </w:r>
    </w:p>
    <w:tbl>
      <w:tblPr>
        <w:tblOverlap w:val="never"/>
        <w:jc w:val="center"/>
        <w:tblLayout w:type="fixed"/>
      </w:tblPr>
      <w:tblGrid>
        <w:gridCol w:w="2558"/>
        <w:gridCol w:w="4680"/>
        <w:gridCol w:w="1282"/>
        <w:gridCol w:w="1066"/>
      </w:tblGrid>
      <w:tr>
        <w:trPr>
          <w:trHeight w:val="67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both"/>
            </w:pPr>
            <w:r>
              <w:rPr>
                <w:color w:val="000000"/>
                <w:spacing w:val="0"/>
                <w:w w:val="100"/>
                <w:position w:val="0"/>
              </w:rPr>
              <w:t>易方达中证人工智能主题交易 型开放式指数证券投资基金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rPr>
              <w:t>10</w:t>
            </w:r>
            <w:r>
              <w:rPr>
                <w:color w:val="000000"/>
                <w:spacing w:val="0"/>
                <w:w w:val="100"/>
                <w:position w:val="0"/>
              </w:rPr>
              <w:t>名无限售股股东是否为一致行动人。</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鹰潭市鹰高投资咨询有限公司于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日将其持有的</w:t>
      </w:r>
      <w:r>
        <w:rPr>
          <w:rFonts w:ascii="Times New Roman" w:eastAsia="Times New Roman" w:hAnsi="Times New Roman" w:cs="Times New Roman"/>
          <w:color w:val="000000"/>
          <w:spacing w:val="0"/>
          <w:w w:val="100"/>
          <w:position w:val="0"/>
        </w:rPr>
        <w:t>893</w:t>
      </w:r>
      <w:r>
        <w:rPr>
          <w:color w:val="000000"/>
          <w:spacing w:val="0"/>
          <w:w w:val="100"/>
          <w:position w:val="0"/>
        </w:rPr>
        <w:t>万股高伟达股票与国泰君安证券股份有限公司办理了初始 约定购回证券交易业务，购回日期为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日。鹰高投资于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日办理了约定购回式证券交易提前赎回业务。 截止报告期末，鹰高投资持有公司股份</w:t>
      </w:r>
      <w:r>
        <w:rPr>
          <w:rFonts w:ascii="Times New Roman" w:eastAsia="Times New Roman" w:hAnsi="Times New Roman" w:cs="Times New Roman"/>
          <w:color w:val="000000"/>
          <w:spacing w:val="0"/>
          <w:w w:val="100"/>
          <w:position w:val="0"/>
        </w:rPr>
        <w:t>104,149,776</w:t>
      </w:r>
      <w:r>
        <w:rPr>
          <w:color w:val="000000"/>
          <w:spacing w:val="0"/>
          <w:w w:val="100"/>
          <w:position w:val="0"/>
        </w:rPr>
        <w:t>股，占公司总股本比例为</w:t>
      </w:r>
      <w:r>
        <w:rPr>
          <w:rFonts w:ascii="Times New Roman" w:eastAsia="Times New Roman" w:hAnsi="Times New Roman" w:cs="Times New Roman"/>
          <w:color w:val="000000"/>
          <w:spacing w:val="0"/>
          <w:w w:val="100"/>
          <w:position w:val="0"/>
        </w:rPr>
        <w:t>23.31%</w:t>
      </w:r>
      <w:r>
        <w:rPr>
          <w:color w:val="000000"/>
          <w:spacing w:val="0"/>
          <w:w w:val="100"/>
          <w:position w:val="0"/>
        </w:rPr>
        <w:t>。</w:t>
      </w:r>
    </w:p>
    <w:p>
      <w:pPr>
        <w:pStyle w:val="Style38"/>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、公司控股股东情况</w:t>
      </w:r>
      <w:bookmarkEnd w:id="479"/>
      <w:bookmarkEnd w:id="480"/>
      <w:bookmarkEnd w:id="48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鹰潭市鹰高投资咨询有限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913606005686551309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投资，企业管理咨询；营销 策划</w:t>
            </w: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8"/>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、公司实际控制人及其一致行动人</w:t>
      </w:r>
      <w:bookmarkEnd w:id="483"/>
      <w:bookmarkEnd w:id="484"/>
      <w:bookmarkEnd w:id="486"/>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任公司董事长</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r>
        <w:br w:type="page"/>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084320" cy="3889375"/>
            <wp:docPr id="290" name="Picutre 290"/>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75"/>
                    <a:stretch/>
                  </pic:blipFill>
                  <pic:spPr>
                    <a:xfrm>
                      <a:ext cx="4084320" cy="3889375"/>
                    </a:xfrm>
                    <a:prstGeom prst="rect"/>
                  </pic:spPr>
                </pic:pic>
              </a:graphicData>
            </a:graphic>
          </wp:inline>
        </w:drawing>
      </w:r>
    </w:p>
    <w:p>
      <w:pPr>
        <w:widowControl w:val="0"/>
        <w:spacing w:after="2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4</w:t>
      </w:r>
      <w:bookmarkEnd w:id="48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7"/>
      <w:bookmarkEnd w:id="488"/>
      <w:bookmarkEnd w:id="490"/>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5</w:t>
      </w:r>
      <w:bookmarkEnd w:id="493"/>
      <w:r>
        <w:rPr>
          <w:color w:val="000000"/>
          <w:spacing w:val="0"/>
          <w:w w:val="100"/>
          <w:position w:val="0"/>
        </w:rPr>
        <w:t>、</w:t>
        <w:tab/>
        <w:t>控股股东、实际控制人、重组方及其他承诺主体股份限制减持情况</w:t>
      </w:r>
      <w:bookmarkEnd w:id="491"/>
      <w:bookmarkEnd w:id="492"/>
      <w:bookmarkEnd w:id="494"/>
    </w:p>
    <w:p>
      <w:pPr>
        <w:pStyle w:val="Style34"/>
        <w:keepNext w:val="0"/>
        <w:keepLines w:val="0"/>
        <w:widowControl w:val="0"/>
        <w:shd w:val="clear" w:color="auto" w:fill="auto"/>
        <w:bidi w:val="0"/>
        <w:spacing w:before="0" w:after="340" w:line="240" w:lineRule="auto"/>
        <w:ind w:left="0" w:right="0" w:firstLine="0"/>
        <w:jc w:val="left"/>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378" w:right="1091" w:bottom="1436" w:left="104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94" behindDoc="0" locked="0" layoutInCell="1" allowOverlap="1">
                <wp:simplePos x="0" y="0"/>
                <wp:positionH relativeFrom="page">
                  <wp:posOffset>2680335</wp:posOffset>
                </wp:positionH>
                <wp:positionV relativeFrom="paragraph">
                  <wp:posOffset>0</wp:posOffset>
                </wp:positionV>
                <wp:extent cx="2170430" cy="247015"/>
                <wp:wrapTopAndBottom/>
                <wp:docPr id="309" name="Shape 309"/>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349" w:name="bookmark349"/>
                            <w:bookmarkStart w:id="350" w:name="bookmark350"/>
                            <w:bookmarkStart w:id="351" w:name="bookmark351"/>
                            <w:r>
                              <w:rPr>
                                <w:color w:val="000000"/>
                                <w:spacing w:val="0"/>
                                <w:w w:val="100"/>
                                <w:position w:val="0"/>
                              </w:rPr>
                              <w:t>第七节优先股相关情况</w:t>
                            </w:r>
                            <w:bookmarkEnd w:id="349"/>
                            <w:bookmarkEnd w:id="350"/>
                            <w:bookmarkEnd w:id="351"/>
                          </w:p>
                        </w:txbxContent>
                      </wps:txbx>
                      <wps:bodyPr wrap="none" lIns="0" tIns="0" rIns="0" bIns="0">
                        <a:noAutoFit/>
                      </wps:bodyPr>
                    </wps:wsp>
                  </a:graphicData>
                </a:graphic>
              </wp:anchor>
            </w:drawing>
          </mc:Choice>
          <mc:Fallback>
            <w:pict>
              <v:shape id="_x0000_s1335" type="#_x0000_t202" style="position:absolute;margin-left:211.05000000000001pt;margin-top:0;width:170.90000000000001pt;height:19.449999999999999pt;z-index:-125829359;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349" w:name="bookmark349"/>
                      <w:bookmarkStart w:id="350" w:name="bookmark350"/>
                      <w:bookmarkStart w:id="351" w:name="bookmark351"/>
                      <w:r>
                        <w:rPr>
                          <w:color w:val="000000"/>
                          <w:spacing w:val="0"/>
                          <w:w w:val="100"/>
                          <w:position w:val="0"/>
                        </w:rPr>
                        <w:t>第七节优先股相关情况</w:t>
                      </w:r>
                      <w:bookmarkEnd w:id="349"/>
                      <w:bookmarkEnd w:id="350"/>
                      <w:bookmarkEnd w:id="351"/>
                    </w:p>
                  </w:txbxContent>
                </v:textbox>
                <w10:wrap type="topAndBottom" anchorx="page"/>
              </v:shape>
            </w:pict>
          </mc:Fallback>
        </mc:AlternateContent>
      </w:r>
    </w:p>
    <w:p>
      <w:pPr>
        <w:pStyle w:val="Style34"/>
        <w:keepNext w:val="0"/>
        <w:keepLines w:val="0"/>
        <w:widowControl w:val="0"/>
        <w:shd w:val="clear" w:color="auto" w:fill="auto"/>
        <w:bidi w:val="0"/>
        <w:spacing w:before="0" w:after="120" w:line="240" w:lineRule="auto"/>
        <w:ind w:left="0" w:right="0" w:firstLine="0"/>
        <w:jc w:val="left"/>
      </w:pPr>
      <w:bookmarkStart w:id="495" w:name="bookmark49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495"/>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p>
    <w:p>
      <w:pPr>
        <w:pStyle w:val="Style13"/>
        <w:keepNext/>
        <w:keepLines/>
        <w:widowControl w:val="0"/>
        <w:shd w:val="clear" w:color="auto" w:fill="auto"/>
        <w:bidi w:val="0"/>
        <w:spacing w:before="0" w:after="560" w:line="240" w:lineRule="auto"/>
        <w:ind w:left="0" w:right="0" w:firstLine="0"/>
        <w:jc w:val="center"/>
      </w:pPr>
      <w:bookmarkStart w:id="496" w:name="bookmark496"/>
      <w:bookmarkStart w:id="497" w:name="bookmark497"/>
      <w:bookmarkStart w:id="498" w:name="bookmark498"/>
      <w:r>
        <w:rPr>
          <w:color w:val="000000"/>
          <w:spacing w:val="0"/>
          <w:w w:val="100"/>
          <w:position w:val="0"/>
        </w:rPr>
        <w:t>第八节可转换公司债券相关情况</w:t>
      </w:r>
      <w:bookmarkEnd w:id="496"/>
      <w:bookmarkEnd w:id="497"/>
      <w:bookmarkEnd w:id="498"/>
    </w:p>
    <w:p>
      <w:pPr>
        <w:pStyle w:val="Style34"/>
        <w:keepNext w:val="0"/>
        <w:keepLines w:val="0"/>
        <w:widowControl w:val="0"/>
        <w:shd w:val="clear" w:color="auto" w:fill="auto"/>
        <w:bidi w:val="0"/>
        <w:spacing w:before="0" w:after="120" w:line="240" w:lineRule="auto"/>
        <w:ind w:left="0" w:right="0" w:firstLine="0"/>
        <w:jc w:val="left"/>
      </w:pPr>
      <w:bookmarkStart w:id="499" w:name="bookmark499"/>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499"/>
    </w:p>
    <w:p>
      <w:pPr>
        <w:pStyle w:val="Style34"/>
        <w:keepNext w:val="0"/>
        <w:keepLines w:val="0"/>
        <w:widowControl w:val="0"/>
        <w:shd w:val="clear" w:color="auto" w:fill="auto"/>
        <w:bidi w:val="0"/>
        <w:spacing w:before="0" w:after="340" w:line="240" w:lineRule="auto"/>
        <w:ind w:left="0" w:right="0" w:firstLine="0"/>
        <w:jc w:val="left"/>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378" w:right="1091" w:bottom="1436" w:left="1041" w:header="0" w:footer="3" w:gutter="0"/>
          <w:cols w:space="720"/>
          <w:noEndnote/>
          <w:rtlGutter w:val="0"/>
          <w:docGrid w:linePitch="360"/>
        </w:sectPr>
      </w:pPr>
      <w:r>
        <w:rPr>
          <w:color w:val="000000"/>
          <w:spacing w:val="0"/>
          <w:w w:val="100"/>
          <w:position w:val="0"/>
        </w:rPr>
        <w:t>报告期公司不存在可转换公司债券。</w:t>
      </w:r>
    </w:p>
    <w:p>
      <w:pPr>
        <w:pStyle w:val="Style13"/>
        <w:keepNext/>
        <w:keepLines/>
        <w:widowControl w:val="0"/>
        <w:shd w:val="clear" w:color="auto" w:fill="auto"/>
        <w:bidi w:val="0"/>
        <w:spacing w:before="0" w:line="240" w:lineRule="auto"/>
        <w:ind w:left="0" w:right="0" w:firstLine="0"/>
        <w:jc w:val="center"/>
      </w:pPr>
      <w:bookmarkStart w:id="500" w:name="bookmark500"/>
      <w:bookmarkStart w:id="501" w:name="bookmark501"/>
      <w:bookmarkStart w:id="502" w:name="bookmark502"/>
      <w:r>
        <w:rPr>
          <w:color w:val="000000"/>
          <w:spacing w:val="0"/>
          <w:w w:val="100"/>
          <w:position w:val="0"/>
        </w:rPr>
        <w:t>第九节董事、监事、高级管理人员和员工情况</w:t>
      </w:r>
      <w:bookmarkEnd w:id="500"/>
      <w:bookmarkEnd w:id="501"/>
      <w:bookmarkEnd w:id="502"/>
    </w:p>
    <w:p>
      <w:pPr>
        <w:pStyle w:val="Style17"/>
        <w:keepNext/>
        <w:keepLines/>
        <w:widowControl w:val="0"/>
        <w:shd w:val="clear" w:color="auto" w:fill="auto"/>
        <w:bidi w:val="0"/>
        <w:spacing w:before="0" w:after="300" w:line="240" w:lineRule="auto"/>
        <w:ind w:left="0" w:right="0" w:firstLine="0"/>
        <w:jc w:val="left"/>
      </w:pPr>
      <w:bookmarkStart w:id="503" w:name="bookmark503"/>
      <w:bookmarkStart w:id="504" w:name="bookmark504"/>
      <w:bookmarkStart w:id="505" w:name="bookmark505"/>
      <w:bookmarkStart w:id="506" w:name="bookmark506"/>
      <w:bookmarkStart w:id="507" w:name="bookmark507"/>
      <w:r>
        <w:rPr>
          <w:color w:val="000000"/>
          <w:spacing w:val="0"/>
          <w:w w:val="100"/>
          <w:position w:val="0"/>
          <w:sz w:val="24"/>
          <w:szCs w:val="24"/>
        </w:rPr>
        <w:t>一</w:t>
      </w:r>
      <w:bookmarkEnd w:id="506"/>
      <w:r>
        <w:rPr>
          <w:color w:val="000000"/>
          <w:spacing w:val="0"/>
          <w:w w:val="100"/>
          <w:position w:val="0"/>
          <w:sz w:val="24"/>
          <w:szCs w:val="24"/>
        </w:rPr>
        <w:t>、董事、监事和高级管理人员持股变动</w:t>
      </w:r>
      <w:bookmarkEnd w:id="504"/>
      <w:bookmarkEnd w:id="505"/>
      <w:bookmarkEnd w:id="507"/>
      <w:bookmarkEnd w:id="503"/>
    </w:p>
    <w:tbl>
      <w:tblPr>
        <w:tblOverlap w:val="never"/>
        <w:jc w:val="center"/>
        <w:tblLayout w:type="fixed"/>
      </w:tblPr>
      <w:tblGrid>
        <w:gridCol w:w="806"/>
        <w:gridCol w:w="1186"/>
        <w:gridCol w:w="566"/>
        <w:gridCol w:w="427"/>
        <w:gridCol w:w="566"/>
        <w:gridCol w:w="1238"/>
        <w:gridCol w:w="1315"/>
        <w:gridCol w:w="566"/>
        <w:gridCol w:w="706"/>
        <w:gridCol w:w="605"/>
        <w:gridCol w:w="802"/>
        <w:gridCol w:w="806"/>
      </w:tblGrid>
      <w:tr>
        <w:trPr>
          <w:trHeight w:val="134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期初 持股 数</w:t>
            </w:r>
          </w:p>
          <w:p>
            <w:pPr>
              <w:pStyle w:val="Style9"/>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2014</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22</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2023</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2016</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01</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2023</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2017</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03</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29</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2023</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2017</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17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2023</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2017</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17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2023</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2018</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09</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14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2023</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11</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20</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2023</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2016</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12</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15</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2023</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2014</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2023</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2017</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17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2023</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2015</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09</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23</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2023</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沈远恒</w:t>
            </w:r>
            <w:r>
              <w:rPr>
                <w:rFonts w:ascii="Times New Roman" w:eastAsia="Times New Roman" w:hAnsi="Times New Roman" w:cs="Times New Roman"/>
                <w:color w:val="FF0000"/>
                <w:spacing w:val="0"/>
                <w:w w:val="100"/>
                <w:position w:val="0"/>
                <w:sz w:val="20"/>
                <w:szCs w:val="20"/>
                <w:vertAlign w:val="superscript"/>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2015</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12</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17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rPr>
              <w:t>2023</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05</w:t>
            </w:r>
            <w:r>
              <w:rPr>
                <w:color w:val="000000"/>
                <w:spacing w:val="0"/>
                <w:w w:val="100"/>
                <w:position w:val="0"/>
              </w:rPr>
              <w:t>月</w:t>
            </w:r>
            <w:r>
              <w:rPr>
                <w:rFonts w:ascii="Times New Roman" w:eastAsia="Times New Roman" w:hAnsi="Times New Roman" w:cs="Times New Roman"/>
                <w:color w:val="000000"/>
                <w:spacing w:val="0"/>
                <w:w w:val="100"/>
                <w:position w:val="0"/>
                <w:sz w:val="14"/>
                <w:szCs w:val="14"/>
              </w:rPr>
              <w:t>21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截至本报告出具日，沈远恒先生辞去公司职务，不再担任公司副总经理一职，具体内容可参考公司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 披露的相关公告。</w:t>
      </w:r>
    </w:p>
    <w:p>
      <w:pPr>
        <w:pStyle w:val="Style17"/>
        <w:keepNext/>
        <w:keepLines/>
        <w:widowControl w:val="0"/>
        <w:shd w:val="clear" w:color="auto" w:fill="auto"/>
        <w:bidi w:val="0"/>
        <w:spacing w:before="0" w:after="36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sz w:val="24"/>
          <w:szCs w:val="24"/>
        </w:rPr>
        <w:t>二</w:t>
      </w:r>
      <w:bookmarkEnd w:id="510"/>
      <w:r>
        <w:rPr>
          <w:color w:val="000000"/>
          <w:spacing w:val="0"/>
          <w:w w:val="100"/>
          <w:position w:val="0"/>
          <w:sz w:val="24"/>
          <w:szCs w:val="24"/>
        </w:rPr>
        <w:t>、公司董事、监事、高级管理人员变动情况</w:t>
      </w:r>
      <w:bookmarkEnd w:id="508"/>
      <w:bookmarkEnd w:id="509"/>
      <w:bookmarkEnd w:id="511"/>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0" w:after="36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三</w:t>
      </w:r>
      <w:bookmarkEnd w:id="514"/>
      <w:r>
        <w:rPr>
          <w:color w:val="000000"/>
          <w:spacing w:val="0"/>
          <w:w w:val="100"/>
          <w:position w:val="0"/>
          <w:sz w:val="24"/>
          <w:szCs w:val="24"/>
        </w:rPr>
        <w:t>、任职情况</w:t>
      </w:r>
      <w:bookmarkEnd w:id="512"/>
      <w:bookmarkEnd w:id="513"/>
      <w:bookmarkEnd w:id="515"/>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bidi w:val="0"/>
        <w:spacing w:before="0" w:after="0" w:line="240" w:lineRule="auto"/>
        <w:ind w:left="0" w:right="0" w:firstLine="360"/>
        <w:jc w:val="left"/>
      </w:pPr>
      <w:bookmarkStart w:id="516" w:name="bookmark516"/>
      <w:r>
        <w:rPr>
          <w:rFonts w:ascii="Times New Roman" w:eastAsia="Times New Roman" w:hAnsi="Times New Roman" w:cs="Times New Roman"/>
          <w:color w:val="000000"/>
          <w:spacing w:val="0"/>
          <w:w w:val="100"/>
          <w:position w:val="0"/>
        </w:rPr>
        <w:t>1</w:t>
      </w:r>
      <w:bookmarkEnd w:id="516"/>
      <w:r>
        <w:rPr>
          <w:color w:val="000000"/>
          <w:spacing w:val="0"/>
          <w:w w:val="100"/>
          <w:position w:val="0"/>
        </w:rPr>
        <w:t>、董事</w:t>
      </w:r>
    </w:p>
    <w:p>
      <w:pPr>
        <w:pStyle w:val="Style34"/>
        <w:keepNext w:val="0"/>
        <w:keepLines w:val="0"/>
        <w:widowControl w:val="0"/>
        <w:shd w:val="clear" w:color="auto" w:fill="auto"/>
        <w:bidi w:val="0"/>
        <w:spacing w:before="0" w:after="60" w:line="310" w:lineRule="exact"/>
        <w:ind w:left="0" w:right="0" w:firstLine="360"/>
        <w:jc w:val="both"/>
      </w:pPr>
      <w:r>
        <w:rPr>
          <w:color w:val="000000"/>
          <w:spacing w:val="0"/>
          <w:w w:val="100"/>
          <w:position w:val="0"/>
        </w:rPr>
        <w:t>于伟，董事长，</w:t>
      </w:r>
      <w:r>
        <w:rPr>
          <w:rFonts w:ascii="Times New Roman" w:eastAsia="Times New Roman" w:hAnsi="Times New Roman" w:cs="Times New Roman"/>
          <w:color w:val="000000"/>
          <w:spacing w:val="0"/>
          <w:w w:val="100"/>
          <w:position w:val="0"/>
        </w:rPr>
        <w:t>1958</w:t>
      </w:r>
      <w:r>
        <w:rPr>
          <w:color w:val="000000"/>
          <w:spacing w:val="0"/>
          <w:w w:val="100"/>
          <w:position w:val="0"/>
        </w:rPr>
        <w:t>年出生，中国国籍，无境外永久居留权，毕业于国际关系学院，获学士学位。工作期间历任中国瑞 宝开发公司项目经理、阿斯克（中国）软件技术有限公司总经理、西科姆（中国）有限公司总经理、深圳市高伟达投资有限 公司执行董事兼总经理、北京高伟达科技发展有限公司董事长、北京高伟达系统集成有限公司董事长兼总经理、高伟达控股 公司董事长，现任公司董事长。</w:t>
      </w:r>
    </w:p>
    <w:p>
      <w:pPr>
        <w:pStyle w:val="Style34"/>
        <w:keepNext w:val="0"/>
        <w:keepLines w:val="0"/>
        <w:widowControl w:val="0"/>
        <w:shd w:val="clear" w:color="auto" w:fill="auto"/>
        <w:bidi w:val="0"/>
        <w:spacing w:before="0" w:after="0" w:line="307" w:lineRule="exact"/>
        <w:ind w:left="0" w:right="0" w:firstLine="360"/>
        <w:jc w:val="both"/>
      </w:pPr>
      <w:r>
        <w:rPr>
          <w:color w:val="000000"/>
          <w:spacing w:val="0"/>
          <w:w w:val="100"/>
          <w:position w:val="0"/>
        </w:rPr>
        <w:t>程军，董事、总经理，</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年出生，中国国籍，无境外永久居留权，大专学历。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-1997</w:t>
      </w:r>
      <w:r>
        <w:rPr>
          <w:color w:val="000000"/>
          <w:spacing w:val="0"/>
          <w:w w:val="100"/>
          <w:position w:val="0"/>
        </w:rPr>
        <w:t>年，供职于联合饼干（中 国）武汉分公司财务部；</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-2006</w:t>
      </w:r>
      <w:r>
        <w:rPr>
          <w:color w:val="000000"/>
          <w:spacing w:val="0"/>
          <w:w w:val="100"/>
          <w:position w:val="0"/>
        </w:rPr>
        <w:t>年，担任北京高伟达科技发展有限公司武汉分公司总经理；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011</w:t>
      </w:r>
      <w:r>
        <w:rPr>
          <w:color w:val="000000"/>
          <w:spacing w:val="0"/>
          <w:w w:val="100"/>
          <w:position w:val="0"/>
        </w:rPr>
        <w:t xml:space="preserve">年，担任北京 </w:t>
      </w:r>
      <w:r>
        <w:rPr>
          <w:color w:val="000000"/>
          <w:spacing w:val="0"/>
          <w:w w:val="100"/>
          <w:position w:val="0"/>
        </w:rPr>
        <w:t>高伟达软件技术有限公司副总经理；</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月，担任高伟达软件股份有限公司副总经理，现任公司董事、总经理。</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王月，董事，</w:t>
      </w:r>
      <w:r>
        <w:rPr>
          <w:rFonts w:ascii="Times New Roman" w:eastAsia="Times New Roman" w:hAnsi="Times New Roman" w:cs="Times New Roman"/>
          <w:color w:val="000000"/>
          <w:spacing w:val="0"/>
          <w:w w:val="100"/>
          <w:position w:val="0"/>
        </w:rPr>
        <w:t>1970</w:t>
      </w:r>
      <w:r>
        <w:rPr>
          <w:color w:val="000000"/>
          <w:spacing w:val="0"/>
          <w:w w:val="100"/>
          <w:position w:val="0"/>
        </w:rPr>
        <w:t>年出生，加拿大国籍，研究生学历。工作期间历任平安集团风险管理部银行室经理，兼任平安银行风 险管理委员会工作秘书、平安银行</w:t>
      </w:r>
      <w:r>
        <w:rPr>
          <w:rFonts w:ascii="Times New Roman" w:eastAsia="Times New Roman" w:hAnsi="Times New Roman" w:cs="Times New Roman"/>
          <w:color w:val="000000"/>
          <w:spacing w:val="0"/>
          <w:w w:val="100"/>
          <w:position w:val="0"/>
        </w:rPr>
        <w:t>CRO</w:t>
      </w:r>
      <w:r>
        <w:rPr>
          <w:color w:val="000000"/>
          <w:spacing w:val="0"/>
          <w:w w:val="100"/>
          <w:position w:val="0"/>
        </w:rPr>
        <w:t>首席风险官办公室高级经理、国家开发银行东北信贷局资产组合分析员、中国投资 银行资金计划部行员。</w:t>
      </w:r>
      <w:r>
        <w:rPr>
          <w:rFonts w:ascii="Times New Roman" w:eastAsia="Times New Roman" w:hAnsi="Times New Roman" w:cs="Times New Roman"/>
          <w:color w:val="000000"/>
          <w:spacing w:val="0"/>
          <w:w w:val="100"/>
          <w:position w:val="0"/>
        </w:rPr>
        <w:t>2011</w:t>
      </w:r>
      <w:r>
        <w:rPr>
          <w:color w:val="000000"/>
          <w:spacing w:val="0"/>
          <w:w w:val="100"/>
          <w:position w:val="0"/>
        </w:rPr>
        <w:t>年加入高伟达公司，历任风险合规部副总监、研发中心副总经理，现任公司董事。</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钱英，</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年出生，中国国籍，中国政法大学毕业，研究生学历，工作期间历任北京国际关系学院从事教学工作。</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年加入北京五环律师事务所开始从事专职律师工作并为五环所执行合伙人，</w:t>
      </w:r>
      <w:r>
        <w:rPr>
          <w:rFonts w:ascii="Times New Roman" w:eastAsia="Times New Roman" w:hAnsi="Times New Roman" w:cs="Times New Roman"/>
          <w:color w:val="000000"/>
          <w:spacing w:val="0"/>
          <w:w w:val="100"/>
          <w:position w:val="0"/>
        </w:rPr>
        <w:t>2010</w:t>
      </w:r>
      <w:r>
        <w:rPr>
          <w:color w:val="000000"/>
          <w:spacing w:val="0"/>
          <w:w w:val="100"/>
          <w:position w:val="0"/>
        </w:rPr>
        <w:t>年至今为北京汉卓律师事务所律师 并为该所合伙人。现任公司独立董事。</w:t>
      </w:r>
    </w:p>
    <w:p>
      <w:pPr>
        <w:pStyle w:val="Style34"/>
        <w:keepNext w:val="0"/>
        <w:keepLines w:val="0"/>
        <w:widowControl w:val="0"/>
        <w:shd w:val="clear" w:color="auto" w:fill="auto"/>
        <w:bidi w:val="0"/>
        <w:spacing w:before="0" w:after="140" w:line="319" w:lineRule="exact"/>
        <w:ind w:left="0" w:right="0"/>
        <w:jc w:val="both"/>
      </w:pPr>
      <w:r>
        <w:rPr>
          <w:color w:val="000000"/>
          <w:spacing w:val="0"/>
          <w:w w:val="100"/>
          <w:position w:val="0"/>
        </w:rPr>
        <w:t>郑建明，</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年出生，中国国籍，中南财经大学毕业，博士，全国会计领军人才，中国</w:t>
      </w:r>
      <w:r>
        <w:rPr>
          <w:rFonts w:ascii="Times New Roman" w:eastAsia="Times New Roman" w:hAnsi="Times New Roman" w:cs="Times New Roman"/>
          <w:color w:val="000000"/>
          <w:spacing w:val="0"/>
          <w:w w:val="100"/>
          <w:position w:val="0"/>
        </w:rPr>
        <w:t>WTO</w:t>
      </w:r>
      <w:r>
        <w:rPr>
          <w:color w:val="000000"/>
          <w:spacing w:val="0"/>
          <w:w w:val="100"/>
          <w:position w:val="0"/>
        </w:rPr>
        <w:t>研究院特约研究员，中国 社会经济系统分析研究会理事，中国会计学会财务管理专业委员会委员，北京区域经济学会理事。</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至今，对外经济 贸易大学国际商学院教授、博导。现任公司独立董事。</w:t>
      </w:r>
    </w:p>
    <w:p>
      <w:pPr>
        <w:pStyle w:val="Style34"/>
        <w:keepNext w:val="0"/>
        <w:keepLines w:val="0"/>
        <w:widowControl w:val="0"/>
        <w:shd w:val="clear" w:color="auto" w:fill="auto"/>
        <w:tabs>
          <w:tab w:pos="674" w:val="left"/>
        </w:tabs>
        <w:bidi w:val="0"/>
        <w:spacing w:before="0" w:after="0"/>
        <w:ind w:left="0" w:right="0"/>
        <w:jc w:val="both"/>
      </w:pPr>
      <w:bookmarkStart w:id="517" w:name="bookmark517"/>
      <w:r>
        <w:rPr>
          <w:rFonts w:ascii="Times New Roman" w:eastAsia="Times New Roman" w:hAnsi="Times New Roman" w:cs="Times New Roman"/>
          <w:color w:val="000000"/>
          <w:spacing w:val="0"/>
          <w:w w:val="100"/>
          <w:position w:val="0"/>
        </w:rPr>
        <w:t>2</w:t>
      </w:r>
      <w:bookmarkEnd w:id="517"/>
      <w:r>
        <w:rPr>
          <w:color w:val="000000"/>
          <w:spacing w:val="0"/>
          <w:w w:val="100"/>
          <w:position w:val="0"/>
        </w:rPr>
        <w:t>、</w:t>
        <w:tab/>
        <w:t>监事</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汪挺，监事会主席，</w:t>
      </w:r>
      <w:r>
        <w:rPr>
          <w:rFonts w:ascii="Times New Roman" w:eastAsia="Times New Roman" w:hAnsi="Times New Roman" w:cs="Times New Roman"/>
          <w:color w:val="000000"/>
          <w:spacing w:val="0"/>
          <w:w w:val="100"/>
          <w:position w:val="0"/>
        </w:rPr>
        <w:t>1962</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月，担任中科院计算技术研究所助理工程 师、工程师，参与国内大型计算机的研发工作；</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月加入西科姆（中国）有限公司，曾担任软件事业部经 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月加入公司，历任公司副总经理、软件中心总经理、金融咨询服务中心总经理，现任深圳分公司总经理。现任 公司监事。</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孙颖，监事，</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年出生，中国国籍，无境外永久居留权，大专学历。工作期间历任阿斯克（中国）软件技术有限公 司财务部出纳；历任西科姆（中国）有限公司财务部出纳；历任北京高伟达系统集成有限公司财务部会计；历任北京高伟达 软件技术有限公司财务部主管、副经理，兼任监事；历任高伟达软件股份有限公司董事会秘书。现担任公司监事。</w:t>
      </w:r>
    </w:p>
    <w:p>
      <w:pPr>
        <w:pStyle w:val="Style34"/>
        <w:keepNext w:val="0"/>
        <w:keepLines w:val="0"/>
        <w:widowControl w:val="0"/>
        <w:shd w:val="clear" w:color="auto" w:fill="auto"/>
        <w:bidi w:val="0"/>
        <w:spacing w:before="0" w:after="140" w:line="312" w:lineRule="exact"/>
        <w:ind w:left="0" w:right="0"/>
        <w:jc w:val="both"/>
      </w:pPr>
      <w:r>
        <w:rPr>
          <w:color w:val="000000"/>
          <w:spacing w:val="0"/>
          <w:w w:val="100"/>
          <w:position w:val="0"/>
        </w:rPr>
        <w:t>熊桂生，职工代表监事，</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年出生，中国国籍，无境外永久居留权，学士学位。历任清华华康电力电子有限公司工程 师、研发部主管，北京南天信息工程有限公司高级项目经理，赛迪顾问股份有限公司金融咨询事业部外联经理，</w:t>
      </w:r>
      <w:r>
        <w:rPr>
          <w:rFonts w:ascii="Times New Roman" w:eastAsia="Times New Roman" w:hAnsi="Times New Roman" w:cs="Times New Roman"/>
          <w:color w:val="000000"/>
          <w:spacing w:val="0"/>
          <w:w w:val="100"/>
          <w:position w:val="0"/>
        </w:rPr>
        <w:t>NCS</w:t>
      </w:r>
      <w:r>
        <w:rPr>
          <w:color w:val="000000"/>
          <w:spacing w:val="0"/>
          <w:w w:val="100"/>
          <w:position w:val="0"/>
        </w:rPr>
        <w:t>宇博公 司咨询经理，万国华浩信息技术有限公司副总经理，宇博信诚信息技术有限公司售前经理、高伟达软件技术有限公司解决方 案中心总经理、金融咨询服务中心总经理，现任高伟达软件股份有限公司战略投资部总经理、公司监事。</w:t>
      </w:r>
    </w:p>
    <w:p>
      <w:pPr>
        <w:pStyle w:val="Style34"/>
        <w:keepNext w:val="0"/>
        <w:keepLines w:val="0"/>
        <w:widowControl w:val="0"/>
        <w:shd w:val="clear" w:color="auto" w:fill="auto"/>
        <w:tabs>
          <w:tab w:pos="674" w:val="left"/>
        </w:tabs>
        <w:bidi w:val="0"/>
        <w:spacing w:before="0" w:after="0"/>
        <w:ind w:left="0" w:right="0"/>
        <w:jc w:val="both"/>
      </w:pPr>
      <w:bookmarkStart w:id="518" w:name="bookmark518"/>
      <w:r>
        <w:rPr>
          <w:rFonts w:ascii="Times New Roman" w:eastAsia="Times New Roman" w:hAnsi="Times New Roman" w:cs="Times New Roman"/>
          <w:color w:val="000000"/>
          <w:spacing w:val="0"/>
          <w:w w:val="100"/>
          <w:position w:val="0"/>
        </w:rPr>
        <w:t>3</w:t>
      </w:r>
      <w:bookmarkEnd w:id="518"/>
      <w:r>
        <w:rPr>
          <w:color w:val="000000"/>
          <w:spacing w:val="0"/>
          <w:w w:val="100"/>
          <w:position w:val="0"/>
        </w:rPr>
        <w:t>、</w:t>
        <w:tab/>
        <w:t>高级管理人员</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李勇，副总经理，</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年出生，中国国籍，无境外永久居留权，毕业于山东大学，获学士学位。工作期间历任山东中创 软件工程股份有限公司工程师、部门经理及副总工程师、中钞信用卡信息产业发展有限公司研发中心经理及</w:t>
      </w:r>
      <w:r>
        <w:rPr>
          <w:rFonts w:ascii="Times New Roman" w:eastAsia="Times New Roman" w:hAnsi="Times New Roman" w:cs="Times New Roman"/>
          <w:color w:val="000000"/>
          <w:spacing w:val="0"/>
          <w:w w:val="100"/>
          <w:position w:val="0"/>
        </w:rPr>
        <w:t>IC</w:t>
      </w:r>
      <w:r>
        <w:rPr>
          <w:color w:val="000000"/>
          <w:spacing w:val="0"/>
          <w:w w:val="100"/>
          <w:position w:val="0"/>
        </w:rPr>
        <w:t>卡事业部总工 程师、北京高伟达软件技术有限公司副总经理，现任公司副总经理。</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沈远恒，</w:t>
      </w:r>
      <w:r>
        <w:rPr>
          <w:rFonts w:ascii="Times New Roman" w:eastAsia="Times New Roman" w:hAnsi="Times New Roman" w:cs="Times New Roman"/>
          <w:color w:val="000000"/>
          <w:spacing w:val="0"/>
          <w:w w:val="100"/>
          <w:position w:val="0"/>
        </w:rPr>
        <w:t>1963</w:t>
      </w:r>
      <w:r>
        <w:rPr>
          <w:color w:val="000000"/>
          <w:spacing w:val="0"/>
          <w:w w:val="100"/>
          <w:position w:val="0"/>
        </w:rPr>
        <w:t>年出生，中国台湾籍及美国国籍，毕业于美国伊利诺理工学院以及美国堪萨斯州立大学，分别获得金融工 程硕士学位以及土木工程硕士学位。</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-1997</w:t>
      </w:r>
      <w:r>
        <w:rPr>
          <w:color w:val="000000"/>
          <w:spacing w:val="0"/>
          <w:w w:val="100"/>
          <w:position w:val="0"/>
        </w:rPr>
        <w:t>年担任美国</w:t>
      </w:r>
      <w:r>
        <w:rPr>
          <w:rFonts w:ascii="Times New Roman" w:eastAsia="Times New Roman" w:hAnsi="Times New Roman" w:cs="Times New Roman"/>
          <w:color w:val="000000"/>
          <w:spacing w:val="0"/>
          <w:w w:val="100"/>
          <w:position w:val="0"/>
        </w:rPr>
        <w:t>HNTB</w:t>
      </w:r>
      <w:r>
        <w:rPr>
          <w:color w:val="000000"/>
          <w:spacing w:val="0"/>
          <w:w w:val="100"/>
          <w:position w:val="0"/>
        </w:rPr>
        <w:t>工程顾问公司结构设计工程师；</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w:t>
      </w:r>
      <w:r>
        <w:rPr>
          <w:color w:val="000000"/>
          <w:spacing w:val="0"/>
          <w:w w:val="100"/>
          <w:position w:val="0"/>
        </w:rPr>
        <w:t>年，担任摩 根大通集团（美国）全球资本市场部量化投资策略固定收益部负责人；</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006</w:t>
      </w:r>
      <w:r>
        <w:rPr>
          <w:color w:val="000000"/>
          <w:spacing w:val="0"/>
          <w:w w:val="100"/>
          <w:position w:val="0"/>
        </w:rPr>
        <w:t>年，担任芝加哥期权交易所</w:t>
      </w:r>
      <w:r>
        <w:rPr>
          <w:rFonts w:ascii="Times New Roman" w:eastAsia="Times New Roman" w:hAnsi="Times New Roman" w:cs="Times New Roman"/>
          <w:color w:val="000000"/>
          <w:spacing w:val="0"/>
          <w:w w:val="100"/>
          <w:position w:val="0"/>
        </w:rPr>
        <w:t>（CBOE）</w:t>
      </w:r>
      <w:r>
        <w:rPr>
          <w:color w:val="000000"/>
          <w:spacing w:val="0"/>
          <w:w w:val="100"/>
          <w:position w:val="0"/>
        </w:rPr>
        <w:t>、芝 加哥商品期货交易所</w:t>
      </w:r>
      <w:r>
        <w:rPr>
          <w:rFonts w:ascii="Times New Roman" w:eastAsia="Times New Roman" w:hAnsi="Times New Roman" w:cs="Times New Roman"/>
          <w:color w:val="000000"/>
          <w:spacing w:val="0"/>
          <w:w w:val="100"/>
          <w:position w:val="0"/>
        </w:rPr>
        <w:t xml:space="preserve">（CBOT </w:t>
      </w:r>
      <w:r>
        <w:rPr>
          <w:rFonts w:ascii="Times New Roman" w:eastAsia="Times New Roman" w:hAnsi="Times New Roman" w:cs="Times New Roman"/>
          <w:color w:val="000000"/>
          <w:spacing w:val="0"/>
          <w:w w:val="100"/>
          <w:position w:val="0"/>
        </w:rPr>
        <w:t>）</w:t>
      </w:r>
      <w:r>
        <w:rPr>
          <w:color w:val="000000"/>
          <w:spacing w:val="0"/>
          <w:w w:val="100"/>
          <w:position w:val="0"/>
        </w:rPr>
        <w:t>资深量化交易风险管理负责人；</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009</w:t>
      </w:r>
      <w:r>
        <w:rPr>
          <w:color w:val="000000"/>
          <w:spacing w:val="0"/>
          <w:w w:val="100"/>
          <w:position w:val="0"/>
        </w:rPr>
        <w:t>年，担任美国第二大团体人寿险集团</w:t>
      </w:r>
      <w:r>
        <w:rPr>
          <w:rFonts w:ascii="Times New Roman" w:eastAsia="Times New Roman" w:hAnsi="Times New Roman" w:cs="Times New Roman"/>
          <w:color w:val="000000"/>
          <w:spacing w:val="0"/>
          <w:w w:val="100"/>
          <w:position w:val="0"/>
        </w:rPr>
        <w:t xml:space="preserve">（UNUM Group） </w:t>
      </w:r>
      <w:r>
        <w:rPr>
          <w:color w:val="000000"/>
          <w:spacing w:val="0"/>
          <w:w w:val="100"/>
          <w:position w:val="0"/>
        </w:rPr>
        <w:t>量化投资组合管理副总裁；</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011</w:t>
      </w:r>
      <w:r>
        <w:rPr>
          <w:color w:val="000000"/>
          <w:spacing w:val="0"/>
          <w:w w:val="100"/>
          <w:position w:val="0"/>
        </w:rPr>
        <w:t>年，担任中国平安保险（集团）集团风险管理部总经理；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年，担任高伟 达软件股份有限公司风险管理部总经理；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015</w:t>
      </w:r>
      <w:r>
        <w:rPr>
          <w:color w:val="000000"/>
          <w:spacing w:val="0"/>
          <w:w w:val="100"/>
          <w:position w:val="0"/>
        </w:rPr>
        <w:t>年，担任先锋产业金融集团首席执行官；</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月，担任高 伟达软件股份有限公司战略发展部总经理、副总经理。</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张文隽，</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年出生，中国国籍，本科学历。工作期间历任北京东南鼎盛科技公司高级工程师、北京和勤技术有限公司 移动增值业务部技术总监、神州数码融信软件有限公司项目总监、塔塔（中国）信息技术有限公司金融部门项目总监。</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年加入高伟达公司，现任高伟达软件股份有限公司任建信事业部总经理、公司副总经理。</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高源，副总经理、财务总监、董事会秘书，</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年，就读于兰 州大学新闻系，获得学士学位。</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年就读于比利时</w:t>
      </w:r>
      <w:r>
        <w:rPr>
          <w:rFonts w:ascii="Times New Roman" w:eastAsia="Times New Roman" w:hAnsi="Times New Roman" w:cs="Times New Roman"/>
          <w:color w:val="000000"/>
          <w:spacing w:val="0"/>
          <w:w w:val="100"/>
          <w:position w:val="0"/>
        </w:rPr>
        <w:t>EHSAL</w:t>
      </w:r>
      <w:r>
        <w:rPr>
          <w:color w:val="000000"/>
          <w:spacing w:val="0"/>
          <w:w w:val="100"/>
          <w:position w:val="0"/>
        </w:rPr>
        <w:t>大学商业管理专业，获得硕士学位。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月，在中国雨润食品集团股份有限公司投资者关系部，任投资者关系主任。</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月，在慈铭健康体检管 理集团股份有限公司，任证券事务代表。</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月，在博彦科技股份有限公司任证券事务与投融资总监</w:t>
      </w:r>
      <w:r>
        <w:rPr>
          <w:color w:val="000000"/>
          <w:spacing w:val="0"/>
          <w:w w:val="100"/>
          <w:position w:val="0"/>
        </w:rPr>
        <w:t xml:space="preserve">o </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月，在东易日盛家居装饰集团股份有限公司任副总经理、董事会秘书</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月至今，在高伟达软件股份 有限公司任副总经理、董事会秘书、财务总监。</w:t>
      </w:r>
    </w:p>
    <w:p>
      <w:pPr>
        <w:pStyle w:val="Style34"/>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在股东单位任职情况</w:t>
      </w:r>
      <w:r>
        <w:br w:type="page"/>
      </w:r>
    </w:p>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2770"/>
        <w:gridCol w:w="1483"/>
        <w:gridCol w:w="1493"/>
        <w:gridCol w:w="1277"/>
        <w:gridCol w:w="1354"/>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鹰潭市鹰高投资咨询有限公司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执行董事，总经理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2909"/>
        <w:gridCol w:w="994"/>
        <w:gridCol w:w="1546"/>
        <w:gridCol w:w="1574"/>
        <w:gridCol w:w="1354"/>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北京金锋实验室科技有限公司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中国人民人寿保险股份有限公司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北京电旗通讯技术股份有限公司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中邮证券有限责任公司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北京格意网络科技有限公司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保定高伟达科技发展有限公司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保泰实业发展（深圳）有限公司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深圳市易保网通科技有限公司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0" w:after="24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四</w:t>
      </w:r>
      <w:bookmarkEnd w:id="521"/>
      <w:r>
        <w:rPr>
          <w:color w:val="000000"/>
          <w:spacing w:val="0"/>
          <w:w w:val="100"/>
          <w:position w:val="0"/>
          <w:sz w:val="24"/>
          <w:szCs w:val="24"/>
        </w:rPr>
        <w:t>、董事、监事、高级管理人员报酬情况</w:t>
      </w:r>
      <w:bookmarkEnd w:id="519"/>
      <w:bookmarkEnd w:id="520"/>
      <w:bookmarkEnd w:id="522"/>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bidi w:val="0"/>
        <w:spacing w:before="0" w:after="340" w:line="322" w:lineRule="exact"/>
        <w:ind w:left="0" w:right="0" w:firstLine="360"/>
        <w:jc w:val="left"/>
      </w:pPr>
      <w:r>
        <w:rPr>
          <w:color w:val="000000"/>
          <w:spacing w:val="0"/>
          <w:w w:val="100"/>
          <w:position w:val="0"/>
        </w:rPr>
        <w:t>董事、监事、高级管理人员报酬根据公司《高伟达软件股份有限公司薪酬与考核委员会议事规则》确定，由董事会薪酬 与考核委员会组织并考核。</w:t>
      </w:r>
    </w:p>
    <w:p>
      <w:pPr>
        <w:pStyle w:val="Style34"/>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公司报告期内董事、监事和高级管理人员报酬情况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2318"/>
        <w:gridCol w:w="989"/>
        <w:gridCol w:w="792"/>
        <w:gridCol w:w="1368"/>
        <w:gridCol w:w="1368"/>
        <w:gridCol w:w="1378"/>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8"/>
        <w:gridCol w:w="2318"/>
        <w:gridCol w:w="989"/>
        <w:gridCol w:w="792"/>
        <w:gridCol w:w="1368"/>
        <w:gridCol w:w="1368"/>
        <w:gridCol w:w="1378"/>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沈远恒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副总经理；财务总监；董秘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熊桂生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798.16</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0" w:after="36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五</w:t>
      </w:r>
      <w:bookmarkEnd w:id="525"/>
      <w:r>
        <w:rPr>
          <w:color w:val="000000"/>
          <w:spacing w:val="0"/>
          <w:w w:val="100"/>
          <w:position w:val="0"/>
          <w:sz w:val="24"/>
          <w:szCs w:val="24"/>
        </w:rPr>
        <w:t>、公司员工情况</w:t>
      </w:r>
      <w:bookmarkEnd w:id="523"/>
      <w:bookmarkEnd w:id="524"/>
      <w:bookmarkEnd w:id="526"/>
    </w:p>
    <w:p>
      <w:pPr>
        <w:pStyle w:val="Style38"/>
        <w:keepNext/>
        <w:keepLines/>
        <w:widowControl w:val="0"/>
        <w:shd w:val="clear" w:color="auto" w:fill="auto"/>
        <w:bidi w:val="0"/>
        <w:spacing w:before="0" w:after="30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、员工数量、专业构成及教育程度</w:t>
      </w:r>
      <w:bookmarkEnd w:id="527"/>
      <w:bookmarkEnd w:id="528"/>
      <w:bookmarkEnd w:id="53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1,536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2,097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3,633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3,633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68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3,286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78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3,633</w:t>
            </w:r>
          </w:p>
        </w:tc>
      </w:tr>
      <w:tr>
        <w:trPr>
          <w:trHeight w:val="403" w:hRule="exact"/>
        </w:trPr>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本科及以上学历</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2,762</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高中及以下学历</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36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3,633</w:t>
            </w:r>
          </w:p>
        </w:tc>
      </w:tr>
    </w:tbl>
    <w:p>
      <w:pPr>
        <w:pStyle w:val="Style38"/>
        <w:keepNext/>
        <w:keepLines/>
        <w:widowControl w:val="0"/>
        <w:shd w:val="clear" w:color="auto" w:fill="auto"/>
        <w:tabs>
          <w:tab w:pos="375" w:val="left"/>
        </w:tabs>
        <w:bidi w:val="0"/>
        <w:spacing w:before="0" w:after="280" w:line="240" w:lineRule="auto"/>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w:t>
        <w:tab/>
        <w:t>薪酬政策</w:t>
      </w:r>
      <w:bookmarkEnd w:id="531"/>
      <w:bookmarkEnd w:id="532"/>
      <w:bookmarkEnd w:id="534"/>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公司员工薪酬政策力求体现工资管理的激励性、竞争性和公平性，把个人业绩和团队业绩有效结合起来，共同分享企业 发展所带来的机遇，促进员工价值观念的凝合，形成留住人才和吸引人才的机制，最终推进公司发展战略的实现。公司薪酬 政策分为年薪制、月薪制，并通过绩效考核将员工工作目标与企业战略目标以及个人绩效结合，激发员工的积极性。</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报告期内，营业成本中职工薪酬总额为</w:t>
      </w:r>
      <w:r>
        <w:rPr>
          <w:rFonts w:ascii="Times New Roman" w:eastAsia="Times New Roman" w:hAnsi="Times New Roman" w:cs="Times New Roman"/>
          <w:color w:val="000000"/>
          <w:spacing w:val="0"/>
          <w:w w:val="100"/>
          <w:position w:val="0"/>
        </w:rPr>
        <w:t>34,906.04</w:t>
      </w:r>
      <w:r>
        <w:rPr>
          <w:color w:val="000000"/>
          <w:spacing w:val="0"/>
          <w:w w:val="100"/>
          <w:position w:val="0"/>
        </w:rPr>
        <w:t>万元，占公司营业成本的</w:t>
      </w:r>
      <w:r>
        <w:rPr>
          <w:rFonts w:ascii="Times New Roman" w:eastAsia="Times New Roman" w:hAnsi="Times New Roman" w:cs="Times New Roman"/>
          <w:color w:val="000000"/>
          <w:spacing w:val="0"/>
          <w:w w:val="100"/>
          <w:position w:val="0"/>
        </w:rPr>
        <w:t>22.78%</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日，公司核心技 术人员为</w:t>
      </w:r>
      <w:r>
        <w:rPr>
          <w:rFonts w:ascii="Times New Roman" w:eastAsia="Times New Roman" w:hAnsi="Times New Roman" w:cs="Times New Roman"/>
          <w:color w:val="000000"/>
          <w:spacing w:val="0"/>
          <w:w w:val="100"/>
          <w:position w:val="0"/>
        </w:rPr>
        <w:t>4</w:t>
      </w:r>
      <w:r>
        <w:rPr>
          <w:color w:val="000000"/>
          <w:spacing w:val="0"/>
          <w:w w:val="100"/>
          <w:position w:val="0"/>
        </w:rPr>
        <w:t>人，占全体员工人数的</w:t>
      </w:r>
      <w:r>
        <w:rPr>
          <w:rFonts w:ascii="Times New Roman" w:eastAsia="Times New Roman" w:hAnsi="Times New Roman" w:cs="Times New Roman"/>
          <w:color w:val="000000"/>
          <w:spacing w:val="0"/>
          <w:w w:val="100"/>
          <w:position w:val="0"/>
        </w:rPr>
        <w:t>0.11%</w:t>
      </w:r>
      <w:r>
        <w:rPr>
          <w:color w:val="000000"/>
          <w:spacing w:val="0"/>
          <w:w w:val="100"/>
          <w:position w:val="0"/>
        </w:rPr>
        <w:t>，上年同期核心技术人员为</w:t>
      </w:r>
      <w:r>
        <w:rPr>
          <w:rFonts w:ascii="Times New Roman" w:eastAsia="Times New Roman" w:hAnsi="Times New Roman" w:cs="Times New Roman"/>
          <w:color w:val="000000"/>
          <w:spacing w:val="0"/>
          <w:w w:val="100"/>
          <w:position w:val="0"/>
        </w:rPr>
        <w:t>5</w:t>
      </w:r>
      <w:r>
        <w:rPr>
          <w:color w:val="000000"/>
          <w:spacing w:val="0"/>
          <w:w w:val="100"/>
          <w:position w:val="0"/>
        </w:rPr>
        <w:t>人，占全体员工人数的</w:t>
      </w:r>
      <w:r>
        <w:rPr>
          <w:rFonts w:ascii="Times New Roman" w:eastAsia="Times New Roman" w:hAnsi="Times New Roman" w:cs="Times New Roman"/>
          <w:color w:val="000000"/>
          <w:spacing w:val="0"/>
          <w:w w:val="100"/>
          <w:position w:val="0"/>
        </w:rPr>
        <w:t>0.16%</w:t>
      </w:r>
      <w:r>
        <w:rPr>
          <w:color w:val="000000"/>
          <w:spacing w:val="0"/>
          <w:w w:val="100"/>
          <w:position w:val="0"/>
        </w:rPr>
        <w:t>；截至报告期末，核心技 术人员薪酬占全体员工薪酬的</w:t>
      </w:r>
      <w:r>
        <w:rPr>
          <w:rFonts w:ascii="Times New Roman" w:eastAsia="Times New Roman" w:hAnsi="Times New Roman" w:cs="Times New Roman"/>
          <w:color w:val="000000"/>
          <w:spacing w:val="0"/>
          <w:w w:val="100"/>
          <w:position w:val="0"/>
        </w:rPr>
        <w:t>0.87%</w:t>
      </w:r>
      <w:r>
        <w:rPr>
          <w:color w:val="000000"/>
          <w:spacing w:val="0"/>
          <w:w w:val="100"/>
          <w:position w:val="0"/>
        </w:rPr>
        <w:t>,上年同期为</w:t>
      </w:r>
      <w:r>
        <w:rPr>
          <w:rFonts w:ascii="Times New Roman" w:eastAsia="Times New Roman" w:hAnsi="Times New Roman" w:cs="Times New Roman"/>
          <w:color w:val="000000"/>
          <w:spacing w:val="0"/>
          <w:w w:val="100"/>
          <w:position w:val="0"/>
        </w:rPr>
        <w:t>0.46%</w:t>
      </w:r>
      <w:r>
        <w:rPr>
          <w:color w:val="000000"/>
          <w:spacing w:val="0"/>
          <w:w w:val="100"/>
          <w:position w:val="0"/>
        </w:rPr>
        <w:t>。</w:t>
      </w:r>
    </w:p>
    <w:p>
      <w:pPr>
        <w:pStyle w:val="Style38"/>
        <w:keepNext/>
        <w:keepLines/>
        <w:widowControl w:val="0"/>
        <w:shd w:val="clear" w:color="auto" w:fill="auto"/>
        <w:tabs>
          <w:tab w:pos="375" w:val="left"/>
        </w:tabs>
        <w:bidi w:val="0"/>
        <w:spacing w:before="0" w:after="28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3</w:t>
      </w:r>
      <w:bookmarkEnd w:id="537"/>
      <w:r>
        <w:rPr>
          <w:color w:val="000000"/>
          <w:spacing w:val="0"/>
          <w:w w:val="100"/>
          <w:position w:val="0"/>
        </w:rPr>
        <w:t>、</w:t>
        <w:tab/>
        <w:t>培训计划</w:t>
      </w:r>
      <w:bookmarkEnd w:id="535"/>
      <w:bookmarkEnd w:id="536"/>
      <w:bookmarkEnd w:id="538"/>
    </w:p>
    <w:p>
      <w:pPr>
        <w:pStyle w:val="Style34"/>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年组织实施员工培训，严格按照培训流程。</w:t>
      </w:r>
      <w:r>
        <w:rPr>
          <w:rFonts w:ascii="Times New Roman" w:eastAsia="Times New Roman" w:hAnsi="Times New Roman" w:cs="Times New Roman"/>
          <w:color w:val="000000"/>
          <w:spacing w:val="0"/>
          <w:w w:val="100"/>
          <w:position w:val="0"/>
        </w:rPr>
        <w:t>2021</w:t>
      </w:r>
      <w:r>
        <w:rPr>
          <w:color w:val="000000"/>
          <w:spacing w:val="0"/>
          <w:w w:val="100"/>
          <w:position w:val="0"/>
        </w:rPr>
        <w:t>年，将不断精细化完善培训管理制度，不断加强执行力的提高，不断吸 收对培训有益的良好思想积极采纳并持续改进，与此同时，加强培训相关人员的密切联系，以达到促进培训工作高效开展、 有效落地的目的。</w:t>
      </w:r>
    </w:p>
    <w:p>
      <w:pPr>
        <w:pStyle w:val="Style38"/>
        <w:keepNext/>
        <w:keepLines/>
        <w:widowControl w:val="0"/>
        <w:shd w:val="clear" w:color="auto" w:fill="auto"/>
        <w:tabs>
          <w:tab w:pos="375" w:val="left"/>
        </w:tabs>
        <w:bidi w:val="0"/>
        <w:spacing w:before="0" w:after="280" w:line="240" w:lineRule="auto"/>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w:t>
        <w:tab/>
        <w:t>劳务外包情况</w:t>
      </w:r>
      <w:bookmarkEnd w:id="539"/>
      <w:bookmarkEnd w:id="540"/>
      <w:bookmarkEnd w:id="542"/>
    </w:p>
    <w:p>
      <w:pPr>
        <w:pStyle w:val="Style34"/>
        <w:keepNext w:val="0"/>
        <w:keepLines w:val="0"/>
        <w:widowControl w:val="0"/>
        <w:shd w:val="clear" w:color="auto" w:fill="auto"/>
        <w:bidi w:val="0"/>
        <w:spacing w:before="0" w:after="32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
        <w:keepNext/>
        <w:keepLines/>
        <w:widowControl w:val="0"/>
        <w:shd w:val="clear" w:color="auto" w:fill="auto"/>
        <w:bidi w:val="0"/>
        <w:spacing w:before="0" w:after="560" w:line="240" w:lineRule="auto"/>
        <w:ind w:left="0" w:right="0" w:firstLine="0"/>
        <w:jc w:val="center"/>
      </w:pPr>
      <w:bookmarkStart w:id="543" w:name="bookmark543"/>
      <w:bookmarkStart w:id="544" w:name="bookmark544"/>
      <w:bookmarkStart w:id="545" w:name="bookmark545"/>
      <w:r>
        <w:rPr>
          <w:color w:val="000000"/>
          <w:spacing w:val="0"/>
          <w:w w:val="100"/>
          <w:position w:val="0"/>
        </w:rPr>
        <w:t>第十节公司治理</w:t>
      </w:r>
      <w:bookmarkEnd w:id="543"/>
      <w:bookmarkEnd w:id="544"/>
      <w:bookmarkEnd w:id="545"/>
    </w:p>
    <w:p>
      <w:pPr>
        <w:pStyle w:val="Style17"/>
        <w:keepNext/>
        <w:keepLines/>
        <w:widowControl w:val="0"/>
        <w:shd w:val="clear" w:color="auto" w:fill="auto"/>
        <w:tabs>
          <w:tab w:pos="517" w:val="left"/>
        </w:tabs>
        <w:bidi w:val="0"/>
        <w:spacing w:before="0" w:after="260" w:line="240" w:lineRule="auto"/>
        <w:ind w:left="0" w:right="0" w:firstLine="0"/>
        <w:jc w:val="left"/>
      </w:pPr>
      <w:bookmarkStart w:id="546" w:name="bookmark546"/>
      <w:bookmarkStart w:id="547" w:name="bookmark547"/>
      <w:bookmarkStart w:id="548" w:name="bookmark548"/>
      <w:bookmarkStart w:id="549" w:name="bookmark549"/>
      <w:bookmarkStart w:id="550" w:name="bookmark550"/>
      <w:r>
        <w:rPr>
          <w:color w:val="000000"/>
          <w:spacing w:val="0"/>
          <w:w w:val="100"/>
          <w:position w:val="0"/>
          <w:sz w:val="24"/>
          <w:szCs w:val="24"/>
        </w:rPr>
        <w:t>一</w:t>
      </w:r>
      <w:bookmarkEnd w:id="549"/>
      <w:r>
        <w:rPr>
          <w:color w:val="000000"/>
          <w:spacing w:val="0"/>
          <w:w w:val="100"/>
          <w:position w:val="0"/>
          <w:sz w:val="24"/>
          <w:szCs w:val="24"/>
        </w:rPr>
        <w:t>、</w:t>
        <w:tab/>
        <w:t>公司治理的基本状况</w:t>
      </w:r>
      <w:bookmarkEnd w:id="547"/>
      <w:bookmarkEnd w:id="548"/>
      <w:bookmarkEnd w:id="550"/>
      <w:bookmarkEnd w:id="546"/>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报告期内，公司根据《公司法》、《证券法》、《上市公司治理准则》、《深圳证券交易所创业板股票上市规则》、《深 圳证券交易所创业板上市公司规范运作指引》等法律法规的要求，结合公司实际情况建立、健全和完善了《公司章程》和各 项内部控制制度，发挥了董事会及下属专门委员会的职能和作用，完善提高了董事会的职能和专业化程度，有效保障了董事 会决策的科学性和合规性，不断完善公司法人治理结构和内控体系，进一步规范公司运作，提高公司治理水平。截至报告期 末，本公司治理实际情况基本符合中国证监会发布的有关上市公司治理的规范性文件的要求。</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公司严格按照有关法律法规以及《信息披露管理办法》、《投资者关系管理制度》等，真实、准确、及时、公平、完整 地披露有关信息。</w:t>
      </w:r>
    </w:p>
    <w:p>
      <w:pPr>
        <w:pStyle w:val="Style34"/>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年公司未受到中国证监会、深圳证券交易所就公司内控存在问题的处分，今后公司将进一步优化和完善公司的内控 制度。</w:t>
      </w:r>
    </w:p>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组织建设。</w:t>
      </w:r>
    </w:p>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17"/>
        <w:keepNext/>
        <w:keepLines/>
        <w:widowControl w:val="0"/>
        <w:shd w:val="clear" w:color="auto" w:fill="auto"/>
        <w:tabs>
          <w:tab w:pos="517" w:val="left"/>
        </w:tabs>
        <w:bidi w:val="0"/>
        <w:spacing w:before="0" w:after="26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二</w:t>
      </w:r>
      <w:bookmarkEnd w:id="553"/>
      <w:r>
        <w:rPr>
          <w:color w:val="000000"/>
          <w:spacing w:val="0"/>
          <w:w w:val="100"/>
          <w:position w:val="0"/>
          <w:sz w:val="24"/>
          <w:szCs w:val="24"/>
        </w:rPr>
        <w:t>、</w:t>
        <w:tab/>
        <w:t>公司相对于控股股东在业务、人员、资产、机构、财务等方面的独立情况</w:t>
      </w:r>
      <w:bookmarkEnd w:id="551"/>
      <w:bookmarkEnd w:id="552"/>
      <w:bookmarkEnd w:id="554"/>
    </w:p>
    <w:p>
      <w:pPr>
        <w:pStyle w:val="Style34"/>
        <w:keepNext w:val="0"/>
        <w:keepLines w:val="0"/>
        <w:widowControl w:val="0"/>
        <w:shd w:val="clear" w:color="auto" w:fill="auto"/>
        <w:bidi w:val="0"/>
        <w:spacing w:before="0" w:after="340" w:line="319" w:lineRule="exact"/>
        <w:ind w:left="0" w:right="0"/>
        <w:jc w:val="left"/>
      </w:pPr>
      <w:r>
        <w:rPr>
          <w:color w:val="000000"/>
          <w:spacing w:val="0"/>
          <w:w w:val="100"/>
          <w:position w:val="0"/>
        </w:rPr>
        <w:t>公司相对于控股股东在业务、人员、资产、机构、财务等方面保持独立。</w:t>
      </w:r>
    </w:p>
    <w:p>
      <w:pPr>
        <w:pStyle w:val="Style17"/>
        <w:keepNext/>
        <w:keepLines/>
        <w:widowControl w:val="0"/>
        <w:shd w:val="clear" w:color="auto" w:fill="auto"/>
        <w:tabs>
          <w:tab w:pos="522" w:val="left"/>
        </w:tabs>
        <w:bidi w:val="0"/>
        <w:spacing w:before="0" w:after="34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sz w:val="24"/>
          <w:szCs w:val="24"/>
        </w:rPr>
        <w:t>三</w:t>
      </w:r>
      <w:bookmarkEnd w:id="557"/>
      <w:r>
        <w:rPr>
          <w:color w:val="000000"/>
          <w:spacing w:val="0"/>
          <w:w w:val="100"/>
          <w:position w:val="0"/>
          <w:sz w:val="24"/>
          <w:szCs w:val="24"/>
        </w:rPr>
        <w:t>、</w:t>
        <w:tab/>
        <w:t>同业竞争情况</w:t>
      </w:r>
      <w:bookmarkEnd w:id="555"/>
      <w:bookmarkEnd w:id="556"/>
      <w:bookmarkEnd w:id="558"/>
    </w:p>
    <w:p>
      <w:pPr>
        <w:pStyle w:val="Style34"/>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tabs>
          <w:tab w:pos="522" w:val="left"/>
        </w:tabs>
        <w:bidi w:val="0"/>
        <w:spacing w:before="0" w:after="340" w:line="240" w:lineRule="auto"/>
        <w:ind w:left="0" w:right="0" w:firstLine="0"/>
        <w:jc w:val="both"/>
      </w:pPr>
      <w:bookmarkStart w:id="559" w:name="bookmark559"/>
      <w:bookmarkStart w:id="560" w:name="bookmark560"/>
      <w:bookmarkStart w:id="561" w:name="bookmark561"/>
      <w:bookmarkStart w:id="562" w:name="bookmark562"/>
      <w:r>
        <w:rPr>
          <w:color w:val="000000"/>
          <w:spacing w:val="0"/>
          <w:w w:val="100"/>
          <w:position w:val="0"/>
          <w:sz w:val="24"/>
          <w:szCs w:val="24"/>
        </w:rPr>
        <w:t>四</w:t>
      </w:r>
      <w:bookmarkEnd w:id="561"/>
      <w:r>
        <w:rPr>
          <w:color w:val="000000"/>
          <w:spacing w:val="0"/>
          <w:w w:val="100"/>
          <w:position w:val="0"/>
          <w:sz w:val="24"/>
          <w:szCs w:val="24"/>
        </w:rPr>
        <w:t>、</w:t>
        <w:tab/>
        <w:t>报告期内召开的年度股东大会和临时股东大会的有关情况</w:t>
      </w:r>
      <w:bookmarkEnd w:id="559"/>
      <w:bookmarkEnd w:id="560"/>
      <w:bookmarkEnd w:id="562"/>
    </w:p>
    <w:p>
      <w:pPr>
        <w:pStyle w:val="Style38"/>
        <w:keepNext/>
        <w:keepLines/>
        <w:widowControl w:val="0"/>
        <w:shd w:val="clear" w:color="auto" w:fill="auto"/>
        <w:bidi w:val="0"/>
        <w:spacing w:before="0" w:after="340" w:line="240" w:lineRule="auto"/>
        <w:ind w:left="0" w:right="0" w:firstLine="0"/>
        <w:jc w:val="both"/>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1</w:t>
      </w:r>
      <w:bookmarkEnd w:id="565"/>
      <w:r>
        <w:rPr>
          <w:color w:val="000000"/>
          <w:spacing w:val="0"/>
          <w:w w:val="100"/>
          <w:position w:val="0"/>
        </w:rPr>
        <w:t>、本报告期股东大会情况</w:t>
      </w:r>
      <w:bookmarkEnd w:id="563"/>
      <w:bookmarkEnd w:id="564"/>
      <w:bookmarkEnd w:id="566"/>
    </w:p>
    <w:tbl>
      <w:tblPr>
        <w:tblOverlap w:val="never"/>
        <w:jc w:val="center"/>
        <w:tblLayout w:type="fixed"/>
      </w:tblPr>
      <w:tblGrid>
        <w:gridCol w:w="2275"/>
        <w:gridCol w:w="1277"/>
        <w:gridCol w:w="1238"/>
        <w:gridCol w:w="1598"/>
        <w:gridCol w:w="1594"/>
        <w:gridCol w:w="1603"/>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投资者参与比 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9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 xml:space="preserve">http://www. cninfo. co </w:t>
            </w:r>
            <w:r>
              <w:rPr>
                <w:rFonts w:ascii="Times New Roman" w:eastAsia="Times New Roman" w:hAnsi="Times New Roman" w:cs="Times New Roman"/>
                <w:color w:val="000000"/>
                <w:spacing w:val="0"/>
                <w:w w:val="100"/>
                <w:position w:val="0"/>
              </w:rPr>
              <w:t>m.cn/new/disclosure/</w:t>
            </w:r>
            <w:r>
              <w:rPr>
                <w:rFonts w:ascii="Times New Roman" w:eastAsia="Times New Roman" w:hAnsi="Times New Roman" w:cs="Times New Roman"/>
                <w:color w:val="000000"/>
                <w:spacing w:val="0"/>
                <w:w w:val="100"/>
                <w:position w:val="0"/>
              </w:rPr>
              <w:t xml:space="preserve"> detail?stockCode=30 0465&amp;announcemen tld=1207850413&amp;or gld=9900023805&amp;a nnouncementTime=2 020-05-22</w:t>
            </w:r>
          </w:p>
        </w:tc>
      </w:tr>
    </w:tbl>
    <w:p>
      <w:pPr>
        <w:widowControl w:val="0"/>
        <w:spacing w:line="1" w:lineRule="exact"/>
      </w:pPr>
    </w:p>
    <w:tbl>
      <w:tblPr>
        <w:tblOverlap w:val="never"/>
        <w:jc w:val="center"/>
        <w:tblLayout w:type="fixed"/>
      </w:tblPr>
      <w:tblGrid>
        <w:gridCol w:w="2275"/>
        <w:gridCol w:w="1277"/>
        <w:gridCol w:w="1238"/>
        <w:gridCol w:w="1598"/>
        <w:gridCol w:w="1594"/>
        <w:gridCol w:w="1603"/>
      </w:tblGrid>
      <w:tr>
        <w:trPr>
          <w:trHeight w:val="260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 xml:space="preserve">http://www. cninfo. co </w:t>
            </w:r>
            <w:r>
              <w:rPr>
                <w:rFonts w:ascii="Times New Roman" w:eastAsia="Times New Roman" w:hAnsi="Times New Roman" w:cs="Times New Roman"/>
                <w:color w:val="000000"/>
                <w:spacing w:val="0"/>
                <w:w w:val="100"/>
                <w:position w:val="0"/>
              </w:rPr>
              <w:t>m.cn/new/disclosure/</w:t>
            </w:r>
            <w:r>
              <w:rPr>
                <w:rFonts w:ascii="Times New Roman" w:eastAsia="Times New Roman" w:hAnsi="Times New Roman" w:cs="Times New Roman"/>
                <w:color w:val="000000"/>
                <w:spacing w:val="0"/>
                <w:w w:val="100"/>
                <w:position w:val="0"/>
              </w:rPr>
              <w:t xml:space="preserve"> detail?stockCode=30 0465&amp;announcemen tld=1208800406&amp;or gld=9900023805&amp;a nnouncementTime=2 020-11-25</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2</w:t>
      </w:r>
      <w:bookmarkEnd w:id="569"/>
      <w:r>
        <w:rPr>
          <w:color w:val="000000"/>
          <w:spacing w:val="0"/>
          <w:w w:val="100"/>
          <w:position w:val="0"/>
        </w:rPr>
        <w:t>、表决权恢复的优先股股东请求召开临时股东大会</w:t>
      </w:r>
      <w:bookmarkEnd w:id="567"/>
      <w:bookmarkEnd w:id="568"/>
      <w:bookmarkEnd w:id="570"/>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0" w:after="36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五</w:t>
      </w:r>
      <w:bookmarkEnd w:id="573"/>
      <w:r>
        <w:rPr>
          <w:color w:val="000000"/>
          <w:spacing w:val="0"/>
          <w:w w:val="100"/>
          <w:position w:val="0"/>
          <w:sz w:val="24"/>
          <w:szCs w:val="24"/>
        </w:rPr>
        <w:t>、报告期内独立董事履行职责的情况</w:t>
      </w:r>
      <w:bookmarkEnd w:id="571"/>
      <w:bookmarkEnd w:id="572"/>
      <w:bookmarkEnd w:id="574"/>
    </w:p>
    <w:p>
      <w:pPr>
        <w:pStyle w:val="Style38"/>
        <w:keepNext/>
        <w:keepLines/>
        <w:widowControl w:val="0"/>
        <w:shd w:val="clear" w:color="auto" w:fill="auto"/>
        <w:bidi w:val="0"/>
        <w:spacing w:before="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bookmarkEnd w:id="577"/>
      <w:r>
        <w:rPr>
          <w:color w:val="000000"/>
          <w:spacing w:val="0"/>
          <w:w w:val="100"/>
          <w:position w:val="0"/>
        </w:rPr>
        <w:t>、独立董事出席董事会及股东大会的情况</w:t>
      </w:r>
      <w:bookmarkEnd w:id="575"/>
      <w:bookmarkEnd w:id="576"/>
      <w:bookmarkEnd w:id="578"/>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郑建明</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8"/>
        <w:keepNext/>
        <w:keepLines/>
        <w:widowControl w:val="0"/>
        <w:shd w:val="clear" w:color="auto" w:fill="auto"/>
        <w:tabs>
          <w:tab w:pos="378" w:val="left"/>
        </w:tabs>
        <w:bidi w:val="0"/>
        <w:spacing w:before="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w:t>
        <w:tab/>
        <w:t>独立董事对公司有关事项提出异议的情况</w:t>
      </w:r>
      <w:bookmarkEnd w:id="579"/>
      <w:bookmarkEnd w:id="580"/>
      <w:bookmarkEnd w:id="58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8"/>
        <w:keepNext/>
        <w:keepLines/>
        <w:widowControl w:val="0"/>
        <w:shd w:val="clear" w:color="auto" w:fill="auto"/>
        <w:tabs>
          <w:tab w:pos="378" w:val="left"/>
        </w:tabs>
        <w:bidi w:val="0"/>
        <w:spacing w:before="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3</w:t>
      </w:r>
      <w:bookmarkEnd w:id="585"/>
      <w:r>
        <w:rPr>
          <w:color w:val="000000"/>
          <w:spacing w:val="0"/>
          <w:w w:val="100"/>
          <w:position w:val="0"/>
        </w:rPr>
        <w:t>、</w:t>
        <w:tab/>
        <w:t>独立董事履行职责的其他说明</w:t>
      </w:r>
      <w:bookmarkEnd w:id="583"/>
      <w:bookmarkEnd w:id="584"/>
      <w:bookmarkEnd w:id="586"/>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17"/>
        <w:keepNext/>
        <w:keepLines/>
        <w:widowControl w:val="0"/>
        <w:shd w:val="clear" w:color="auto" w:fill="auto"/>
        <w:bidi w:val="0"/>
        <w:spacing w:before="0" w:after="36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sz w:val="24"/>
          <w:szCs w:val="24"/>
        </w:rPr>
        <w:t>六</w:t>
      </w:r>
      <w:bookmarkEnd w:id="589"/>
      <w:r>
        <w:rPr>
          <w:color w:val="000000"/>
          <w:spacing w:val="0"/>
          <w:w w:val="100"/>
          <w:position w:val="0"/>
          <w:sz w:val="24"/>
          <w:szCs w:val="24"/>
        </w:rPr>
        <w:t>、董事会下设专门委员会在报告期内履行职责情况</w:t>
      </w:r>
      <w:bookmarkEnd w:id="587"/>
      <w:bookmarkEnd w:id="588"/>
      <w:bookmarkEnd w:id="590"/>
    </w:p>
    <w:p>
      <w:pPr>
        <w:pStyle w:val="Style34"/>
        <w:keepNext w:val="0"/>
        <w:keepLines w:val="0"/>
        <w:widowControl w:val="0"/>
        <w:shd w:val="clear" w:color="auto" w:fill="auto"/>
        <w:bidi w:val="0"/>
        <w:spacing w:before="0" w:after="140" w:line="240" w:lineRule="auto"/>
        <w:ind w:left="0" w:right="0"/>
        <w:jc w:val="left"/>
      </w:pPr>
      <w:bookmarkStart w:id="591" w:name="bookmark591"/>
      <w:r>
        <w:rPr>
          <w:color w:val="000000"/>
          <w:spacing w:val="0"/>
          <w:w w:val="100"/>
          <w:position w:val="0"/>
        </w:rPr>
        <w:t>（</w:t>
      </w:r>
      <w:bookmarkEnd w:id="591"/>
      <w:r>
        <w:rPr>
          <w:color w:val="000000"/>
          <w:spacing w:val="0"/>
          <w:w w:val="100"/>
          <w:position w:val="0"/>
        </w:rPr>
        <w:t>一）审计委员会履职情况</w:t>
      </w:r>
    </w:p>
    <w:p>
      <w:pPr>
        <w:pStyle w:val="Style34"/>
        <w:keepNext w:val="0"/>
        <w:keepLines w:val="0"/>
        <w:widowControl w:val="0"/>
        <w:shd w:val="clear" w:color="auto" w:fill="auto"/>
        <w:bidi w:val="0"/>
        <w:spacing w:before="0" w:after="0" w:line="240" w:lineRule="auto"/>
        <w:ind w:left="0" w:right="0"/>
        <w:jc w:val="left"/>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Restart w:val="continuous"/>
          </w:footnotePr>
          <w:pgSz w:w="11900" w:h="16840"/>
          <w:pgMar w:top="1378" w:right="1091" w:bottom="1436" w:left="1041" w:header="0" w:footer="3" w:gutter="0"/>
          <w:cols w:space="720"/>
          <w:noEndnote/>
          <w:titlePg/>
          <w:rtlGutter w:val="0"/>
          <w:docGrid w:linePitch="360"/>
        </w:sectPr>
      </w:pPr>
      <w:r>
        <w:rPr>
          <w:color w:val="000000"/>
          <w:spacing w:val="0"/>
          <w:w w:val="100"/>
          <w:position w:val="0"/>
        </w:rPr>
        <w:t xml:space="preserve">报告期内，审计委员会根据《公司法》、《证券法》、《上市公司治理准则》、《内部审计制度》及《审计与风险控制 </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委员会议事规则》等有关规定，积极履行职责。报告期内，审计委员会共召开了</w:t>
      </w:r>
      <w:r>
        <w:rPr>
          <w:rFonts w:ascii="Times New Roman" w:eastAsia="Times New Roman" w:hAnsi="Times New Roman" w:cs="Times New Roman"/>
          <w:color w:val="000000"/>
          <w:spacing w:val="0"/>
          <w:w w:val="100"/>
          <w:position w:val="0"/>
        </w:rPr>
        <w:t>3</w:t>
      </w:r>
      <w:r>
        <w:rPr>
          <w:color w:val="000000"/>
          <w:spacing w:val="0"/>
          <w:w w:val="100"/>
          <w:position w:val="0"/>
        </w:rPr>
        <w:t>次会议，对相关事项进行了审议并听取了 内审部相关工作报告。</w:t>
      </w:r>
    </w:p>
    <w:p>
      <w:pPr>
        <w:pStyle w:val="Style34"/>
        <w:keepNext w:val="0"/>
        <w:keepLines w:val="0"/>
        <w:widowControl w:val="0"/>
        <w:shd w:val="clear" w:color="auto" w:fill="auto"/>
        <w:tabs>
          <w:tab w:pos="911" w:val="left"/>
        </w:tabs>
        <w:bidi w:val="0"/>
        <w:spacing w:before="0" w:after="0" w:line="317" w:lineRule="exact"/>
        <w:ind w:left="0" w:right="0"/>
        <w:jc w:val="left"/>
      </w:pPr>
      <w:bookmarkStart w:id="592" w:name="bookmark592"/>
      <w:r>
        <w:rPr>
          <w:color w:val="000000"/>
          <w:spacing w:val="0"/>
          <w:w w:val="100"/>
          <w:position w:val="0"/>
        </w:rPr>
        <w:t>（</w:t>
      </w:r>
      <w:bookmarkEnd w:id="592"/>
      <w:r>
        <w:rPr>
          <w:color w:val="000000"/>
          <w:spacing w:val="0"/>
          <w:w w:val="100"/>
          <w:position w:val="0"/>
        </w:rPr>
        <w:t>二）</w:t>
        <w:tab/>
        <w:t>薪酬与考核委员会履职情况</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报告期内，薪酬与考核委员根据《公司法》、《证券法》、《上市公司治理准则》及《薪酬与考核委员会议事规则》等 有关规定，积极履行职责。</w:t>
      </w:r>
    </w:p>
    <w:p>
      <w:pPr>
        <w:pStyle w:val="Style34"/>
        <w:keepNext w:val="0"/>
        <w:keepLines w:val="0"/>
        <w:widowControl w:val="0"/>
        <w:shd w:val="clear" w:color="auto" w:fill="auto"/>
        <w:tabs>
          <w:tab w:pos="911" w:val="left"/>
        </w:tabs>
        <w:bidi w:val="0"/>
        <w:spacing w:before="0" w:after="0" w:line="317" w:lineRule="exact"/>
        <w:ind w:left="0" w:right="0"/>
        <w:jc w:val="left"/>
      </w:pPr>
      <w:bookmarkStart w:id="593" w:name="bookmark593"/>
      <w:r>
        <w:rPr>
          <w:color w:val="000000"/>
          <w:spacing w:val="0"/>
          <w:w w:val="100"/>
          <w:position w:val="0"/>
        </w:rPr>
        <w:t>（</w:t>
      </w:r>
      <w:bookmarkEnd w:id="593"/>
      <w:r>
        <w:rPr>
          <w:color w:val="000000"/>
          <w:spacing w:val="0"/>
          <w:w w:val="100"/>
          <w:position w:val="0"/>
        </w:rPr>
        <w:t>三）</w:t>
        <w:tab/>
        <w:t>提名委员会履职情况</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报告期内，提名委员会按照《公司法》、《证券法》、《上市公司治理准则》及《提名委员会议事规则》等有关规定， 积极履行职责。</w:t>
      </w:r>
    </w:p>
    <w:p>
      <w:pPr>
        <w:pStyle w:val="Style34"/>
        <w:keepNext w:val="0"/>
        <w:keepLines w:val="0"/>
        <w:widowControl w:val="0"/>
        <w:shd w:val="clear" w:color="auto" w:fill="auto"/>
        <w:tabs>
          <w:tab w:pos="911" w:val="left"/>
        </w:tabs>
        <w:bidi w:val="0"/>
        <w:spacing w:before="0" w:after="0" w:line="317" w:lineRule="exact"/>
        <w:ind w:left="0" w:right="0"/>
        <w:jc w:val="left"/>
      </w:pPr>
      <w:bookmarkStart w:id="594" w:name="bookmark594"/>
      <w:r>
        <w:rPr>
          <w:color w:val="000000"/>
          <w:spacing w:val="0"/>
          <w:w w:val="100"/>
          <w:position w:val="0"/>
        </w:rPr>
        <w:t>（</w:t>
      </w:r>
      <w:bookmarkEnd w:id="594"/>
      <w:r>
        <w:rPr>
          <w:color w:val="000000"/>
          <w:spacing w:val="0"/>
          <w:w w:val="100"/>
          <w:position w:val="0"/>
        </w:rPr>
        <w:t>四）</w:t>
        <w:tab/>
        <w:t>战略发展委员会履职情况</w:t>
      </w:r>
    </w:p>
    <w:p>
      <w:pPr>
        <w:pStyle w:val="Style34"/>
        <w:keepNext w:val="0"/>
        <w:keepLines w:val="0"/>
        <w:widowControl w:val="0"/>
        <w:shd w:val="clear" w:color="auto" w:fill="auto"/>
        <w:bidi w:val="0"/>
        <w:spacing w:before="0" w:after="360" w:line="317" w:lineRule="exact"/>
        <w:ind w:left="0" w:right="0"/>
        <w:jc w:val="left"/>
      </w:pPr>
      <w:r>
        <w:rPr>
          <w:color w:val="000000"/>
          <w:spacing w:val="0"/>
          <w:w w:val="100"/>
          <w:position w:val="0"/>
        </w:rPr>
        <w:t>报告期内，战略发展委员按照《公司法》、《证券法》、《上市公司治理准则》及《战略委员会议事规则》等有关规定， 积极履行职责。</w:t>
      </w:r>
    </w:p>
    <w:p>
      <w:pPr>
        <w:pStyle w:val="Style17"/>
        <w:keepNext/>
        <w:keepLines/>
        <w:widowControl w:val="0"/>
        <w:shd w:val="clear" w:color="auto" w:fill="auto"/>
        <w:tabs>
          <w:tab w:pos="522" w:val="left"/>
        </w:tabs>
        <w:bidi w:val="0"/>
        <w:spacing w:before="0" w:after="26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sz w:val="24"/>
          <w:szCs w:val="24"/>
        </w:rPr>
        <w:t>七</w:t>
      </w:r>
      <w:bookmarkEnd w:id="597"/>
      <w:r>
        <w:rPr>
          <w:color w:val="000000"/>
          <w:spacing w:val="0"/>
          <w:w w:val="100"/>
          <w:position w:val="0"/>
          <w:sz w:val="24"/>
          <w:szCs w:val="24"/>
        </w:rPr>
        <w:t>、</w:t>
        <w:tab/>
        <w:t>监事会工作情况</w:t>
      </w:r>
      <w:bookmarkEnd w:id="595"/>
      <w:bookmarkEnd w:id="596"/>
      <w:bookmarkEnd w:id="598"/>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监事会在报告期内的监督活动中发现公司是否存在风险</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公司监事会对报告期内的监督事项无异议。</w:t>
      </w:r>
    </w:p>
    <w:p>
      <w:pPr>
        <w:pStyle w:val="Style17"/>
        <w:keepNext/>
        <w:keepLines/>
        <w:widowControl w:val="0"/>
        <w:shd w:val="clear" w:color="auto" w:fill="auto"/>
        <w:tabs>
          <w:tab w:pos="522" w:val="left"/>
        </w:tabs>
        <w:bidi w:val="0"/>
        <w:spacing w:before="0" w:after="26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八</w:t>
      </w:r>
      <w:bookmarkEnd w:id="601"/>
      <w:r>
        <w:rPr>
          <w:color w:val="000000"/>
          <w:spacing w:val="0"/>
          <w:w w:val="100"/>
          <w:position w:val="0"/>
          <w:sz w:val="24"/>
          <w:szCs w:val="24"/>
        </w:rPr>
        <w:t>、</w:t>
        <w:tab/>
        <w:t>高级管理人员的考评及激励情况</w:t>
      </w:r>
      <w:bookmarkEnd w:id="599"/>
      <w:bookmarkEnd w:id="600"/>
      <w:bookmarkEnd w:id="602"/>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公司高级管理人员的薪酬与考核以公司经济效益及工作目标为出发点，根据公司年度经营计划和高级管理人员分管工作 的职责，进行综合考核，根据考核结果确定高级管理人员的年度薪酬水平。</w:t>
      </w:r>
    </w:p>
    <w:p>
      <w:pPr>
        <w:pStyle w:val="Style17"/>
        <w:keepNext/>
        <w:keepLines/>
        <w:widowControl w:val="0"/>
        <w:shd w:val="clear" w:color="auto" w:fill="auto"/>
        <w:tabs>
          <w:tab w:pos="522" w:val="left"/>
        </w:tabs>
        <w:bidi w:val="0"/>
        <w:spacing w:before="0" w:after="36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九</w:t>
      </w:r>
      <w:bookmarkEnd w:id="605"/>
      <w:r>
        <w:rPr>
          <w:color w:val="000000"/>
          <w:spacing w:val="0"/>
          <w:w w:val="100"/>
          <w:position w:val="0"/>
          <w:sz w:val="24"/>
          <w:szCs w:val="24"/>
        </w:rPr>
        <w:t>、</w:t>
        <w:tab/>
        <w:t>内部控制评价报告</w:t>
      </w:r>
      <w:bookmarkEnd w:id="603"/>
      <w:bookmarkEnd w:id="604"/>
      <w:bookmarkEnd w:id="606"/>
    </w:p>
    <w:p>
      <w:pPr>
        <w:pStyle w:val="Style38"/>
        <w:keepNext/>
        <w:keepLines/>
        <w:widowControl w:val="0"/>
        <w:shd w:val="clear" w:color="auto" w:fill="auto"/>
        <w:bidi w:val="0"/>
        <w:spacing w:before="0" w:after="26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、报告期内发现的内部控制重大缺陷的具体情况</w:t>
      </w:r>
      <w:bookmarkEnd w:id="607"/>
      <w:bookmarkEnd w:id="608"/>
      <w:bookmarkEnd w:id="610"/>
    </w:p>
    <w:p>
      <w:pPr>
        <w:pStyle w:val="Style3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、内控自我评价报告</w:t>
      </w:r>
      <w:bookmarkEnd w:id="611"/>
      <w:bookmarkEnd w:id="612"/>
      <w:bookmarkEnd w:id="614"/>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www. cninfo .com.cn</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994"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公司确定的财务报告内部控制缺陷评价的 定性标准如下：（</w:t>
            </w:r>
            <w:r>
              <w:rPr>
                <w:rFonts w:ascii="Times New Roman" w:eastAsia="Times New Roman" w:hAnsi="Times New Roman" w:cs="Times New Roman"/>
                <w:color w:val="000000"/>
                <w:spacing w:val="0"/>
                <w:w w:val="100"/>
                <w:position w:val="0"/>
              </w:rPr>
              <w:t>1</w:t>
            </w:r>
            <w:r>
              <w:rPr>
                <w:color w:val="000000"/>
                <w:spacing w:val="0"/>
                <w:w w:val="100"/>
                <w:position w:val="0"/>
              </w:rPr>
              <w:t>）公司董事、监事和高 级管理人员的舞弊行为； （</w:t>
            </w:r>
            <w:r>
              <w:rPr>
                <w:rFonts w:ascii="Times New Roman" w:eastAsia="Times New Roman" w:hAnsi="Times New Roman" w:cs="Times New Roman"/>
                <w:color w:val="000000"/>
                <w:spacing w:val="0"/>
                <w:w w:val="100"/>
                <w:position w:val="0"/>
              </w:rPr>
              <w:t>2</w:t>
            </w:r>
            <w:r>
              <w:rPr>
                <w:color w:val="000000"/>
                <w:spacing w:val="0"/>
                <w:w w:val="100"/>
                <w:position w:val="0"/>
              </w:rPr>
              <w:t>）公</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非财务报告缺陷认定主要以缺陷对业 务流程有效性的影响程度、发生的可能 性作判定。</w:t>
            </w:r>
          </w:p>
        </w:tc>
      </w:tr>
    </w:tbl>
    <w:p>
      <w:pPr>
        <w:widowControl w:val="0"/>
        <w:spacing w:line="1" w:lineRule="exact"/>
      </w:pPr>
      <w:r>
        <w:br w:type="page"/>
      </w:r>
    </w:p>
    <w:tbl>
      <w:tblPr>
        <w:tblOverlap w:val="never"/>
        <w:jc w:val="center"/>
        <w:tblLayout w:type="fixed"/>
      </w:tblPr>
      <w:tblGrid>
        <w:gridCol w:w="3202"/>
        <w:gridCol w:w="3322"/>
        <w:gridCol w:w="3062"/>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26" w:lineRule="exact"/>
              <w:ind w:left="0" w:right="0" w:firstLine="0"/>
              <w:jc w:val="both"/>
            </w:pPr>
            <w:r>
              <w:rPr>
                <w:color w:val="000000"/>
                <w:spacing w:val="0"/>
                <w:w w:val="100"/>
                <w:position w:val="0"/>
              </w:rPr>
              <w:t>司更正已公布的财务报告；</w:t>
            </w:r>
          </w:p>
          <w:p>
            <w:pPr>
              <w:pStyle w:val="Style9"/>
              <w:keepNext w:val="0"/>
              <w:keepLines w:val="0"/>
              <w:widowControl w:val="0"/>
              <w:shd w:val="clear" w:color="auto" w:fill="auto"/>
              <w:tabs>
                <w:tab w:pos="389"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注册会计师发现的却未被公司内部控 制识别的当期财务报告中的重大错报；</w:t>
            </w:r>
          </w:p>
          <w:p>
            <w:pPr>
              <w:pStyle w:val="Style9"/>
              <w:keepNext w:val="0"/>
              <w:keepLines w:val="0"/>
              <w:widowControl w:val="0"/>
              <w:shd w:val="clear" w:color="auto" w:fill="auto"/>
              <w:tabs>
                <w:tab w:pos="394"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审计委员会和审计部门对公司的对外 财务报告和财务报告内部控制监督无效。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如果缺陷发生的可能性较小，会降低工 作效率或效果、或加大效果的不确定 性、或使之偏离预期目标为一般缺陷； 如果缺陷发生的可能性较高，会显著降 低工作效率或效果、或显著加大效果的 不确定性、或使之显著偏离预期目标为 重要缺陷；如果缺陷发生的可能性高， 会严重降低工作效率或效果、或严重加 大效果的不确定性、或使之严重偏离预 期目标为重大缺陷。</w:t>
            </w:r>
          </w:p>
        </w:tc>
      </w:tr>
      <w:tr>
        <w:trPr>
          <w:trHeight w:val="414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定量标准以营业收入、资产总额作为衡量 指标。如果该缺陷单独或连同其他缺陷可 能导致或导致的财务报告错报金额小于营 业收入的</w:t>
            </w:r>
            <w:r>
              <w:rPr>
                <w:rFonts w:ascii="Times New Roman" w:eastAsia="Times New Roman" w:hAnsi="Times New Roman" w:cs="Times New Roman"/>
                <w:color w:val="000000"/>
                <w:spacing w:val="0"/>
                <w:w w:val="100"/>
                <w:position w:val="0"/>
              </w:rPr>
              <w:t>1%</w:t>
            </w:r>
            <w:r>
              <w:rPr>
                <w:color w:val="000000"/>
                <w:spacing w:val="0"/>
                <w:w w:val="100"/>
                <w:position w:val="0"/>
              </w:rPr>
              <w:t>,则认定为一般缺陷；如果超 过营业收入的</w:t>
            </w:r>
            <w:r>
              <w:rPr>
                <w:rFonts w:ascii="Times New Roman" w:eastAsia="Times New Roman" w:hAnsi="Times New Roman" w:cs="Times New Roman"/>
                <w:color w:val="000000"/>
                <w:spacing w:val="0"/>
                <w:w w:val="100"/>
                <w:position w:val="0"/>
              </w:rPr>
              <w:t>1%</w:t>
            </w:r>
            <w:r>
              <w:rPr>
                <w:color w:val="000000"/>
                <w:spacing w:val="0"/>
                <w:w w:val="100"/>
                <w:position w:val="0"/>
              </w:rPr>
              <w:t>但小于</w:t>
            </w:r>
            <w:r>
              <w:rPr>
                <w:rFonts w:ascii="Times New Roman" w:eastAsia="Times New Roman" w:hAnsi="Times New Roman" w:cs="Times New Roman"/>
                <w:color w:val="000000"/>
                <w:spacing w:val="0"/>
                <w:w w:val="100"/>
                <w:position w:val="0"/>
              </w:rPr>
              <w:t>2%</w:t>
            </w:r>
            <w:r>
              <w:rPr>
                <w:color w:val="000000"/>
                <w:spacing w:val="0"/>
                <w:w w:val="100"/>
                <w:position w:val="0"/>
              </w:rPr>
              <w:t>,则为重要缺 陷；如果超过营业收入的</w:t>
            </w:r>
            <w:r>
              <w:rPr>
                <w:rFonts w:ascii="Times New Roman" w:eastAsia="Times New Roman" w:hAnsi="Times New Roman" w:cs="Times New Roman"/>
                <w:color w:val="000000"/>
                <w:spacing w:val="0"/>
                <w:w w:val="100"/>
                <w:position w:val="0"/>
              </w:rPr>
              <w:t>2%</w:t>
            </w:r>
            <w:r>
              <w:rPr>
                <w:color w:val="000000"/>
                <w:spacing w:val="0"/>
                <w:w w:val="100"/>
                <w:position w:val="0"/>
              </w:rPr>
              <w:t>,则认定为重 大缺陷。如果该缺陷单独或连同其他缺陷 可能导致的财务报告错报金额小于资产总 额的</w:t>
            </w:r>
            <w:r>
              <w:rPr>
                <w:rFonts w:ascii="Times New Roman" w:eastAsia="Times New Roman" w:hAnsi="Times New Roman" w:cs="Times New Roman"/>
                <w:color w:val="000000"/>
                <w:spacing w:val="0"/>
                <w:w w:val="100"/>
                <w:position w:val="0"/>
              </w:rPr>
              <w:t>1%</w:t>
            </w:r>
            <w:r>
              <w:rPr>
                <w:color w:val="000000"/>
                <w:spacing w:val="0"/>
                <w:w w:val="100"/>
                <w:position w:val="0"/>
              </w:rPr>
              <w:t>,则认定为一般缺陷；如果超过资 产总额的</w:t>
            </w:r>
            <w:r>
              <w:rPr>
                <w:rFonts w:ascii="Times New Roman" w:eastAsia="Times New Roman" w:hAnsi="Times New Roman" w:cs="Times New Roman"/>
                <w:color w:val="000000"/>
                <w:spacing w:val="0"/>
                <w:w w:val="100"/>
                <w:position w:val="0"/>
              </w:rPr>
              <w:t>1%</w:t>
            </w:r>
            <w:r>
              <w:rPr>
                <w:color w:val="000000"/>
                <w:spacing w:val="0"/>
                <w:w w:val="100"/>
                <w:position w:val="0"/>
              </w:rPr>
              <w:t>但小于</w:t>
            </w:r>
            <w:r>
              <w:rPr>
                <w:rFonts w:ascii="Times New Roman" w:eastAsia="Times New Roman" w:hAnsi="Times New Roman" w:cs="Times New Roman"/>
                <w:color w:val="000000"/>
                <w:spacing w:val="0"/>
                <w:w w:val="100"/>
                <w:position w:val="0"/>
              </w:rPr>
              <w:t>2%</w:t>
            </w:r>
            <w:r>
              <w:rPr>
                <w:color w:val="000000"/>
                <w:spacing w:val="0"/>
                <w:w w:val="100"/>
                <w:position w:val="0"/>
              </w:rPr>
              <w:t>认定为重要缺陷； 如果超过资产总额</w:t>
            </w:r>
            <w:r>
              <w:rPr>
                <w:rFonts w:ascii="Times New Roman" w:eastAsia="Times New Roman" w:hAnsi="Times New Roman" w:cs="Times New Roman"/>
                <w:color w:val="000000"/>
                <w:spacing w:val="0"/>
                <w:w w:val="100"/>
                <w:position w:val="0"/>
              </w:rPr>
              <w:t>2%</w:t>
            </w:r>
            <w:r>
              <w:rPr>
                <w:color w:val="000000"/>
                <w:spacing w:val="0"/>
                <w:w w:val="100"/>
                <w:position w:val="0"/>
              </w:rPr>
              <w:t>,则认定为重大缺 陷。</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 量指标。如果该缺陷单独或连同其他缺 陷可能导致或导致的财务报告错报金 额小于营业收入的</w:t>
            </w:r>
            <w:r>
              <w:rPr>
                <w:rFonts w:ascii="Times New Roman" w:eastAsia="Times New Roman" w:hAnsi="Times New Roman" w:cs="Times New Roman"/>
                <w:color w:val="000000"/>
                <w:spacing w:val="0"/>
                <w:w w:val="100"/>
                <w:position w:val="0"/>
              </w:rPr>
              <w:t>1%</w:t>
            </w:r>
            <w:r>
              <w:rPr>
                <w:color w:val="000000"/>
                <w:spacing w:val="0"/>
                <w:w w:val="100"/>
                <w:position w:val="0"/>
              </w:rPr>
              <w:t>,则认定为一般 缺陷；如果超过营业收入的</w:t>
            </w:r>
            <w:r>
              <w:rPr>
                <w:rFonts w:ascii="Times New Roman" w:eastAsia="Times New Roman" w:hAnsi="Times New Roman" w:cs="Times New Roman"/>
                <w:color w:val="000000"/>
                <w:spacing w:val="0"/>
                <w:w w:val="100"/>
                <w:position w:val="0"/>
              </w:rPr>
              <w:t>1%</w:t>
            </w:r>
            <w:r>
              <w:rPr>
                <w:color w:val="000000"/>
                <w:spacing w:val="0"/>
                <w:w w:val="100"/>
                <w:position w:val="0"/>
              </w:rPr>
              <w:t xml:space="preserve">但小于 </w:t>
            </w:r>
            <w:r>
              <w:rPr>
                <w:rFonts w:ascii="Times New Roman" w:eastAsia="Times New Roman" w:hAnsi="Times New Roman" w:cs="Times New Roman"/>
                <w:color w:val="000000"/>
                <w:spacing w:val="0"/>
                <w:w w:val="100"/>
                <w:position w:val="0"/>
              </w:rPr>
              <w:t>2%</w:t>
            </w:r>
            <w:r>
              <w:rPr>
                <w:color w:val="000000"/>
                <w:spacing w:val="0"/>
                <w:w w:val="100"/>
                <w:position w:val="0"/>
              </w:rPr>
              <w:t>,则为重要缺陷；如果超过营业收 入的</w:t>
            </w:r>
            <w:r>
              <w:rPr>
                <w:rFonts w:ascii="Times New Roman" w:eastAsia="Times New Roman" w:hAnsi="Times New Roman" w:cs="Times New Roman"/>
                <w:color w:val="000000"/>
                <w:spacing w:val="0"/>
                <w:w w:val="100"/>
                <w:position w:val="0"/>
              </w:rPr>
              <w:t>2%</w:t>
            </w:r>
            <w:r>
              <w:rPr>
                <w:color w:val="000000"/>
                <w:spacing w:val="0"/>
                <w:w w:val="100"/>
                <w:position w:val="0"/>
              </w:rPr>
              <w:t xml:space="preserve">,则认定为重大缺陷。如果该 缺陷单独或连同其他缺陷可能导致的 财务报告错报金额小于资产总额的 </w:t>
            </w:r>
            <w:r>
              <w:rPr>
                <w:rFonts w:ascii="Times New Roman" w:eastAsia="Times New Roman" w:hAnsi="Times New Roman" w:cs="Times New Roman"/>
                <w:color w:val="000000"/>
                <w:spacing w:val="0"/>
                <w:w w:val="100"/>
                <w:position w:val="0"/>
              </w:rPr>
              <w:t>1%</w:t>
            </w:r>
            <w:r>
              <w:rPr>
                <w:color w:val="000000"/>
                <w:spacing w:val="0"/>
                <w:w w:val="100"/>
                <w:position w:val="0"/>
              </w:rPr>
              <w:t>,则认定为一般缺陷；如果超过资 产总额的</w:t>
            </w:r>
            <w:r>
              <w:rPr>
                <w:rFonts w:ascii="Times New Roman" w:eastAsia="Times New Roman" w:hAnsi="Times New Roman" w:cs="Times New Roman"/>
                <w:color w:val="000000"/>
                <w:spacing w:val="0"/>
                <w:w w:val="100"/>
                <w:position w:val="0"/>
              </w:rPr>
              <w:t>1%</w:t>
            </w:r>
            <w:r>
              <w:rPr>
                <w:color w:val="000000"/>
                <w:spacing w:val="0"/>
                <w:w w:val="100"/>
                <w:position w:val="0"/>
              </w:rPr>
              <w:t>但小于</w:t>
            </w:r>
            <w:r>
              <w:rPr>
                <w:rFonts w:ascii="Times New Roman" w:eastAsia="Times New Roman" w:hAnsi="Times New Roman" w:cs="Times New Roman"/>
                <w:color w:val="000000"/>
                <w:spacing w:val="0"/>
                <w:w w:val="100"/>
                <w:position w:val="0"/>
              </w:rPr>
              <w:t>2%</w:t>
            </w:r>
            <w:r>
              <w:rPr>
                <w:color w:val="000000"/>
                <w:spacing w:val="0"/>
                <w:w w:val="100"/>
                <w:position w:val="0"/>
              </w:rPr>
              <w:t>认定为重要缺 陷；如果超过资产总额</w:t>
            </w:r>
            <w:r>
              <w:rPr>
                <w:rFonts w:ascii="Times New Roman" w:eastAsia="Times New Roman" w:hAnsi="Times New Roman" w:cs="Times New Roman"/>
                <w:color w:val="000000"/>
                <w:spacing w:val="0"/>
                <w:w w:val="100"/>
                <w:position w:val="0"/>
              </w:rPr>
              <w:t>2%</w:t>
            </w:r>
            <w:r>
              <w:rPr>
                <w:color w:val="000000"/>
                <w:spacing w:val="0"/>
                <w:w w:val="100"/>
                <w:position w:val="0"/>
              </w:rPr>
              <w:t>,则认定为 重大缺陷。</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17"/>
        <w:keepNext/>
        <w:keepLines/>
        <w:widowControl w:val="0"/>
        <w:shd w:val="clear" w:color="auto" w:fill="auto"/>
        <w:bidi w:val="0"/>
        <w:spacing w:before="0" w:after="380" w:line="240" w:lineRule="auto"/>
        <w:ind w:left="0" w:right="0" w:firstLine="0"/>
        <w:jc w:val="left"/>
      </w:pPr>
      <w:bookmarkStart w:id="615" w:name="bookmark615"/>
      <w:bookmarkStart w:id="616" w:name="bookmark616"/>
      <w:bookmarkStart w:id="617" w:name="bookmark617"/>
      <w:r>
        <w:rPr>
          <w:color w:val="000000"/>
          <w:spacing w:val="0"/>
          <w:w w:val="100"/>
          <w:position w:val="0"/>
          <w:sz w:val="24"/>
          <w:szCs w:val="24"/>
        </w:rPr>
        <w:t>十、内部控制审计报告或鉴证报告</w:t>
      </w:r>
      <w:bookmarkEnd w:id="615"/>
      <w:bookmarkEnd w:id="616"/>
      <w:bookmarkEnd w:id="617"/>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3"/>
        <w:keepNext/>
        <w:keepLines/>
        <w:widowControl w:val="0"/>
        <w:shd w:val="clear" w:color="auto" w:fill="auto"/>
        <w:bidi w:val="0"/>
        <w:spacing w:before="0" w:after="580" w:line="240" w:lineRule="auto"/>
        <w:ind w:left="0" w:right="0" w:firstLine="0"/>
        <w:jc w:val="center"/>
      </w:pPr>
      <w:bookmarkStart w:id="618" w:name="bookmark618"/>
      <w:bookmarkStart w:id="619" w:name="bookmark619"/>
      <w:bookmarkStart w:id="620" w:name="bookmark620"/>
      <w:r>
        <w:rPr>
          <w:color w:val="000000"/>
          <w:spacing w:val="0"/>
          <w:w w:val="100"/>
          <w:position w:val="0"/>
        </w:rPr>
        <w:t>第十一节公司债券相关情况</w:t>
      </w:r>
      <w:bookmarkEnd w:id="618"/>
      <w:bookmarkEnd w:id="619"/>
      <w:bookmarkEnd w:id="620"/>
    </w:p>
    <w:p>
      <w:pPr>
        <w:pStyle w:val="Style34"/>
        <w:keepNext w:val="0"/>
        <w:keepLines w:val="0"/>
        <w:widowControl w:val="0"/>
        <w:shd w:val="clear" w:color="auto" w:fill="auto"/>
        <w:bidi w:val="0"/>
        <w:spacing w:before="0" w:after="140" w:line="240" w:lineRule="auto"/>
        <w:ind w:left="0" w:right="0" w:firstLine="0"/>
        <w:jc w:val="left"/>
      </w:pPr>
      <w:bookmarkStart w:id="621" w:name="bookmark621"/>
      <w:r>
        <w:rPr>
          <w:color w:val="000000"/>
          <w:spacing w:val="0"/>
          <w:w w:val="100"/>
          <w:position w:val="0"/>
        </w:rPr>
        <w:t>公司是否存在公开发行并在证券交易所上市，且在年度报告批准报出日未到期或到期未能全额兑付的公司债券</w:t>
      </w:r>
      <w:bookmarkEnd w:id="621"/>
    </w:p>
    <w:p>
      <w:pPr>
        <w:pStyle w:val="Style34"/>
        <w:keepNext w:val="0"/>
        <w:keepLines w:val="0"/>
        <w:widowControl w:val="0"/>
        <w:shd w:val="clear" w:color="auto" w:fill="auto"/>
        <w:bidi w:val="0"/>
        <w:spacing w:before="0" w:after="360" w:line="240" w:lineRule="auto"/>
        <w:ind w:left="0" w:right="0" w:firstLine="0"/>
        <w:jc w:val="left"/>
        <w:sectPr>
          <w:headerReference w:type="default" r:id="rId91"/>
          <w:footerReference w:type="default" r:id="rId92"/>
          <w:headerReference w:type="even" r:id="rId93"/>
          <w:footerReference w:type="even" r:id="rId94"/>
          <w:footnotePr>
            <w:pos w:val="pageBottom"/>
            <w:numFmt w:val="decimal"/>
            <w:numRestart w:val="continuous"/>
          </w:footnotePr>
          <w:type w:val="continuous"/>
          <w:pgSz w:w="11900" w:h="16840"/>
          <w:pgMar w:top="1378" w:right="1091" w:bottom="1436" w:left="1041"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0" w:after="560" w:line="240" w:lineRule="auto"/>
        <w:ind w:left="0" w:right="0" w:firstLine="0"/>
        <w:jc w:val="center"/>
      </w:pPr>
      <w:bookmarkStart w:id="622" w:name="bookmark622"/>
      <w:bookmarkStart w:id="623" w:name="bookmark623"/>
      <w:bookmarkStart w:id="624" w:name="bookmark624"/>
      <w:r>
        <w:rPr>
          <w:color w:val="000000"/>
          <w:spacing w:val="0"/>
          <w:w w:val="100"/>
          <w:position w:val="0"/>
        </w:rPr>
        <w:t>第十二节财务报告</w:t>
      </w:r>
      <w:bookmarkEnd w:id="622"/>
      <w:bookmarkEnd w:id="623"/>
      <w:bookmarkEnd w:id="624"/>
    </w:p>
    <w:p>
      <w:pPr>
        <w:pStyle w:val="Style17"/>
        <w:keepNext/>
        <w:keepLines/>
        <w:widowControl w:val="0"/>
        <w:shd w:val="clear" w:color="auto" w:fill="auto"/>
        <w:bidi w:val="0"/>
        <w:spacing w:before="0" w:after="320" w:line="240" w:lineRule="auto"/>
        <w:ind w:left="0" w:right="0" w:firstLine="0"/>
        <w:jc w:val="both"/>
      </w:pPr>
      <w:bookmarkStart w:id="625" w:name="bookmark625"/>
      <w:bookmarkStart w:id="626" w:name="bookmark626"/>
      <w:bookmarkStart w:id="627" w:name="bookmark627"/>
      <w:bookmarkStart w:id="628" w:name="bookmark628"/>
      <w:bookmarkStart w:id="629" w:name="bookmark629"/>
      <w:r>
        <w:rPr>
          <w:color w:val="000000"/>
          <w:spacing w:val="0"/>
          <w:w w:val="100"/>
          <w:position w:val="0"/>
          <w:sz w:val="24"/>
          <w:szCs w:val="24"/>
        </w:rPr>
        <w:t>一</w:t>
      </w:r>
      <w:bookmarkEnd w:id="628"/>
      <w:r>
        <w:rPr>
          <w:color w:val="000000"/>
          <w:spacing w:val="0"/>
          <w:w w:val="100"/>
          <w:position w:val="0"/>
          <w:sz w:val="24"/>
          <w:szCs w:val="24"/>
        </w:rPr>
        <w:t>、审计报告</w:t>
      </w:r>
      <w:bookmarkEnd w:id="626"/>
      <w:bookmarkEnd w:id="627"/>
      <w:bookmarkEnd w:id="629"/>
      <w:bookmarkEnd w:id="62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2021-1064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潘高峰、张军伟、秦妍</w:t>
            </w:r>
          </w:p>
        </w:tc>
      </w:tr>
    </w:tbl>
    <w:p>
      <w:pPr>
        <w:pStyle w:val="Style4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68"/>
        <w:keepNext w:val="0"/>
        <w:keepLines w:val="0"/>
        <w:widowControl w:val="0"/>
        <w:shd w:val="clear" w:color="auto" w:fill="auto"/>
        <w:bidi w:val="0"/>
        <w:spacing w:before="0" w:after="0"/>
        <w:ind w:left="0" w:right="0" w:firstLine="0"/>
        <w:jc w:val="right"/>
      </w:pPr>
      <w:r>
        <w:rPr>
          <w:rFonts w:ascii="SimSun" w:eastAsia="SimSun" w:hAnsi="SimSun" w:cs="SimSun"/>
          <w:color w:val="000000"/>
          <w:spacing w:val="0"/>
          <w:w w:val="100"/>
          <w:position w:val="0"/>
        </w:rPr>
        <w:t>中汇会审</w:t>
      </w:r>
      <w:r>
        <w:rPr>
          <w:color w:val="000000"/>
          <w:spacing w:val="0"/>
          <w:w w:val="100"/>
          <w:position w:val="0"/>
        </w:rPr>
        <w:t>[2021]1064</w:t>
      </w:r>
      <w:r>
        <w:rPr>
          <w:rFonts w:ascii="SimSun" w:eastAsia="SimSun" w:hAnsi="SimSun" w:cs="SimSun"/>
          <w:color w:val="000000"/>
          <w:spacing w:val="0"/>
          <w:w w:val="100"/>
          <w:position w:val="0"/>
        </w:rPr>
        <w:t>号</w:t>
      </w:r>
    </w:p>
    <w:p>
      <w:pPr>
        <w:pStyle w:val="Style34"/>
        <w:keepNext w:val="0"/>
        <w:keepLines w:val="0"/>
        <w:widowControl w:val="0"/>
        <w:shd w:val="clear" w:color="auto" w:fill="auto"/>
        <w:bidi w:val="0"/>
        <w:spacing w:before="0" w:after="0" w:line="499" w:lineRule="exact"/>
        <w:ind w:left="0" w:right="0" w:firstLine="0"/>
        <w:jc w:val="both"/>
      </w:pPr>
      <w:r>
        <w:rPr>
          <w:color w:val="000000"/>
          <w:spacing w:val="0"/>
          <w:w w:val="100"/>
          <w:position w:val="0"/>
        </w:rPr>
        <w:t>高伟达软件股份有限公司全体股东：</w:t>
      </w:r>
    </w:p>
    <w:p>
      <w:pPr>
        <w:pStyle w:val="Style34"/>
        <w:keepNext w:val="0"/>
        <w:keepLines w:val="0"/>
        <w:widowControl w:val="0"/>
        <w:shd w:val="clear" w:color="auto" w:fill="auto"/>
        <w:tabs>
          <w:tab w:pos="815" w:val="left"/>
        </w:tabs>
        <w:bidi w:val="0"/>
        <w:spacing w:before="0" w:after="0" w:line="499" w:lineRule="exact"/>
        <w:ind w:left="0" w:right="0"/>
        <w:jc w:val="both"/>
      </w:pPr>
      <w:bookmarkStart w:id="630" w:name="bookmark630"/>
      <w:r>
        <w:rPr>
          <w:color w:val="000000"/>
          <w:spacing w:val="0"/>
          <w:w w:val="100"/>
          <w:position w:val="0"/>
        </w:rPr>
        <w:t>一</w:t>
      </w:r>
      <w:bookmarkEnd w:id="630"/>
      <w:r>
        <w:rPr>
          <w:color w:val="000000"/>
          <w:spacing w:val="0"/>
          <w:w w:val="100"/>
          <w:position w:val="0"/>
        </w:rPr>
        <w:t>、</w:t>
        <w:tab/>
        <w:t>审计意见</w:t>
      </w:r>
    </w:p>
    <w:p>
      <w:pPr>
        <w:pStyle w:val="Style34"/>
        <w:keepNext w:val="0"/>
        <w:keepLines w:val="0"/>
        <w:widowControl w:val="0"/>
        <w:shd w:val="clear" w:color="auto" w:fill="auto"/>
        <w:bidi w:val="0"/>
        <w:spacing w:before="0" w:after="0" w:line="494" w:lineRule="exact"/>
        <w:ind w:left="0" w:right="0"/>
        <w:jc w:val="both"/>
      </w:pPr>
      <w:r>
        <w:rPr>
          <w:color w:val="000000"/>
          <w:spacing w:val="0"/>
          <w:w w:val="100"/>
          <w:position w:val="0"/>
        </w:rPr>
        <w:t>我们审计了高伟达软件股份有限公司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以下简称高伟达公司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年度的合并及母公司利润表、合并及母公司现金流量表、合并及母公司所有者权益变动表以及财务报表附注。</w:t>
      </w:r>
    </w:p>
    <w:p>
      <w:pPr>
        <w:pStyle w:val="Style34"/>
        <w:keepNext w:val="0"/>
        <w:keepLines w:val="0"/>
        <w:widowControl w:val="0"/>
        <w:shd w:val="clear" w:color="auto" w:fill="auto"/>
        <w:bidi w:val="0"/>
        <w:spacing w:before="0" w:after="0" w:line="494" w:lineRule="exact"/>
        <w:ind w:left="0" w:right="0"/>
        <w:jc w:val="both"/>
      </w:pPr>
      <w:r>
        <w:rPr>
          <w:color w:val="000000"/>
          <w:spacing w:val="0"/>
          <w:w w:val="100"/>
          <w:position w:val="0"/>
        </w:rPr>
        <w:t>我们认为，后附的财务报表在所有重大方面按照企业会计准则的规定编制，公允反映了高伟达公司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4"/>
        <w:keepNext w:val="0"/>
        <w:keepLines w:val="0"/>
        <w:widowControl w:val="0"/>
        <w:shd w:val="clear" w:color="auto" w:fill="auto"/>
        <w:tabs>
          <w:tab w:pos="815" w:val="left"/>
        </w:tabs>
        <w:bidi w:val="0"/>
        <w:spacing w:before="0" w:after="0" w:line="499" w:lineRule="exact"/>
        <w:ind w:left="0" w:right="0"/>
        <w:jc w:val="both"/>
      </w:pPr>
      <w:bookmarkStart w:id="631" w:name="bookmark631"/>
      <w:r>
        <w:rPr>
          <w:color w:val="000000"/>
          <w:spacing w:val="0"/>
          <w:w w:val="100"/>
          <w:position w:val="0"/>
        </w:rPr>
        <w:t>二</w:t>
      </w:r>
      <w:bookmarkEnd w:id="631"/>
      <w:r>
        <w:rPr>
          <w:color w:val="000000"/>
          <w:spacing w:val="0"/>
          <w:w w:val="100"/>
          <w:position w:val="0"/>
        </w:rPr>
        <w:t>、</w:t>
        <w:tab/>
        <w:t>形成审计意见的基础</w:t>
      </w:r>
    </w:p>
    <w:p>
      <w:pPr>
        <w:pStyle w:val="Style34"/>
        <w:keepNext w:val="0"/>
        <w:keepLines w:val="0"/>
        <w:widowControl w:val="0"/>
        <w:shd w:val="clear" w:color="auto" w:fill="auto"/>
        <w:bidi w:val="0"/>
        <w:spacing w:before="0" w:after="0" w:line="499"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阐述了我们在这些准则下的责任。按照中国注册会计师职业道德守则，我们独立于高伟达公司，并履行了职业道德方面的其 他责任。我们相信，我们获取的审计证据是充分、适当的，为发表审计意见提供了基础。</w:t>
      </w:r>
    </w:p>
    <w:p>
      <w:pPr>
        <w:pStyle w:val="Style34"/>
        <w:keepNext w:val="0"/>
        <w:keepLines w:val="0"/>
        <w:widowControl w:val="0"/>
        <w:shd w:val="clear" w:color="auto" w:fill="auto"/>
        <w:tabs>
          <w:tab w:pos="815" w:val="left"/>
        </w:tabs>
        <w:bidi w:val="0"/>
        <w:spacing w:before="0" w:after="0" w:line="499" w:lineRule="exact"/>
        <w:ind w:left="0" w:right="0"/>
        <w:jc w:val="both"/>
      </w:pPr>
      <w:bookmarkStart w:id="632" w:name="bookmark632"/>
      <w:r>
        <w:rPr>
          <w:color w:val="000000"/>
          <w:spacing w:val="0"/>
          <w:w w:val="100"/>
          <w:position w:val="0"/>
        </w:rPr>
        <w:t>三</w:t>
      </w:r>
      <w:bookmarkEnd w:id="632"/>
      <w:r>
        <w:rPr>
          <w:color w:val="000000"/>
          <w:spacing w:val="0"/>
          <w:w w:val="100"/>
          <w:position w:val="0"/>
        </w:rPr>
        <w:t>、</w:t>
        <w:tab/>
        <w:t>关键审计事项</w:t>
      </w:r>
    </w:p>
    <w:p>
      <w:pPr>
        <w:pStyle w:val="Style34"/>
        <w:keepNext w:val="0"/>
        <w:keepLines w:val="0"/>
        <w:widowControl w:val="0"/>
        <w:shd w:val="clear" w:color="auto" w:fill="auto"/>
        <w:bidi w:val="0"/>
        <w:spacing w:before="0" w:after="0" w:line="509"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34"/>
        <w:keepNext w:val="0"/>
        <w:keepLines w:val="0"/>
        <w:widowControl w:val="0"/>
        <w:shd w:val="clear" w:color="auto" w:fill="auto"/>
        <w:bidi w:val="0"/>
        <w:spacing w:before="0" w:after="0" w:line="499" w:lineRule="exact"/>
        <w:ind w:left="0" w:right="0"/>
        <w:jc w:val="both"/>
      </w:pPr>
      <w:bookmarkStart w:id="633" w:name="bookmark633"/>
      <w:r>
        <w:rPr>
          <w:rFonts w:ascii="Times New Roman" w:eastAsia="Times New Roman" w:hAnsi="Times New Roman" w:cs="Times New Roman"/>
          <w:color w:val="000000"/>
          <w:spacing w:val="0"/>
          <w:w w:val="100"/>
          <w:position w:val="0"/>
        </w:rPr>
        <w:t>（</w:t>
      </w:r>
      <w:bookmarkEnd w:id="633"/>
      <w:r>
        <w:rPr>
          <w:color w:val="000000"/>
          <w:spacing w:val="0"/>
          <w:w w:val="100"/>
          <w:position w:val="0"/>
        </w:rPr>
        <w:t>一</w:t>
      </w:r>
      <w:r>
        <w:rPr>
          <w:color w:val="000000"/>
          <w:spacing w:val="0"/>
          <w:w w:val="100"/>
          <w:position w:val="0"/>
        </w:rPr>
        <w:t>）</w:t>
      </w:r>
      <w:r>
        <w:rPr>
          <w:color w:val="000000"/>
          <w:spacing w:val="0"/>
          <w:w w:val="100"/>
          <w:position w:val="0"/>
        </w:rPr>
        <w:t>商誉减值测试</w:t>
      </w:r>
    </w:p>
    <w:p>
      <w:pPr>
        <w:pStyle w:val="Style34"/>
        <w:keepNext w:val="0"/>
        <w:keepLines w:val="0"/>
        <w:widowControl w:val="0"/>
        <w:numPr>
          <w:ilvl w:val="0"/>
          <w:numId w:val="11"/>
        </w:numPr>
        <w:shd w:val="clear" w:color="auto" w:fill="auto"/>
        <w:bidi w:val="0"/>
        <w:spacing w:before="0" w:after="0" w:line="499" w:lineRule="exact"/>
        <w:ind w:left="0" w:right="0"/>
        <w:jc w:val="both"/>
      </w:pPr>
      <w:bookmarkStart w:id="634" w:name="bookmark634"/>
      <w:bookmarkEnd w:id="634"/>
      <w:r>
        <w:rPr>
          <w:color w:val="000000"/>
          <w:spacing w:val="0"/>
          <w:w w:val="100"/>
          <w:position w:val="0"/>
        </w:rPr>
        <w:t>事项描述</w:t>
      </w:r>
    </w:p>
    <w:p>
      <w:pPr>
        <w:pStyle w:val="Style34"/>
        <w:keepNext w:val="0"/>
        <w:keepLines w:val="0"/>
        <w:widowControl w:val="0"/>
        <w:shd w:val="clear" w:color="auto" w:fill="auto"/>
        <w:bidi w:val="0"/>
        <w:spacing w:before="0" w:after="340" w:line="499" w:lineRule="exact"/>
        <w:ind w:left="0" w:right="0"/>
        <w:jc w:val="both"/>
      </w:pPr>
      <w:r>
        <w:rPr>
          <w:color w:val="000000"/>
          <w:spacing w:val="0"/>
          <w:w w:val="100"/>
          <w:position w:val="0"/>
        </w:rPr>
        <w:t>如财务报表附注三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二十三</w:t>
      </w:r>
      <w:r>
        <w:rPr>
          <w:rFonts w:ascii="Times New Roman" w:eastAsia="Times New Roman" w:hAnsi="Times New Roman" w:cs="Times New Roman"/>
          <w:color w:val="000000"/>
          <w:spacing w:val="0"/>
          <w:w w:val="100"/>
          <w:position w:val="0"/>
        </w:rPr>
        <w:t>）</w:t>
      </w:r>
      <w:r>
        <w:rPr>
          <w:color w:val="000000"/>
          <w:spacing w:val="0"/>
          <w:w w:val="100"/>
          <w:position w:val="0"/>
        </w:rPr>
        <w:t>与附注五</w:t>
      </w:r>
      <w:r>
        <w:rPr>
          <w:rFonts w:ascii="Times New Roman" w:eastAsia="Times New Roman" w:hAnsi="Times New Roman" w:cs="Times New Roman"/>
          <w:color w:val="000000"/>
          <w:spacing w:val="0"/>
          <w:w w:val="100"/>
          <w:position w:val="0"/>
        </w:rPr>
        <w:t>（</w:t>
      </w:r>
      <w:r>
        <w:rPr>
          <w:color w:val="000000"/>
          <w:spacing w:val="0"/>
          <w:w w:val="100"/>
          <w:position w:val="0"/>
        </w:rPr>
        <w:t>十四</w:t>
      </w:r>
      <w:r>
        <w:rPr>
          <w:rFonts w:ascii="Times New Roman" w:eastAsia="Times New Roman" w:hAnsi="Times New Roman" w:cs="Times New Roman"/>
          <w:color w:val="000000"/>
          <w:spacing w:val="0"/>
          <w:w w:val="100"/>
          <w:position w:val="0"/>
        </w:rPr>
        <w:t>）</w:t>
      </w:r>
      <w:r>
        <w:rPr>
          <w:color w:val="000000"/>
          <w:spacing w:val="0"/>
          <w:w w:val="100"/>
          <w:position w:val="0"/>
        </w:rPr>
        <w:t>所述，截至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高伟达公司因收购子公司而产生的商誉账面原 值</w:t>
      </w:r>
      <w:r>
        <w:rPr>
          <w:rFonts w:ascii="Times New Roman" w:eastAsia="Times New Roman" w:hAnsi="Times New Roman" w:cs="Times New Roman"/>
          <w:color w:val="000000"/>
          <w:spacing w:val="0"/>
          <w:w w:val="100"/>
          <w:position w:val="0"/>
        </w:rPr>
        <w:t>91,902.22</w:t>
      </w:r>
      <w:r>
        <w:rPr>
          <w:color w:val="000000"/>
          <w:spacing w:val="0"/>
          <w:w w:val="100"/>
          <w:position w:val="0"/>
        </w:rPr>
        <w:t>万元，已计提商誉减值准备</w:t>
      </w:r>
      <w:r>
        <w:rPr>
          <w:rFonts w:ascii="Times New Roman" w:eastAsia="Times New Roman" w:hAnsi="Times New Roman" w:cs="Times New Roman"/>
          <w:color w:val="000000"/>
          <w:spacing w:val="0"/>
          <w:w w:val="100"/>
          <w:position w:val="0"/>
        </w:rPr>
        <w:t>77,782.84</w:t>
      </w:r>
      <w:r>
        <w:rPr>
          <w:color w:val="000000"/>
          <w:spacing w:val="0"/>
          <w:w w:val="100"/>
          <w:position w:val="0"/>
        </w:rPr>
        <w:t xml:space="preserve">万元。管理层在每年年度终了对商誉进行减值测试，并依据减值测试的结果 </w:t>
      </w:r>
      <w:r>
        <w:rPr>
          <w:color w:val="000000"/>
          <w:spacing w:val="0"/>
          <w:w w:val="100"/>
          <w:position w:val="0"/>
        </w:rPr>
        <w:t>调整商誉的账面价值。为评估商誉的可收回金额，管理层委聘外部估值专家基于管理层编制的现金流量预测采用预计未来现 金流量折现的模型计算各相关资产及资产组的预计未来现金流量现值。商誉减值测试的结果很大程度上依赖于管理层所做的 估计和采用的假设，例如对资产组或资产组组合预计未来可产生现金流量和折现率的估计。该等估计受到管理层对未来市场 以及对经济环境判断的影响，采用不同的估计和假设会对评估的商誉之可收回价值有很大的影响。由于商誉金额重大，且管 理层需要作出重大判断，因此我们将商誉的减值测试确定为关键审计事项。</w:t>
      </w:r>
    </w:p>
    <w:p>
      <w:pPr>
        <w:pStyle w:val="Style34"/>
        <w:keepNext w:val="0"/>
        <w:keepLines w:val="0"/>
        <w:widowControl w:val="0"/>
        <w:numPr>
          <w:ilvl w:val="0"/>
          <w:numId w:val="11"/>
        </w:numPr>
        <w:shd w:val="clear" w:color="auto" w:fill="auto"/>
        <w:bidi w:val="0"/>
        <w:spacing w:before="0" w:after="0" w:line="583" w:lineRule="auto"/>
        <w:ind w:left="0" w:right="0"/>
        <w:jc w:val="both"/>
      </w:pPr>
      <w:bookmarkStart w:id="635" w:name="bookmark635"/>
      <w:bookmarkEnd w:id="635"/>
      <w:r>
        <w:rPr>
          <w:color w:val="000000"/>
          <w:spacing w:val="0"/>
          <w:w w:val="100"/>
          <w:position w:val="0"/>
        </w:rPr>
        <w:t>审计应对</w:t>
      </w:r>
    </w:p>
    <w:p>
      <w:pPr>
        <w:pStyle w:val="Style34"/>
        <w:keepNext w:val="0"/>
        <w:keepLines w:val="0"/>
        <w:widowControl w:val="0"/>
        <w:shd w:val="clear" w:color="auto" w:fill="auto"/>
        <w:bidi w:val="0"/>
        <w:spacing w:before="0" w:after="340" w:line="503" w:lineRule="exact"/>
        <w:ind w:left="0" w:right="0"/>
        <w:jc w:val="both"/>
      </w:pPr>
      <w:r>
        <w:rPr>
          <w:color w:val="000000"/>
          <w:spacing w:val="0"/>
          <w:w w:val="100"/>
          <w:position w:val="0"/>
        </w:rPr>
        <w:t>我们对商誉减值测试实施的审计程序主要包括：</w:t>
      </w:r>
    </w:p>
    <w:p>
      <w:pPr>
        <w:pStyle w:val="Style34"/>
        <w:keepNext w:val="0"/>
        <w:keepLines w:val="0"/>
        <w:widowControl w:val="0"/>
        <w:numPr>
          <w:ilvl w:val="0"/>
          <w:numId w:val="13"/>
        </w:numPr>
        <w:shd w:val="clear" w:color="auto" w:fill="auto"/>
        <w:tabs>
          <w:tab w:pos="786" w:val="left"/>
        </w:tabs>
        <w:bidi w:val="0"/>
        <w:spacing w:before="0" w:after="0" w:line="583" w:lineRule="auto"/>
        <w:ind w:left="0" w:right="0"/>
        <w:jc w:val="both"/>
      </w:pPr>
      <w:bookmarkStart w:id="636" w:name="bookmark636"/>
      <w:bookmarkEnd w:id="636"/>
      <w:r>
        <w:rPr>
          <w:color w:val="000000"/>
          <w:spacing w:val="0"/>
          <w:w w:val="100"/>
          <w:position w:val="0"/>
        </w:rPr>
        <w:t>了解并测试公司与商誉减值相关的关键内部控制；</w:t>
      </w:r>
    </w:p>
    <w:p>
      <w:pPr>
        <w:pStyle w:val="Style34"/>
        <w:keepNext w:val="0"/>
        <w:keepLines w:val="0"/>
        <w:widowControl w:val="0"/>
        <w:numPr>
          <w:ilvl w:val="0"/>
          <w:numId w:val="13"/>
        </w:numPr>
        <w:shd w:val="clear" w:color="auto" w:fill="auto"/>
        <w:tabs>
          <w:tab w:pos="786" w:val="left"/>
        </w:tabs>
        <w:bidi w:val="0"/>
        <w:spacing w:before="0" w:after="0" w:line="583" w:lineRule="auto"/>
        <w:ind w:left="0" w:right="0"/>
        <w:jc w:val="both"/>
      </w:pPr>
      <w:bookmarkStart w:id="637" w:name="bookmark637"/>
      <w:bookmarkEnd w:id="637"/>
      <w:r>
        <w:rPr>
          <w:color w:val="000000"/>
          <w:spacing w:val="0"/>
          <w:w w:val="100"/>
          <w:position w:val="0"/>
        </w:rPr>
        <w:t>评价商誉是否按照合理的方法分摊至相关资产组或资产组组合；</w:t>
      </w:r>
    </w:p>
    <w:p>
      <w:pPr>
        <w:pStyle w:val="Style34"/>
        <w:keepNext w:val="0"/>
        <w:keepLines w:val="0"/>
        <w:widowControl w:val="0"/>
        <w:numPr>
          <w:ilvl w:val="0"/>
          <w:numId w:val="13"/>
        </w:numPr>
        <w:shd w:val="clear" w:color="auto" w:fill="auto"/>
        <w:tabs>
          <w:tab w:pos="786" w:val="left"/>
        </w:tabs>
        <w:bidi w:val="0"/>
        <w:spacing w:before="0" w:after="0" w:line="583" w:lineRule="auto"/>
        <w:ind w:left="0" w:right="0"/>
        <w:jc w:val="both"/>
      </w:pPr>
      <w:bookmarkStart w:id="638" w:name="bookmark638"/>
      <w:bookmarkEnd w:id="638"/>
      <w:r>
        <w:rPr>
          <w:color w:val="000000"/>
          <w:spacing w:val="0"/>
          <w:w w:val="100"/>
          <w:position w:val="0"/>
        </w:rPr>
        <w:t>了解和评价管理层委聘的外部估值专家的工作；</w:t>
      </w:r>
    </w:p>
    <w:p>
      <w:pPr>
        <w:pStyle w:val="Style34"/>
        <w:keepNext w:val="0"/>
        <w:keepLines w:val="0"/>
        <w:widowControl w:val="0"/>
        <w:numPr>
          <w:ilvl w:val="0"/>
          <w:numId w:val="13"/>
        </w:numPr>
        <w:shd w:val="clear" w:color="auto" w:fill="auto"/>
        <w:tabs>
          <w:tab w:pos="786" w:val="left"/>
        </w:tabs>
        <w:bidi w:val="0"/>
        <w:spacing w:before="0" w:after="0" w:line="583" w:lineRule="auto"/>
        <w:ind w:left="0" w:right="0"/>
        <w:jc w:val="both"/>
      </w:pPr>
      <w:bookmarkStart w:id="639" w:name="bookmark639"/>
      <w:bookmarkEnd w:id="639"/>
      <w:r>
        <w:rPr>
          <w:color w:val="000000"/>
          <w:spacing w:val="0"/>
          <w:w w:val="100"/>
          <w:position w:val="0"/>
        </w:rPr>
        <w:t>分析和检查管理层进行商誉减值测试所依据的基础数据、所采用关键假设及判断的合理性；</w:t>
      </w:r>
    </w:p>
    <w:p>
      <w:pPr>
        <w:pStyle w:val="Style34"/>
        <w:keepNext w:val="0"/>
        <w:keepLines w:val="0"/>
        <w:widowControl w:val="0"/>
        <w:numPr>
          <w:ilvl w:val="0"/>
          <w:numId w:val="13"/>
        </w:numPr>
        <w:shd w:val="clear" w:color="auto" w:fill="auto"/>
        <w:tabs>
          <w:tab w:pos="786" w:val="left"/>
        </w:tabs>
        <w:bidi w:val="0"/>
        <w:spacing w:before="0" w:after="0" w:line="583" w:lineRule="auto"/>
        <w:ind w:left="0" w:right="0"/>
        <w:jc w:val="both"/>
      </w:pPr>
      <w:bookmarkStart w:id="640" w:name="bookmark640"/>
      <w:bookmarkEnd w:id="640"/>
      <w:r>
        <w:rPr>
          <w:color w:val="000000"/>
          <w:spacing w:val="0"/>
          <w:w w:val="100"/>
          <w:position w:val="0"/>
        </w:rPr>
        <w:t>评价在财务报表中有关商誉减值测试的披露是否符合企业会计准则的要求。</w:t>
      </w:r>
    </w:p>
    <w:p>
      <w:pPr>
        <w:pStyle w:val="Style34"/>
        <w:keepNext w:val="0"/>
        <w:keepLines w:val="0"/>
        <w:widowControl w:val="0"/>
        <w:numPr>
          <w:ilvl w:val="0"/>
          <w:numId w:val="15"/>
        </w:numPr>
        <w:shd w:val="clear" w:color="auto" w:fill="auto"/>
        <w:bidi w:val="0"/>
        <w:spacing w:before="0" w:after="0" w:line="583" w:lineRule="auto"/>
        <w:ind w:left="0" w:right="0"/>
        <w:jc w:val="both"/>
      </w:pPr>
      <w:bookmarkStart w:id="641" w:name="bookmark641"/>
      <w:bookmarkEnd w:id="641"/>
      <w:r>
        <w:rPr>
          <w:color w:val="000000"/>
          <w:spacing w:val="0"/>
          <w:w w:val="100"/>
          <w:position w:val="0"/>
        </w:rPr>
        <w:t>应收账款坏账准备的计提</w:t>
      </w:r>
    </w:p>
    <w:p>
      <w:pPr>
        <w:pStyle w:val="Style34"/>
        <w:keepNext w:val="0"/>
        <w:keepLines w:val="0"/>
        <w:widowControl w:val="0"/>
        <w:numPr>
          <w:ilvl w:val="0"/>
          <w:numId w:val="17"/>
        </w:numPr>
        <w:shd w:val="clear" w:color="auto" w:fill="auto"/>
        <w:tabs>
          <w:tab w:pos="700" w:val="left"/>
        </w:tabs>
        <w:bidi w:val="0"/>
        <w:spacing w:before="0" w:after="0" w:line="583" w:lineRule="auto"/>
        <w:ind w:left="0" w:right="0"/>
        <w:jc w:val="both"/>
      </w:pPr>
      <w:bookmarkStart w:id="642" w:name="bookmark642"/>
      <w:bookmarkEnd w:id="642"/>
      <w:r>
        <w:rPr>
          <w:color w:val="000000"/>
          <w:spacing w:val="0"/>
          <w:w w:val="100"/>
          <w:position w:val="0"/>
        </w:rPr>
        <w:t>事项描述</w:t>
      </w:r>
    </w:p>
    <w:p>
      <w:pPr>
        <w:pStyle w:val="Style34"/>
        <w:keepNext w:val="0"/>
        <w:keepLines w:val="0"/>
        <w:widowControl w:val="0"/>
        <w:shd w:val="clear" w:color="auto" w:fill="auto"/>
        <w:bidi w:val="0"/>
        <w:spacing w:before="0" w:after="340" w:line="503" w:lineRule="exact"/>
        <w:ind w:left="0" w:right="0"/>
        <w:jc w:val="both"/>
      </w:pPr>
      <w:r>
        <w:rPr>
          <w:color w:val="000000"/>
          <w:spacing w:val="0"/>
          <w:w w:val="100"/>
          <w:position w:val="0"/>
        </w:rPr>
        <w:t>如财务报表附注三</w:t>
      </w:r>
      <w:r>
        <w:rPr>
          <w:rFonts w:ascii="Times New Roman" w:eastAsia="Times New Roman" w:hAnsi="Times New Roman" w:cs="Times New Roman"/>
          <w:color w:val="000000"/>
          <w:spacing w:val="0"/>
          <w:w w:val="100"/>
          <w:position w:val="0"/>
        </w:rPr>
        <w:t>(</w:t>
      </w:r>
      <w:r>
        <w:rPr>
          <w:color w:val="000000"/>
          <w:spacing w:val="0"/>
          <w:w w:val="100"/>
          <w:position w:val="0"/>
        </w:rPr>
        <w:t>十三</w:t>
      </w:r>
      <w:r>
        <w:rPr>
          <w:rFonts w:ascii="Times New Roman" w:eastAsia="Times New Roman" w:hAnsi="Times New Roman" w:cs="Times New Roman"/>
          <w:color w:val="000000"/>
          <w:spacing w:val="0"/>
          <w:w w:val="100"/>
          <w:position w:val="0"/>
        </w:rPr>
        <w:t>)</w:t>
      </w:r>
      <w:r>
        <w:rPr>
          <w:color w:val="000000"/>
          <w:spacing w:val="0"/>
          <w:w w:val="100"/>
          <w:position w:val="0"/>
        </w:rPr>
        <w:t>与附注五</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w:t>
      </w:r>
      <w:r>
        <w:rPr>
          <w:color w:val="000000"/>
          <w:spacing w:val="0"/>
          <w:w w:val="100"/>
          <w:position w:val="0"/>
        </w:rPr>
        <w:t>所述，截至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日，高伟达公司应收账款账面价值</w:t>
      </w:r>
      <w:r>
        <w:rPr>
          <w:rFonts w:ascii="Times New Roman" w:eastAsia="Times New Roman" w:hAnsi="Times New Roman" w:cs="Times New Roman"/>
          <w:color w:val="000000"/>
          <w:spacing w:val="0"/>
          <w:w w:val="100"/>
          <w:position w:val="0"/>
        </w:rPr>
        <w:t>36,379.7</w:t>
      </w:r>
      <w:r>
        <w:rPr>
          <w:rFonts w:ascii="Times New Roman" w:eastAsia="Times New Roman" w:hAnsi="Times New Roman" w:cs="Times New Roman"/>
          <w:color w:val="000000"/>
          <w:spacing w:val="0"/>
          <w:w w:val="100"/>
          <w:position w:val="0"/>
        </w:rPr>
        <w:t>0</w:t>
      </w:r>
      <w:r>
        <w:rPr>
          <w:color w:val="000000"/>
          <w:spacing w:val="0"/>
          <w:w w:val="100"/>
          <w:position w:val="0"/>
        </w:rPr>
        <w:t>万元，占合 并财务报表资产总额的</w:t>
      </w:r>
      <w:r>
        <w:rPr>
          <w:rFonts w:ascii="Times New Roman" w:eastAsia="Times New Roman" w:hAnsi="Times New Roman" w:cs="Times New Roman"/>
          <w:color w:val="000000"/>
          <w:spacing w:val="0"/>
          <w:w w:val="100"/>
          <w:position w:val="0"/>
        </w:rPr>
        <w:t>18.76%</w:t>
      </w:r>
      <w:r>
        <w:rPr>
          <w:color w:val="000000"/>
          <w:spacing w:val="0"/>
          <w:w w:val="100"/>
          <w:position w:val="0"/>
        </w:rPr>
        <w:t>。管理层依据信用风险特征将应收账款划分为若干组合，在组合的基础上参考历史信用损失 经验，结合当前状况以及前瞻性信息的预测，通过违约风险敞口和预期信用损失率计算预期信用损失，确认坏账准备。上述 应收账款的余额重大，并且坏账准备的计提涉及重大会计估计与判断，尤其是预期信用损失率的估计，因此，我们将应收账 款坏账准备的计提识别为关键审计事项。</w:t>
      </w:r>
    </w:p>
    <w:p>
      <w:pPr>
        <w:pStyle w:val="Style34"/>
        <w:keepNext w:val="0"/>
        <w:keepLines w:val="0"/>
        <w:widowControl w:val="0"/>
        <w:numPr>
          <w:ilvl w:val="0"/>
          <w:numId w:val="17"/>
        </w:numPr>
        <w:shd w:val="clear" w:color="auto" w:fill="auto"/>
        <w:tabs>
          <w:tab w:pos="719" w:val="left"/>
        </w:tabs>
        <w:bidi w:val="0"/>
        <w:spacing w:before="0" w:after="0" w:line="583" w:lineRule="auto"/>
        <w:ind w:left="0" w:right="0"/>
        <w:jc w:val="both"/>
      </w:pPr>
      <w:bookmarkStart w:id="643" w:name="bookmark643"/>
      <w:bookmarkEnd w:id="643"/>
      <w:r>
        <w:rPr>
          <w:color w:val="000000"/>
          <w:spacing w:val="0"/>
          <w:w w:val="100"/>
          <w:position w:val="0"/>
        </w:rPr>
        <w:t>审计应对</w:t>
      </w:r>
    </w:p>
    <w:p>
      <w:pPr>
        <w:pStyle w:val="Style34"/>
        <w:keepNext w:val="0"/>
        <w:keepLines w:val="0"/>
        <w:widowControl w:val="0"/>
        <w:shd w:val="clear" w:color="auto" w:fill="auto"/>
        <w:bidi w:val="0"/>
        <w:spacing w:before="0" w:after="340" w:line="503" w:lineRule="exact"/>
        <w:ind w:left="0" w:right="0"/>
        <w:jc w:val="both"/>
      </w:pPr>
      <w:r>
        <w:rPr>
          <w:color w:val="000000"/>
          <w:spacing w:val="0"/>
          <w:w w:val="100"/>
          <w:position w:val="0"/>
        </w:rPr>
        <w:t>我们针对应收账款坏账准备的计提执行的审计程序主要包括：</w:t>
      </w:r>
    </w:p>
    <w:p>
      <w:pPr>
        <w:pStyle w:val="Style34"/>
        <w:keepNext w:val="0"/>
        <w:keepLines w:val="0"/>
        <w:widowControl w:val="0"/>
        <w:numPr>
          <w:ilvl w:val="0"/>
          <w:numId w:val="19"/>
        </w:numPr>
        <w:shd w:val="clear" w:color="auto" w:fill="auto"/>
        <w:tabs>
          <w:tab w:pos="786" w:val="left"/>
        </w:tabs>
        <w:bidi w:val="0"/>
        <w:spacing w:before="0" w:after="0" w:line="595" w:lineRule="auto"/>
        <w:ind w:left="0" w:right="0"/>
        <w:jc w:val="both"/>
      </w:pPr>
      <w:bookmarkStart w:id="644" w:name="bookmark644"/>
      <w:bookmarkEnd w:id="644"/>
      <w:r>
        <w:rPr>
          <w:color w:val="000000"/>
          <w:spacing w:val="0"/>
          <w:w w:val="100"/>
          <w:position w:val="0"/>
        </w:rPr>
        <w:t>了解、评估及测试公司与应收账款组合划分以及预期信用损失估计相关的内部控制；</w:t>
      </w:r>
    </w:p>
    <w:p>
      <w:pPr>
        <w:pStyle w:val="Style34"/>
        <w:keepNext w:val="0"/>
        <w:keepLines w:val="0"/>
        <w:widowControl w:val="0"/>
        <w:numPr>
          <w:ilvl w:val="0"/>
          <w:numId w:val="19"/>
        </w:numPr>
        <w:shd w:val="clear" w:color="auto" w:fill="auto"/>
        <w:tabs>
          <w:tab w:pos="762" w:val="left"/>
        </w:tabs>
        <w:bidi w:val="0"/>
        <w:spacing w:before="0" w:after="0" w:line="514" w:lineRule="exact"/>
        <w:ind w:left="0" w:right="0"/>
        <w:jc w:val="both"/>
      </w:pPr>
      <w:bookmarkStart w:id="645" w:name="bookmark645"/>
      <w:bookmarkEnd w:id="645"/>
      <w:r>
        <w:rPr>
          <w:color w:val="000000"/>
          <w:spacing w:val="0"/>
          <w:w w:val="100"/>
          <w:position w:val="0"/>
        </w:rPr>
        <w:t>对于单项计提的应收账款，复核管理层评估信用风险及预期信用损失金额的依据，包括管理层结合客户背景、经营 现状、市场环境、历史还款情况、违约记录等对信用风险作出的评估；</w:t>
      </w:r>
    </w:p>
    <w:p>
      <w:pPr>
        <w:pStyle w:val="Style34"/>
        <w:keepNext w:val="0"/>
        <w:keepLines w:val="0"/>
        <w:widowControl w:val="0"/>
        <w:numPr>
          <w:ilvl w:val="0"/>
          <w:numId w:val="19"/>
        </w:numPr>
        <w:shd w:val="clear" w:color="auto" w:fill="auto"/>
        <w:tabs>
          <w:tab w:pos="762" w:val="left"/>
        </w:tabs>
        <w:bidi w:val="0"/>
        <w:spacing w:before="0" w:after="340" w:line="504" w:lineRule="exact"/>
        <w:ind w:left="0" w:right="0"/>
        <w:jc w:val="both"/>
      </w:pPr>
      <w:bookmarkStart w:id="646" w:name="bookmark646"/>
      <w:bookmarkEnd w:id="646"/>
      <w:r>
        <w:rPr>
          <w:color w:val="000000"/>
          <w:spacing w:val="0"/>
          <w:w w:val="100"/>
          <w:position w:val="0"/>
        </w:rPr>
        <w:t xml:space="preserve">对于按照组合计提的应收账款，复核管理层对于信用风险特征组合的划分标准是否适当，抽样复核各组合的账期天 数、历史还款情况、违约记录、逾期账龄等关键信息。同时，以信用风险特征组合为基础复核管理层评估信用风险以及预期 </w:t>
      </w:r>
      <w:r>
        <w:rPr>
          <w:color w:val="000000"/>
          <w:spacing w:val="0"/>
          <w:w w:val="100"/>
          <w:position w:val="0"/>
        </w:rPr>
        <w:t>信用损失金额的依据，包括管理层结合客户背景、经营现状、市场环境、历史还款情况、违约记录等对信用风险作出的评估；</w:t>
      </w:r>
    </w:p>
    <w:p>
      <w:pPr>
        <w:pStyle w:val="Style34"/>
        <w:keepNext w:val="0"/>
        <w:keepLines w:val="0"/>
        <w:widowControl w:val="0"/>
        <w:shd w:val="clear" w:color="auto" w:fill="auto"/>
        <w:tabs>
          <w:tab w:pos="786" w:val="left"/>
        </w:tabs>
        <w:bidi w:val="0"/>
        <w:spacing w:before="0" w:after="0" w:line="583" w:lineRule="auto"/>
        <w:ind w:left="0" w:right="0"/>
        <w:jc w:val="both"/>
      </w:pPr>
      <w:bookmarkStart w:id="647" w:name="bookmark647"/>
      <w:r>
        <w:rPr>
          <w:rFonts w:ascii="Times New Roman" w:eastAsia="Times New Roman" w:hAnsi="Times New Roman" w:cs="Times New Roman"/>
          <w:color w:val="000000"/>
          <w:spacing w:val="0"/>
          <w:w w:val="100"/>
          <w:position w:val="0"/>
        </w:rPr>
        <w:t>（</w:t>
      </w:r>
      <w:bookmarkEnd w:id="647"/>
      <w:r>
        <w:rPr>
          <w:rFonts w:ascii="Times New Roman" w:eastAsia="Times New Roman" w:hAnsi="Times New Roman" w:cs="Times New Roman"/>
          <w:color w:val="000000"/>
          <w:spacing w:val="0"/>
          <w:w w:val="100"/>
          <w:position w:val="0"/>
        </w:rPr>
        <w:t>4）</w:t>
        <w:tab/>
      </w:r>
      <w:r>
        <w:rPr>
          <w:color w:val="000000"/>
          <w:spacing w:val="0"/>
          <w:w w:val="100"/>
          <w:position w:val="0"/>
        </w:rPr>
        <w:t>对管理层的应收账款坏账准备计算执行重新计算；</w:t>
      </w:r>
    </w:p>
    <w:p>
      <w:pPr>
        <w:pStyle w:val="Style34"/>
        <w:keepNext w:val="0"/>
        <w:keepLines w:val="0"/>
        <w:widowControl w:val="0"/>
        <w:shd w:val="clear" w:color="auto" w:fill="auto"/>
        <w:tabs>
          <w:tab w:pos="786" w:val="left"/>
        </w:tabs>
        <w:bidi w:val="0"/>
        <w:spacing w:before="0" w:after="0" w:line="583" w:lineRule="auto"/>
        <w:ind w:left="0" w:right="0"/>
        <w:jc w:val="both"/>
      </w:pPr>
      <w:bookmarkStart w:id="648" w:name="bookmark648"/>
      <w:r>
        <w:rPr>
          <w:rFonts w:ascii="Times New Roman" w:eastAsia="Times New Roman" w:hAnsi="Times New Roman" w:cs="Times New Roman"/>
          <w:color w:val="000000"/>
          <w:spacing w:val="0"/>
          <w:w w:val="100"/>
          <w:position w:val="0"/>
        </w:rPr>
        <w:t>（</w:t>
      </w:r>
      <w:bookmarkEnd w:id="648"/>
      <w:r>
        <w:rPr>
          <w:rFonts w:ascii="Times New Roman" w:eastAsia="Times New Roman" w:hAnsi="Times New Roman" w:cs="Times New Roman"/>
          <w:color w:val="000000"/>
          <w:spacing w:val="0"/>
          <w:w w:val="100"/>
          <w:position w:val="0"/>
        </w:rPr>
        <w:t>5）</w:t>
        <w:tab/>
      </w:r>
      <w:r>
        <w:rPr>
          <w:color w:val="000000"/>
          <w:spacing w:val="0"/>
          <w:w w:val="100"/>
          <w:position w:val="0"/>
        </w:rPr>
        <w:t>评估于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日管理层对应收账款坏账准备的会计处理及披露是否准确。</w:t>
      </w:r>
    </w:p>
    <w:p>
      <w:pPr>
        <w:pStyle w:val="Style34"/>
        <w:keepNext w:val="0"/>
        <w:keepLines w:val="0"/>
        <w:widowControl w:val="0"/>
        <w:shd w:val="clear" w:color="auto" w:fill="auto"/>
        <w:tabs>
          <w:tab w:pos="801" w:val="left"/>
        </w:tabs>
        <w:bidi w:val="0"/>
        <w:spacing w:before="0" w:after="0" w:line="502" w:lineRule="exact"/>
        <w:ind w:left="0" w:right="0"/>
        <w:jc w:val="both"/>
      </w:pPr>
      <w:bookmarkStart w:id="649" w:name="bookmark649"/>
      <w:r>
        <w:rPr>
          <w:color w:val="000000"/>
          <w:spacing w:val="0"/>
          <w:w w:val="100"/>
          <w:position w:val="0"/>
        </w:rPr>
        <w:t>四</w:t>
      </w:r>
      <w:bookmarkEnd w:id="649"/>
      <w:r>
        <w:rPr>
          <w:color w:val="000000"/>
          <w:spacing w:val="0"/>
          <w:w w:val="100"/>
          <w:position w:val="0"/>
        </w:rPr>
        <w:t>、</w:t>
        <w:tab/>
        <w:t>其他信息</w:t>
      </w:r>
    </w:p>
    <w:p>
      <w:pPr>
        <w:pStyle w:val="Style34"/>
        <w:keepNext w:val="0"/>
        <w:keepLines w:val="0"/>
        <w:widowControl w:val="0"/>
        <w:shd w:val="clear" w:color="auto" w:fill="auto"/>
        <w:bidi w:val="0"/>
        <w:spacing w:before="0" w:after="0" w:line="509" w:lineRule="exact"/>
        <w:ind w:left="0" w:right="0"/>
        <w:jc w:val="both"/>
      </w:pPr>
      <w:r>
        <w:rPr>
          <w:color w:val="000000"/>
          <w:spacing w:val="0"/>
          <w:w w:val="100"/>
          <w:position w:val="0"/>
        </w:rPr>
        <w:t>高伟达公司管理层</w:t>
      </w:r>
      <w:r>
        <w:rPr>
          <w:rFonts w:ascii="Times New Roman" w:eastAsia="Times New Roman" w:hAnsi="Times New Roman" w:cs="Times New Roman"/>
          <w:color w:val="000000"/>
          <w:spacing w:val="0"/>
          <w:w w:val="100"/>
          <w:position w:val="0"/>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rPr>
        <w:t>）</w:t>
      </w:r>
      <w:r>
        <w:rPr>
          <w:color w:val="000000"/>
          <w:spacing w:val="0"/>
          <w:w w:val="100"/>
          <w:position w:val="0"/>
        </w:rPr>
        <w:t>对其他信息负责。其他信息包括</w:t>
      </w:r>
      <w:r>
        <w:rPr>
          <w:rFonts w:ascii="Times New Roman" w:eastAsia="Times New Roman" w:hAnsi="Times New Roman" w:cs="Times New Roman"/>
          <w:color w:val="000000"/>
          <w:spacing w:val="0"/>
          <w:w w:val="100"/>
          <w:position w:val="0"/>
        </w:rPr>
        <w:t>2020</w:t>
      </w:r>
      <w:r>
        <w:rPr>
          <w:color w:val="000000"/>
          <w:spacing w:val="0"/>
          <w:w w:val="100"/>
          <w:position w:val="0"/>
        </w:rPr>
        <w:t>年度报告中涵盖的信息，但不包括财务报表和 我们的审计报告。</w:t>
      </w:r>
    </w:p>
    <w:p>
      <w:pPr>
        <w:pStyle w:val="Style34"/>
        <w:keepNext w:val="0"/>
        <w:keepLines w:val="0"/>
        <w:widowControl w:val="0"/>
        <w:shd w:val="clear" w:color="auto" w:fill="auto"/>
        <w:bidi w:val="0"/>
        <w:spacing w:before="0" w:after="0" w:line="502"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4"/>
        <w:keepNext w:val="0"/>
        <w:keepLines w:val="0"/>
        <w:widowControl w:val="0"/>
        <w:shd w:val="clear" w:color="auto" w:fill="auto"/>
        <w:bidi w:val="0"/>
        <w:spacing w:before="0" w:after="0" w:line="504"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4"/>
        <w:keepNext w:val="0"/>
        <w:keepLines w:val="0"/>
        <w:widowControl w:val="0"/>
        <w:shd w:val="clear" w:color="auto" w:fill="auto"/>
        <w:bidi w:val="0"/>
        <w:spacing w:before="0" w:after="0" w:line="504"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4"/>
        <w:keepNext w:val="0"/>
        <w:keepLines w:val="0"/>
        <w:widowControl w:val="0"/>
        <w:shd w:val="clear" w:color="auto" w:fill="auto"/>
        <w:tabs>
          <w:tab w:pos="815" w:val="left"/>
        </w:tabs>
        <w:bidi w:val="0"/>
        <w:spacing w:before="0" w:after="0" w:line="502" w:lineRule="exact"/>
        <w:ind w:left="0" w:right="0"/>
        <w:jc w:val="both"/>
      </w:pPr>
      <w:bookmarkStart w:id="650" w:name="bookmark650"/>
      <w:r>
        <w:rPr>
          <w:color w:val="000000"/>
          <w:spacing w:val="0"/>
          <w:w w:val="100"/>
          <w:position w:val="0"/>
        </w:rPr>
        <w:t>五</w:t>
      </w:r>
      <w:bookmarkEnd w:id="650"/>
      <w:r>
        <w:rPr>
          <w:color w:val="000000"/>
          <w:spacing w:val="0"/>
          <w:w w:val="100"/>
          <w:position w:val="0"/>
        </w:rPr>
        <w:t>、</w:t>
        <w:tab/>
        <w:t>管理层和治理层对财务报表的责任</w:t>
      </w:r>
    </w:p>
    <w:p>
      <w:pPr>
        <w:pStyle w:val="Style34"/>
        <w:keepNext w:val="0"/>
        <w:keepLines w:val="0"/>
        <w:widowControl w:val="0"/>
        <w:shd w:val="clear" w:color="auto" w:fill="auto"/>
        <w:bidi w:val="0"/>
        <w:spacing w:before="0" w:after="0" w:line="499"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4"/>
        <w:keepNext w:val="0"/>
        <w:keepLines w:val="0"/>
        <w:widowControl w:val="0"/>
        <w:shd w:val="clear" w:color="auto" w:fill="auto"/>
        <w:bidi w:val="0"/>
        <w:spacing w:before="0" w:after="0" w:line="504" w:lineRule="exact"/>
        <w:ind w:left="0" w:right="0"/>
        <w:jc w:val="both"/>
      </w:pPr>
      <w:r>
        <w:rPr>
          <w:color w:val="000000"/>
          <w:spacing w:val="0"/>
          <w:w w:val="100"/>
          <w:position w:val="0"/>
        </w:rPr>
        <w:t>在编制财务报表时，管理层负责评估高伟达公司的持续经营能力，披露与持续经营相关的事项</w:t>
      </w:r>
      <w:r>
        <w:rPr>
          <w:rFonts w:ascii="Times New Roman" w:eastAsia="Times New Roman" w:hAnsi="Times New Roman" w:cs="Times New Roman"/>
          <w:color w:val="000000"/>
          <w:spacing w:val="0"/>
          <w:w w:val="100"/>
          <w:position w:val="0"/>
        </w:rPr>
        <w:t>（</w:t>
      </w:r>
      <w:r>
        <w:rPr>
          <w:color w:val="000000"/>
          <w:spacing w:val="0"/>
          <w:w w:val="100"/>
          <w:position w:val="0"/>
        </w:rPr>
        <w:t>如适用</w:t>
      </w:r>
      <w:r>
        <w:rPr>
          <w:rFonts w:ascii="Times New Roman" w:eastAsia="Times New Roman" w:hAnsi="Times New Roman" w:cs="Times New Roman"/>
          <w:color w:val="000000"/>
          <w:spacing w:val="0"/>
          <w:w w:val="100"/>
          <w:position w:val="0"/>
        </w:rPr>
        <w:t>）</w:t>
      </w:r>
      <w:r>
        <w:rPr>
          <w:color w:val="000000"/>
          <w:spacing w:val="0"/>
          <w:w w:val="100"/>
          <w:position w:val="0"/>
        </w:rPr>
        <w:t>，并运用持续经 营假设，除非管理层计划清算高伟达公司、终止运营或别无其他现实的选择。</w:t>
      </w:r>
    </w:p>
    <w:p>
      <w:pPr>
        <w:pStyle w:val="Style34"/>
        <w:keepNext w:val="0"/>
        <w:keepLines w:val="0"/>
        <w:widowControl w:val="0"/>
        <w:shd w:val="clear" w:color="auto" w:fill="auto"/>
        <w:bidi w:val="0"/>
        <w:spacing w:before="0" w:after="0" w:line="502" w:lineRule="exact"/>
        <w:ind w:left="0" w:right="0"/>
        <w:jc w:val="both"/>
      </w:pPr>
      <w:r>
        <w:rPr>
          <w:color w:val="000000"/>
          <w:spacing w:val="0"/>
          <w:w w:val="100"/>
          <w:position w:val="0"/>
        </w:rPr>
        <w:t>高伟达公司治理层</w:t>
      </w:r>
      <w:r>
        <w:rPr>
          <w:rFonts w:ascii="Times New Roman" w:eastAsia="Times New Roman" w:hAnsi="Times New Roman" w:cs="Times New Roman"/>
          <w:color w:val="000000"/>
          <w:spacing w:val="0"/>
          <w:w w:val="100"/>
          <w:position w:val="0"/>
        </w:rPr>
        <w:t>（</w:t>
      </w:r>
      <w:r>
        <w:rPr>
          <w:color w:val="000000"/>
          <w:spacing w:val="0"/>
          <w:w w:val="100"/>
          <w:position w:val="0"/>
        </w:rPr>
        <w:t>以下简称治理层</w:t>
      </w:r>
      <w:r>
        <w:rPr>
          <w:rFonts w:ascii="Times New Roman" w:eastAsia="Times New Roman" w:hAnsi="Times New Roman" w:cs="Times New Roman"/>
          <w:color w:val="000000"/>
          <w:spacing w:val="0"/>
          <w:w w:val="100"/>
          <w:position w:val="0"/>
        </w:rPr>
        <w:t>）</w:t>
      </w:r>
      <w:r>
        <w:rPr>
          <w:color w:val="000000"/>
          <w:spacing w:val="0"/>
          <w:w w:val="100"/>
          <w:position w:val="0"/>
        </w:rPr>
        <w:t>负责监督高伟达公司的财务报告过程。</w:t>
      </w:r>
    </w:p>
    <w:p>
      <w:pPr>
        <w:pStyle w:val="Style34"/>
        <w:keepNext w:val="0"/>
        <w:keepLines w:val="0"/>
        <w:widowControl w:val="0"/>
        <w:shd w:val="clear" w:color="auto" w:fill="auto"/>
        <w:tabs>
          <w:tab w:pos="815" w:val="left"/>
        </w:tabs>
        <w:bidi w:val="0"/>
        <w:spacing w:before="0" w:after="0" w:line="502" w:lineRule="exact"/>
        <w:ind w:left="0" w:right="0"/>
        <w:jc w:val="both"/>
      </w:pPr>
      <w:bookmarkStart w:id="651" w:name="bookmark651"/>
      <w:r>
        <w:rPr>
          <w:color w:val="000000"/>
          <w:spacing w:val="0"/>
          <w:w w:val="100"/>
          <w:position w:val="0"/>
        </w:rPr>
        <w:t>六</w:t>
      </w:r>
      <w:bookmarkEnd w:id="651"/>
      <w:r>
        <w:rPr>
          <w:color w:val="000000"/>
          <w:spacing w:val="0"/>
          <w:w w:val="100"/>
          <w:position w:val="0"/>
        </w:rPr>
        <w:t>、</w:t>
        <w:tab/>
        <w:t>注册会计师对财务报表审计的责任</w:t>
      </w:r>
    </w:p>
    <w:p>
      <w:pPr>
        <w:pStyle w:val="Style34"/>
        <w:keepNext w:val="0"/>
        <w:keepLines w:val="0"/>
        <w:widowControl w:val="0"/>
        <w:shd w:val="clear" w:color="auto" w:fill="auto"/>
        <w:bidi w:val="0"/>
        <w:spacing w:before="0" w:after="0" w:line="501"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4"/>
        <w:keepNext w:val="0"/>
        <w:keepLines w:val="0"/>
        <w:widowControl w:val="0"/>
        <w:shd w:val="clear" w:color="auto" w:fill="auto"/>
        <w:bidi w:val="0"/>
        <w:spacing w:before="0" w:after="0" w:line="502"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34"/>
        <w:keepNext w:val="0"/>
        <w:keepLines w:val="0"/>
        <w:widowControl w:val="0"/>
        <w:shd w:val="clear" w:color="auto" w:fill="auto"/>
        <w:bidi w:val="0"/>
        <w:spacing w:before="0" w:after="0" w:line="499" w:lineRule="exact"/>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r>
        <w:br w:type="page"/>
      </w:r>
    </w:p>
    <w:p>
      <w:pPr>
        <w:pStyle w:val="Style34"/>
        <w:keepNext w:val="0"/>
        <w:keepLines w:val="0"/>
        <w:widowControl w:val="0"/>
        <w:shd w:val="clear" w:color="auto" w:fill="auto"/>
        <w:tabs>
          <w:tab w:pos="853" w:val="left"/>
        </w:tabs>
        <w:bidi w:val="0"/>
        <w:spacing w:before="0" w:after="40" w:line="499" w:lineRule="exact"/>
        <w:ind w:left="0" w:right="0" w:firstLine="360"/>
        <w:jc w:val="both"/>
      </w:pPr>
      <w:bookmarkStart w:id="652" w:name="bookmark652"/>
      <w:r>
        <w:rPr>
          <w:rFonts w:ascii="Times New Roman" w:eastAsia="Times New Roman" w:hAnsi="Times New Roman" w:cs="Times New Roman"/>
          <w:color w:val="000000"/>
          <w:spacing w:val="0"/>
          <w:w w:val="100"/>
          <w:position w:val="0"/>
        </w:rPr>
        <w:t>（</w:t>
      </w:r>
      <w:bookmarkEnd w:id="65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了解与审计相关的内部控制，以设计恰当的审计程序，但目的并非对内部控制的有效性发表意见。</w:t>
      </w:r>
    </w:p>
    <w:p>
      <w:pPr>
        <w:pStyle w:val="Style34"/>
        <w:keepNext w:val="0"/>
        <w:keepLines w:val="0"/>
        <w:widowControl w:val="0"/>
        <w:shd w:val="clear" w:color="auto" w:fill="auto"/>
        <w:tabs>
          <w:tab w:pos="853" w:val="left"/>
        </w:tabs>
        <w:bidi w:val="0"/>
        <w:spacing w:before="0" w:after="40" w:line="499" w:lineRule="exact"/>
        <w:ind w:left="0" w:right="0" w:firstLine="360"/>
        <w:jc w:val="both"/>
      </w:pPr>
      <w:bookmarkStart w:id="653" w:name="bookmark653"/>
      <w:r>
        <w:rPr>
          <w:rFonts w:ascii="Times New Roman" w:eastAsia="Times New Roman" w:hAnsi="Times New Roman" w:cs="Times New Roman"/>
          <w:color w:val="000000"/>
          <w:spacing w:val="0"/>
          <w:w w:val="100"/>
          <w:position w:val="0"/>
        </w:rPr>
        <w:t>（</w:t>
      </w:r>
      <w:bookmarkEnd w:id="65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评价管理层选用会计政策的恰当性和作出会计估计及相关披露的合理性。</w:t>
      </w:r>
    </w:p>
    <w:p>
      <w:pPr>
        <w:pStyle w:val="Style34"/>
        <w:keepNext w:val="0"/>
        <w:keepLines w:val="0"/>
        <w:widowControl w:val="0"/>
        <w:shd w:val="clear" w:color="auto" w:fill="auto"/>
        <w:tabs>
          <w:tab w:pos="853" w:val="left"/>
        </w:tabs>
        <w:bidi w:val="0"/>
        <w:spacing w:before="0" w:after="40" w:line="499" w:lineRule="exact"/>
        <w:ind w:left="0" w:right="0" w:firstLine="360"/>
        <w:jc w:val="both"/>
      </w:pPr>
      <w:bookmarkStart w:id="654" w:name="bookmark654"/>
      <w:r>
        <w:rPr>
          <w:rFonts w:ascii="Times New Roman" w:eastAsia="Times New Roman" w:hAnsi="Times New Roman" w:cs="Times New Roman"/>
          <w:color w:val="000000"/>
          <w:spacing w:val="0"/>
          <w:w w:val="100"/>
          <w:position w:val="0"/>
        </w:rPr>
        <w:t>（</w:t>
      </w:r>
      <w:bookmarkEnd w:id="654"/>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对管理层使用持续经营假设的恰当性得出结论。同时，根据获取的审计证据，就可能导致对高伟达公司持续经营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基于截至审计报告日可获得的信息。然而，未来的事项或情况可能导致高伟达公司不能持续经营。</w:t>
      </w:r>
    </w:p>
    <w:p>
      <w:pPr>
        <w:pStyle w:val="Style34"/>
        <w:keepNext w:val="0"/>
        <w:keepLines w:val="0"/>
        <w:widowControl w:val="0"/>
        <w:shd w:val="clear" w:color="auto" w:fill="auto"/>
        <w:tabs>
          <w:tab w:pos="858" w:val="left"/>
        </w:tabs>
        <w:bidi w:val="0"/>
        <w:spacing w:before="0" w:after="40" w:line="499" w:lineRule="exact"/>
        <w:ind w:left="0" w:right="0" w:firstLine="360"/>
        <w:jc w:val="both"/>
      </w:pPr>
      <w:bookmarkStart w:id="655" w:name="bookmark655"/>
      <w:r>
        <w:rPr>
          <w:rFonts w:ascii="Times New Roman" w:eastAsia="Times New Roman" w:hAnsi="Times New Roman" w:cs="Times New Roman"/>
          <w:color w:val="000000"/>
          <w:spacing w:val="0"/>
          <w:w w:val="100"/>
          <w:position w:val="0"/>
        </w:rPr>
        <w:t>（</w:t>
      </w:r>
      <w:bookmarkEnd w:id="655"/>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评价财务报表的总体列报、结构和内容，并评价财务报表是否公允反映相关交易和事项。</w:t>
      </w:r>
    </w:p>
    <w:p>
      <w:pPr>
        <w:pStyle w:val="Style34"/>
        <w:keepNext w:val="0"/>
        <w:keepLines w:val="0"/>
        <w:widowControl w:val="0"/>
        <w:shd w:val="clear" w:color="auto" w:fill="auto"/>
        <w:tabs>
          <w:tab w:pos="853" w:val="left"/>
        </w:tabs>
        <w:bidi w:val="0"/>
        <w:spacing w:before="0" w:after="40" w:line="499" w:lineRule="exact"/>
        <w:ind w:left="0" w:right="0" w:firstLine="360"/>
        <w:jc w:val="both"/>
      </w:pPr>
      <w:bookmarkStart w:id="656" w:name="bookmark656"/>
      <w:r>
        <w:rPr>
          <w:rFonts w:ascii="Times New Roman" w:eastAsia="Times New Roman" w:hAnsi="Times New Roman" w:cs="Times New Roman"/>
          <w:color w:val="000000"/>
          <w:spacing w:val="0"/>
          <w:w w:val="100"/>
          <w:position w:val="0"/>
        </w:rPr>
        <w:t>（</w:t>
      </w:r>
      <w:bookmarkEnd w:id="656"/>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就高伟达公司中实体或业务活动的财务信息获取充分、适当的审计证据，以对财务报表发表审计意见。我们负责 指导、监督和执行集团审计，并对审计意见承担全部责任。</w:t>
      </w:r>
    </w:p>
    <w:p>
      <w:pPr>
        <w:pStyle w:val="Style34"/>
        <w:keepNext w:val="0"/>
        <w:keepLines w:val="0"/>
        <w:widowControl w:val="0"/>
        <w:shd w:val="clear" w:color="auto" w:fill="auto"/>
        <w:bidi w:val="0"/>
        <w:spacing w:before="0" w:after="40" w:line="499"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4"/>
        <w:keepNext w:val="0"/>
        <w:keepLines w:val="0"/>
        <w:widowControl w:val="0"/>
        <w:shd w:val="clear" w:color="auto" w:fill="auto"/>
        <w:bidi w:val="0"/>
        <w:spacing w:before="0" w:after="40" w:line="504"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r>
        <w:rPr>
          <w:rFonts w:ascii="Times New Roman" w:eastAsia="Times New Roman" w:hAnsi="Times New Roman" w:cs="Times New Roman"/>
          <w:color w:val="000000"/>
          <w:spacing w:val="0"/>
          <w:w w:val="100"/>
          <w:position w:val="0"/>
        </w:rPr>
        <w:t>（</w:t>
      </w:r>
      <w:r>
        <w:rPr>
          <w:color w:val="000000"/>
          <w:spacing w:val="0"/>
          <w:w w:val="100"/>
          <w:position w:val="0"/>
        </w:rPr>
        <w:t>如适用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bidi w:val="0"/>
        <w:spacing w:before="0" w:after="1760" w:line="499"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4"/>
        <w:keepNext w:val="0"/>
        <w:keepLines w:val="0"/>
        <w:widowControl w:val="0"/>
        <w:shd w:val="clear" w:color="auto" w:fill="auto"/>
        <w:bidi w:val="0"/>
        <w:spacing w:before="0" w:after="120" w:line="240" w:lineRule="auto"/>
        <w:ind w:left="0" w:right="980" w:firstLine="0"/>
        <w:jc w:val="right"/>
      </w:pPr>
      <w:r>
        <mc:AlternateContent>
          <mc:Choice Requires="wps">
            <w:drawing>
              <wp:anchor distT="0" distB="591185" distL="114300" distR="114300" simplePos="0" relativeHeight="125829396" behindDoc="0" locked="0" layoutInCell="1" allowOverlap="1">
                <wp:simplePos x="0" y="0"/>
                <wp:positionH relativeFrom="page">
                  <wp:posOffset>1000760</wp:posOffset>
                </wp:positionH>
                <wp:positionV relativeFrom="paragraph">
                  <wp:posOffset>12700</wp:posOffset>
                </wp:positionV>
                <wp:extent cx="1697990" cy="158750"/>
                <wp:wrapSquare wrapText="right"/>
                <wp:docPr id="372" name="Shape 372"/>
                <a:graphic xmlns:a="http://schemas.openxmlformats.org/drawingml/2006/main">
                  <a:graphicData uri="http://schemas.microsoft.com/office/word/2010/wordprocessingShape">
                    <wps:wsp>
                      <wps:cNvSpPr txBox="1"/>
                      <wps:spPr>
                        <a:xfrm>
                          <a:ext cx="169799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txbxContent>
                      </wps:txbx>
                      <wps:bodyPr wrap="none" lIns="0" tIns="0" rIns="0" bIns="0">
                        <a:noAutoFit/>
                      </wps:bodyPr>
                    </wps:wsp>
                  </a:graphicData>
                </a:graphic>
              </wp:anchor>
            </w:drawing>
          </mc:Choice>
          <mc:Fallback>
            <w:pict>
              <v:shape id="_x0000_s1398" type="#_x0000_t202" style="position:absolute;margin-left:78.799999999999997pt;margin-top:1.pt;width:133.69999999999999pt;height:12.5pt;z-index:-125829357;mso-wrap-distance-left:9.pt;mso-wrap-distance-right:9.pt;mso-wrap-distance-bottom:46.550000000000004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txbxContent>
                </v:textbox>
                <w10:wrap type="square" side="right" anchorx="page"/>
              </v:shape>
            </w:pict>
          </mc:Fallback>
        </mc:AlternateContent>
      </w:r>
      <w:r>
        <mc:AlternateContent>
          <mc:Choice Requires="wps">
            <w:drawing>
              <wp:anchor distT="594360" distB="0" distL="800100" distR="614680" simplePos="0" relativeHeight="125829398" behindDoc="0" locked="0" layoutInCell="1" allowOverlap="1">
                <wp:simplePos x="0" y="0"/>
                <wp:positionH relativeFrom="page">
                  <wp:posOffset>1686560</wp:posOffset>
                </wp:positionH>
                <wp:positionV relativeFrom="paragraph">
                  <wp:posOffset>607060</wp:posOffset>
                </wp:positionV>
                <wp:extent cx="511810" cy="155575"/>
                <wp:wrapSquare wrapText="right"/>
                <wp:docPr id="374" name="Shape 374"/>
                <a:graphic xmlns:a="http://schemas.openxmlformats.org/drawingml/2006/main">
                  <a:graphicData uri="http://schemas.microsoft.com/office/word/2010/wordprocessingShape">
                    <wps:wsp>
                      <wps:cNvSpPr txBox="1"/>
                      <wps:spPr>
                        <a:xfrm>
                          <a:ext cx="511810"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杭州</w:t>
                            </w:r>
                          </w:p>
                        </w:txbxContent>
                      </wps:txbx>
                      <wps:bodyPr wrap="none" lIns="0" tIns="0" rIns="0" bIns="0">
                        <a:noAutoFit/>
                      </wps:bodyPr>
                    </wps:wsp>
                  </a:graphicData>
                </a:graphic>
              </wp:anchor>
            </w:drawing>
          </mc:Choice>
          <mc:Fallback>
            <w:pict>
              <v:shape id="_x0000_s1400" type="#_x0000_t202" style="position:absolute;margin-left:132.80000000000001pt;margin-top:47.800000000000004pt;width:40.300000000000004pt;height:12.25pt;z-index:-125829355;mso-wrap-distance-left:63.pt;mso-wrap-distance-top:46.800000000000004pt;mso-wrap-distance-right:48.39999999999999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杭州</w:t>
                      </w:r>
                    </w:p>
                  </w:txbxContent>
                </v:textbox>
                <w10:wrap type="square" side="right" anchorx="page"/>
              </v:shape>
            </w:pict>
          </mc:Fallback>
        </mc:AlternateContent>
      </w:r>
      <w:r>
        <w:rPr>
          <w:color w:val="000000"/>
          <w:spacing w:val="0"/>
          <w:w w:val="100"/>
          <w:position w:val="0"/>
        </w:rPr>
        <w:t>中国注册会计师：潘高峰</w:t>
      </w:r>
    </w:p>
    <w:p>
      <w:pPr>
        <w:pStyle w:val="Style34"/>
        <w:keepNext w:val="0"/>
        <w:keepLines w:val="0"/>
        <w:widowControl w:val="0"/>
        <w:shd w:val="clear" w:color="auto" w:fill="auto"/>
        <w:bidi w:val="0"/>
        <w:spacing w:before="0" w:after="400" w:line="240" w:lineRule="auto"/>
        <w:ind w:left="40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项目合伙人</w:t>
      </w:r>
      <w:r>
        <w:rPr>
          <w:color w:val="000000"/>
          <w:spacing w:val="0"/>
          <w:w w:val="100"/>
          <w:position w:val="0"/>
        </w:rPr>
        <w:t>）</w:t>
      </w:r>
    </w:p>
    <w:p>
      <w:pPr>
        <w:pStyle w:val="Style34"/>
        <w:keepNext w:val="0"/>
        <w:keepLines w:val="0"/>
        <w:widowControl w:val="0"/>
        <w:shd w:val="clear" w:color="auto" w:fill="auto"/>
        <w:bidi w:val="0"/>
        <w:spacing w:before="0" w:after="400" w:line="240" w:lineRule="auto"/>
        <w:ind w:left="0" w:right="880" w:firstLine="0"/>
        <w:jc w:val="right"/>
      </w:pPr>
      <w:r>
        <w:rPr>
          <w:color w:val="000000"/>
          <w:spacing w:val="0"/>
          <w:w w:val="100"/>
          <w:position w:val="0"/>
        </w:rPr>
        <w:t>中国注册会计师：张军伟</w:t>
      </w:r>
    </w:p>
    <w:p>
      <w:pPr>
        <w:pStyle w:val="Style34"/>
        <w:keepNext w:val="0"/>
        <w:keepLines w:val="0"/>
        <w:widowControl w:val="0"/>
        <w:shd w:val="clear" w:color="auto" w:fill="auto"/>
        <w:bidi w:val="0"/>
        <w:spacing w:before="0" w:after="640" w:line="240" w:lineRule="auto"/>
        <w:ind w:left="6840" w:right="0" w:firstLine="0"/>
        <w:jc w:val="both"/>
      </w:pPr>
      <w:r>
        <w:rPr>
          <w:color w:val="000000"/>
          <w:spacing w:val="0"/>
          <w:w w:val="100"/>
          <w:position w:val="0"/>
        </w:rPr>
        <w:t>中国注册会计师：秦妍</w:t>
      </w:r>
    </w:p>
    <w:p>
      <w:pPr>
        <w:pStyle w:val="Style68"/>
        <w:keepNext w:val="0"/>
        <w:keepLines w:val="0"/>
        <w:widowControl w:val="0"/>
        <w:shd w:val="clear" w:color="auto" w:fill="auto"/>
        <w:bidi w:val="0"/>
        <w:spacing w:before="0" w:after="40" w:line="240" w:lineRule="auto"/>
        <w:ind w:left="6840" w:right="0" w:firstLine="0"/>
        <w:jc w:val="both"/>
        <w:sectPr>
          <w:headerReference w:type="default" r:id="rId95"/>
          <w:footerReference w:type="default" r:id="rId96"/>
          <w:headerReference w:type="even" r:id="rId97"/>
          <w:footerReference w:type="even" r:id="rId98"/>
          <w:footnotePr>
            <w:pos w:val="pageBottom"/>
            <w:numFmt w:val="decimal"/>
            <w:numRestart w:val="continuous"/>
          </w:footnotePr>
          <w:type w:val="continuous"/>
          <w:pgSz w:w="11900" w:h="16840"/>
          <w:pgMar w:top="1378" w:right="1091" w:bottom="1436" w:left="1041" w:header="0" w:footer="3" w:gutter="0"/>
          <w:cols w:space="720"/>
          <w:noEndnote/>
          <w:rtlGutter w:val="0"/>
          <w:docGrid w:linePitch="360"/>
        </w:sectPr>
      </w:pPr>
      <w:r>
        <w:rPr>
          <w:rFonts w:ascii="SimSun" w:eastAsia="SimSun" w:hAnsi="SimSun" w:cs="SimSun"/>
          <w:color w:val="000000"/>
          <w:spacing w:val="0"/>
          <w:w w:val="100"/>
          <w:position w:val="0"/>
        </w:rPr>
        <w:t>报告日期：</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 xml:space="preserve">25 </w:t>
      </w:r>
      <w:r>
        <w:rPr>
          <w:rFonts w:ascii="SimSun" w:eastAsia="SimSun" w:hAnsi="SimSun" w:cs="SimSun"/>
          <w:color w:val="000000"/>
          <w:spacing w:val="0"/>
          <w:w w:val="100"/>
          <w:position w:val="0"/>
        </w:rPr>
        <w:t>0</w:t>
      </w:r>
    </w:p>
    <w:p>
      <w:pPr>
        <w:pStyle w:val="Style17"/>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sz w:val="24"/>
          <w:szCs w:val="24"/>
        </w:rPr>
        <w:t>二</w:t>
      </w:r>
      <w:bookmarkEnd w:id="659"/>
      <w:r>
        <w:rPr>
          <w:color w:val="000000"/>
          <w:spacing w:val="0"/>
          <w:w w:val="100"/>
          <w:position w:val="0"/>
          <w:sz w:val="24"/>
          <w:szCs w:val="24"/>
        </w:rPr>
        <w:t>、财务报表</w:t>
      </w:r>
      <w:bookmarkEnd w:id="657"/>
      <w:bookmarkEnd w:id="658"/>
      <w:bookmarkEnd w:id="66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8"/>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、合并资产负债表</w:t>
      </w:r>
      <w:bookmarkEnd w:id="661"/>
      <w:bookmarkEnd w:id="662"/>
      <w:bookmarkEnd w:id="664"/>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编制单位：高伟达软件股份有限公司</w:t>
      </w:r>
    </w:p>
    <w:p>
      <w:pPr>
        <w:pStyle w:val="Style6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577,368,063.80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507,399,322.97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691,483.05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363,796,975.46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588,035,060.58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134,900,278.52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70,457,533.20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16,401,003.30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13,690,102.15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436,614,107.98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137,235,441.45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138,230,863.38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4,373,545.21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1,667,311,292.44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1,338,582,488.61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12,575,981.52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21,024,090.51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64,356,403.06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62,656,890.64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25,742,862.99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44,476,156.28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141,193,756.54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919,022,158.47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6,274,000.14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4,449,492.41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21,151,832.40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17,408,326.67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271,964,836.65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1,070,287,114.98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1,939,276,129.09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2,408,869,603.59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269,483,670.00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232,435,264.06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214,987,261.00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16,213,688.00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330,421,615.68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242,769,447.53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91,245,087.35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188,824,094.46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38,936,008.74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36,480,108.84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28,293,585.78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22,139,040.46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3,174,111.72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35,223,416.95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187,943,615.66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165,736,144.17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15,752,899.51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31,058,325.30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1,280,284,405.80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875,768,065.91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41,666,666.69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178,595,998.79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4,242,683.86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1,172,366.25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77,309,350.55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180,368,365.04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1,357,593,756.35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1,056,136,430.95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446,762,257.00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446,762,257.00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346,660,841.48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338,878,685.57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-7,391,735.11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-7,559,483.12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23,896,061.79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26,301,702.47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-240,103,577.42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509,237,335.70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569,823,847.74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1,313,620,497.62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11,858,525.00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39,112,675.02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581,682,372.74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1,352,733,172.64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1,939,276,129.09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2,408,869,603.59</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400" behindDoc="0" locked="0" layoutInCell="1" allowOverlap="1">
                <wp:simplePos x="0" y="0"/>
                <wp:positionH relativeFrom="page">
                  <wp:posOffset>689610</wp:posOffset>
                </wp:positionH>
                <wp:positionV relativeFrom="margin">
                  <wp:posOffset>2051050</wp:posOffset>
                </wp:positionV>
                <wp:extent cx="938530" cy="149225"/>
                <wp:wrapTopAndBottom/>
                <wp:docPr id="394" name="Shape 39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法定代表人：于伟</w:t>
                            </w:r>
                          </w:p>
                        </w:txbxContent>
                      </wps:txbx>
                      <wps:bodyPr wrap="none" lIns="0" tIns="0" rIns="0" bIns="0">
                        <a:noAutoFit/>
                      </wps:bodyPr>
                    </wps:wsp>
                  </a:graphicData>
                </a:graphic>
              </wp:anchor>
            </w:drawing>
          </mc:Choice>
          <mc:Fallback>
            <w:pict>
              <v:shape id="_x0000_s1420" type="#_x0000_t202" style="position:absolute;margin-left:54.300000000000004pt;margin-top:161.5pt;width:73.900000000000006pt;height:11.75pt;z-index:-125829353;mso-wrap-distance-left:9.pt;mso-wrap-distance-top:12.pt;mso-wrap-distance-right:414.40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法定代表人：于伟</w:t>
                      </w:r>
                    </w:p>
                  </w:txbxContent>
                </v:textbox>
                <w10:wrap type="topAndBottom" anchorx="page" anchory="margin"/>
              </v:shape>
            </w:pict>
          </mc:Fallback>
        </mc:AlternateContent>
      </w:r>
      <w:r>
        <mc:AlternateContent>
          <mc:Choice Requires="wps">
            <w:drawing>
              <wp:anchor distT="152400" distB="5715" distL="2290445" distR="2629535" simplePos="0" relativeHeight="125829402" behindDoc="0" locked="0" layoutInCell="1" allowOverlap="1">
                <wp:simplePos x="0" y="0"/>
                <wp:positionH relativeFrom="page">
                  <wp:posOffset>2865755</wp:posOffset>
                </wp:positionH>
                <wp:positionV relativeFrom="margin">
                  <wp:posOffset>2051050</wp:posOffset>
                </wp:positionV>
                <wp:extent cx="1395730" cy="143510"/>
                <wp:wrapTopAndBottom/>
                <wp:docPr id="396" name="Shape 396"/>
                <a:graphic xmlns:a="http://schemas.openxmlformats.org/drawingml/2006/main">
                  <a:graphicData uri="http://schemas.microsoft.com/office/word/2010/wordprocessingShape">
                    <wps:wsp>
                      <wps:cNvSpPr txBox="1"/>
                      <wps:spPr>
                        <a:xfrm>
                          <a:ext cx="139573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主管会计工作负责人：高源</w:t>
                            </w:r>
                          </w:p>
                        </w:txbxContent>
                      </wps:txbx>
                      <wps:bodyPr wrap="none" lIns="0" tIns="0" rIns="0" bIns="0">
                        <a:noAutoFit/>
                      </wps:bodyPr>
                    </wps:wsp>
                  </a:graphicData>
                </a:graphic>
              </wp:anchor>
            </w:drawing>
          </mc:Choice>
          <mc:Fallback>
            <w:pict>
              <v:shape id="_x0000_s1422" type="#_x0000_t202" style="position:absolute;margin-left:225.65000000000001pt;margin-top:161.5pt;width:109.90000000000001pt;height:11.300000000000001pt;z-index:-125829351;mso-wrap-distance-left:180.34999999999999pt;mso-wrap-distance-top:12.pt;mso-wrap-distance-right:207.05000000000001pt;mso-wrap-distance-bottom:0.45000000000000001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主管会计工作负责人：高源</w:t>
                      </w:r>
                    </w:p>
                  </w:txbxContent>
                </v:textbox>
                <w10:wrap type="topAndBottom" anchorx="page" anchory="margin"/>
              </v:shape>
            </w:pict>
          </mc:Fallback>
        </mc:AlternateContent>
      </w:r>
      <w:r>
        <mc:AlternateContent>
          <mc:Choice Requires="wps">
            <w:drawing>
              <wp:anchor distT="152400" distB="0" distL="4921250" distR="114300" simplePos="0" relativeHeight="125829404" behindDoc="0" locked="0" layoutInCell="1" allowOverlap="1">
                <wp:simplePos x="0" y="0"/>
                <wp:positionH relativeFrom="page">
                  <wp:posOffset>5496560</wp:posOffset>
                </wp:positionH>
                <wp:positionV relativeFrom="margin">
                  <wp:posOffset>2051050</wp:posOffset>
                </wp:positionV>
                <wp:extent cx="1280160" cy="149225"/>
                <wp:wrapTopAndBottom/>
                <wp:docPr id="398" name="Shape 398"/>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会计机构负责人：贾银肖</w:t>
                            </w:r>
                          </w:p>
                        </w:txbxContent>
                      </wps:txbx>
                      <wps:bodyPr wrap="none" lIns="0" tIns="0" rIns="0" bIns="0">
                        <a:noAutoFit/>
                      </wps:bodyPr>
                    </wps:wsp>
                  </a:graphicData>
                </a:graphic>
              </wp:anchor>
            </w:drawing>
          </mc:Choice>
          <mc:Fallback>
            <w:pict>
              <v:shape id="_x0000_s1424" type="#_x0000_t202" style="position:absolute;margin-left:432.80000000000001pt;margin-top:161.5pt;width:100.8pt;height:11.75pt;z-index:-125829349;mso-wrap-distance-left:387.5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会计机构负责人：贾银肖</w:t>
                      </w:r>
                    </w:p>
                  </w:txbxContent>
                </v:textbox>
                <w10:wrap type="topAndBottom" anchorx="page" anchory="margin"/>
              </v:shape>
            </w:pict>
          </mc:Fallback>
        </mc:AlternateContent>
      </w: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、母公司资产负债表</w:t>
      </w:r>
      <w:bookmarkEnd w:id="665"/>
      <w:bookmarkEnd w:id="666"/>
      <w:bookmarkEnd w:id="66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421,050,892.99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336,629,070.87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149,940,012.91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326,622,025.57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138,643,417.72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6,415,335.66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22,562,222.31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52,377,806.29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27,000,000.00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262,004,176.94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95,510,340.79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131,706,676.42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243,080.91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1,125,907,399.29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817,797,660.09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655,481,683.17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1,167,126,895.73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1,250,000.00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61,851,818.14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60,645,525.58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18,588,952.99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33,286,820.81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5,420,297.81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3,934,697.80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20,052,488.11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16,261,985.91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762,065,240.22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1,282,505,925.83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1,887,972,639.51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2,100,303,585.92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251,013,670.00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194,435,264.06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2,467,543.25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2,467,543.25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214,987,261.00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16,213,688.00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349,690,067.56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303,139,951.11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74,248,449.06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146,669,602.53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21,634,991.57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16,511,154.00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1,393,105.75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7,528,947.07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96,686,032.83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162,062,688.41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187,943,615.66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165,736,144.17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9,321,195.66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10,507,277.53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1,281,807,085.81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952,851,106.66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41,666,666.69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178,595,998.79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3,661,812.61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76,128,479.30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178,595,998.79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1,357,935,565.11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1,131,447,105.45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446,762,257.00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446,762,257.00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338,489,645.20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338,489,645.20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-7,654,194.75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-7,654,194.75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22,951,552.16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25,357,192.84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-270,512,185.21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165,901,580.18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530,037,074.40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968,856,480.47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1,887,972,639.51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2,100,303,585.92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3</w:t>
      </w:r>
      <w:bookmarkEnd w:id="671"/>
      <w:r>
        <w:rPr>
          <w:color w:val="000000"/>
          <w:spacing w:val="0"/>
          <w:w w:val="100"/>
          <w:position w:val="0"/>
        </w:rPr>
        <w:t>、合并利润表</w:t>
      </w:r>
      <w:bookmarkEnd w:id="669"/>
      <w:bookmarkEnd w:id="670"/>
      <w:bookmarkEnd w:id="67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1,893,658,496.29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1,758,318,368.99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1,893,658,496.29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1,758,318,368.99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1,785,695,696.25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1,616,714,726.50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1,532,269,208.80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1,366,769,906.87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5,288,952.74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6,295,079.68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66,013,326.34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65,447,755.45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72,272,546.59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79,273,664.97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78,497,779.09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72,131,542.86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31,353,882.69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26,796,776.67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23,050,737.86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18,625,201.75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1,596,796.31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1,636,102.35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8,711,201.87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7,301,550.27</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-6,363,684.32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-104,215.41</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-8,448,108.99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-1,446,083.11</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1100" w:right="0" w:firstLine="0"/>
              <w:jc w:val="left"/>
            </w:pPr>
            <w:r>
              <w:rPr>
                <w:color w:val="000000"/>
                <w:spacing w:val="0"/>
                <w:w w:val="100"/>
                <w:position w:val="0"/>
              </w:rPr>
              <w:t>以摊余成本计量的金融</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24,412,084.10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-895,564.05</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-22,562,472.82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-6,859,463.24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-777,828,401.93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1,821.91</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-665,668,200.92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141,047,771.97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4,005,180.66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4,112,153.64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236,468.24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559,324.51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-661,899,488.50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144,600,601.10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-653,542.57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3,540,260.40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-661,245,945.93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141,060,340.70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-661,245,945.93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141,060,340.70</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-671,247,584.07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133,741,533.27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10,001,638.14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7,318,807.43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167,748.01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-7,725,946.06</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167,748.01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-7,725,946.06</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-7,654,194.75</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-7,654,194.75</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167,748.01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-71,751.31</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167,748.01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-71,751.31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-661,078,197.92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133,334,394.64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-671,079,836.06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126,015,587.21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10,001,638.14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7,318,807.43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4"/>
        <w:keepNext w:val="0"/>
        <w:keepLines w:val="0"/>
        <w:widowControl w:val="0"/>
        <w:shd w:val="clear" w:color="auto" w:fill="auto"/>
        <w:tabs>
          <w:tab w:pos="3422" w:val="left"/>
          <w:tab w:pos="7565" w:val="left"/>
        </w:tabs>
        <w:bidi w:val="0"/>
        <w:spacing w:before="0" w:after="380" w:line="240" w:lineRule="auto"/>
        <w:ind w:left="0" w:right="0" w:firstLine="0"/>
        <w:jc w:val="left"/>
      </w:pPr>
      <w:r>
        <w:rPr>
          <w:color w:val="000000"/>
          <w:spacing w:val="0"/>
          <w:w w:val="100"/>
          <w:position w:val="0"/>
        </w:rPr>
        <w:t>法定代表人：于伟</w:t>
        <w:tab/>
        <w:t>主管会计工作负责人：高源</w:t>
        <w:tab/>
        <w:t>会计机构负责人：贾银肖</w:t>
      </w:r>
    </w:p>
    <w:p>
      <w:pPr>
        <w:pStyle w:val="Style38"/>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4</w:t>
      </w:r>
      <w:bookmarkEnd w:id="675"/>
      <w:r>
        <w:rPr>
          <w:color w:val="000000"/>
          <w:spacing w:val="0"/>
          <w:w w:val="100"/>
          <w:position w:val="0"/>
        </w:rPr>
        <w:t>、母公司利润表</w:t>
      </w:r>
      <w:bookmarkEnd w:id="673"/>
      <w:bookmarkEnd w:id="674"/>
      <w:bookmarkEnd w:id="67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1,274,622,951.34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995,433,254.95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1,128,415,829.50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876,708,459.84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1,398,291.38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2,567,632.69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28,782,945.63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24,698,545.69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41,632,320.02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42,470,899.46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41,318,059.14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37,088,991.61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28,926,352.34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25,333,471.38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21,617,911.94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14,827,307.88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1,146,705.78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870,253.69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5,679,424.57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4,839,219.44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120,878,059.51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36,724,576.34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740"/>
              <w:jc w:val="both"/>
            </w:pPr>
            <w:r>
              <w:rPr>
                <w:color w:val="000000"/>
                <w:spacing w:val="0"/>
                <w:w w:val="100"/>
                <w:position w:val="0"/>
              </w:rPr>
              <w:t>其中：对联营企业和合营企</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-8,448,108.99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-1,446,083.11</w:t>
            </w:r>
          </w:p>
        </w:tc>
      </w:tr>
      <w:tr>
        <w:trPr>
          <w:trHeight w:val="682"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740"/>
              <w:jc w:val="left"/>
            </w:pPr>
            <w:r>
              <w:rPr>
                <w:color w:val="000000"/>
                <w:spacing w:val="0"/>
                <w:w w:val="100"/>
                <w:position w:val="0"/>
              </w:rPr>
              <w:t>公允价值变动收益（损失以</w:t>
            </w:r>
          </w:p>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24,412,084.10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-895,564.05</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-20,690,412.50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-5,294,534.31</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-530,289,058.49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11,359.01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830.76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-395,849,390.47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21,939,782.46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13,243.53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80,941.15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89,674.73</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-395,917,088.09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21,850,107.73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-1,258,390.40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388,788.15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-394,658,697.69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21,461,319.58</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50"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-394,658,697.69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21,461,319.58</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59"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-7,654,194.75</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-7,654,194.75</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-7,654,194.75</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6"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-394,658,697.69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13,807,124.83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5</w:t>
      </w:r>
      <w:bookmarkEnd w:id="679"/>
      <w:r>
        <w:rPr>
          <w:color w:val="000000"/>
          <w:spacing w:val="0"/>
          <w:w w:val="100"/>
          <w:position w:val="0"/>
        </w:rPr>
        <w:t>、合并现金流量表</w:t>
      </w:r>
      <w:bookmarkEnd w:id="677"/>
      <w:bookmarkEnd w:id="678"/>
      <w:bookmarkEnd w:id="68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2,151,377,338.12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1,899,354,151.93</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397,446.61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887,525.92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29,339,459.90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35,038,747.07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2,181,114,244.63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1,935,280,424.92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1,221,591,219.48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1,025,445,605.98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603,389,648.34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590,222,694.73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39,859,808.66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61,241,995.81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83,912,919.66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87,600,597.13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1,948,753,596.14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1,764,510,893.65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232,360,648.49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170,769,531.27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59,800,000.00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2,084,424.67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1,341,867.70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128,564.00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84,050.62</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725,500,000.00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203,480,050.00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727,712,988.67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264,705,968.32</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6,189,336.29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5,213,906.42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610,000.00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4,250,000.00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116,665,500.00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137,346,388.71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838,800,000.00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217,550,000.00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962,264,836.29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364,360,295.13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-234,551,847.62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-99,654,326.81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590,000.00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590,000.00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461,068,370.00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324,979,417.06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9,864,295.56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53,009,560.61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471,522,665.56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378,088,977.67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376,215,736.04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317,208,322.34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39,932,817.21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43,712,082.33</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63,764,030.37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101,767,304.73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479,912,583.62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462,687,709.40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-8,389,918.06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-84,598,731.73</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150,271.45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339,177.48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-10,430,845.74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-13,144,349.79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469,435,287.92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482,579,637.71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459,004,442.18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469,435,287.92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6</w:t>
      </w:r>
      <w:bookmarkEnd w:id="683"/>
      <w:r>
        <w:rPr>
          <w:color w:val="000000"/>
          <w:spacing w:val="0"/>
          <w:w w:val="100"/>
          <w:position w:val="0"/>
        </w:rPr>
        <w:t>、母公司现金流量表</w:t>
      </w:r>
      <w:bookmarkEnd w:id="681"/>
      <w:bookmarkEnd w:id="682"/>
      <w:bookmarkEnd w:id="68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1,454,417,624.26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1,094,845,466.41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113,897.70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433,117.89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202,613,728.98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211,621,584.68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1,657,145,250.94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1,306,900,168.98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1,076,557,859.71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746,978,171.48</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230,102,242.69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207,548,118.54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6,004,004.70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21,438,102.05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258,728,222.45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172,131,947.37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1,571,392,329.55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1,148,096,339.44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85,752,921.39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158,803,829.54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59,800,000.00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156,326,168.50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32,170,659.45</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127,764.00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83,674.62</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547,000,000.00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118,130,050.00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703,953,932.50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210,184,384.07</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3,186,856.28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3,667,687.81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143,677,454.92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156,596,388.71</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671,000,000.00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115,500,000.00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817,864,311.20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275,764,076.52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-113,910,378.70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-65,579,692.45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415,098,370.00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234,910,628.06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9,864,295.56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53,009,560.61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424,962,665.56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287,920,188.67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310,715,736.04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240,139,533.34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38,499,991.29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40,645,588.46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43,684,030.37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101,767,304.73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392,899,757.70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382,552,426.53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32,062,907.86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-94,632,237.86</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3,905,450.55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-1,408,100.77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323,470,310.69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324,878,411.46</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327,375,761.24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323,470,310.69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7</w:t>
      </w:r>
      <w:bookmarkEnd w:id="687"/>
      <w:r>
        <w:rPr>
          <w:color w:val="000000"/>
          <w:spacing w:val="0"/>
          <w:w w:val="100"/>
          <w:position w:val="0"/>
        </w:rPr>
        <w:t>、合并所有者权益变动表</w:t>
      </w:r>
      <w:bookmarkEnd w:id="685"/>
      <w:bookmarkEnd w:id="686"/>
      <w:bookmarkEnd w:id="68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1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资本</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其他</w:t>
            </w:r>
          </w:p>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综合</w:t>
            </w:r>
          </w:p>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一般</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风险</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val="restart"/>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 权益</w:t>
            </w:r>
          </w:p>
        </w:tc>
        <w:tc>
          <w:tcPr>
            <w:vMerge w:val="restart"/>
            <w:tcBorders>
              <w:top w:val="single" w:sz="4"/>
              <w:left w:val="single" w:sz="4"/>
              <w:right w:val="single" w:sz="4"/>
            </w:tcBorders>
            <w:shd w:val="clear" w:color="auto" w:fill="D3D3D3"/>
            <w:vAlign w:val="top"/>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者权 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优先</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51"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338,87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1,352,</w:t>
            </w:r>
          </w:p>
        </w:tc>
      </w:tr>
      <w:tr>
        <w:trPr>
          <w:trHeight w:val="158" w:hRule="exact"/>
        </w:trPr>
        <w:tc>
          <w:tcPr>
            <w:vMerge w:val="restart"/>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8,685.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620,49</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,675.0</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733,17</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483.12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r>
      <w:tr>
        <w:trPr>
          <w:trHeight w:val="600" w:hRule="exact"/>
        </w:trPr>
        <w:tc>
          <w:tcPr>
            <w:vMerge w:val="restart"/>
            <w:tcBorders>
              <w:top w:val="single" w:sz="4"/>
              <w:left w:val="single" w:sz="4"/>
            </w:tcBorders>
            <w:shd w:val="clear" w:color="auto" w:fill="D3D3D3"/>
            <w:vAlign w:val="bottom"/>
          </w:tcPr>
          <w:p>
            <w:pPr>
              <w:pStyle w:val="Style9"/>
              <w:keepNext w:val="0"/>
              <w:keepLines w:val="0"/>
              <w:widowControl w:val="0"/>
              <w:shd w:val="clear" w:color="auto" w:fill="auto"/>
              <w:bidi w:val="0"/>
              <w:spacing w:before="0" w:line="240" w:lineRule="auto"/>
              <w:ind w:left="0" w:right="0"/>
              <w:jc w:val="both"/>
            </w:pPr>
            <w:r>
              <w:rPr>
                <w:color w:val="000000"/>
                <w:spacing w:val="0"/>
                <w:w w:val="100"/>
                <w:position w:val="0"/>
              </w:rPr>
              <w:t>加：会计政</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-57,98</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-60,39</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4,668.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-8,793,</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-69,18</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8,300.</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640.68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632.26</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36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338,87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1,283,</w:t>
            </w:r>
          </w:p>
        </w:tc>
      </w:tr>
      <w:tr>
        <w:trPr>
          <w:trHeight w:val="158" w:hRule="exact"/>
        </w:trPr>
        <w:tc>
          <w:tcPr>
            <w:vMerge w:val="restart"/>
            <w:tcBorders>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8,685.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225,82</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,042.7</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544,87</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483.12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vMerge w:val="restart"/>
            <w:tcBorders>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-683,4</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-18,46</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-701,8</w:t>
            </w:r>
          </w:p>
        </w:tc>
      </w:tr>
      <w:tr>
        <w:trPr>
          <w:trHeight w:val="149" w:hRule="exact"/>
        </w:trPr>
        <w:tc>
          <w:tcPr>
            <w:vMerge w:val="restart"/>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动金额（减少以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155.91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01,981</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0,517.</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62,499</w:t>
            </w:r>
          </w:p>
        </w:tc>
      </w:tr>
      <w:tr>
        <w:trPr>
          <w:trHeight w:val="341"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r>
      <w:tr>
        <w:trPr>
          <w:trHeight w:val="451"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-661,0</w:t>
            </w:r>
          </w:p>
        </w:tc>
      </w:tr>
      <w:tr>
        <w:trPr>
          <w:trHeight w:val="158" w:hRule="exact"/>
        </w:trPr>
        <w:tc>
          <w:tcPr>
            <w:vMerge w:val="restart"/>
            <w:tcBorders>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79,836</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,638.1</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78,197</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8.01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vMerge w:val="restart"/>
            <w:tcBorders>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5" w:hRule="exact"/>
        </w:trPr>
        <w:tc>
          <w:tcPr>
            <w:vMerge w:val="restart"/>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7,782,</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-28,46</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2,155.</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-20,67</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9,999.</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155.91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590,00</w:t>
            </w:r>
          </w:p>
        </w:tc>
      </w:tr>
      <w:tr>
        <w:trPr>
          <w:trHeight w:val="350"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7,782,</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-29,05</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2,155.</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-21,26</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9,999.</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155.91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437"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p>
        </w:tc>
      </w:tr>
      <w:tr>
        <w:trPr>
          <w:trHeight w:val="24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4,301.</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-20,10</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4,301.</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-20,10</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4,301.</w:t>
            </w:r>
          </w:p>
          <w:p>
            <w:pPr>
              <w:pStyle w:val="Style9"/>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-20,10</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4,301.</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446,7</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62,25</w:t>
            </w:r>
          </w:p>
          <w:p>
            <w:pPr>
              <w:pStyle w:val="Style9"/>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346,66</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0,841.</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-7,391,</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23,896</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,061.7</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-240,1</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03,577</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569,82</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3,847.</w:t>
            </w:r>
          </w:p>
          <w:p>
            <w:pPr>
              <w:pStyle w:val="Style9"/>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11,858</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,525.0</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581,68</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2,372.</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74</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6"/>
        <w:gridCol w:w="638"/>
        <w:gridCol w:w="662"/>
      </w:tblGrid>
      <w:tr>
        <w:trPr>
          <w:trHeight w:val="408" w:hRule="exact"/>
        </w:trPr>
        <w:tc>
          <w:tcPr>
            <w:vMerge w:val="restart"/>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r>
        <w:trPr>
          <w:trHeight w:val="41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股本其他权益工具资本减：库其他专项盈余一般未分其他小计</w:t>
            </w:r>
          </w:p>
        </w:tc>
        <w:tc>
          <w:tcPr>
            <w:tcBorders>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权益合</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优先</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 收益</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风险</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配利 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605"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一、上年期末</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447,0</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340,68</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8,077.</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13,552</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,976.0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23,322</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386,22</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1,183,</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904,42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31,693,</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1,215,5</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98,287.</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867.59</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36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二、本年期初</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447,0</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340,68</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8,077.</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13,552</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,976.0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23,322</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386,22</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1,183,</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904,42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31,693,</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1,215,5</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98,287.</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867.59</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446" w:hRule="exact"/>
        </w:trPr>
        <w:tc>
          <w:tcPr>
            <w:vMerge w:val="restart"/>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-1,809,</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7,418,8</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137,134</w:t>
            </w:r>
          </w:p>
        </w:tc>
      </w:tr>
      <w:tr>
        <w:trPr>
          <w:trHeight w:val="298" w:hRule="exact"/>
        </w:trPr>
        <w:tc>
          <w:tcPr>
            <w:vMerge w:val="restart"/>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391.73</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2,976.</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946.06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6,077.</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07.43</w:t>
            </w:r>
          </w:p>
        </w:tc>
        <w:tc>
          <w:tcPr>
            <w:vMerge w:val="restart"/>
            <w:tcBorders>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,884.86</w:t>
            </w: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8" w:hRule="exact"/>
        </w:trPr>
        <w:tc>
          <w:tcPr>
            <w:tcBorders>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-7,725,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7,318,8</w:t>
            </w:r>
          </w:p>
        </w:tc>
        <w:tc>
          <w:tcPr>
            <w:vMerge w:val="restart"/>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133,334</w:t>
            </w:r>
          </w:p>
        </w:tc>
      </w:tr>
      <w:tr>
        <w:trPr>
          <w:trHeight w:val="144" w:hRule="exact"/>
        </w:trPr>
        <w:tc>
          <w:tcPr>
            <w:vMerge w:val="restart"/>
            <w:tcBorders>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946.06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07.43</w:t>
            </w:r>
          </w:p>
        </w:tc>
        <w:tc>
          <w:tcPr>
            <w:vMerge w:val="restart"/>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D3D3D3"/>
            <w:vAlign w:val="bottom"/>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（二）所有者</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投入和减少资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11,449</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vMerge w:val="restart"/>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11,549,</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,184.2</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vMerge w:val="restart"/>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391.73</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184.27</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400.0</w:t>
            </w:r>
          </w:p>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-2,066,</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-1,966,</w:t>
            </w:r>
          </w:p>
        </w:tc>
      </w:tr>
      <w:tr>
        <w:trPr>
          <w:trHeight w:val="499" w:hRule="exact"/>
        </w:trPr>
        <w:tc>
          <w:tcPr>
            <w:tcBorders>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-37,03</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-13,55</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13,515</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13,515,</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944.27</w:t>
            </w:r>
          </w:p>
        </w:tc>
      </w:tr>
      <w:tr>
        <w:trPr>
          <w:trHeight w:val="278" w:hRule="exact"/>
        </w:trPr>
        <w:tc>
          <w:tcPr>
            <w:tcBorders>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-18,22</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-16,07</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-16,078</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,694.05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（或股东）的</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-16,07</w:t>
            </w:r>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8,694.</w:t>
            </w:r>
          </w:p>
          <w:p>
            <w:pPr>
              <w:pStyle w:val="Style9"/>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-16,07</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8,694.</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-16,078</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,694.05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833,00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7,497,</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8,330,</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8,330,0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833,00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7,497,</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8,330,</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8,330,0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446,7</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62,25</w:t>
            </w:r>
          </w:p>
          <w:p>
            <w:pPr>
              <w:pStyle w:val="Style9"/>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338,87</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8,685.</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-7,559,</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26,301</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,702.4</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509,23</w:t>
            </w:r>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7,335.</w:t>
            </w:r>
          </w:p>
          <w:p>
            <w:pPr>
              <w:pStyle w:val="Style9"/>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1,313,</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620,49</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7.62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39,112,</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1,352,7</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33,172.</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64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8</w:t>
      </w:r>
      <w:bookmarkEnd w:id="691"/>
      <w:r>
        <w:rPr>
          <w:color w:val="000000"/>
          <w:spacing w:val="0"/>
          <w:w w:val="100"/>
          <w:position w:val="0"/>
        </w:rPr>
        <w:t>、母公司所有者权益变动表</w:t>
      </w:r>
      <w:bookmarkEnd w:id="689"/>
      <w:bookmarkEnd w:id="690"/>
      <w:bookmarkEnd w:id="69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1810"/>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积</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446,76</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2,257.0</w:t>
            </w:r>
          </w:p>
          <w:p>
            <w:pPr>
              <w:pStyle w:val="Style9"/>
              <w:keepNext w:val="0"/>
              <w:keepLines w:val="0"/>
              <w:widowControl w:val="0"/>
              <w:shd w:val="clear" w:color="auto" w:fill="auto"/>
              <w:bidi w:val="0"/>
              <w:spacing w:before="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338,489,</w:t>
            </w:r>
          </w:p>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-7,654,1</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25,357,1</w:t>
            </w:r>
          </w:p>
          <w:p>
            <w:pPr>
              <w:pStyle w:val="Style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92.84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165,90</w:t>
            </w:r>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1,580.1</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968,856,4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80.47</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jc w:val="left"/>
            </w:pPr>
            <w:r>
              <w:rPr>
                <w:color w:val="000000"/>
                <w:spacing w:val="0"/>
                <w:w w:val="100"/>
                <w:position w:val="0"/>
              </w:rPr>
              <w:t>加：会计政</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-2,405,6</w:t>
            </w:r>
          </w:p>
          <w:p>
            <w:pPr>
              <w:pStyle w:val="Style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-21,650</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-24,056,40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740"/>
              <w:jc w:val="left"/>
            </w:pPr>
            <w:r>
              <w:rPr>
                <w:color w:val="000000"/>
                <w:spacing w:val="0"/>
                <w:w w:val="100"/>
                <w:position w:val="0"/>
              </w:rPr>
              <w:t>前期</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446,76</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2,257.0</w:t>
            </w:r>
          </w:p>
          <w:p>
            <w:pPr>
              <w:pStyle w:val="Style9"/>
              <w:keepNext w:val="0"/>
              <w:keepLines w:val="0"/>
              <w:widowControl w:val="0"/>
              <w:shd w:val="clear" w:color="auto" w:fill="auto"/>
              <w:bidi w:val="0"/>
              <w:spacing w:before="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338,489,</w:t>
            </w:r>
          </w:p>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-7,654,1</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22,951,5</w:t>
            </w:r>
          </w:p>
          <w:p>
            <w:pPr>
              <w:pStyle w:val="Style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144,25</w:t>
            </w:r>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0,814.0</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944,800,0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73.65</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336" w:lineRule="exact"/>
              <w:ind w:left="0" w:right="0" w:firstLine="0"/>
              <w:jc w:val="left"/>
            </w:pPr>
            <w:r>
              <w:rPr>
                <w:color w:val="000000"/>
                <w:spacing w:val="0"/>
                <w:w w:val="100"/>
                <w:position w:val="0"/>
              </w:rPr>
              <w:t>三、本期增减变 动金额（减少以</w:t>
            </w:r>
          </w:p>
          <w:p>
            <w:pPr>
              <w:pStyle w:val="Style9"/>
              <w:keepNext w:val="0"/>
              <w:keepLines w:val="0"/>
              <w:widowControl w:val="0"/>
              <w:shd w:val="clear" w:color="auto" w:fill="auto"/>
              <w:bidi w:val="0"/>
              <w:spacing w:before="0" w:after="0" w:line="389"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-414,76</w:t>
            </w:r>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2,999.2</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-414,762,9</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99.25</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-394,65</w:t>
            </w:r>
          </w:p>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8,697.6</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-394,658,6</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97.69</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-20,104</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-20,104,30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-20,104</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-20,104,30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446,76</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2,257.0</w:t>
            </w:r>
          </w:p>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338,489,</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-7,654,1</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22,951,5</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-270,51</w:t>
            </w:r>
          </w:p>
          <w:p>
            <w:pPr>
              <w:pStyle w:val="Style9"/>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2,185.2</w:t>
            </w:r>
          </w:p>
          <w:p>
            <w:pPr>
              <w:pStyle w:val="Style9"/>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530,037,0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减:库存</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其他综</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line="240" w:lineRule="auto"/>
              <w:ind w:left="0" w:right="200" w:firstLine="0"/>
              <w:jc w:val="right"/>
            </w:pPr>
            <w:r>
              <w:rPr>
                <w:color w:val="000000"/>
                <w:spacing w:val="0"/>
                <w:w w:val="100"/>
                <w:position w:val="0"/>
              </w:rPr>
              <w:t>所有者权</w:t>
            </w:r>
          </w:p>
          <w:p>
            <w:pPr>
              <w:pStyle w:val="Style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优先</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447,05</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6,657.</w:t>
            </w:r>
          </w:p>
          <w:p>
            <w:pPr>
              <w:pStyle w:val="Style9"/>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340,299</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,036.93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13,552,9</w:t>
            </w:r>
          </w:p>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22,378,</w:t>
            </w:r>
          </w:p>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060.88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155,168,0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951,348,86</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jc w:val="left"/>
            </w:pPr>
            <w:r>
              <w:rPr>
                <w:color w:val="000000"/>
                <w:spacing w:val="0"/>
                <w:w w:val="100"/>
                <w:position w:val="0"/>
              </w:rPr>
              <w:t>加：会计政</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740"/>
              <w:jc w:val="left"/>
            </w:pPr>
            <w:r>
              <w:rPr>
                <w:color w:val="000000"/>
                <w:spacing w:val="0"/>
                <w:w w:val="100"/>
                <w:position w:val="0"/>
              </w:rPr>
              <w:t>前期</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447,05</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6,657.</w:t>
            </w:r>
          </w:p>
          <w:p>
            <w:pPr>
              <w:pStyle w:val="Style9"/>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340,299</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,036.93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13,552,9</w:t>
            </w:r>
          </w:p>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22,378,</w:t>
            </w:r>
          </w:p>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060.88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155,168,0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951,348,86</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341" w:lineRule="exact"/>
              <w:ind w:left="0" w:right="0" w:firstLine="0"/>
              <w:jc w:val="left"/>
            </w:pPr>
            <w:r>
              <w:rPr>
                <w:color w:val="000000"/>
                <w:spacing w:val="0"/>
                <w:w w:val="100"/>
                <w:position w:val="0"/>
              </w:rPr>
              <w:t>三、本期增减变 动金额（减少以</w:t>
            </w:r>
          </w:p>
          <w:p>
            <w:pPr>
              <w:pStyle w:val="Style9"/>
              <w:keepNext w:val="0"/>
              <w:keepLines w:val="0"/>
              <w:widowControl w:val="0"/>
              <w:shd w:val="clear" w:color="auto" w:fill="auto"/>
              <w:bidi w:val="0"/>
              <w:spacing w:before="0" w:after="0" w:line="396"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-294,4</w:t>
            </w:r>
          </w:p>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-1,809,3</w:t>
            </w:r>
          </w:p>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91.73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-13,552,</w:t>
            </w:r>
          </w:p>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-7,654,1</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2,979,1</w:t>
            </w:r>
          </w:p>
          <w:p>
            <w:pPr>
              <w:pStyle w:val="Style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10,733,49</w:t>
            </w:r>
          </w:p>
          <w:p>
            <w:pPr>
              <w:pStyle w:val="Style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17,507,615.</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-7,654,1</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21,461,31</w:t>
            </w:r>
          </w:p>
          <w:p>
            <w:pPr>
              <w:pStyle w:val="Style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13,807,124.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-294,4</w:t>
            </w:r>
          </w:p>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-1,809,3</w:t>
            </w:r>
          </w:p>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91.73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-13,552,</w:t>
            </w:r>
          </w:p>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11,449,184.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-294,4</w:t>
            </w:r>
          </w:p>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-1,772,3</w:t>
            </w:r>
          </w:p>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-2,066,760.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-37,031.</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-13,552,</w:t>
            </w:r>
          </w:p>
          <w:p>
            <w:pPr>
              <w:pStyle w:val="Style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13,515,944.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2,146,1</w:t>
            </w:r>
          </w:p>
          <w:p>
            <w:pPr>
              <w:pStyle w:val="Style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-18,224,8</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-16,078,694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2,146,1</w:t>
            </w:r>
          </w:p>
          <w:p>
            <w:pPr>
              <w:pStyle w:val="Style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-2,146,13</w:t>
            </w:r>
          </w:p>
          <w:p>
            <w:pPr>
              <w:pStyle w:val="Style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-16,078,6</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-16,078,694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833,000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7,497,000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8,330,000.0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833,000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7,497,000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8,330,000.0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378" w:right="1091" w:bottom="1436" w:left="1041" w:header="0" w:footer="3" w:gutter="0"/>
          <w:cols w:space="720"/>
          <w:noEndnote/>
          <w:rtlGutter w:val="0"/>
          <w:docGrid w:linePitch="360"/>
        </w:sectPr>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446,76</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2,257.</w:t>
            </w:r>
          </w:p>
          <w:p>
            <w:pPr>
              <w:pStyle w:val="Style9"/>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338,489</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-7,654,1</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25,357,</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165,901,5</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968,856,48</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r>
    </w:tbl>
    <w:p>
      <w:pPr>
        <w:widowControl w:val="0"/>
        <w:spacing w:after="299" w:line="1" w:lineRule="exact"/>
      </w:pPr>
    </w:p>
    <w:p>
      <w:pPr>
        <w:pStyle w:val="Style17"/>
        <w:keepNext/>
        <w:keepLines/>
        <w:widowControl w:val="0"/>
        <w:shd w:val="clear" w:color="auto" w:fill="auto"/>
        <w:bidi w:val="0"/>
        <w:spacing w:before="0" w:after="36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sz w:val="24"/>
          <w:szCs w:val="24"/>
        </w:rPr>
        <w:t>三</w:t>
      </w:r>
      <w:bookmarkEnd w:id="695"/>
      <w:r>
        <w:rPr>
          <w:color w:val="000000"/>
          <w:spacing w:val="0"/>
          <w:w w:val="100"/>
          <w:position w:val="0"/>
          <w:sz w:val="24"/>
          <w:szCs w:val="24"/>
        </w:rPr>
        <w:t>、公司基本情况</w:t>
      </w:r>
      <w:bookmarkEnd w:id="693"/>
      <w:bookmarkEnd w:id="694"/>
      <w:bookmarkEnd w:id="696"/>
    </w:p>
    <w:p>
      <w:pPr>
        <w:pStyle w:val="Style38"/>
        <w:keepNext/>
        <w:keepLines/>
        <w:widowControl w:val="0"/>
        <w:shd w:val="clear" w:color="auto" w:fill="auto"/>
        <w:bidi w:val="0"/>
        <w:spacing w:before="0" w:after="0" w:line="240" w:lineRule="auto"/>
        <w:ind w:left="0" w:right="0" w:firstLine="380"/>
        <w:jc w:val="left"/>
      </w:pPr>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w:t>
      </w:r>
      <w:r>
        <w:rPr>
          <w:color w:val="000000"/>
          <w:spacing w:val="0"/>
          <w:w w:val="100"/>
          <w:position w:val="0"/>
        </w:rPr>
        <w:t>一）公司概况</w:t>
      </w:r>
      <w:bookmarkEnd w:id="697"/>
      <w:bookmarkEnd w:id="698"/>
      <w:bookmarkEnd w:id="699"/>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高伟达软件股份有限公司</w:t>
      </w:r>
      <w:r>
        <w:rPr>
          <w:color w:val="000000"/>
          <w:spacing w:val="0"/>
          <w:w w:val="100"/>
          <w:position w:val="0"/>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rPr>
        <w:t>）</w:t>
      </w:r>
      <w:r>
        <w:rPr>
          <w:color w:val="000000"/>
          <w:spacing w:val="0"/>
          <w:w w:val="100"/>
          <w:position w:val="0"/>
        </w:rPr>
        <w:t>系在北京高伟达系统集成有限公司的基础上整体变更设立，于</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日在北京市工商行政管理局登记注册，现持有统一社会信用代码为</w:t>
      </w:r>
      <w:r>
        <w:rPr>
          <w:rFonts w:ascii="Times New Roman" w:eastAsia="Times New Roman" w:hAnsi="Times New Roman" w:cs="Times New Roman"/>
          <w:color w:val="000000"/>
          <w:spacing w:val="0"/>
          <w:w w:val="100"/>
          <w:position w:val="0"/>
        </w:rPr>
        <w:t>91110000633713369X</w:t>
      </w:r>
      <w:r>
        <w:rPr>
          <w:color w:val="000000"/>
          <w:spacing w:val="0"/>
          <w:w w:val="100"/>
          <w:position w:val="0"/>
        </w:rPr>
        <w:t>的营业执照。公司注册地： 北京市海淀区大慧寺</w:t>
      </w:r>
      <w:r>
        <w:rPr>
          <w:rFonts w:ascii="Times New Roman" w:eastAsia="Times New Roman" w:hAnsi="Times New Roman" w:cs="Times New Roman"/>
          <w:color w:val="000000"/>
          <w:spacing w:val="0"/>
          <w:w w:val="100"/>
          <w:position w:val="0"/>
        </w:rPr>
        <w:t>8</w:t>
      </w:r>
      <w:r>
        <w:rPr>
          <w:color w:val="000000"/>
          <w:spacing w:val="0"/>
          <w:w w:val="100"/>
          <w:position w:val="0"/>
        </w:rPr>
        <w:t>号北区</w:t>
      </w:r>
      <w:r>
        <w:rPr>
          <w:rFonts w:ascii="Times New Roman" w:eastAsia="Times New Roman" w:hAnsi="Times New Roman" w:cs="Times New Roman"/>
          <w:color w:val="000000"/>
          <w:spacing w:val="0"/>
          <w:w w:val="100"/>
          <w:position w:val="0"/>
        </w:rPr>
        <w:t>20</w:t>
      </w:r>
      <w:r>
        <w:rPr>
          <w:color w:val="000000"/>
          <w:spacing w:val="0"/>
          <w:w w:val="100"/>
          <w:position w:val="0"/>
        </w:rPr>
        <w:t>栋</w:t>
      </w:r>
      <w:r>
        <w:rPr>
          <w:rFonts w:ascii="Times New Roman" w:eastAsia="Times New Roman" w:hAnsi="Times New Roman" w:cs="Times New Roman"/>
          <w:color w:val="000000"/>
          <w:spacing w:val="0"/>
          <w:w w:val="100"/>
          <w:position w:val="0"/>
        </w:rPr>
        <w:t>604</w:t>
      </w:r>
      <w:r>
        <w:rPr>
          <w:color w:val="000000"/>
          <w:spacing w:val="0"/>
          <w:w w:val="100"/>
          <w:position w:val="0"/>
        </w:rPr>
        <w:t>房间。法定代表人：于伟。公司现有注册资本为人民币</w:t>
      </w:r>
      <w:r>
        <w:rPr>
          <w:rFonts w:ascii="Times New Roman" w:eastAsia="Times New Roman" w:hAnsi="Times New Roman" w:cs="Times New Roman"/>
          <w:color w:val="000000"/>
          <w:spacing w:val="0"/>
          <w:w w:val="100"/>
          <w:position w:val="0"/>
        </w:rPr>
        <w:t>446,762,257.00</w:t>
      </w:r>
      <w:r>
        <w:rPr>
          <w:color w:val="000000"/>
          <w:spacing w:val="0"/>
          <w:w w:val="100"/>
          <w:position w:val="0"/>
        </w:rPr>
        <w:t xml:space="preserve">元，总股本为 </w:t>
      </w:r>
      <w:r>
        <w:rPr>
          <w:rFonts w:ascii="Times New Roman" w:eastAsia="Times New Roman" w:hAnsi="Times New Roman" w:cs="Times New Roman"/>
          <w:color w:val="000000"/>
          <w:spacing w:val="0"/>
          <w:w w:val="100"/>
          <w:position w:val="0"/>
        </w:rPr>
        <w:t>446,762,257</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元。其中：无限售条件的流通股份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446,762,257</w:t>
      </w:r>
      <w:r>
        <w:rPr>
          <w:color w:val="000000"/>
          <w:spacing w:val="0"/>
          <w:w w:val="100"/>
          <w:position w:val="0"/>
        </w:rPr>
        <w:t>股。公司股票于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日在深圳 证券交易所挂牌交易。</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公司成立时注册资本为人民币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万元，折股份总数</w:t>
      </w:r>
      <w:r>
        <w:rPr>
          <w:rFonts w:ascii="Times New Roman" w:eastAsia="Times New Roman" w:hAnsi="Times New Roman" w:cs="Times New Roman"/>
          <w:color w:val="000000"/>
          <w:spacing w:val="0"/>
          <w:w w:val="100"/>
          <w:position w:val="0"/>
        </w:rPr>
        <w:t>10,000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日，经中国证券监 督管理委员会《关于核准高伟达软件股份有限公司首次公开发行股票的批复》</w:t>
      </w:r>
      <w:r>
        <w:rPr>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[2015]833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核准，本公司公开发行 人民币普通股股票</w:t>
      </w:r>
      <w:r>
        <w:rPr>
          <w:rFonts w:ascii="Times New Roman" w:eastAsia="Times New Roman" w:hAnsi="Times New Roman" w:cs="Times New Roman"/>
          <w:color w:val="000000"/>
          <w:spacing w:val="0"/>
          <w:w w:val="100"/>
          <w:position w:val="0"/>
        </w:rPr>
        <w:t>33,340,000</w:t>
      </w:r>
      <w:r>
        <w:rPr>
          <w:color w:val="000000"/>
          <w:spacing w:val="0"/>
          <w:w w:val="100"/>
          <w:position w:val="0"/>
        </w:rPr>
        <w:t>股，公开发行后股份总额为</w:t>
      </w:r>
      <w:r>
        <w:rPr>
          <w:rFonts w:ascii="Times New Roman" w:eastAsia="Times New Roman" w:hAnsi="Times New Roman" w:cs="Times New Roman"/>
          <w:color w:val="000000"/>
          <w:spacing w:val="0"/>
          <w:w w:val="100"/>
          <w:position w:val="0"/>
        </w:rPr>
        <w:t>133,340,000</w:t>
      </w:r>
      <w:r>
        <w:rPr>
          <w:color w:val="000000"/>
          <w:spacing w:val="0"/>
          <w:w w:val="100"/>
          <w:position w:val="0"/>
        </w:rPr>
        <w:t>股。</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年第一次临时股东大会审议通过的《关于</w:t>
      </w:r>
      <w:r>
        <w:rPr>
          <w:color w:val="000000"/>
          <w:spacing w:val="0"/>
          <w:w w:val="100"/>
          <w:position w:val="0"/>
        </w:rPr>
        <w:t>〈</w:t>
      </w:r>
      <w:r>
        <w:rPr>
          <w:color w:val="000000"/>
          <w:spacing w:val="0"/>
          <w:w w:val="100"/>
          <w:position w:val="0"/>
        </w:rPr>
        <w:t>高伟达软件股份有限公司限制性股票激励 计划</w:t>
      </w:r>
      <w:r>
        <w:rPr>
          <w:rFonts w:ascii="Times New Roman" w:eastAsia="Times New Roman" w:hAnsi="Times New Roman" w:cs="Times New Roman"/>
          <w:color w:val="000000"/>
          <w:spacing w:val="0"/>
          <w:w w:val="100"/>
          <w:position w:val="0"/>
        </w:rPr>
        <w:t>（</w:t>
      </w:r>
      <w:r>
        <w:rPr>
          <w:color w:val="000000"/>
          <w:spacing w:val="0"/>
          <w:w w:val="100"/>
          <w:position w:val="0"/>
        </w:rPr>
        <w:t>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及其摘要的议案》，本公司定向增发股份</w:t>
      </w:r>
      <w:r>
        <w:rPr>
          <w:rFonts w:ascii="Times New Roman" w:eastAsia="Times New Roman" w:hAnsi="Times New Roman" w:cs="Times New Roman"/>
          <w:color w:val="000000"/>
          <w:spacing w:val="0"/>
          <w:w w:val="100"/>
          <w:position w:val="0"/>
        </w:rPr>
        <w:t>1,600,000</w:t>
      </w:r>
      <w:r>
        <w:rPr>
          <w:color w:val="000000"/>
          <w:spacing w:val="0"/>
          <w:w w:val="100"/>
          <w:position w:val="0"/>
        </w:rPr>
        <w:t>股，由</w:t>
      </w:r>
      <w:r>
        <w:rPr>
          <w:rFonts w:ascii="Times New Roman" w:eastAsia="Times New Roman" w:hAnsi="Times New Roman" w:cs="Times New Roman"/>
          <w:color w:val="000000"/>
          <w:spacing w:val="0"/>
          <w:w w:val="100"/>
          <w:position w:val="0"/>
        </w:rPr>
        <w:t>100</w:t>
      </w:r>
      <w:r>
        <w:rPr>
          <w:color w:val="000000"/>
          <w:spacing w:val="0"/>
          <w:w w:val="100"/>
          <w:position w:val="0"/>
        </w:rPr>
        <w:t>名核心管理、业务与技术人员以货币资金认 购，每股认购价格</w:t>
      </w:r>
      <w:r>
        <w:rPr>
          <w:rFonts w:ascii="Times New Roman" w:eastAsia="Times New Roman" w:hAnsi="Times New Roman" w:cs="Times New Roman"/>
          <w:color w:val="000000"/>
          <w:spacing w:val="0"/>
          <w:w w:val="100"/>
          <w:position w:val="0"/>
        </w:rPr>
        <w:t>20.89</w:t>
      </w:r>
      <w:r>
        <w:rPr>
          <w:color w:val="000000"/>
          <w:spacing w:val="0"/>
          <w:w w:val="100"/>
          <w:position w:val="0"/>
        </w:rPr>
        <w:t>元。</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日，本公司已收到授予股权激励股份的</w:t>
      </w:r>
      <w:r>
        <w:rPr>
          <w:rFonts w:ascii="Times New Roman" w:eastAsia="Times New Roman" w:hAnsi="Times New Roman" w:cs="Times New Roman"/>
          <w:color w:val="000000"/>
          <w:spacing w:val="0"/>
          <w:w w:val="100"/>
          <w:position w:val="0"/>
        </w:rPr>
        <w:t>100</w:t>
      </w:r>
      <w:r>
        <w:rPr>
          <w:color w:val="000000"/>
          <w:spacing w:val="0"/>
          <w:w w:val="100"/>
          <w:position w:val="0"/>
        </w:rPr>
        <w:t>名人员缴纳的股份认购款合计人民币</w:t>
      </w:r>
      <w:r>
        <w:rPr>
          <w:rFonts w:ascii="Times New Roman" w:eastAsia="Times New Roman" w:hAnsi="Times New Roman" w:cs="Times New Roman"/>
          <w:color w:val="000000"/>
          <w:spacing w:val="0"/>
          <w:w w:val="100"/>
          <w:position w:val="0"/>
        </w:rPr>
        <w:t>33,424,000.00</w:t>
      </w:r>
      <w:r>
        <w:rPr>
          <w:color w:val="000000"/>
          <w:spacing w:val="0"/>
          <w:w w:val="100"/>
          <w:position w:val="0"/>
        </w:rPr>
        <w:t>元，业 经信永中和会计师事务所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审验并出具</w:t>
      </w:r>
      <w:r>
        <w:rPr>
          <w:rFonts w:ascii="Times New Roman" w:eastAsia="Times New Roman" w:hAnsi="Times New Roman" w:cs="Times New Roman"/>
          <w:color w:val="000000"/>
          <w:spacing w:val="0"/>
          <w:w w:val="100"/>
          <w:position w:val="0"/>
        </w:rPr>
        <w:t>XYZH/2016BJA80009</w:t>
      </w:r>
      <w:r>
        <w:rPr>
          <w:color w:val="000000"/>
          <w:spacing w:val="0"/>
          <w:w w:val="100"/>
          <w:position w:val="0"/>
        </w:rPr>
        <w:t>号验资报告。公司本次授予股权激励对象的</w:t>
      </w:r>
      <w:r>
        <w:rPr>
          <w:rFonts w:ascii="Times New Roman" w:eastAsia="Times New Roman" w:hAnsi="Times New Roman" w:cs="Times New Roman"/>
          <w:color w:val="000000"/>
          <w:spacing w:val="0"/>
          <w:w w:val="100"/>
          <w:position w:val="0"/>
        </w:rPr>
        <w:t>160</w:t>
      </w:r>
      <w:r>
        <w:rPr>
          <w:color w:val="000000"/>
          <w:spacing w:val="0"/>
          <w:w w:val="100"/>
          <w:position w:val="0"/>
        </w:rPr>
        <w:t>万 股限制性股票已于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日上市，本公司总股本变更为</w:t>
      </w:r>
      <w:r>
        <w:rPr>
          <w:rFonts w:ascii="Times New Roman" w:eastAsia="Times New Roman" w:hAnsi="Times New Roman" w:cs="Times New Roman"/>
          <w:color w:val="000000"/>
          <w:spacing w:val="0"/>
          <w:w w:val="100"/>
          <w:position w:val="0"/>
        </w:rPr>
        <w:t>134,940,000</w:t>
      </w:r>
      <w:r>
        <w:rPr>
          <w:color w:val="000000"/>
          <w:spacing w:val="0"/>
          <w:w w:val="100"/>
          <w:position w:val="0"/>
        </w:rPr>
        <w:t>股。</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年第三次临时股东大会决议，本公司以</w:t>
      </w:r>
      <w:r>
        <w:rPr>
          <w:rFonts w:ascii="Times New Roman" w:eastAsia="Times New Roman" w:hAnsi="Times New Roman" w:cs="Times New Roman"/>
          <w:color w:val="000000"/>
          <w:spacing w:val="0"/>
          <w:w w:val="100"/>
          <w:position w:val="0"/>
        </w:rPr>
        <w:t>134,940,000</w:t>
      </w:r>
      <w:r>
        <w:rPr>
          <w:color w:val="000000"/>
          <w:spacing w:val="0"/>
          <w:w w:val="100"/>
          <w:position w:val="0"/>
        </w:rPr>
        <w:t>股为基数进行资本公积金转增股 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22</w:t>
      </w:r>
      <w:r>
        <w:rPr>
          <w:color w:val="000000"/>
          <w:spacing w:val="0"/>
          <w:w w:val="100"/>
          <w:position w:val="0"/>
        </w:rPr>
        <w:t>股，共计转增</w:t>
      </w:r>
      <w:r>
        <w:rPr>
          <w:rFonts w:ascii="Times New Roman" w:eastAsia="Times New Roman" w:hAnsi="Times New Roman" w:cs="Times New Roman"/>
          <w:color w:val="000000"/>
          <w:spacing w:val="0"/>
          <w:w w:val="100"/>
          <w:position w:val="0"/>
        </w:rPr>
        <w:t>296,868,000</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rPr>
        <w:t>431,808,000</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年半年度利润分配实施完成。</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日第四届临时股东大会审议通过《关于</w:t>
      </w:r>
      <w:r>
        <w:rPr>
          <w:color w:val="000000"/>
          <w:spacing w:val="0"/>
          <w:w w:val="100"/>
          <w:position w:val="0"/>
        </w:rPr>
        <w:t>〈</w:t>
      </w: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 案</w:t>
      </w:r>
      <w:r>
        <w:rPr>
          <w:rFonts w:ascii="Times New Roman" w:eastAsia="Times New Roman" w:hAnsi="Times New Roman" w:cs="Times New Roman"/>
          <w:color w:val="000000"/>
          <w:spacing w:val="0"/>
          <w:w w:val="100"/>
          <w:position w:val="0"/>
        </w:rPr>
        <w:t>）＞</w:t>
      </w:r>
      <w:r>
        <w:rPr>
          <w:color w:val="000000"/>
          <w:spacing w:val="0"/>
          <w:w w:val="100"/>
          <w:position w:val="0"/>
        </w:rPr>
        <w:t>及摘要的议案》、第二届董事会第二十八次会议通过的《关于调整</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年限制性股票激励计划相关事项的议案》，公司 进行股权激励，向</w:t>
      </w:r>
      <w:r>
        <w:rPr>
          <w:rFonts w:ascii="Times New Roman" w:eastAsia="Times New Roman" w:hAnsi="Times New Roman" w:cs="Times New Roman"/>
          <w:color w:val="000000"/>
          <w:spacing w:val="0"/>
          <w:w w:val="100"/>
          <w:position w:val="0"/>
        </w:rPr>
        <w:t>48</w:t>
      </w:r>
      <w:r>
        <w:rPr>
          <w:color w:val="000000"/>
          <w:spacing w:val="0"/>
          <w:w w:val="100"/>
          <w:position w:val="0"/>
        </w:rPr>
        <w:t>名核心管理、业务与技术人员授予限制性股票数量</w:t>
      </w:r>
      <w:r>
        <w:rPr>
          <w:rFonts w:ascii="Times New Roman" w:eastAsia="Times New Roman" w:hAnsi="Times New Roman" w:cs="Times New Roman"/>
          <w:color w:val="000000"/>
          <w:spacing w:val="0"/>
          <w:w w:val="100"/>
          <w:position w:val="0"/>
        </w:rPr>
        <w:t>278.40</w:t>
      </w:r>
      <w:r>
        <w:rPr>
          <w:color w:val="000000"/>
          <w:spacing w:val="0"/>
          <w:w w:val="100"/>
          <w:position w:val="0"/>
        </w:rPr>
        <w:t>万股，限制性股票价格为每股</w:t>
      </w:r>
      <w:r>
        <w:rPr>
          <w:rFonts w:ascii="Times New Roman" w:eastAsia="Times New Roman" w:hAnsi="Times New Roman" w:cs="Times New Roman"/>
          <w:color w:val="000000"/>
          <w:spacing w:val="0"/>
          <w:w w:val="100"/>
          <w:position w:val="0"/>
        </w:rPr>
        <w:t>7.66</w:t>
      </w:r>
      <w:r>
        <w:rPr>
          <w:color w:val="000000"/>
          <w:spacing w:val="0"/>
          <w:w w:val="100"/>
          <w:position w:val="0"/>
        </w:rPr>
        <w:t xml:space="preserve">元，共 </w:t>
      </w:r>
      <w:r>
        <w:rPr>
          <w:rFonts w:ascii="Times New Roman" w:eastAsia="Times New Roman" w:hAnsi="Times New Roman" w:cs="Times New Roman"/>
          <w:color w:val="000000"/>
          <w:spacing w:val="0"/>
          <w:w w:val="100"/>
          <w:position w:val="0"/>
        </w:rPr>
        <w:t>21,325,440.00</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日，公司已收到被授予股权激励限制性股票的</w:t>
      </w:r>
      <w:r>
        <w:rPr>
          <w:rFonts w:ascii="Times New Roman" w:eastAsia="Times New Roman" w:hAnsi="Times New Roman" w:cs="Times New Roman"/>
          <w:color w:val="000000"/>
          <w:spacing w:val="0"/>
          <w:w w:val="100"/>
          <w:position w:val="0"/>
        </w:rPr>
        <w:t>48</w:t>
      </w:r>
      <w:r>
        <w:rPr>
          <w:color w:val="000000"/>
          <w:spacing w:val="0"/>
          <w:w w:val="100"/>
          <w:position w:val="0"/>
        </w:rPr>
        <w:t>名核心管理、业务与技术人员缴纳的股 份认购款共计人民币</w:t>
      </w:r>
      <w:r>
        <w:rPr>
          <w:rFonts w:ascii="Times New Roman" w:eastAsia="Times New Roman" w:hAnsi="Times New Roman" w:cs="Times New Roman"/>
          <w:color w:val="000000"/>
          <w:spacing w:val="0"/>
          <w:w w:val="100"/>
          <w:position w:val="0"/>
        </w:rPr>
        <w:t>21,325,440.00</w:t>
      </w:r>
      <w:r>
        <w:rPr>
          <w:color w:val="000000"/>
          <w:spacing w:val="0"/>
          <w:w w:val="100"/>
          <w:position w:val="0"/>
        </w:rPr>
        <w:t>元，均为货币资金缴纳，股本变更后累计股本达</w:t>
      </w:r>
      <w:r>
        <w:rPr>
          <w:rFonts w:ascii="Times New Roman" w:eastAsia="Times New Roman" w:hAnsi="Times New Roman" w:cs="Times New Roman"/>
          <w:color w:val="000000"/>
          <w:spacing w:val="0"/>
          <w:w w:val="100"/>
          <w:position w:val="0"/>
        </w:rPr>
        <w:t>434,592,000.00</w:t>
      </w:r>
      <w:r>
        <w:rPr>
          <w:color w:val="000000"/>
          <w:spacing w:val="0"/>
          <w:w w:val="100"/>
          <w:position w:val="0"/>
        </w:rPr>
        <w:t>元，业经信永中和会计师事 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审验并出具</w:t>
      </w:r>
      <w:r>
        <w:rPr>
          <w:rFonts w:ascii="Times New Roman" w:eastAsia="Times New Roman" w:hAnsi="Times New Roman" w:cs="Times New Roman"/>
          <w:color w:val="000000"/>
          <w:spacing w:val="0"/>
          <w:w w:val="100"/>
          <w:position w:val="0"/>
        </w:rPr>
        <w:t>XYZH/2016BJA80316</w:t>
      </w:r>
      <w:r>
        <w:rPr>
          <w:color w:val="000000"/>
          <w:spacing w:val="0"/>
          <w:w w:val="100"/>
          <w:position w:val="0"/>
        </w:rPr>
        <w:t>号验资报告。</w:t>
      </w:r>
    </w:p>
    <w:p>
      <w:pPr>
        <w:pStyle w:val="Style34"/>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日召开的第二届董事会第二^一次会议和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年第二次临时股东大会决议， 并经中国证券监督管理委员会《关于核准高伟达软件股份有限公司向北京睿韬科技有限责任公司等发行股份购买资产并募集 配套资金的批复》</w:t>
      </w:r>
      <w:r>
        <w:rPr>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[2016]2562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核准，本公司向北京睿韬科技有限责任公司、宁波镇海翔易融联投资管理合伙企 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合计发行股份</w:t>
      </w:r>
      <w:r>
        <w:rPr>
          <w:rFonts w:ascii="Times New Roman" w:eastAsia="Times New Roman" w:hAnsi="Times New Roman" w:cs="Times New Roman"/>
          <w:color w:val="000000"/>
          <w:spacing w:val="0"/>
          <w:w w:val="100"/>
          <w:position w:val="0"/>
        </w:rPr>
        <w:t>14,745,442</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其中北京睿韬科技有限责任公司</w:t>
      </w:r>
      <w:r>
        <w:rPr>
          <w:rFonts w:ascii="Times New Roman" w:eastAsia="Times New Roman" w:hAnsi="Times New Roman" w:cs="Times New Roman"/>
          <w:color w:val="000000"/>
          <w:spacing w:val="0"/>
          <w:w w:val="100"/>
          <w:position w:val="0"/>
        </w:rPr>
        <w:t>8,847,265</w:t>
      </w:r>
      <w:r>
        <w:rPr>
          <w:color w:val="000000"/>
          <w:spacing w:val="0"/>
          <w:w w:val="100"/>
          <w:position w:val="0"/>
        </w:rPr>
        <w:t xml:space="preserve">股、宁波镇海翔易融联投资管理合伙企业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）5,898,177</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并支付现金</w:t>
      </w:r>
      <w:r>
        <w:rPr>
          <w:rFonts w:ascii="Times New Roman" w:eastAsia="Times New Roman" w:hAnsi="Times New Roman" w:cs="Times New Roman"/>
          <w:color w:val="000000"/>
          <w:spacing w:val="0"/>
          <w:w w:val="100"/>
          <w:position w:val="0"/>
        </w:rPr>
        <w:t>6,540.00</w:t>
      </w:r>
      <w:r>
        <w:rPr>
          <w:color w:val="000000"/>
          <w:spacing w:val="0"/>
          <w:w w:val="100"/>
          <w:position w:val="0"/>
        </w:rPr>
        <w:t>万元购买其合计持有的上海睿民互联网科技有限公司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以下简称上海睿民</w:t>
      </w:r>
      <w:r>
        <w:rPr>
          <w:rFonts w:ascii="Times New Roman" w:eastAsia="Times New Roman" w:hAnsi="Times New Roman" w:cs="Times New Roman"/>
          <w:color w:val="000000"/>
          <w:spacing w:val="0"/>
          <w:w w:val="100"/>
          <w:position w:val="0"/>
        </w:rPr>
        <w:t>）100%</w:t>
      </w:r>
      <w:r>
        <w:rPr>
          <w:color w:val="000000"/>
          <w:spacing w:val="0"/>
          <w:w w:val="100"/>
          <w:position w:val="0"/>
        </w:rPr>
        <w:t>股 权；同时本公司分别向鹰潭市鹰高投资咨询有限公司、余江县泰和睿思技术服务中心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发行股份</w:t>
      </w:r>
      <w:r>
        <w:rPr>
          <w:rFonts w:ascii="Times New Roman" w:eastAsia="Times New Roman" w:hAnsi="Times New Roman" w:cs="Times New Roman"/>
          <w:color w:val="000000"/>
          <w:spacing w:val="0"/>
          <w:w w:val="100"/>
          <w:position w:val="0"/>
        </w:rPr>
        <w:t>2,514,14 0</w:t>
      </w:r>
      <w:r>
        <w:rPr>
          <w:color w:val="000000"/>
          <w:spacing w:val="0"/>
          <w:w w:val="100"/>
          <w:position w:val="0"/>
        </w:rPr>
        <w:t xml:space="preserve">股和 </w:t>
      </w:r>
      <w:r>
        <w:rPr>
          <w:rFonts w:ascii="Times New Roman" w:eastAsia="Times New Roman" w:hAnsi="Times New Roman" w:cs="Times New Roman"/>
          <w:color w:val="000000"/>
          <w:spacing w:val="0"/>
          <w:w w:val="100"/>
          <w:position w:val="0"/>
        </w:rPr>
        <w:t>1,125,075</w:t>
      </w:r>
      <w:r>
        <w:rPr>
          <w:color w:val="000000"/>
          <w:spacing w:val="0"/>
          <w:w w:val="100"/>
          <w:position w:val="0"/>
        </w:rPr>
        <w:t>股配套募集资金</w:t>
      </w:r>
      <w:r>
        <w:rPr>
          <w:rFonts w:ascii="Times New Roman" w:eastAsia="Times New Roman" w:hAnsi="Times New Roman" w:cs="Times New Roman"/>
          <w:color w:val="000000"/>
          <w:spacing w:val="0"/>
          <w:w w:val="100"/>
          <w:position w:val="0"/>
        </w:rPr>
        <w:t>57,899,910.65</w:t>
      </w:r>
      <w:r>
        <w:rPr>
          <w:color w:val="000000"/>
          <w:spacing w:val="0"/>
          <w:w w:val="100"/>
          <w:position w:val="0"/>
        </w:rPr>
        <w:t>元。发行后公司股本</w:t>
      </w:r>
      <w:r>
        <w:rPr>
          <w:rFonts w:ascii="Times New Roman" w:eastAsia="Times New Roman" w:hAnsi="Times New Roman" w:cs="Times New Roman"/>
          <w:color w:val="000000"/>
          <w:spacing w:val="0"/>
          <w:w w:val="100"/>
          <w:position w:val="0"/>
        </w:rPr>
        <w:t>452,976,657</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 xml:space="preserve">元，其中有限售条件的流通股份为 </w:t>
      </w:r>
      <w:r>
        <w:rPr>
          <w:rFonts w:ascii="Times New Roman" w:eastAsia="Times New Roman" w:hAnsi="Times New Roman" w:cs="Times New Roman"/>
          <w:color w:val="000000"/>
          <w:spacing w:val="0"/>
          <w:w w:val="100"/>
          <w:position w:val="0"/>
        </w:rPr>
        <w:t>197,280,657</w:t>
      </w:r>
      <w:r>
        <w:rPr>
          <w:color w:val="000000"/>
          <w:spacing w:val="0"/>
          <w:w w:val="100"/>
          <w:position w:val="0"/>
        </w:rPr>
        <w:t>股，占股份总数的</w:t>
      </w:r>
      <w:r>
        <w:rPr>
          <w:rFonts w:ascii="Times New Roman" w:eastAsia="Times New Roman" w:hAnsi="Times New Roman" w:cs="Times New Roman"/>
          <w:color w:val="000000"/>
          <w:spacing w:val="0"/>
          <w:w w:val="100"/>
          <w:position w:val="0"/>
        </w:rPr>
        <w:t>43.55%</w:t>
      </w:r>
      <w:r>
        <w:rPr>
          <w:color w:val="000000"/>
          <w:spacing w:val="0"/>
          <w:w w:val="100"/>
          <w:position w:val="0"/>
        </w:rPr>
        <w:t>；无限售条件的流通股份为</w:t>
      </w:r>
      <w:r>
        <w:rPr>
          <w:rFonts w:ascii="Times New Roman" w:eastAsia="Times New Roman" w:hAnsi="Times New Roman" w:cs="Times New Roman"/>
          <w:color w:val="000000"/>
          <w:spacing w:val="0"/>
          <w:w w:val="100"/>
          <w:position w:val="0"/>
        </w:rPr>
        <w:t>255,696,000</w:t>
      </w:r>
      <w:r>
        <w:rPr>
          <w:color w:val="000000"/>
          <w:spacing w:val="0"/>
          <w:w w:val="100"/>
          <w:position w:val="0"/>
        </w:rPr>
        <w:t>股，占股份总数的</w:t>
      </w:r>
      <w:r>
        <w:rPr>
          <w:rFonts w:ascii="Times New Roman" w:eastAsia="Times New Roman" w:hAnsi="Times New Roman" w:cs="Times New Roman"/>
          <w:color w:val="000000"/>
          <w:spacing w:val="0"/>
          <w:w w:val="100"/>
          <w:position w:val="0"/>
        </w:rPr>
        <w:t>56.45%</w:t>
      </w:r>
      <w:r>
        <w:rPr>
          <w:color w:val="000000"/>
          <w:spacing w:val="0"/>
          <w:w w:val="100"/>
          <w:position w:val="0"/>
        </w:rPr>
        <w:t>。本次增资业经中汇</w:t>
      </w:r>
    </w:p>
    <w:p>
      <w:pPr>
        <w:pStyle w:val="Style17"/>
        <w:keepNext/>
        <w:keepLines/>
        <w:widowControl w:val="0"/>
        <w:shd w:val="clear" w:color="auto" w:fill="auto"/>
        <w:bidi w:val="0"/>
        <w:spacing w:before="0" w:after="0" w:line="240" w:lineRule="auto"/>
        <w:ind w:left="0" w:right="0" w:firstLine="0"/>
        <w:jc w:val="right"/>
        <w:rPr>
          <w:sz w:val="20"/>
          <w:szCs w:val="20"/>
        </w:rPr>
      </w:pPr>
      <w:bookmarkStart w:id="700" w:name="bookmark700"/>
      <w:bookmarkStart w:id="701" w:name="bookmark701"/>
      <w:bookmarkStart w:id="702" w:name="bookmark702"/>
      <w:r>
        <w:rPr>
          <w:rFonts w:ascii="Arial" w:eastAsia="Arial" w:hAnsi="Arial" w:cs="Arial"/>
          <w:color w:val="A2A2A2"/>
          <w:spacing w:val="0"/>
          <w:w w:val="100"/>
          <w:position w:val="0"/>
          <w:sz w:val="20"/>
          <w:szCs w:val="20"/>
        </w:rPr>
        <w:t>cninf^r</w:t>
      </w:r>
      <w:bookmarkEnd w:id="700"/>
      <w:bookmarkEnd w:id="701"/>
      <w:bookmarkEnd w:id="702"/>
    </w:p>
    <w:p>
      <w:pPr>
        <w:pStyle w:val="Style20"/>
        <w:keepNext w:val="0"/>
        <w:keepLines w:val="0"/>
        <w:widowControl w:val="0"/>
        <w:shd w:val="clear" w:color="auto" w:fill="auto"/>
        <w:bidi w:val="0"/>
        <w:spacing w:before="0" w:after="0" w:line="240" w:lineRule="auto"/>
        <w:ind w:left="0" w:right="0" w:firstLine="0"/>
        <w:jc w:val="right"/>
      </w:pPr>
      <w:r>
        <w:rPr>
          <w:spacing w:val="0"/>
          <w:w w:val="100"/>
          <w:position w:val="0"/>
        </w:rPr>
        <w:t>巨潮资讯</w:t>
      </w:r>
    </w:p>
    <w:p>
      <w:pPr>
        <w:pStyle w:val="Style72"/>
        <w:keepNext w:val="0"/>
        <w:keepLines w:val="0"/>
        <w:widowControl w:val="0"/>
        <w:shd w:val="clear" w:color="auto" w:fill="auto"/>
        <w:bidi w:val="0"/>
        <w:spacing w:before="0" w:after="0" w:line="240" w:lineRule="auto"/>
        <w:ind w:left="0" w:right="0" w:firstLine="0"/>
        <w:jc w:val="right"/>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441" w:right="1023" w:bottom="169" w:left="1099" w:header="0" w:footer="3" w:gutter="0"/>
          <w:cols w:space="720"/>
          <w:noEndnote/>
          <w:rtlGutter w:val="0"/>
          <w:docGrid w:linePitch="360"/>
        </w:sectPr>
      </w:pPr>
      <w:r>
        <w:rPr>
          <w:spacing w:val="0"/>
          <w:w w:val="100"/>
          <w:position w:val="0"/>
        </w:rPr>
        <w:t>ww.cnlnTo.com.cn</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审验，并于</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日出具中汇会验</w:t>
      </w:r>
      <w:r>
        <w:rPr>
          <w:rFonts w:ascii="Times New Roman" w:eastAsia="Times New Roman" w:hAnsi="Times New Roman" w:cs="Times New Roman"/>
          <w:color w:val="000000"/>
          <w:spacing w:val="0"/>
          <w:w w:val="100"/>
          <w:position w:val="0"/>
        </w:rPr>
        <w:t>[2016]4648</w:t>
      </w:r>
      <w:r>
        <w:rPr>
          <w:color w:val="000000"/>
          <w:spacing w:val="0"/>
          <w:w w:val="100"/>
          <w:position w:val="0"/>
        </w:rPr>
        <w:t>号验资报告。</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根据公司《关于回购注销部分限制性股票及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年股权激励计划已获授但未达到第一个解锁期解锁条件的限 制性股票的议案》、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日第二届董事会第三十四次会议和第二届监事会第三十次会议决议、《</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 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》和修改后的章程规定，本公司决定回购注销因离职已不符合激励 条件的原</w:t>
      </w:r>
      <w:r>
        <w:rPr>
          <w:rFonts w:ascii="Times New Roman" w:eastAsia="Times New Roman" w:hAnsi="Times New Roman" w:cs="Times New Roman"/>
          <w:color w:val="000000"/>
          <w:spacing w:val="0"/>
          <w:w w:val="100"/>
          <w:position w:val="0"/>
        </w:rPr>
        <w:t>7</w:t>
      </w:r>
      <w:r>
        <w:rPr>
          <w:color w:val="000000"/>
          <w:spacing w:val="0"/>
          <w:w w:val="100"/>
          <w:position w:val="0"/>
        </w:rPr>
        <w:t>名</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年限制性股票股权激励对象及原</w:t>
      </w:r>
      <w:r>
        <w:rPr>
          <w:rFonts w:ascii="Times New Roman" w:eastAsia="Times New Roman" w:hAnsi="Times New Roman" w:cs="Times New Roman"/>
          <w:color w:val="000000"/>
          <w:spacing w:val="0"/>
          <w:w w:val="100"/>
          <w:position w:val="0"/>
        </w:rPr>
        <w:t>2</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年限制性股票股权激励对象的已获授的全部限制性股票共计 </w:t>
      </w:r>
      <w:r>
        <w:rPr>
          <w:rFonts w:ascii="Times New Roman" w:eastAsia="Times New Roman" w:hAnsi="Times New Roman" w:cs="Times New Roman"/>
          <w:color w:val="000000"/>
          <w:spacing w:val="0"/>
          <w:w w:val="100"/>
          <w:position w:val="0"/>
        </w:rPr>
        <w:t>320,000</w:t>
      </w:r>
      <w:r>
        <w:rPr>
          <w:color w:val="000000"/>
          <w:spacing w:val="0"/>
          <w:w w:val="100"/>
          <w:position w:val="0"/>
        </w:rPr>
        <w:t>股；回购注销由于</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年限制性股票第一个解锁期解锁条件及</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年限制性股票第一个解锁期解锁条件未达成的已 获授限制性股票共计</w:t>
      </w:r>
      <w:r>
        <w:rPr>
          <w:rFonts w:ascii="Times New Roman" w:eastAsia="Times New Roman" w:hAnsi="Times New Roman" w:cs="Times New Roman"/>
          <w:color w:val="000000"/>
          <w:spacing w:val="0"/>
          <w:w w:val="100"/>
          <w:position w:val="0"/>
        </w:rPr>
        <w:t>2,275,200</w:t>
      </w:r>
      <w:r>
        <w:rPr>
          <w:color w:val="000000"/>
          <w:spacing w:val="0"/>
          <w:w w:val="100"/>
          <w:position w:val="0"/>
        </w:rPr>
        <w:t>股，本公司本次将回购注销限制性股票合计</w:t>
      </w:r>
      <w:r>
        <w:rPr>
          <w:rFonts w:ascii="Times New Roman" w:eastAsia="Times New Roman" w:hAnsi="Times New Roman" w:cs="Times New Roman"/>
          <w:color w:val="000000"/>
          <w:spacing w:val="0"/>
          <w:w w:val="100"/>
          <w:position w:val="0"/>
        </w:rPr>
        <w:t>2,595,200</w:t>
      </w:r>
      <w:r>
        <w:rPr>
          <w:color w:val="000000"/>
          <w:spacing w:val="0"/>
          <w:w w:val="100"/>
          <w:position w:val="0"/>
        </w:rPr>
        <w:t>股。根据回购注销情况，本次回购注销股 票数量为</w:t>
      </w:r>
      <w:r>
        <w:rPr>
          <w:rFonts w:ascii="Times New Roman" w:eastAsia="Times New Roman" w:hAnsi="Times New Roman" w:cs="Times New Roman"/>
          <w:color w:val="000000"/>
          <w:spacing w:val="0"/>
          <w:w w:val="100"/>
          <w:position w:val="0"/>
        </w:rPr>
        <w:t>2,595,200</w:t>
      </w:r>
      <w:r>
        <w:rPr>
          <w:color w:val="000000"/>
          <w:spacing w:val="0"/>
          <w:w w:val="100"/>
          <w:position w:val="0"/>
        </w:rPr>
        <w:t>股，减少注册资本人民币</w:t>
      </w:r>
      <w:r>
        <w:rPr>
          <w:rFonts w:ascii="Times New Roman" w:eastAsia="Times New Roman" w:hAnsi="Times New Roman" w:cs="Times New Roman"/>
          <w:color w:val="000000"/>
          <w:spacing w:val="0"/>
          <w:w w:val="100"/>
          <w:position w:val="0"/>
        </w:rPr>
        <w:t>2,595,200.00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450,381,457.00</w:t>
      </w:r>
      <w:r>
        <w:rPr>
          <w:color w:val="000000"/>
          <w:spacing w:val="0"/>
          <w:w w:val="100"/>
          <w:position w:val="0"/>
        </w:rPr>
        <w:t>元。本次减资业经中 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日出具中汇会验</w:t>
      </w:r>
      <w:r>
        <w:rPr>
          <w:rFonts w:ascii="Times New Roman" w:eastAsia="Times New Roman" w:hAnsi="Times New Roman" w:cs="Times New Roman"/>
          <w:color w:val="000000"/>
          <w:spacing w:val="0"/>
          <w:w w:val="100"/>
          <w:position w:val="0"/>
        </w:rPr>
        <w:t>[2017]3988</w:t>
      </w:r>
      <w:r>
        <w:rPr>
          <w:color w:val="000000"/>
          <w:spacing w:val="0"/>
          <w:w w:val="100"/>
          <w:position w:val="0"/>
        </w:rPr>
        <w:t>号验资报告。</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根据公司《关于回购注销部分限制性股票的议案》、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日第三届董事会第四次临时会议决议和第三届监事会 第四次会议决议、《</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》和修改后的章程规定，本 公司决定回购注销因离职已不符合激励条件的原</w:t>
      </w:r>
      <w:r>
        <w:rPr>
          <w:rFonts w:ascii="Times New Roman" w:eastAsia="Times New Roman" w:hAnsi="Times New Roman" w:cs="Times New Roman"/>
          <w:color w:val="000000"/>
          <w:spacing w:val="0"/>
          <w:w w:val="100"/>
          <w:position w:val="0"/>
        </w:rPr>
        <w:t>5</w:t>
      </w:r>
      <w:r>
        <w:rPr>
          <w:color w:val="000000"/>
          <w:spacing w:val="0"/>
          <w:w w:val="100"/>
          <w:position w:val="0"/>
        </w:rPr>
        <w:t>名</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年限制性股票股权激励对象及原</w:t>
      </w:r>
      <w:r>
        <w:rPr>
          <w:rFonts w:ascii="Times New Roman" w:eastAsia="Times New Roman" w:hAnsi="Times New Roman" w:cs="Times New Roman"/>
          <w:color w:val="000000"/>
          <w:spacing w:val="0"/>
          <w:w w:val="100"/>
          <w:position w:val="0"/>
        </w:rPr>
        <w:t>8</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年限制性股票股权激励对 象的已获授的全部限制性股票共计</w:t>
      </w:r>
      <w:r>
        <w:rPr>
          <w:rFonts w:ascii="Times New Roman" w:eastAsia="Times New Roman" w:hAnsi="Times New Roman" w:cs="Times New Roman"/>
          <w:color w:val="000000"/>
          <w:spacing w:val="0"/>
          <w:w w:val="100"/>
          <w:position w:val="0"/>
        </w:rPr>
        <w:t>515,200</w:t>
      </w:r>
      <w:r>
        <w:rPr>
          <w:color w:val="000000"/>
          <w:spacing w:val="0"/>
          <w:w w:val="100"/>
          <w:position w:val="0"/>
        </w:rPr>
        <w:t>股。根据回购注销情况，本次回购注销股票数量为</w:t>
      </w:r>
      <w:r>
        <w:rPr>
          <w:rFonts w:ascii="Times New Roman" w:eastAsia="Times New Roman" w:hAnsi="Times New Roman" w:cs="Times New Roman"/>
          <w:color w:val="000000"/>
          <w:spacing w:val="0"/>
          <w:w w:val="100"/>
          <w:position w:val="0"/>
        </w:rPr>
        <w:t>515,200</w:t>
      </w:r>
      <w:r>
        <w:rPr>
          <w:color w:val="000000"/>
          <w:spacing w:val="0"/>
          <w:w w:val="100"/>
          <w:position w:val="0"/>
        </w:rPr>
        <w:t>股，减少注册资本人民 币</w:t>
      </w:r>
      <w:r>
        <w:rPr>
          <w:rFonts w:ascii="Times New Roman" w:eastAsia="Times New Roman" w:hAnsi="Times New Roman" w:cs="Times New Roman"/>
          <w:color w:val="000000"/>
          <w:spacing w:val="0"/>
          <w:w w:val="100"/>
          <w:position w:val="0"/>
        </w:rPr>
        <w:t>515,200.00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449,866,257.00</w:t>
      </w:r>
      <w:r>
        <w:rPr>
          <w:color w:val="000000"/>
          <w:spacing w:val="0"/>
          <w:w w:val="100"/>
          <w:position w:val="0"/>
        </w:rPr>
        <w:t>元。本次减资业经中汇会计师事务所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 xml:space="preserve">审验，并于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日出具中汇会验</w:t>
      </w:r>
      <w:r>
        <w:rPr>
          <w:rFonts w:ascii="Times New Roman" w:eastAsia="Times New Roman" w:hAnsi="Times New Roman" w:cs="Times New Roman"/>
          <w:color w:val="000000"/>
          <w:spacing w:val="0"/>
          <w:w w:val="100"/>
          <w:position w:val="0"/>
        </w:rPr>
        <w:t>[2017]4988</w:t>
      </w:r>
      <w:r>
        <w:rPr>
          <w:color w:val="000000"/>
          <w:spacing w:val="0"/>
          <w:w w:val="100"/>
          <w:position w:val="0"/>
        </w:rPr>
        <w:t>号验资报告。</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根据公司《关于回购注销部分限制性股票及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年股权激励计划已获授但未达到第二个解锁期条件的限制性 股票的议案》、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日召开的第三届董事会第十四次会议决议、《</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 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》和修改后的章程规定，决定回购注销因离职已不符合激励条件的原</w:t>
      </w:r>
      <w:r>
        <w:rPr>
          <w:rFonts w:ascii="Times New Roman" w:eastAsia="Times New Roman" w:hAnsi="Times New Roman" w:cs="Times New Roman"/>
          <w:color w:val="000000"/>
          <w:spacing w:val="0"/>
          <w:w w:val="100"/>
          <w:position w:val="0"/>
        </w:rPr>
        <w:t>15</w:t>
      </w:r>
      <w:r>
        <w:rPr>
          <w:color w:val="000000"/>
          <w:spacing w:val="0"/>
          <w:w w:val="100"/>
          <w:position w:val="0"/>
        </w:rPr>
        <w:t>名</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年限制性股票股权 激励对象及原</w:t>
      </w:r>
      <w:r>
        <w:rPr>
          <w:rFonts w:ascii="Times New Roman" w:eastAsia="Times New Roman" w:hAnsi="Times New Roman" w:cs="Times New Roman"/>
          <w:color w:val="000000"/>
          <w:spacing w:val="0"/>
          <w:w w:val="100"/>
          <w:position w:val="0"/>
        </w:rPr>
        <w:t>10</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年限制性股票股权激励对象已获授的全部限制性股票，共计</w:t>
      </w:r>
      <w:r>
        <w:rPr>
          <w:rFonts w:ascii="Times New Roman" w:eastAsia="Times New Roman" w:hAnsi="Times New Roman" w:cs="Times New Roman"/>
          <w:color w:val="000000"/>
          <w:spacing w:val="0"/>
          <w:w w:val="100"/>
          <w:position w:val="0"/>
        </w:rPr>
        <w:t>985,600</w:t>
      </w:r>
      <w:r>
        <w:rPr>
          <w:color w:val="000000"/>
          <w:spacing w:val="0"/>
          <w:w w:val="100"/>
          <w:position w:val="0"/>
        </w:rPr>
        <w:t>股；回购注销由于</w:t>
      </w:r>
      <w:r>
        <w:rPr>
          <w:rFonts w:ascii="Times New Roman" w:eastAsia="Times New Roman" w:hAnsi="Times New Roman" w:cs="Times New Roman"/>
          <w:color w:val="000000"/>
          <w:spacing w:val="0"/>
          <w:w w:val="100"/>
          <w:position w:val="0"/>
        </w:rPr>
        <w:t>2015</w:t>
      </w:r>
      <w:r>
        <w:rPr>
          <w:color w:val="000000"/>
          <w:spacing w:val="0"/>
          <w:w w:val="100"/>
          <w:position w:val="0"/>
        </w:rPr>
        <w:t>年限制性 股票第二个解锁期解锁条件及</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年限制性股票第二个解锁期解锁条件未达成的已获授限制性股票，共计</w:t>
      </w:r>
      <w:r>
        <w:rPr>
          <w:rFonts w:ascii="Times New Roman" w:eastAsia="Times New Roman" w:hAnsi="Times New Roman" w:cs="Times New Roman"/>
          <w:color w:val="000000"/>
          <w:spacing w:val="0"/>
          <w:w w:val="100"/>
          <w:position w:val="0"/>
        </w:rPr>
        <w:t>1,632,000</w:t>
      </w:r>
      <w:r>
        <w:rPr>
          <w:color w:val="000000"/>
          <w:spacing w:val="0"/>
          <w:w w:val="100"/>
          <w:position w:val="0"/>
        </w:rPr>
        <w:t>股，本公 司本次将回购注销限制性股票合计</w:t>
      </w:r>
      <w:r>
        <w:rPr>
          <w:rFonts w:ascii="Times New Roman" w:eastAsia="Times New Roman" w:hAnsi="Times New Roman" w:cs="Times New Roman"/>
          <w:color w:val="000000"/>
          <w:spacing w:val="0"/>
          <w:w w:val="100"/>
          <w:position w:val="0"/>
        </w:rPr>
        <w:t>2,617,600</w:t>
      </w:r>
      <w:r>
        <w:rPr>
          <w:color w:val="000000"/>
          <w:spacing w:val="0"/>
          <w:w w:val="100"/>
          <w:position w:val="0"/>
        </w:rPr>
        <w:t>股，根据回购注销情况，本次回购注销股票数量为</w:t>
      </w:r>
      <w:r>
        <w:rPr>
          <w:rFonts w:ascii="Times New Roman" w:eastAsia="Times New Roman" w:hAnsi="Times New Roman" w:cs="Times New Roman"/>
          <w:color w:val="000000"/>
          <w:spacing w:val="0"/>
          <w:w w:val="100"/>
          <w:position w:val="0"/>
        </w:rPr>
        <w:t>2,617,600</w:t>
      </w:r>
      <w:r>
        <w:rPr>
          <w:color w:val="000000"/>
          <w:spacing w:val="0"/>
          <w:w w:val="100"/>
          <w:position w:val="0"/>
        </w:rPr>
        <w:t>股，减少注册资本人 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,617,600.00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447,248,657.00</w:t>
      </w:r>
      <w:r>
        <w:rPr>
          <w:color w:val="000000"/>
          <w:spacing w:val="0"/>
          <w:w w:val="100"/>
          <w:position w:val="0"/>
        </w:rPr>
        <w:t>元。本次减资业经中汇会计师事务所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 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日出具中汇会验</w:t>
      </w:r>
      <w:r>
        <w:rPr>
          <w:rFonts w:ascii="Times New Roman" w:eastAsia="Times New Roman" w:hAnsi="Times New Roman" w:cs="Times New Roman"/>
          <w:color w:val="000000"/>
          <w:spacing w:val="0"/>
          <w:w w:val="100"/>
          <w:position w:val="0"/>
        </w:rPr>
        <w:t>[2018]3791</w:t>
      </w:r>
      <w:r>
        <w:rPr>
          <w:color w:val="000000"/>
          <w:spacing w:val="0"/>
          <w:w w:val="100"/>
          <w:position w:val="0"/>
        </w:rPr>
        <w:t>号验资报告。</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根据本公司《关于回购注销部分限制性股票的议案》、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日召开的第三届董事会第十七次会议决议、《</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》和修改后的章程规定，决定回购注销因离职已不符 合激励条件的原</w:t>
      </w:r>
      <w:r>
        <w:rPr>
          <w:rFonts w:ascii="Times New Roman" w:eastAsia="Times New Roman" w:hAnsi="Times New Roman" w:cs="Times New Roman"/>
          <w:color w:val="000000"/>
          <w:spacing w:val="0"/>
          <w:w w:val="100"/>
          <w:position w:val="0"/>
        </w:rPr>
        <w:t>7</w:t>
      </w:r>
      <w:r>
        <w:rPr>
          <w:color w:val="000000"/>
          <w:spacing w:val="0"/>
          <w:w w:val="100"/>
          <w:position w:val="0"/>
        </w:rPr>
        <w:t>名</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年限制性股票股权激励对象及原</w:t>
      </w:r>
      <w:r>
        <w:rPr>
          <w:rFonts w:ascii="Times New Roman" w:eastAsia="Times New Roman" w:hAnsi="Times New Roman" w:cs="Times New Roman"/>
          <w:color w:val="000000"/>
          <w:spacing w:val="0"/>
          <w:w w:val="100"/>
          <w:position w:val="0"/>
        </w:rPr>
        <w:t>1</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年限制性股票股权激励对象已获授的全部限制性股票，共计 </w:t>
      </w:r>
      <w:r>
        <w:rPr>
          <w:rFonts w:ascii="Times New Roman" w:eastAsia="Times New Roman" w:hAnsi="Times New Roman" w:cs="Times New Roman"/>
          <w:color w:val="000000"/>
          <w:spacing w:val="0"/>
          <w:w w:val="100"/>
          <w:position w:val="0"/>
        </w:rPr>
        <w:t>192,000</w:t>
      </w:r>
      <w:r>
        <w:rPr>
          <w:color w:val="000000"/>
          <w:spacing w:val="0"/>
          <w:w w:val="100"/>
          <w:position w:val="0"/>
        </w:rPr>
        <w:t>股。根据回购注销情况，本次回购注销股票数量为</w:t>
      </w:r>
      <w:r>
        <w:rPr>
          <w:rFonts w:ascii="Times New Roman" w:eastAsia="Times New Roman" w:hAnsi="Times New Roman" w:cs="Times New Roman"/>
          <w:color w:val="000000"/>
          <w:spacing w:val="0"/>
          <w:w w:val="100"/>
          <w:position w:val="0"/>
        </w:rPr>
        <w:t>192,000</w:t>
      </w:r>
      <w:r>
        <w:rPr>
          <w:color w:val="000000"/>
          <w:spacing w:val="0"/>
          <w:w w:val="100"/>
          <w:position w:val="0"/>
        </w:rPr>
        <w:t>股，减少注册资本人民币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92,000.00</w:t>
      </w:r>
      <w:r>
        <w:rPr>
          <w:color w:val="000000"/>
          <w:spacing w:val="0"/>
          <w:w w:val="100"/>
          <w:position w:val="0"/>
        </w:rPr>
        <w:t>元，变更后的注册资本 为人民币</w:t>
      </w:r>
      <w:r>
        <w:rPr>
          <w:rFonts w:ascii="Times New Roman" w:eastAsia="Times New Roman" w:hAnsi="Times New Roman" w:cs="Times New Roman"/>
          <w:color w:val="000000"/>
          <w:spacing w:val="0"/>
          <w:w w:val="100"/>
          <w:position w:val="0"/>
        </w:rPr>
        <w:t>447,056,657.00</w:t>
      </w:r>
      <w:r>
        <w:rPr>
          <w:color w:val="000000"/>
          <w:spacing w:val="0"/>
          <w:w w:val="100"/>
          <w:position w:val="0"/>
        </w:rPr>
        <w:t>元。本次减资业经中汇会计师事务所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日出具中汇会验 </w:t>
      </w:r>
      <w:r>
        <w:rPr>
          <w:rFonts w:ascii="Times New Roman" w:eastAsia="Times New Roman" w:hAnsi="Times New Roman" w:cs="Times New Roman"/>
          <w:color w:val="000000"/>
          <w:spacing w:val="0"/>
          <w:w w:val="100"/>
          <w:position w:val="0"/>
        </w:rPr>
        <w:t>[2018]4452</w:t>
      </w:r>
      <w:r>
        <w:rPr>
          <w:color w:val="000000"/>
          <w:spacing w:val="0"/>
          <w:w w:val="100"/>
          <w:position w:val="0"/>
        </w:rPr>
        <w:t>号验资报告。</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公司的控股股东鹰潭市鹰高投资咨询有限公司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鹰高投资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年发行了</w:t>
      </w:r>
      <w:r>
        <w:rPr>
          <w:rFonts w:ascii="Times New Roman" w:eastAsia="Times New Roman" w:hAnsi="Times New Roman" w:cs="Times New Roman"/>
          <w:color w:val="000000"/>
          <w:spacing w:val="0"/>
          <w:w w:val="100"/>
          <w:position w:val="0"/>
        </w:rPr>
        <w:t>“</w:t>
      </w:r>
      <w:r>
        <w:rPr>
          <w:color w:val="000000"/>
          <w:spacing w:val="0"/>
          <w:w w:val="100"/>
          <w:position w:val="0"/>
        </w:rPr>
        <w:t xml:space="preserve">鹰潭市鹰高投资咨询有限公司 </w:t>
      </w:r>
      <w:r>
        <w:rPr>
          <w:rFonts w:ascii="Times New Roman" w:eastAsia="Times New Roman" w:hAnsi="Times New Roman" w:cs="Times New Roman"/>
          <w:color w:val="000000"/>
          <w:spacing w:val="0"/>
          <w:w w:val="100"/>
          <w:position w:val="0"/>
        </w:rPr>
        <w:t>2017</w:t>
      </w:r>
      <w:r>
        <w:rPr>
          <w:color w:val="000000"/>
          <w:spacing w:val="0"/>
          <w:w w:val="100"/>
          <w:position w:val="0"/>
        </w:rPr>
        <w:t>年非公开发行可交换公司债券</w:t>
      </w:r>
      <w:r>
        <w:rPr>
          <w:rFonts w:ascii="Times New Roman" w:eastAsia="Times New Roman" w:hAnsi="Times New Roman" w:cs="Times New Roman"/>
          <w:color w:val="000000"/>
          <w:spacing w:val="0"/>
          <w:w w:val="100"/>
          <w:position w:val="0"/>
        </w:rPr>
        <w:t>”</w:t>
      </w:r>
      <w:r>
        <w:rPr>
          <w:color w:val="000000"/>
          <w:spacing w:val="0"/>
          <w:w w:val="100"/>
          <w:position w:val="0"/>
        </w:rPr>
        <w:t>，根据有关规定和《鹰潭市鹰高投资咨询有限公司</w:t>
      </w:r>
      <w:r>
        <w:rPr>
          <w:rFonts w:ascii="Times New Roman" w:eastAsia="Times New Roman" w:hAnsi="Times New Roman" w:cs="Times New Roman"/>
          <w:color w:val="000000"/>
          <w:spacing w:val="0"/>
          <w:w w:val="100"/>
          <w:position w:val="0"/>
        </w:rPr>
        <w:t>2017</w:t>
      </w:r>
      <w:r>
        <w:rPr>
          <w:color w:val="000000"/>
          <w:spacing w:val="0"/>
          <w:w w:val="100"/>
          <w:position w:val="0"/>
        </w:rPr>
        <w:t>年非公开发行可交换公司债券募 集说明书》的约定，</w:t>
      </w:r>
      <w:r>
        <w:rPr>
          <w:rFonts w:ascii="Times New Roman" w:eastAsia="Times New Roman" w:hAnsi="Times New Roman" w:cs="Times New Roman"/>
          <w:color w:val="000000"/>
          <w:spacing w:val="0"/>
          <w:w w:val="100"/>
          <w:position w:val="0"/>
        </w:rPr>
        <w:t>“17</w:t>
      </w:r>
      <w:r>
        <w:rPr>
          <w:color w:val="000000"/>
          <w:spacing w:val="0"/>
          <w:w w:val="100"/>
          <w:position w:val="0"/>
        </w:rPr>
        <w:t>鹰高</w:t>
      </w:r>
      <w:r>
        <w:rPr>
          <w:rFonts w:ascii="Times New Roman" w:eastAsia="Times New Roman" w:hAnsi="Times New Roman" w:cs="Times New Roman"/>
          <w:color w:val="000000"/>
          <w:spacing w:val="0"/>
          <w:w w:val="100"/>
          <w:position w:val="0"/>
        </w:rPr>
        <w:t>E1”</w:t>
      </w: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日起可交换为鹰高投资持有的本公司</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日，鹰高投资披 露了《鹰潭市鹰高投资咨询有限公司关于</w:t>
      </w:r>
      <w:r>
        <w:rPr>
          <w:rFonts w:ascii="Times New Roman" w:eastAsia="Times New Roman" w:hAnsi="Times New Roman" w:cs="Times New Roman"/>
          <w:color w:val="000000"/>
          <w:spacing w:val="0"/>
          <w:w w:val="100"/>
          <w:position w:val="0"/>
        </w:rPr>
        <w:t>“17</w:t>
      </w:r>
      <w:r>
        <w:rPr>
          <w:color w:val="000000"/>
          <w:spacing w:val="0"/>
          <w:w w:val="100"/>
          <w:position w:val="0"/>
        </w:rPr>
        <w:t>鹰高</w:t>
      </w:r>
      <w:r>
        <w:rPr>
          <w:rFonts w:ascii="Times New Roman" w:eastAsia="Times New Roman" w:hAnsi="Times New Roman" w:cs="Times New Roman"/>
          <w:color w:val="000000"/>
          <w:spacing w:val="0"/>
          <w:w w:val="100"/>
          <w:position w:val="0"/>
        </w:rPr>
        <w:t>E1”</w:t>
      </w:r>
      <w:r>
        <w:rPr>
          <w:color w:val="000000"/>
          <w:spacing w:val="0"/>
          <w:w w:val="100"/>
          <w:position w:val="0"/>
        </w:rPr>
        <w:t>开始实施换股的公告》，本次债券换股期限自可交换债券发行结束日 满</w:t>
      </w:r>
      <w:r>
        <w:rPr>
          <w:rFonts w:ascii="Times New Roman" w:eastAsia="Times New Roman" w:hAnsi="Times New Roman" w:cs="Times New Roman"/>
          <w:color w:val="000000"/>
          <w:spacing w:val="0"/>
          <w:w w:val="100"/>
          <w:position w:val="0"/>
        </w:rPr>
        <w:t>18</w:t>
      </w:r>
      <w:r>
        <w:rPr>
          <w:color w:val="000000"/>
          <w:spacing w:val="0"/>
          <w:w w:val="100"/>
          <w:position w:val="0"/>
        </w:rPr>
        <w:t>个月后的第一个交易日起至本次债券摘牌日前一交易日止，即自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日止。截止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日，本次可交换债券已完成全部换股</w:t>
      </w:r>
      <w:r>
        <w:rPr>
          <w:rFonts w:ascii="Times New Roman" w:eastAsia="Times New Roman" w:hAnsi="Times New Roman" w:cs="Times New Roman"/>
          <w:color w:val="000000"/>
          <w:spacing w:val="0"/>
          <w:w w:val="100"/>
          <w:position w:val="0"/>
        </w:rPr>
        <w:t>34,489,564</w:t>
      </w:r>
      <w:r>
        <w:rPr>
          <w:color w:val="000000"/>
          <w:spacing w:val="0"/>
          <w:w w:val="100"/>
          <w:position w:val="0"/>
        </w:rPr>
        <w:t>股。</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根据本公司《关于回购注销部分限制性股票的议案》、《</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 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日第三届董事会第二^一次会议和第三届监事会第十七次会议决议、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年股东大会决议和修改后章程的规定，决定回购注销因离职已不符合激励条件的原</w:t>
      </w:r>
      <w:r>
        <w:rPr>
          <w:rFonts w:ascii="Times New Roman" w:eastAsia="Times New Roman" w:hAnsi="Times New Roman" w:cs="Times New Roman"/>
          <w:color w:val="000000"/>
          <w:spacing w:val="0"/>
          <w:w w:val="100"/>
          <w:position w:val="0"/>
        </w:rPr>
        <w:t>8</w:t>
      </w:r>
      <w:r>
        <w:rPr>
          <w:color w:val="000000"/>
          <w:spacing w:val="0"/>
          <w:w w:val="100"/>
          <w:position w:val="0"/>
        </w:rPr>
        <w:t>名</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年限制性股票股权激励对象及原</w:t>
      </w:r>
      <w:r>
        <w:rPr>
          <w:rFonts w:ascii="Times New Roman" w:eastAsia="Times New Roman" w:hAnsi="Times New Roman" w:cs="Times New Roman"/>
          <w:color w:val="000000"/>
          <w:spacing w:val="0"/>
          <w:w w:val="100"/>
          <w:position w:val="0"/>
        </w:rPr>
        <w:t xml:space="preserve">6 </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年限制性股票股权激励对象已获授但尚未解锁的限制性股票共计</w:t>
      </w:r>
      <w:r>
        <w:rPr>
          <w:rFonts w:ascii="Times New Roman" w:eastAsia="Times New Roman" w:hAnsi="Times New Roman" w:cs="Times New Roman"/>
          <w:color w:val="000000"/>
          <w:spacing w:val="0"/>
          <w:w w:val="100"/>
          <w:position w:val="0"/>
        </w:rPr>
        <w:t>26.88</w:t>
      </w:r>
      <w:r>
        <w:rPr>
          <w:color w:val="000000"/>
          <w:spacing w:val="0"/>
          <w:w w:val="100"/>
          <w:position w:val="0"/>
        </w:rPr>
        <w:t>万股。根据回购注销情况，本次回购注销股票 数量为</w:t>
      </w:r>
      <w:r>
        <w:rPr>
          <w:rFonts w:ascii="Times New Roman" w:eastAsia="Times New Roman" w:hAnsi="Times New Roman" w:cs="Times New Roman"/>
          <w:color w:val="000000"/>
          <w:spacing w:val="0"/>
          <w:w w:val="100"/>
          <w:position w:val="0"/>
        </w:rPr>
        <w:t>268,800</w:t>
      </w:r>
      <w:r>
        <w:rPr>
          <w:color w:val="000000"/>
          <w:spacing w:val="0"/>
          <w:w w:val="100"/>
          <w:position w:val="0"/>
        </w:rPr>
        <w:t>股，减少注册资本人民币</w:t>
      </w:r>
      <w:r>
        <w:rPr>
          <w:rFonts w:ascii="Times New Roman" w:eastAsia="Times New Roman" w:hAnsi="Times New Roman" w:cs="Times New Roman"/>
          <w:color w:val="000000"/>
          <w:spacing w:val="0"/>
          <w:w w:val="100"/>
          <w:position w:val="0"/>
        </w:rPr>
        <w:t>268,800.00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446,787,857.00</w:t>
      </w:r>
      <w:r>
        <w:rPr>
          <w:color w:val="000000"/>
          <w:spacing w:val="0"/>
          <w:w w:val="100"/>
          <w:position w:val="0"/>
        </w:rPr>
        <w:t>元。本次减资业经中汇会计 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日出具中汇会验</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3948</w:t>
      </w:r>
      <w:r>
        <w:rPr>
          <w:color w:val="000000"/>
          <w:spacing w:val="0"/>
          <w:w w:val="100"/>
          <w:position w:val="0"/>
        </w:rPr>
        <w:t>号验资报告。</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根据本公司《关于回购注销部分限制性股票的议案》、《</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日第三届 董事会第二十四次会议和第三届监事会第十九次会议决议、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日第三届董事会第二十六次会议和第三届监事会第 二十一次会议决议＞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年第一次临时股东大会决议和修改后章程的规定，决定回购注销因离职已不 </w:t>
      </w:r>
      <w:r>
        <w:rPr>
          <w:color w:val="000000"/>
          <w:spacing w:val="0"/>
          <w:w w:val="100"/>
          <w:position w:val="0"/>
        </w:rPr>
        <w:t>符合激励条件的原</w:t>
      </w:r>
      <w:r>
        <w:rPr>
          <w:rFonts w:ascii="Times New Roman" w:eastAsia="Times New Roman" w:hAnsi="Times New Roman" w:cs="Times New Roman"/>
          <w:color w:val="000000"/>
          <w:spacing w:val="0"/>
          <w:w w:val="100"/>
          <w:position w:val="0"/>
        </w:rPr>
        <w:t>2</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年限制性股票股权激励对象已获授的全部限制性股票共计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.56</w:t>
      </w:r>
      <w:r>
        <w:rPr>
          <w:color w:val="000000"/>
          <w:spacing w:val="0"/>
          <w:w w:val="100"/>
          <w:position w:val="0"/>
        </w:rPr>
        <w:t>万股。根据回购注销情况，本次回 购注销股票数量为</w:t>
      </w:r>
      <w:r>
        <w:rPr>
          <w:rFonts w:ascii="Times New Roman" w:eastAsia="Times New Roman" w:hAnsi="Times New Roman" w:cs="Times New Roman"/>
          <w:color w:val="000000"/>
          <w:spacing w:val="0"/>
          <w:w w:val="100"/>
          <w:position w:val="0"/>
        </w:rPr>
        <w:t>2.56</w:t>
      </w:r>
      <w:r>
        <w:rPr>
          <w:color w:val="000000"/>
          <w:spacing w:val="0"/>
          <w:w w:val="100"/>
          <w:position w:val="0"/>
        </w:rPr>
        <w:t>万股，减少注册资本人民币</w:t>
      </w:r>
      <w:r>
        <w:rPr>
          <w:rFonts w:ascii="Times New Roman" w:eastAsia="Times New Roman" w:hAnsi="Times New Roman" w:cs="Times New Roman"/>
          <w:color w:val="000000"/>
          <w:spacing w:val="0"/>
          <w:w w:val="100"/>
          <w:position w:val="0"/>
        </w:rPr>
        <w:t>25,600.00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446,762,257.00</w:t>
      </w:r>
      <w:r>
        <w:rPr>
          <w:color w:val="000000"/>
          <w:spacing w:val="0"/>
          <w:w w:val="100"/>
          <w:position w:val="0"/>
        </w:rPr>
        <w:t>元。本次减资业经 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日出具中汇会验</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5173</w:t>
      </w:r>
      <w:r>
        <w:rPr>
          <w:color w:val="000000"/>
          <w:spacing w:val="0"/>
          <w:w w:val="100"/>
          <w:position w:val="0"/>
        </w:rPr>
        <w:t>号验资报告。公司于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 中国证券登记结算有限责任公司深圳分公司完成本次回购注销。</w:t>
      </w:r>
    </w:p>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日，公司股本结构如下:</w:t>
      </w:r>
    </w:p>
    <w:tbl>
      <w:tblPr>
        <w:tblOverlap w:val="never"/>
        <w:jc w:val="left"/>
        <w:tblLayout w:type="fixed"/>
      </w:tblPr>
      <w:tblGrid>
        <w:gridCol w:w="5366"/>
        <w:gridCol w:w="1699"/>
        <w:gridCol w:w="1493"/>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所持股份</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鹰潭市鹰高投资咨询有限公司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104,149,776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银联科技有限公司</w:t>
            </w:r>
            <w:r>
              <w:rPr>
                <w:rFonts w:ascii="Times New Roman" w:eastAsia="Times New Roman" w:hAnsi="Times New Roman" w:cs="Times New Roman"/>
                <w:color w:val="000000"/>
                <w:spacing w:val="0"/>
                <w:w w:val="100"/>
                <w:position w:val="0"/>
              </w:rPr>
              <w:t>(Silver Team Technology Limited)</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37,101,580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305,510,901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68.39</w:t>
            </w:r>
          </w:p>
        </w:tc>
      </w:tr>
      <w:tr>
        <w:trPr>
          <w:trHeight w:val="35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446,762,257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4"/>
        <w:keepNext w:val="0"/>
        <w:keepLines w:val="0"/>
        <w:widowControl w:val="0"/>
        <w:shd w:val="clear" w:color="auto" w:fill="auto"/>
        <w:bidi w:val="0"/>
        <w:spacing w:before="0" w:after="0" w:line="314" w:lineRule="exact"/>
        <w:ind w:left="0" w:right="0" w:firstLine="320"/>
        <w:jc w:val="both"/>
      </w:pPr>
      <w:r>
        <w:rPr>
          <w:color w:val="000000"/>
          <w:spacing w:val="0"/>
          <w:w w:val="100"/>
          <w:position w:val="0"/>
        </w:rPr>
        <w:t>本公司的基本组织架构：根据国家法律法规和公司章程的规定，建立了由股东大会、董事会、监事会及经营管理层组成 的规范的多层次治理结构；董事会下设战略委员会、薪酬与考核委员会、提名委员会、审计与风险控制委员会等四个专门委 员会和董事会办公室。公司下设金融软件业务事业群、系统集成事业</w:t>
      </w:r>
    </w:p>
    <w:p>
      <w:pPr>
        <w:pStyle w:val="Style34"/>
        <w:keepNext w:val="0"/>
        <w:keepLines w:val="0"/>
        <w:widowControl w:val="0"/>
        <w:shd w:val="clear" w:color="auto" w:fill="auto"/>
        <w:bidi w:val="0"/>
        <w:spacing w:before="0" w:after="280" w:line="350" w:lineRule="exact"/>
        <w:ind w:left="0" w:right="0" w:firstLine="0"/>
        <w:jc w:val="left"/>
      </w:pPr>
      <w:r>
        <w:rPr>
          <w:color w:val="000000"/>
          <w:spacing w:val="0"/>
          <w:w w:val="100"/>
          <w:position w:val="0"/>
        </w:rPr>
        <w:t>部、保险软件上海中心、战略发展部、战略投资部、运营管理部、财务部、人力资源部、资金部、市场部、 行管部等主要职能部门。</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本公司属软件和信息技术服务业。经营范围为：开发计算机软件及配套硬件、系统集成；销售自产产品、批发机电设 备产品；售后技术服务、技术咨询；承接计算机网络工程安装。</w:t>
      </w:r>
      <w:r>
        <w:rPr>
          <w:color w:val="000000"/>
          <w:spacing w:val="0"/>
          <w:w w:val="100"/>
          <w:position w:val="0"/>
        </w:rPr>
        <w:t>（</w:t>
      </w:r>
      <w:r>
        <w:rPr>
          <w:color w:val="000000"/>
          <w:spacing w:val="0"/>
          <w:w w:val="100"/>
          <w:position w:val="0"/>
        </w:rPr>
        <w:t>上述经营范围不涉及国营贸易管理商品；涉及配额、许可 证管理商品的按照国家有关规定办理申请。</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依法须经批准的项目，经相关部门批准后依批准的内容开展经营活动。</w:t>
      </w:r>
      <w:r>
        <w:rPr>
          <w:color w:val="000000"/>
          <w:spacing w:val="0"/>
          <w:w w:val="100"/>
          <w:position w:val="0"/>
        </w:rPr>
        <w:t>）</w:t>
      </w:r>
      <w:r>
        <w:rPr>
          <w:color w:val="000000"/>
          <w:spacing w:val="0"/>
          <w:w w:val="100"/>
          <w:position w:val="0"/>
        </w:rPr>
        <w:t>主营业 务为</w:t>
      </w:r>
      <w:r>
        <w:rPr>
          <w:rFonts w:ascii="Times New Roman" w:eastAsia="Times New Roman" w:hAnsi="Times New Roman" w:cs="Times New Roman"/>
          <w:color w:val="000000"/>
          <w:spacing w:val="0"/>
          <w:w w:val="100"/>
          <w:position w:val="0"/>
        </w:rPr>
        <w:t>IT</w:t>
      </w:r>
      <w:r>
        <w:rPr>
          <w:color w:val="000000"/>
          <w:spacing w:val="0"/>
          <w:w w:val="100"/>
          <w:position w:val="0"/>
        </w:rPr>
        <w:t>服务，包括软件开发及服务和系统集成及服务；移动广告营销，包括移动数据推广、专有品牌推广、自有平台广告、 电商推广、第三方平台广告、小说代理业务。</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本财务报表及财务报表附注已于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日经公司第四届董事会第八次会议批准对外报出。</w:t>
      </w:r>
    </w:p>
    <w:p>
      <w:pPr>
        <w:pStyle w:val="Style34"/>
        <w:keepNext w:val="0"/>
        <w:keepLines w:val="0"/>
        <w:widowControl w:val="0"/>
        <w:shd w:val="clear" w:color="auto" w:fill="auto"/>
        <w:bidi w:val="0"/>
        <w:spacing w:before="0" w:after="0"/>
        <w:ind w:left="0" w:right="0" w:firstLine="300"/>
        <w:jc w:val="both"/>
      </w:pPr>
      <w:bookmarkStart w:id="703" w:name="bookmark703"/>
      <w:r>
        <w:rPr>
          <w:rFonts w:ascii="Times New Roman" w:eastAsia="Times New Roman" w:hAnsi="Times New Roman" w:cs="Times New Roman"/>
          <w:b/>
          <w:bCs/>
          <w:color w:val="000000"/>
          <w:spacing w:val="0"/>
          <w:w w:val="100"/>
          <w:position w:val="0"/>
        </w:rPr>
        <w:t>（</w:t>
      </w:r>
      <w:bookmarkEnd w:id="703"/>
      <w:r>
        <w:rPr>
          <w:b/>
          <w:bCs/>
          <w:color w:val="000000"/>
          <w:spacing w:val="0"/>
          <w:w w:val="100"/>
          <w:position w:val="0"/>
        </w:rPr>
        <w:t>二）合并范围</w:t>
      </w:r>
    </w:p>
    <w:p>
      <w:pPr>
        <w:pStyle w:val="Style34"/>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22</w:t>
      </w:r>
      <w:r>
        <w:rPr>
          <w:color w:val="000000"/>
          <w:spacing w:val="0"/>
          <w:w w:val="100"/>
          <w:position w:val="0"/>
        </w:rPr>
        <w:t>家，详见附注九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。与上年度相比，本公司本年度合 并范围增加</w:t>
      </w:r>
      <w:r>
        <w:rPr>
          <w:rFonts w:ascii="Times New Roman" w:eastAsia="Times New Roman" w:hAnsi="Times New Roman" w:cs="Times New Roman"/>
          <w:color w:val="000000"/>
          <w:spacing w:val="0"/>
          <w:w w:val="100"/>
          <w:position w:val="0"/>
        </w:rPr>
        <w:t>2</w:t>
      </w:r>
      <w:r>
        <w:rPr>
          <w:color w:val="000000"/>
          <w:spacing w:val="0"/>
          <w:w w:val="100"/>
          <w:position w:val="0"/>
        </w:rPr>
        <w:t>家，注销和转让</w:t>
      </w:r>
      <w:r>
        <w:rPr>
          <w:rFonts w:ascii="Times New Roman" w:eastAsia="Times New Roman" w:hAnsi="Times New Roman" w:cs="Times New Roman"/>
          <w:color w:val="000000"/>
          <w:spacing w:val="0"/>
          <w:w w:val="100"/>
          <w:position w:val="0"/>
        </w:rPr>
        <w:t>5</w:t>
      </w:r>
      <w:r>
        <w:rPr>
          <w:color w:val="000000"/>
          <w:spacing w:val="0"/>
          <w:w w:val="100"/>
          <w:position w:val="0"/>
        </w:rPr>
        <w:t>家，详见附注八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合并范围的变更七</w:t>
      </w:r>
    </w:p>
    <w:p>
      <w:pPr>
        <w:pStyle w:val="Style17"/>
        <w:keepNext/>
        <w:keepLines/>
        <w:widowControl w:val="0"/>
        <w:shd w:val="clear" w:color="auto" w:fill="auto"/>
        <w:bidi w:val="0"/>
        <w:spacing w:before="0" w:after="38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四</w:t>
      </w:r>
      <w:bookmarkEnd w:id="706"/>
      <w:r>
        <w:rPr>
          <w:color w:val="000000"/>
          <w:spacing w:val="0"/>
          <w:w w:val="100"/>
          <w:position w:val="0"/>
          <w:sz w:val="24"/>
          <w:szCs w:val="24"/>
        </w:rPr>
        <w:t>、财务报表的编制基础</w:t>
      </w:r>
      <w:bookmarkEnd w:id="704"/>
      <w:bookmarkEnd w:id="705"/>
      <w:bookmarkEnd w:id="707"/>
    </w:p>
    <w:p>
      <w:pPr>
        <w:pStyle w:val="Style38"/>
        <w:keepNext/>
        <w:keepLines/>
        <w:widowControl w:val="0"/>
        <w:shd w:val="clear" w:color="auto" w:fill="auto"/>
        <w:tabs>
          <w:tab w:pos="356" w:val="left"/>
        </w:tabs>
        <w:bidi w:val="0"/>
        <w:spacing w:before="0" w:after="28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1</w:t>
      </w:r>
      <w:bookmarkEnd w:id="710"/>
      <w:r>
        <w:rPr>
          <w:color w:val="000000"/>
          <w:spacing w:val="0"/>
          <w:w w:val="100"/>
          <w:position w:val="0"/>
        </w:rPr>
        <w:t>、</w:t>
        <w:tab/>
        <w:t>编制基础</w:t>
      </w:r>
      <w:bookmarkEnd w:id="708"/>
      <w:bookmarkEnd w:id="709"/>
      <w:bookmarkEnd w:id="711"/>
    </w:p>
    <w:p>
      <w:pPr>
        <w:pStyle w:val="Style34"/>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本公司以持续经营为基础，根据实际发生的交易和事项，按照财政部颁布的《企业会计准则一基本准则》和各项具 体会计准则、企业会计准则应用指南、企业会计准则解释及其他相关规定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，中国证券监督管理委 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，以及深圳证券交易所《深圳 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号——上市公司从事软件与信息技术服务业务》的披露规定编制财务报表。</w:t>
      </w:r>
    </w:p>
    <w:p>
      <w:pPr>
        <w:pStyle w:val="Style38"/>
        <w:keepNext/>
        <w:keepLines/>
        <w:widowControl w:val="0"/>
        <w:shd w:val="clear" w:color="auto" w:fill="auto"/>
        <w:tabs>
          <w:tab w:pos="365" w:val="left"/>
        </w:tabs>
        <w:bidi w:val="0"/>
        <w:spacing w:before="0" w:after="3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2</w:t>
      </w:r>
      <w:bookmarkEnd w:id="714"/>
      <w:r>
        <w:rPr>
          <w:color w:val="000000"/>
          <w:spacing w:val="0"/>
          <w:w w:val="100"/>
          <w:position w:val="0"/>
        </w:rPr>
        <w:t>、</w:t>
        <w:tab/>
        <w:t>持续经营</w:t>
      </w:r>
      <w:bookmarkEnd w:id="712"/>
      <w:bookmarkEnd w:id="713"/>
      <w:bookmarkEnd w:id="71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17"/>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sz w:val="24"/>
          <w:szCs w:val="24"/>
        </w:rPr>
        <w:t>五</w:t>
      </w:r>
      <w:bookmarkEnd w:id="718"/>
      <w:r>
        <w:rPr>
          <w:color w:val="000000"/>
          <w:spacing w:val="0"/>
          <w:w w:val="100"/>
          <w:position w:val="0"/>
          <w:sz w:val="24"/>
          <w:szCs w:val="24"/>
        </w:rPr>
        <w:t>、重要会计政策及会计估计</w:t>
      </w:r>
      <w:bookmarkEnd w:id="716"/>
      <w:bookmarkEnd w:id="717"/>
      <w:bookmarkEnd w:id="719"/>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具体会计政策和会计估计提示：</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本公司及各子公司根据实际生产经营特点，依据相关企业会计准则的规定，对应收款项预期信用减值的确定方法及会计处理</w:t>
      </w:r>
    </w:p>
    <w:p>
      <w:pPr>
        <w:pStyle w:val="Style34"/>
        <w:keepNext w:val="0"/>
        <w:keepLines w:val="0"/>
        <w:widowControl w:val="0"/>
        <w:shd w:val="clear" w:color="auto" w:fill="auto"/>
        <w:bidi w:val="0"/>
        <w:spacing w:before="0" w:after="400" w:line="240" w:lineRule="auto"/>
        <w:ind w:left="0" w:right="0" w:firstLine="0"/>
        <w:jc w:val="left"/>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383" w:right="1073" w:bottom="1498" w:left="1092" w:header="0" w:footer="3" w:gutter="0"/>
          <w:cols w:space="720"/>
          <w:noEndnote/>
          <w:rtlGutter w:val="0"/>
          <w:docGrid w:linePitch="360"/>
        </w:sectPr>
      </w:pPr>
      <w:r>
        <w:rPr>
          <w:color w:val="000000"/>
          <w:spacing w:val="0"/>
          <w:w w:val="100"/>
          <w:position w:val="0"/>
        </w:rPr>
        <w:t xml:space="preserve">方法、固定资产折旧政策、无形资产摊销政策、研发费用资本化条件、长期待摊费用摊销政策和收入确认原则等交易和事项 </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指定了若干具体会计政策和会计估计，具体会计政策参见附注附注五</w:t>
      </w:r>
      <w:r>
        <w:rPr>
          <w:rFonts w:ascii="Times New Roman" w:eastAsia="Times New Roman" w:hAnsi="Times New Roman" w:cs="Times New Roman"/>
          <w:color w:val="000000"/>
          <w:spacing w:val="0"/>
          <w:w w:val="100"/>
          <w:position w:val="0"/>
        </w:rPr>
        <w:t>11</w:t>
      </w:r>
      <w:r>
        <w:rPr>
          <w:color w:val="000000"/>
          <w:spacing w:val="0"/>
          <w:w w:val="100"/>
          <w:position w:val="0"/>
        </w:rPr>
        <w:t>、附注五</w:t>
      </w:r>
      <w:r>
        <w:rPr>
          <w:rFonts w:ascii="Times New Roman" w:eastAsia="Times New Roman" w:hAnsi="Times New Roman" w:cs="Times New Roman"/>
          <w:color w:val="000000"/>
          <w:spacing w:val="0"/>
          <w:w w:val="100"/>
          <w:position w:val="0"/>
        </w:rPr>
        <w:t>12</w:t>
      </w:r>
      <w:r>
        <w:rPr>
          <w:color w:val="000000"/>
          <w:spacing w:val="0"/>
          <w:w w:val="100"/>
          <w:position w:val="0"/>
        </w:rPr>
        <w:t>、附注五</w:t>
      </w:r>
      <w:r>
        <w:rPr>
          <w:rFonts w:ascii="Times New Roman" w:eastAsia="Times New Roman" w:hAnsi="Times New Roman" w:cs="Times New Roman"/>
          <w:color w:val="000000"/>
          <w:spacing w:val="0"/>
          <w:w w:val="100"/>
          <w:position w:val="0"/>
        </w:rPr>
        <w:t>13</w:t>
      </w:r>
      <w:r>
        <w:rPr>
          <w:color w:val="000000"/>
          <w:spacing w:val="0"/>
          <w:w w:val="100"/>
          <w:position w:val="0"/>
        </w:rPr>
        <w:t>、附注五</w:t>
      </w:r>
      <w:r>
        <w:rPr>
          <w:rFonts w:ascii="Times New Roman" w:eastAsia="Times New Roman" w:hAnsi="Times New Roman" w:cs="Times New Roman"/>
          <w:color w:val="000000"/>
          <w:spacing w:val="0"/>
          <w:w w:val="100"/>
          <w:position w:val="0"/>
        </w:rPr>
        <w:t>14</w:t>
      </w:r>
      <w:r>
        <w:rPr>
          <w:color w:val="000000"/>
          <w:spacing w:val="0"/>
          <w:w w:val="100"/>
          <w:position w:val="0"/>
        </w:rPr>
        <w:t>、附注五</w:t>
      </w:r>
      <w:r>
        <w:rPr>
          <w:rFonts w:ascii="Times New Roman" w:eastAsia="Times New Roman" w:hAnsi="Times New Roman" w:cs="Times New Roman"/>
          <w:color w:val="000000"/>
          <w:spacing w:val="0"/>
          <w:w w:val="100"/>
          <w:position w:val="0"/>
        </w:rPr>
        <w:t>24</w:t>
      </w:r>
      <w:r>
        <w:rPr>
          <w:color w:val="000000"/>
          <w:spacing w:val="0"/>
          <w:w w:val="100"/>
          <w:position w:val="0"/>
        </w:rPr>
        <w:t>、附 注五</w:t>
      </w:r>
      <w:r>
        <w:rPr>
          <w:rFonts w:ascii="Times New Roman" w:eastAsia="Times New Roman" w:hAnsi="Times New Roman" w:cs="Times New Roman"/>
          <w:color w:val="000000"/>
          <w:spacing w:val="0"/>
          <w:w w:val="100"/>
          <w:position w:val="0"/>
        </w:rPr>
        <w:t>30</w:t>
      </w:r>
      <w:r>
        <w:rPr>
          <w:color w:val="000000"/>
          <w:spacing w:val="0"/>
          <w:w w:val="100"/>
          <w:position w:val="0"/>
        </w:rPr>
        <w:t>、注五</w:t>
      </w:r>
      <w:r>
        <w:rPr>
          <w:rFonts w:ascii="Times New Roman" w:eastAsia="Times New Roman" w:hAnsi="Times New Roman" w:cs="Times New Roman"/>
          <w:color w:val="000000"/>
          <w:spacing w:val="0"/>
          <w:w w:val="100"/>
          <w:position w:val="0"/>
        </w:rPr>
        <w:t>32</w:t>
      </w:r>
      <w:r>
        <w:rPr>
          <w:color w:val="000000"/>
          <w:spacing w:val="0"/>
          <w:w w:val="100"/>
          <w:position w:val="0"/>
        </w:rPr>
        <w:t>、附注五</w:t>
      </w:r>
      <w:r>
        <w:rPr>
          <w:rFonts w:ascii="Times New Roman" w:eastAsia="Times New Roman" w:hAnsi="Times New Roman" w:cs="Times New Roman"/>
          <w:color w:val="000000"/>
          <w:spacing w:val="0"/>
          <w:w w:val="100"/>
          <w:position w:val="0"/>
        </w:rPr>
        <w:t>39</w:t>
      </w:r>
      <w:r>
        <w:rPr>
          <w:color w:val="000000"/>
          <w:spacing w:val="0"/>
          <w:w w:val="100"/>
          <w:position w:val="0"/>
        </w:rPr>
        <w:t>等相关说明。</w:t>
      </w:r>
    </w:p>
    <w:p>
      <w:pPr>
        <w:pStyle w:val="Style38"/>
        <w:keepNext/>
        <w:keepLines/>
        <w:widowControl w:val="0"/>
        <w:shd w:val="clear" w:color="auto" w:fill="auto"/>
        <w:tabs>
          <w:tab w:pos="364" w:val="left"/>
        </w:tabs>
        <w:bidi w:val="0"/>
        <w:spacing w:before="0" w:after="260" w:line="240" w:lineRule="auto"/>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color w:val="000000"/>
          <w:spacing w:val="0"/>
          <w:w w:val="100"/>
          <w:position w:val="0"/>
        </w:rPr>
        <w:t>、</w:t>
        <w:tab/>
        <w:t>遵循企业会计准则的声明</w:t>
      </w:r>
      <w:bookmarkEnd w:id="720"/>
      <w:bookmarkEnd w:id="721"/>
      <w:bookmarkEnd w:id="723"/>
    </w:p>
    <w:p>
      <w:pPr>
        <w:pStyle w:val="Style34"/>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本公司编制的财务报表符合企业会计准则的要求，真实、完整地反映了公司的财务状况、经营成果和现金流量等有关 信息。</w:t>
      </w:r>
    </w:p>
    <w:p>
      <w:pPr>
        <w:pStyle w:val="Style38"/>
        <w:keepNext/>
        <w:keepLines/>
        <w:widowControl w:val="0"/>
        <w:shd w:val="clear" w:color="auto" w:fill="auto"/>
        <w:tabs>
          <w:tab w:pos="374" w:val="left"/>
        </w:tabs>
        <w:bidi w:val="0"/>
        <w:spacing w:before="0" w:after="26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2</w:t>
      </w:r>
      <w:bookmarkEnd w:id="726"/>
      <w:r>
        <w:rPr>
          <w:color w:val="000000"/>
          <w:spacing w:val="0"/>
          <w:w w:val="100"/>
          <w:position w:val="0"/>
        </w:rPr>
        <w:t>、</w:t>
        <w:tab/>
        <w:t>会计期间</w:t>
      </w:r>
      <w:bookmarkEnd w:id="724"/>
      <w:bookmarkEnd w:id="725"/>
      <w:bookmarkEnd w:id="727"/>
    </w:p>
    <w:p>
      <w:pPr>
        <w:pStyle w:val="Style34"/>
        <w:keepNext w:val="0"/>
        <w:keepLines w:val="0"/>
        <w:widowControl w:val="0"/>
        <w:shd w:val="clear" w:color="auto" w:fill="auto"/>
        <w:bidi w:val="0"/>
        <w:spacing w:before="0" w:after="400" w:line="313" w:lineRule="exact"/>
        <w:ind w:left="0" w:right="0" w:firstLine="44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8"/>
        <w:keepNext/>
        <w:keepLines/>
        <w:widowControl w:val="0"/>
        <w:shd w:val="clear" w:color="auto" w:fill="auto"/>
        <w:tabs>
          <w:tab w:pos="374" w:val="left"/>
        </w:tabs>
        <w:bidi w:val="0"/>
        <w:spacing w:before="0" w:after="26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3</w:t>
      </w:r>
      <w:bookmarkEnd w:id="730"/>
      <w:r>
        <w:rPr>
          <w:color w:val="000000"/>
          <w:spacing w:val="0"/>
          <w:w w:val="100"/>
          <w:position w:val="0"/>
        </w:rPr>
        <w:t>、</w:t>
        <w:tab/>
        <w:t>营业周期</w:t>
      </w:r>
      <w:bookmarkEnd w:id="728"/>
      <w:bookmarkEnd w:id="729"/>
      <w:bookmarkEnd w:id="731"/>
    </w:p>
    <w:p>
      <w:pPr>
        <w:pStyle w:val="Style34"/>
        <w:keepNext w:val="0"/>
        <w:keepLines w:val="0"/>
        <w:widowControl w:val="0"/>
        <w:shd w:val="clear" w:color="auto" w:fill="auto"/>
        <w:bidi w:val="0"/>
        <w:spacing w:before="0" w:after="400" w:line="322" w:lineRule="exact"/>
        <w:ind w:left="0" w:right="0" w:firstLine="30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 期，并以其作为资产和负债的流动性划分标准。</w:t>
      </w:r>
    </w:p>
    <w:p>
      <w:pPr>
        <w:pStyle w:val="Style38"/>
        <w:keepNext/>
        <w:keepLines/>
        <w:widowControl w:val="0"/>
        <w:shd w:val="clear" w:color="auto" w:fill="auto"/>
        <w:tabs>
          <w:tab w:pos="374" w:val="left"/>
        </w:tabs>
        <w:bidi w:val="0"/>
        <w:spacing w:before="0" w:after="26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4</w:t>
      </w:r>
      <w:bookmarkEnd w:id="734"/>
      <w:r>
        <w:rPr>
          <w:color w:val="000000"/>
          <w:spacing w:val="0"/>
          <w:w w:val="100"/>
          <w:position w:val="0"/>
        </w:rPr>
        <w:t>、</w:t>
        <w:tab/>
        <w:t>记账本位币</w:t>
      </w:r>
      <w:bookmarkEnd w:id="732"/>
      <w:bookmarkEnd w:id="733"/>
      <w:bookmarkEnd w:id="735"/>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本公司及境内子公司采用人民币为记账本位币。本公司境外子公司根据其经营所处的主要经济环境中的货币确定美元 为其记账本位币，编制财务报表时折算为人民币。</w:t>
      </w:r>
    </w:p>
    <w:p>
      <w:pPr>
        <w:pStyle w:val="Style34"/>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本公司编制本财务报表时所采用的货币为人民币。</w:t>
      </w:r>
    </w:p>
    <w:p>
      <w:pPr>
        <w:pStyle w:val="Style38"/>
        <w:keepNext/>
        <w:keepLines/>
        <w:widowControl w:val="0"/>
        <w:shd w:val="clear" w:color="auto" w:fill="auto"/>
        <w:tabs>
          <w:tab w:pos="374" w:val="left"/>
        </w:tabs>
        <w:bidi w:val="0"/>
        <w:spacing w:before="0" w:after="2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5</w:t>
      </w:r>
      <w:bookmarkEnd w:id="738"/>
      <w:r>
        <w:rPr>
          <w:color w:val="000000"/>
          <w:spacing w:val="0"/>
          <w:w w:val="100"/>
          <w:position w:val="0"/>
        </w:rPr>
        <w:t>、</w:t>
        <w:tab/>
        <w:t>同一控制下和非同一控制下企业合并的会计处理方法</w:t>
      </w:r>
      <w:bookmarkEnd w:id="736"/>
      <w:bookmarkEnd w:id="737"/>
      <w:bookmarkEnd w:id="739"/>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企业合并，是指将两个或两个以上单独的企业合并形成一个报告主体的交易或事项。企业合并分为同一控制下企业合 并和非同一控制下企业合并。</w:t>
      </w:r>
    </w:p>
    <w:p>
      <w:pPr>
        <w:pStyle w:val="Style34"/>
        <w:keepNext w:val="0"/>
        <w:keepLines w:val="0"/>
        <w:widowControl w:val="0"/>
        <w:numPr>
          <w:ilvl w:val="0"/>
          <w:numId w:val="21"/>
        </w:numPr>
        <w:shd w:val="clear" w:color="auto" w:fill="auto"/>
        <w:tabs>
          <w:tab w:pos="756" w:val="left"/>
        </w:tabs>
        <w:bidi w:val="0"/>
        <w:spacing w:before="0" w:after="0"/>
        <w:ind w:left="0" w:right="0" w:firstLine="440"/>
        <w:jc w:val="both"/>
      </w:pPr>
      <w:bookmarkStart w:id="740" w:name="bookmark740"/>
      <w:bookmarkEnd w:id="740"/>
      <w:r>
        <w:rPr>
          <w:color w:val="000000"/>
          <w:spacing w:val="0"/>
          <w:w w:val="100"/>
          <w:position w:val="0"/>
        </w:rPr>
        <w:t>同一控制下企业合并的会计处理</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参与合并的企业在合并前后均受同一方或相同的多方最终控制，且该控制并非暂时性的，为同一控制下的企业合并。</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公司在企业合并中取得的被合并方的资产、负债，除因会计政策不同而进行的调整以外，按照合并日被合并方在最终 控制方合并财务报表中的账面价值计量。公司取得的被合并方所有者权益在最终控制方合并财务报表中的账面价值的份额与 支付的合并对价账面价值</w:t>
      </w:r>
      <w:r>
        <w:rPr>
          <w:rFonts w:ascii="Times New Roman" w:eastAsia="Times New Roman" w:hAnsi="Times New Roman" w:cs="Times New Roman"/>
          <w:color w:val="000000"/>
          <w:spacing w:val="0"/>
          <w:w w:val="100"/>
          <w:position w:val="0"/>
        </w:rPr>
        <w:t>（</w:t>
      </w:r>
      <w:r>
        <w:rPr>
          <w:color w:val="000000"/>
          <w:spacing w:val="0"/>
          <w:w w:val="100"/>
          <w:position w:val="0"/>
        </w:rPr>
        <w:t>或发行股份面值总额</w:t>
      </w:r>
      <w:r>
        <w:rPr>
          <w:rFonts w:ascii="Times New Roman" w:eastAsia="Times New Roman" w:hAnsi="Times New Roman" w:cs="Times New Roman"/>
          <w:color w:val="000000"/>
          <w:spacing w:val="0"/>
          <w:w w:val="100"/>
          <w:position w:val="0"/>
        </w:rPr>
        <w:t>）</w:t>
      </w:r>
      <w:r>
        <w:rPr>
          <w:color w:val="000000"/>
          <w:spacing w:val="0"/>
          <w:w w:val="100"/>
          <w:position w:val="0"/>
        </w:rPr>
        <w:t>的差额，调整资本公积；资本公积不足冲减的，调整留存收益。</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通过多次交易分步实现同一控制下的企业合并，合并前持有投资的账面价值加上合并日新支付对价的账面价值之和， 与合并中取得的净资产账面价值的差额，调整资本公积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，资本公积不足冲减的，调整留存收益。合并方在取得被 合并方控制权之前持有的长期股权投资,在取得原股权之日与合并方与被合并方同处于同一方最终控制之日孰晚日起至合并 日之间已确认有关损益、其他综合收益和其他所有者权益变动，应分别冲减比较报表期间的期初留存收益或当期损益，由于 被投资方重新计量设定受益计划净负债或净资产变动而产生的其他综合收益除外。</w:t>
      </w:r>
    </w:p>
    <w:p>
      <w:pPr>
        <w:pStyle w:val="Style34"/>
        <w:keepNext w:val="0"/>
        <w:keepLines w:val="0"/>
        <w:widowControl w:val="0"/>
        <w:numPr>
          <w:ilvl w:val="0"/>
          <w:numId w:val="21"/>
        </w:numPr>
        <w:shd w:val="clear" w:color="auto" w:fill="auto"/>
        <w:tabs>
          <w:tab w:pos="775" w:val="left"/>
        </w:tabs>
        <w:bidi w:val="0"/>
        <w:spacing w:before="0" w:after="0"/>
        <w:ind w:left="0" w:right="0" w:firstLine="440"/>
        <w:jc w:val="both"/>
      </w:pPr>
      <w:bookmarkStart w:id="741" w:name="bookmark741"/>
      <w:bookmarkEnd w:id="741"/>
      <w:r>
        <w:rPr>
          <w:color w:val="000000"/>
          <w:spacing w:val="0"/>
          <w:w w:val="100"/>
          <w:position w:val="0"/>
        </w:rPr>
        <w:t>非同一控制下企业合并的会计处理</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参与合并的企业在合并前后不受同一方或相同的多方最终控制的，为非同一控制下的企业合并。</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公司在购买日对合并成本大于合并中取得的被购买方可辨认净资产公允价值份额的差额，确认为商誉；对于合并成本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如果在购买日或合并当期期末，因各种因素影响无法合理确定作为合并对价付出的各项资产的公允价值，或合并中取 得被购买方各项可辨认资产、负债的公允价值，合并当期期末，公司以暂时确定的价值为基础对企业合并进行核算。自购买 </w:t>
      </w:r>
      <w:r>
        <w:rPr>
          <w:color w:val="000000"/>
          <w:spacing w:val="0"/>
          <w:w w:val="100"/>
          <w:position w:val="0"/>
        </w:rPr>
        <w:t>日算起</w:t>
      </w:r>
      <w:r>
        <w:rPr>
          <w:rFonts w:ascii="Times New Roman" w:eastAsia="Times New Roman" w:hAnsi="Times New Roman" w:cs="Times New Roman"/>
          <w:color w:val="000000"/>
          <w:spacing w:val="0"/>
          <w:w w:val="100"/>
          <w:position w:val="0"/>
        </w:rPr>
        <w:t>12</w:t>
      </w:r>
      <w:r>
        <w:rPr>
          <w:color w:val="000000"/>
          <w:spacing w:val="0"/>
          <w:w w:val="100"/>
          <w:position w:val="0"/>
        </w:rPr>
        <w:t>个月内取得进一步的信息表明需对原暂时确定的价值进行调整的，则视同在购买日发生，进行追溯调整，同时对以 暂时性价值为基础提供的比较报表信息进行相关的调整；自购买日算起</w:t>
      </w:r>
      <w:r>
        <w:rPr>
          <w:rFonts w:ascii="Times New Roman" w:eastAsia="Times New Roman" w:hAnsi="Times New Roman" w:cs="Times New Roman"/>
          <w:color w:val="000000"/>
          <w:spacing w:val="0"/>
          <w:w w:val="100"/>
          <w:position w:val="0"/>
        </w:rPr>
        <w:t>12</w:t>
      </w:r>
      <w:r>
        <w:rPr>
          <w:color w:val="000000"/>
          <w:spacing w:val="0"/>
          <w:w w:val="100"/>
          <w:position w:val="0"/>
        </w:rPr>
        <w:t>个月以后对企业合并成本或合并中取得的可辨认资 产、负债价值的调整，按照《企业会计准则第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号——会计政策、会计估计变更和会计差错更正》的原则进行处理。</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公司在企业合并中取得的被购买方的可抵扣暂时性差异，在购买日不符合递延所得税资产确认条件的，不予以确认。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通过多次交易分步实现的非同一控制下企业合并，根据企业会计准则判断该多次交易是否属于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一揽子交易七多次交 易的条款、条件以及经济影响符合以下一种或多种情况，通常表明应将多次交易事项作为一揽子交易进行会计处理：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这 些交易是同时或者在考虑了彼此影响的情况下订立的；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这些交易整体才能达成一项完整的商业结果；</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一项交易的发生 取决于其他至少一项交易的发生；</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一项交易单独看是不经济的，但是和其他交易一并考虑时是经济的。</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的，在合并财务报 表中，对于购买日之前持有的被购买方的股权，按照该股权在购买日的公允价值进行重新计量，公允价值与其账面价值的差 额计入当期投资收益;购买日之前已经持有的被购买方的股权涉及其他综合收益、其他所有者权益变动转为购买日当期收益, 由于被投资方重新计量设定受益计划净负债或净资产变动而产生的其他综合收益除外。</w:t>
      </w:r>
    </w:p>
    <w:p>
      <w:pPr>
        <w:pStyle w:val="Style34"/>
        <w:keepNext w:val="0"/>
        <w:keepLines w:val="0"/>
        <w:widowControl w:val="0"/>
        <w:numPr>
          <w:ilvl w:val="0"/>
          <w:numId w:val="21"/>
        </w:numPr>
        <w:shd w:val="clear" w:color="auto" w:fill="auto"/>
        <w:bidi w:val="0"/>
        <w:spacing w:before="0" w:after="0" w:line="313" w:lineRule="exact"/>
        <w:ind w:left="0" w:right="0" w:firstLine="440"/>
        <w:jc w:val="both"/>
      </w:pPr>
      <w:bookmarkStart w:id="742" w:name="bookmark742"/>
      <w:bookmarkEnd w:id="742"/>
      <w:r>
        <w:rPr>
          <w:color w:val="000000"/>
          <w:spacing w:val="0"/>
          <w:w w:val="100"/>
          <w:position w:val="0"/>
        </w:rPr>
        <w:t>企业合并中有关交易费用的处理</w:t>
      </w:r>
    </w:p>
    <w:p>
      <w:pPr>
        <w:pStyle w:val="Style34"/>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为进行企业合并发生的审计、法律服务、评估咨询等中介费用以及其他相关管理费用，于发生时计入当期损益。作为 合并对价发行的权益性证券或债务性证券的交易费用，计入权益性证券或债务性证券的初始确认金额。</w:t>
      </w:r>
    </w:p>
    <w:p>
      <w:pPr>
        <w:pStyle w:val="Style38"/>
        <w:keepNext/>
        <w:keepLines/>
        <w:widowControl w:val="0"/>
        <w:shd w:val="clear" w:color="auto" w:fill="auto"/>
        <w:bidi w:val="0"/>
        <w:spacing w:before="0" w:after="30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6</w:t>
      </w:r>
      <w:bookmarkEnd w:id="745"/>
      <w:r>
        <w:rPr>
          <w:color w:val="000000"/>
          <w:spacing w:val="0"/>
          <w:w w:val="100"/>
          <w:position w:val="0"/>
        </w:rPr>
        <w:t>、合并财务报表的编制方法</w:t>
      </w:r>
      <w:bookmarkEnd w:id="743"/>
      <w:bookmarkEnd w:id="744"/>
      <w:bookmarkEnd w:id="746"/>
    </w:p>
    <w:p>
      <w:pPr>
        <w:pStyle w:val="Style34"/>
        <w:keepNext w:val="0"/>
        <w:keepLines w:val="0"/>
        <w:widowControl w:val="0"/>
        <w:numPr>
          <w:ilvl w:val="0"/>
          <w:numId w:val="23"/>
        </w:numPr>
        <w:shd w:val="clear" w:color="auto" w:fill="auto"/>
        <w:tabs>
          <w:tab w:pos="712" w:val="left"/>
        </w:tabs>
        <w:bidi w:val="0"/>
        <w:spacing w:before="0" w:after="0" w:line="312" w:lineRule="exact"/>
        <w:ind w:left="0" w:right="0" w:firstLine="440"/>
        <w:jc w:val="both"/>
      </w:pPr>
      <w:bookmarkStart w:id="747" w:name="bookmark747"/>
      <w:bookmarkEnd w:id="747"/>
      <w:r>
        <w:rPr>
          <w:color w:val="000000"/>
          <w:spacing w:val="0"/>
          <w:w w:val="100"/>
          <w:position w:val="0"/>
        </w:rPr>
        <w:t>合并范围</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合并财务报表的合并范围以控制为基础确定。控制是指本公司拥有对被投资方的权力，通过参与被投资方的相关活动 而享有可变回报，并且有能力运用对被投资方的权力影响该回报金额。合并范围包括本公司及全部子公司。子公司，是指被 本公司控制的主体</w:t>
      </w:r>
      <w:r>
        <w:rPr>
          <w:rFonts w:ascii="Times New Roman" w:eastAsia="Times New Roman" w:hAnsi="Times New Roman" w:cs="Times New Roman"/>
          <w:color w:val="000000"/>
          <w:spacing w:val="0"/>
          <w:w w:val="100"/>
          <w:position w:val="0"/>
        </w:rPr>
        <w:t>（</w:t>
      </w:r>
      <w:r>
        <w:rPr>
          <w:color w:val="000000"/>
          <w:spacing w:val="0"/>
          <w:w w:val="100"/>
          <w:position w:val="0"/>
        </w:rPr>
        <w:t>含企业、被投资单位中可分割的部分、结构化主体等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numPr>
          <w:ilvl w:val="0"/>
          <w:numId w:val="23"/>
        </w:numPr>
        <w:shd w:val="clear" w:color="auto" w:fill="auto"/>
        <w:tabs>
          <w:tab w:pos="719" w:val="left"/>
        </w:tabs>
        <w:bidi w:val="0"/>
        <w:spacing w:before="0" w:after="0" w:line="312" w:lineRule="exact"/>
        <w:ind w:left="0" w:right="0" w:firstLine="440"/>
        <w:jc w:val="both"/>
      </w:pPr>
      <w:bookmarkStart w:id="748" w:name="bookmark748"/>
      <w:bookmarkEnd w:id="748"/>
      <w:r>
        <w:rPr>
          <w:color w:val="000000"/>
          <w:spacing w:val="0"/>
          <w:w w:val="100"/>
          <w:position w:val="0"/>
        </w:rPr>
        <w:t>合并报表的编制方法</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本公司以自身和各子公司的财务报表为基础，根据其他有关资料，编制合并报表。本公司编制合并财务报表，将整个 企业集团视为一个会计主体，依据相关企业会计准则的确定、计量和列报要求，按照统一的会计政策，反映本公司整体财务 状况、经营成果和现金流量。</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合并财务报表时抵销本公司与各子公司、各子公司相互之间发生的内部交易和往来对合并资产负债表、合并利润表、 合并现金流量表、合并所有者权益变动表的影响。</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在报告期内因同一控制下企业合并增加的子公司以及业务，视同该子公司以及业务自同受最终控制方控制之日起纳入 本公司的合并范围，将其自同受最终控制方控制之日起的经营成果、现金流量分别纳入合并利润表、合并现金流量表中。在 报告期内，同时调整合并资产负债表的期初数，同时对比较报表的相关项目进行调整，视同合并后的报表主体自最终控制方 开始控制时点起一直存在。</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本期若因非同一控制下企业合并增加子公司的，则不调整合并资产负债表期初数；以购买日可辨认净资产公允价值为 基础对其财务报表进行调整。将子公司自购买日至期末的收入、费用、利润纳入合并利润表；该子公司自购买日至期末的现 金流量纳入合并现金流量表。</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子公司少数股东应占的权益、损益和当期综合收益中分别在合并资产负债表中所有者权益项目下、合并利润表中净利 润项目和综合收益总额项下单独列示。子公司少数股东分担的当期亏损超过了少数股东在该子公司期初所有者权益中所享有 份额而形成的余额，冲减少数股东权益。</w:t>
      </w:r>
    </w:p>
    <w:p>
      <w:pPr>
        <w:pStyle w:val="Style34"/>
        <w:keepNext w:val="0"/>
        <w:keepLines w:val="0"/>
        <w:widowControl w:val="0"/>
        <w:numPr>
          <w:ilvl w:val="0"/>
          <w:numId w:val="23"/>
        </w:numPr>
        <w:shd w:val="clear" w:color="auto" w:fill="auto"/>
        <w:tabs>
          <w:tab w:pos="719" w:val="left"/>
        </w:tabs>
        <w:bidi w:val="0"/>
        <w:spacing w:before="0" w:after="0" w:line="312" w:lineRule="exact"/>
        <w:ind w:left="0" w:right="0" w:firstLine="440"/>
        <w:jc w:val="both"/>
      </w:pPr>
      <w:bookmarkStart w:id="749" w:name="bookmark749"/>
      <w:bookmarkEnd w:id="749"/>
      <w:r>
        <w:rPr>
          <w:color w:val="000000"/>
          <w:spacing w:val="0"/>
          <w:w w:val="100"/>
          <w:position w:val="0"/>
        </w:rPr>
        <w:t>购买少数股东股权及不丧失控制权的部分处置子公司股权</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本公司因购买少数股权新取得的长期股权投资成本与按照新增持股比例计算应享有子公司自购买日或合并日开始持续 计算的净资产份额之间的差额，以及在不丧失控制权的情况下因部分处置对子公司的股权投资而取得的处置价款与处置长期 </w:t>
      </w:r>
      <w:r>
        <w:rPr>
          <w:color w:val="000000"/>
          <w:spacing w:val="0"/>
          <w:w w:val="100"/>
          <w:position w:val="0"/>
        </w:rPr>
        <w:t>股权投资相对应享有子公司自购买日或合并日开始持续计算的净资产份额之间的差额，均调整合并资产负债表中的资本公积 中的股本溢价，资本公积中的股本溢价不足冲减的，调整留存收益。</w:t>
      </w:r>
    </w:p>
    <w:p>
      <w:pPr>
        <w:pStyle w:val="Style34"/>
        <w:keepNext w:val="0"/>
        <w:keepLines w:val="0"/>
        <w:widowControl w:val="0"/>
        <w:numPr>
          <w:ilvl w:val="0"/>
          <w:numId w:val="23"/>
        </w:numPr>
        <w:shd w:val="clear" w:color="auto" w:fill="auto"/>
        <w:tabs>
          <w:tab w:pos="736" w:val="left"/>
        </w:tabs>
        <w:bidi w:val="0"/>
        <w:spacing w:before="0" w:after="0"/>
        <w:ind w:left="0" w:right="0" w:firstLine="440"/>
        <w:jc w:val="both"/>
      </w:pPr>
      <w:bookmarkStart w:id="750" w:name="bookmark750"/>
      <w:bookmarkEnd w:id="750"/>
      <w:r>
        <w:rPr>
          <w:color w:val="000000"/>
          <w:spacing w:val="0"/>
          <w:w w:val="100"/>
          <w:position w:val="0"/>
        </w:rPr>
        <w:t>丧失控制权的处置子公司股权</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本期本公司处置子公司，则该子公司期初至处置日的收入、费用、利润纳入合并利润表；该子公司期初至处置日的现 金流量纳入合并现金流量表。因处置部分股权投资或其他原因丧失了对原有子公司控制权时，对于处置后的剩余股权投资， 本公司按照其在丧失控制权日的公允价值进行重新计量。处置股权取得的对价与剩余股权公允价值之和，减去按原持股比例 计算应享有原有子公司自购买日开始持续计算的净资产的份额与商誉之和，形成的差额计入丧失控制权当期的投资收益。与 原有子公司股权投资相关的其他综合收益，在丧失控制权时采用被购买方直接处置相关资产和负债相同的基础进行会计处理 </w:t>
      </w:r>
      <w:r>
        <w:rPr>
          <w:rFonts w:ascii="Times New Roman" w:eastAsia="Times New Roman" w:hAnsi="Times New Roman" w:cs="Times New Roman"/>
          <w:color w:val="000000"/>
          <w:spacing w:val="0"/>
          <w:w w:val="100"/>
          <w:position w:val="0"/>
        </w:rPr>
        <w:t>（</w:t>
      </w:r>
      <w:r>
        <w:rPr>
          <w:color w:val="000000"/>
          <w:spacing w:val="0"/>
          <w:w w:val="100"/>
          <w:position w:val="0"/>
        </w:rPr>
        <w:t>即除了在该原有子公司重新计量设定受益计划外净负债或者净资产导致的变动以外，其余一并转入当期投资收益</w:t>
      </w:r>
      <w:r>
        <w:rPr>
          <w:rFonts w:ascii="Times New Roman" w:eastAsia="Times New Roman" w:hAnsi="Times New Roman" w:cs="Times New Roman"/>
          <w:color w:val="000000"/>
          <w:spacing w:val="0"/>
          <w:w w:val="100"/>
          <w:position w:val="0"/>
        </w:rPr>
        <w:t>）</w:t>
      </w:r>
      <w:r>
        <w:rPr>
          <w:color w:val="000000"/>
          <w:spacing w:val="0"/>
          <w:w w:val="100"/>
          <w:position w:val="0"/>
        </w:rPr>
        <w:t>。其后， 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 关规定进行后续计量，详见本附注三</w:t>
      </w:r>
      <w:r>
        <w:rPr>
          <w:rFonts w:ascii="Times New Roman" w:eastAsia="Times New Roman" w:hAnsi="Times New Roman" w:cs="Times New Roman"/>
          <w:color w:val="000000"/>
          <w:spacing w:val="0"/>
          <w:w w:val="100"/>
          <w:position w:val="0"/>
        </w:rPr>
        <w:t>（</w:t>
      </w:r>
      <w:r>
        <w:rPr>
          <w:color w:val="000000"/>
          <w:spacing w:val="0"/>
          <w:w w:val="100"/>
          <w:position w:val="0"/>
        </w:rPr>
        <w:t>十九</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或本附注三</w:t>
      </w:r>
      <w:r>
        <w:rPr>
          <w:rFonts w:ascii="Times New Roman" w:eastAsia="Times New Roman" w:hAnsi="Times New Roman" w:cs="Times New Roman"/>
          <w:color w:val="000000"/>
          <w:spacing w:val="0"/>
          <w:w w:val="100"/>
          <w:position w:val="0"/>
        </w:rPr>
        <w:t>（</w:t>
      </w:r>
      <w:r>
        <w:rPr>
          <w:color w:val="000000"/>
          <w:spacing w:val="0"/>
          <w:w w:val="100"/>
          <w:position w:val="0"/>
        </w:rPr>
        <w:t>十</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numPr>
          <w:ilvl w:val="0"/>
          <w:numId w:val="23"/>
        </w:numPr>
        <w:shd w:val="clear" w:color="auto" w:fill="auto"/>
        <w:tabs>
          <w:tab w:pos="736" w:val="left"/>
        </w:tabs>
        <w:bidi w:val="0"/>
        <w:spacing w:before="0" w:after="0"/>
        <w:ind w:left="0" w:right="0" w:firstLine="440"/>
        <w:jc w:val="both"/>
      </w:pPr>
      <w:bookmarkStart w:id="751" w:name="bookmark751"/>
      <w:bookmarkEnd w:id="751"/>
      <w:r>
        <w:rPr>
          <w:color w:val="000000"/>
          <w:spacing w:val="0"/>
          <w:w w:val="100"/>
          <w:position w:val="0"/>
        </w:rPr>
        <w:t>分步处置对子公司股权投资至丧失控制权的处理</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本公司通过多次交易分步处置对子公司股权投资直至丧失控制权的，需区分处置对子公司股权投资直至丧失控制权的 各项交易是否属于一揽子交易。</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处置对子公司股权投资直至丧失控制权的各项交易属于一揽子交易的，将各项交易作为一项处置子公司并丧失控制权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34"/>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不丧失控制权的情况下部分处置对子公司的长期股权投 资</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rPr>
        <w:t>”（</w:t>
      </w:r>
      <w:r>
        <w:rPr>
          <w:color w:val="000000"/>
          <w:spacing w:val="0"/>
          <w:w w:val="100"/>
          <w:position w:val="0"/>
        </w:rPr>
        <w:t>详见前段</w:t>
      </w:r>
      <w:r>
        <w:rPr>
          <w:rFonts w:ascii="Times New Roman" w:eastAsia="Times New Roman" w:hAnsi="Times New Roman" w:cs="Times New Roman"/>
          <w:color w:val="000000"/>
          <w:spacing w:val="0"/>
          <w:w w:val="100"/>
          <w:position w:val="0"/>
        </w:rPr>
        <w:t>）</w:t>
      </w:r>
      <w:r>
        <w:rPr>
          <w:color w:val="000000"/>
          <w:spacing w:val="0"/>
          <w:w w:val="100"/>
          <w:position w:val="0"/>
        </w:rPr>
        <w:t>适用的原则进行会计处理。即在丧失控制权 之前每一次处置价款与处置投资对应的享有该子公司自购买日开始持续计算的净资产账面价值份额之间的差额，作为权益性 交易计入资本公积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。在丧失控制权时不得转入丧失控制权当期的损益。</w:t>
      </w:r>
    </w:p>
    <w:p>
      <w:pPr>
        <w:pStyle w:val="Style38"/>
        <w:keepNext/>
        <w:keepLines/>
        <w:widowControl w:val="0"/>
        <w:shd w:val="clear" w:color="auto" w:fill="auto"/>
        <w:tabs>
          <w:tab w:pos="330" w:val="left"/>
        </w:tabs>
        <w:bidi w:val="0"/>
        <w:spacing w:before="0" w:after="28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7</w:t>
      </w:r>
      <w:bookmarkEnd w:id="754"/>
      <w:r>
        <w:rPr>
          <w:color w:val="000000"/>
          <w:spacing w:val="0"/>
          <w:w w:val="100"/>
          <w:position w:val="0"/>
        </w:rPr>
        <w:t>、</w:t>
        <w:tab/>
        <w:t>合营安排分类及共同经营会计处理方法</w:t>
      </w:r>
      <w:bookmarkEnd w:id="752"/>
      <w:bookmarkEnd w:id="753"/>
      <w:bookmarkEnd w:id="755"/>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合营企业，是指本公司仅对该安排的净资产享有权利的合营安排。本公司对合营企业的投资采用权益法核算，按照本 附注</w:t>
      </w:r>
      <w:r>
        <w:rPr>
          <w:rFonts w:ascii="Times New Roman" w:eastAsia="Times New Roman" w:hAnsi="Times New Roman" w:cs="Times New Roman"/>
          <w:color w:val="000000"/>
          <w:spacing w:val="0"/>
          <w:w w:val="100"/>
          <w:position w:val="0"/>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rPr>
        <w:t>”</w:t>
      </w:r>
      <w:r>
        <w:rPr>
          <w:color w:val="000000"/>
          <w:spacing w:val="0"/>
          <w:w w:val="100"/>
          <w:position w:val="0"/>
        </w:rPr>
        <w:t>中所述的会计政策处理。</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共同经营，是指本公司享有该安排相关资产且承担该安排相关负债的合营安排。本公司确认与共同经营中利益份额相 关的下列项目，并按照相关企业会计准则的规定进行会计处理：</w:t>
      </w:r>
    </w:p>
    <w:p>
      <w:pPr>
        <w:pStyle w:val="Style34"/>
        <w:keepNext w:val="0"/>
        <w:keepLines w:val="0"/>
        <w:widowControl w:val="0"/>
        <w:numPr>
          <w:ilvl w:val="0"/>
          <w:numId w:val="25"/>
        </w:numPr>
        <w:shd w:val="clear" w:color="auto" w:fill="auto"/>
        <w:tabs>
          <w:tab w:pos="717" w:val="left"/>
        </w:tabs>
        <w:bidi w:val="0"/>
        <w:spacing w:before="0" w:after="0"/>
        <w:ind w:left="0" w:right="0" w:firstLine="440"/>
        <w:jc w:val="both"/>
      </w:pPr>
      <w:bookmarkStart w:id="756" w:name="bookmark756"/>
      <w:bookmarkEnd w:id="756"/>
      <w:r>
        <w:rPr>
          <w:color w:val="000000"/>
          <w:spacing w:val="0"/>
          <w:w w:val="100"/>
          <w:position w:val="0"/>
        </w:rPr>
        <w:t>确认本公司单独所持有的资产，以及按本公司份额确认共同持有的资产；</w:t>
      </w:r>
    </w:p>
    <w:p>
      <w:pPr>
        <w:pStyle w:val="Style34"/>
        <w:keepNext w:val="0"/>
        <w:keepLines w:val="0"/>
        <w:widowControl w:val="0"/>
        <w:numPr>
          <w:ilvl w:val="0"/>
          <w:numId w:val="25"/>
        </w:numPr>
        <w:shd w:val="clear" w:color="auto" w:fill="auto"/>
        <w:tabs>
          <w:tab w:pos="736" w:val="left"/>
        </w:tabs>
        <w:bidi w:val="0"/>
        <w:spacing w:before="0" w:after="0"/>
        <w:ind w:left="0" w:right="0" w:firstLine="440"/>
        <w:jc w:val="both"/>
      </w:pPr>
      <w:bookmarkStart w:id="757" w:name="bookmark757"/>
      <w:bookmarkEnd w:id="757"/>
      <w:r>
        <w:rPr>
          <w:color w:val="000000"/>
          <w:spacing w:val="0"/>
          <w:w w:val="100"/>
          <w:position w:val="0"/>
        </w:rPr>
        <w:t>确认本公司单独所承担的负债，以及按本公司份额确认共同承担的负债；</w:t>
      </w:r>
    </w:p>
    <w:p>
      <w:pPr>
        <w:pStyle w:val="Style34"/>
        <w:keepNext w:val="0"/>
        <w:keepLines w:val="0"/>
        <w:widowControl w:val="0"/>
        <w:numPr>
          <w:ilvl w:val="0"/>
          <w:numId w:val="25"/>
        </w:numPr>
        <w:shd w:val="clear" w:color="auto" w:fill="auto"/>
        <w:tabs>
          <w:tab w:pos="736" w:val="left"/>
        </w:tabs>
        <w:bidi w:val="0"/>
        <w:spacing w:before="0" w:after="0"/>
        <w:ind w:left="0" w:right="0" w:firstLine="440"/>
        <w:jc w:val="both"/>
      </w:pPr>
      <w:bookmarkStart w:id="758" w:name="bookmark758"/>
      <w:bookmarkEnd w:id="758"/>
      <w:r>
        <w:rPr>
          <w:color w:val="000000"/>
          <w:spacing w:val="0"/>
          <w:w w:val="100"/>
          <w:position w:val="0"/>
        </w:rPr>
        <w:t>确认出售本公司享有的共同经营产出份额所产生的收入；</w:t>
      </w:r>
    </w:p>
    <w:p>
      <w:pPr>
        <w:pStyle w:val="Style34"/>
        <w:keepNext w:val="0"/>
        <w:keepLines w:val="0"/>
        <w:widowControl w:val="0"/>
        <w:numPr>
          <w:ilvl w:val="0"/>
          <w:numId w:val="25"/>
        </w:numPr>
        <w:shd w:val="clear" w:color="auto" w:fill="auto"/>
        <w:tabs>
          <w:tab w:pos="736" w:val="left"/>
        </w:tabs>
        <w:bidi w:val="0"/>
        <w:spacing w:before="0" w:after="0"/>
        <w:ind w:left="0" w:right="0" w:firstLine="440"/>
        <w:jc w:val="both"/>
      </w:pPr>
      <w:bookmarkStart w:id="759" w:name="bookmark759"/>
      <w:bookmarkEnd w:id="759"/>
      <w:r>
        <w:rPr>
          <w:color w:val="000000"/>
          <w:spacing w:val="0"/>
          <w:w w:val="100"/>
          <w:position w:val="0"/>
        </w:rPr>
        <w:t>按本公司份额确认共同经营因出售产出所产生的收入；</w:t>
      </w:r>
    </w:p>
    <w:p>
      <w:pPr>
        <w:pStyle w:val="Style34"/>
        <w:keepNext w:val="0"/>
        <w:keepLines w:val="0"/>
        <w:widowControl w:val="0"/>
        <w:numPr>
          <w:ilvl w:val="0"/>
          <w:numId w:val="25"/>
        </w:numPr>
        <w:shd w:val="clear" w:color="auto" w:fill="auto"/>
        <w:tabs>
          <w:tab w:pos="736" w:val="left"/>
        </w:tabs>
        <w:bidi w:val="0"/>
        <w:spacing w:before="0" w:after="0"/>
        <w:ind w:left="0" w:right="0" w:firstLine="440"/>
        <w:jc w:val="both"/>
      </w:pPr>
      <w:bookmarkStart w:id="760" w:name="bookmark760"/>
      <w:bookmarkEnd w:id="760"/>
      <w:r>
        <w:rPr>
          <w:color w:val="000000"/>
          <w:spacing w:val="0"/>
          <w:w w:val="100"/>
          <w:position w:val="0"/>
        </w:rPr>
        <w:t>确认单独所发生的费用，以及按本公司份额确认共同经营发生的费用。</w:t>
      </w:r>
    </w:p>
    <w:p>
      <w:pPr>
        <w:pStyle w:val="Style34"/>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当本公司作为合营方向共同经营投出或出售资产</w:t>
      </w:r>
      <w:r>
        <w:rPr>
          <w:rFonts w:ascii="Times New Roman" w:eastAsia="Times New Roman" w:hAnsi="Times New Roman" w:cs="Times New Roman"/>
          <w:color w:val="000000"/>
          <w:spacing w:val="0"/>
          <w:w w:val="100"/>
          <w:position w:val="0"/>
        </w:rPr>
        <w:t>（</w:t>
      </w:r>
      <w:r>
        <w:rPr>
          <w:color w:val="000000"/>
          <w:spacing w:val="0"/>
          <w:w w:val="100"/>
          <w:position w:val="0"/>
        </w:rPr>
        <w:t>该资产不构成业务，下同</w:t>
      </w:r>
      <w:r>
        <w:rPr>
          <w:rFonts w:ascii="Times New Roman" w:eastAsia="Times New Roman" w:hAnsi="Times New Roman" w:cs="Times New Roman"/>
          <w:color w:val="000000"/>
          <w:spacing w:val="0"/>
          <w:w w:val="100"/>
          <w:position w:val="0"/>
        </w:rPr>
        <w:t>）</w:t>
      </w:r>
      <w:r>
        <w:rPr>
          <w:color w:val="000000"/>
          <w:spacing w:val="0"/>
          <w:w w:val="100"/>
          <w:position w:val="0"/>
        </w:rPr>
        <w:t>或者自共同经营购买资产时，在该等资产出 售给第三方之前，本公司仅确认因该项交易产生的损益中属于共同经营其他参与方的部分。该等资产发生符合《企业会计准 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资产减值》等规定的资产减值损失的，对于由本公司向共同经营投出或者出售资产的情况，本公司全额确认损 失；对于本公司自共同经营购买资产的情况，本公司按承担的份额确认该损失。</w:t>
      </w:r>
    </w:p>
    <w:p>
      <w:pPr>
        <w:pStyle w:val="Style38"/>
        <w:keepNext/>
        <w:keepLines/>
        <w:widowControl w:val="0"/>
        <w:shd w:val="clear" w:color="auto" w:fill="auto"/>
        <w:tabs>
          <w:tab w:pos="335" w:val="left"/>
        </w:tabs>
        <w:bidi w:val="0"/>
        <w:spacing w:before="0" w:after="280" w:line="240" w:lineRule="auto"/>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8</w:t>
      </w:r>
      <w:bookmarkEnd w:id="763"/>
      <w:r>
        <w:rPr>
          <w:color w:val="000000"/>
          <w:spacing w:val="0"/>
          <w:w w:val="100"/>
          <w:position w:val="0"/>
        </w:rPr>
        <w:t>、</w:t>
        <w:tab/>
        <w:t>现金及现金等价物的确定标准</w:t>
      </w:r>
      <w:bookmarkEnd w:id="761"/>
      <w:bookmarkEnd w:id="762"/>
      <w:bookmarkEnd w:id="764"/>
    </w:p>
    <w:p>
      <w:pPr>
        <w:pStyle w:val="Style34"/>
        <w:keepNext w:val="0"/>
        <w:keepLines w:val="0"/>
        <w:widowControl w:val="0"/>
        <w:shd w:val="clear" w:color="auto" w:fill="auto"/>
        <w:bidi w:val="0"/>
        <w:spacing w:before="0" w:after="280" w:line="317" w:lineRule="exact"/>
        <w:ind w:left="0" w:right="0" w:firstLine="440"/>
        <w:jc w:val="both"/>
        <w:rPr>
          <w:sz w:val="20"/>
          <w:szCs w:val="20"/>
        </w:rPr>
      </w:pPr>
      <w:r>
        <w:rPr>
          <w:color w:val="000000"/>
          <w:spacing w:val="0"/>
          <w:w w:val="100"/>
          <w:position w:val="0"/>
          <w:sz w:val="18"/>
          <w:szCs w:val="18"/>
        </w:rPr>
        <w:t xml:space="preserve">在编制现金流量表时，将本公司库存现金及可以随时用于支付的存款确认为现金。现金等价物是指企业持有的期限短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一般是指从购买日起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个月内到期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、流动性强、易于转换为已知金额现金、价值变动风险</w:t>
      </w:r>
      <w:r>
        <w:rPr>
          <w:color w:val="000000"/>
          <w:spacing w:val="0"/>
          <w:w w:val="100"/>
          <w:position w:val="0"/>
          <w:sz w:val="20"/>
          <w:szCs w:val="20"/>
        </w:rPr>
        <w:t>很小的投资。</w:t>
      </w:r>
    </w:p>
    <w:p>
      <w:pPr>
        <w:pStyle w:val="Style38"/>
        <w:keepNext/>
        <w:keepLines/>
        <w:widowControl w:val="0"/>
        <w:shd w:val="clear" w:color="auto" w:fill="auto"/>
        <w:tabs>
          <w:tab w:pos="367" w:val="left"/>
        </w:tabs>
        <w:bidi w:val="0"/>
        <w:spacing w:before="0" w:after="28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9</w:t>
      </w:r>
      <w:bookmarkEnd w:id="767"/>
      <w:r>
        <w:rPr>
          <w:color w:val="000000"/>
          <w:spacing w:val="0"/>
          <w:w w:val="100"/>
          <w:position w:val="0"/>
        </w:rPr>
        <w:t>、</w:t>
        <w:tab/>
        <w:t>外币业务和外币报表折算</w:t>
      </w:r>
      <w:bookmarkEnd w:id="765"/>
      <w:bookmarkEnd w:id="766"/>
      <w:bookmarkEnd w:id="768"/>
    </w:p>
    <w:p>
      <w:pPr>
        <w:pStyle w:val="Style34"/>
        <w:keepNext w:val="0"/>
        <w:keepLines w:val="0"/>
        <w:widowControl w:val="0"/>
        <w:numPr>
          <w:ilvl w:val="0"/>
          <w:numId w:val="27"/>
        </w:numPr>
        <w:shd w:val="clear" w:color="auto" w:fill="auto"/>
        <w:tabs>
          <w:tab w:pos="715" w:val="left"/>
        </w:tabs>
        <w:bidi w:val="0"/>
        <w:spacing w:before="0" w:after="0" w:line="311" w:lineRule="exact"/>
        <w:ind w:left="0" w:right="0" w:firstLine="440"/>
        <w:jc w:val="left"/>
      </w:pPr>
      <w:bookmarkStart w:id="769" w:name="bookmark769"/>
      <w:bookmarkEnd w:id="769"/>
      <w:r>
        <w:rPr>
          <w:color w:val="000000"/>
          <w:spacing w:val="0"/>
          <w:w w:val="100"/>
          <w:position w:val="0"/>
        </w:rPr>
        <w:t>外币交易业务</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对发生的外币业务，采用交易发生日的即期汇率</w:t>
      </w:r>
      <w:r>
        <w:rPr>
          <w:rFonts w:ascii="Times New Roman" w:eastAsia="Times New Roman" w:hAnsi="Times New Roman" w:cs="Times New Roman"/>
          <w:color w:val="000000"/>
          <w:spacing w:val="0"/>
          <w:w w:val="100"/>
          <w:position w:val="0"/>
        </w:rPr>
        <w:t>(</w:t>
      </w:r>
      <w:r>
        <w:rPr>
          <w:color w:val="000000"/>
          <w:spacing w:val="0"/>
          <w:w w:val="100"/>
          <w:position w:val="0"/>
        </w:rPr>
        <w:t>通常指中国人民银行公布的当日外汇牌价的中间价，下同</w:t>
      </w:r>
      <w:r>
        <w:rPr>
          <w:rFonts w:ascii="Times New Roman" w:eastAsia="Times New Roman" w:hAnsi="Times New Roman" w:cs="Times New Roman"/>
          <w:color w:val="000000"/>
          <w:spacing w:val="0"/>
          <w:w w:val="100"/>
          <w:position w:val="0"/>
        </w:rPr>
        <w:t>)</w:t>
      </w:r>
      <w:r>
        <w:rPr>
          <w:color w:val="000000"/>
          <w:spacing w:val="0"/>
          <w:w w:val="100"/>
          <w:position w:val="0"/>
        </w:rPr>
        <w:t>、当期加权 平均汇率折合记账本位币记账。但公司发生的外币兑换业务或涉及外币兑换的交易事项，按照实际采用的汇率折算为记账本 位币金额。</w:t>
      </w:r>
    </w:p>
    <w:p>
      <w:pPr>
        <w:pStyle w:val="Style34"/>
        <w:keepNext w:val="0"/>
        <w:keepLines w:val="0"/>
        <w:widowControl w:val="0"/>
        <w:numPr>
          <w:ilvl w:val="0"/>
          <w:numId w:val="27"/>
        </w:numPr>
        <w:shd w:val="clear" w:color="auto" w:fill="auto"/>
        <w:tabs>
          <w:tab w:pos="734" w:val="left"/>
        </w:tabs>
        <w:bidi w:val="0"/>
        <w:spacing w:before="0" w:after="0" w:line="311" w:lineRule="exact"/>
        <w:ind w:left="0" w:right="0" w:firstLine="440"/>
        <w:jc w:val="both"/>
      </w:pPr>
      <w:bookmarkStart w:id="770" w:name="bookmark770"/>
      <w:bookmarkEnd w:id="770"/>
      <w:r>
        <w:rPr>
          <w:color w:val="000000"/>
          <w:spacing w:val="0"/>
          <w:w w:val="100"/>
          <w:position w:val="0"/>
        </w:rPr>
        <w:t>外币货币性项目和非货币性项目的折算方法</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资产负债表日，对于外币货币性项目采用资产负债表日即期汇率折算，由此产生的汇兑差额，除：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属于与购建符合 资本化条件的资产相关的外币专门借款产生的汇兑差额按照借款费用资本化的原则处理；</w:t>
      </w:r>
      <w:r>
        <w:rPr>
          <w:rFonts w:ascii="Times New Roman" w:eastAsia="Times New Roman" w:hAnsi="Times New Roman" w:cs="Times New Roman"/>
          <w:color w:val="000000"/>
          <w:spacing w:val="0"/>
          <w:w w:val="100"/>
          <w:position w:val="0"/>
        </w:rPr>
        <w:t>(2)</w:t>
      </w:r>
      <w:r>
        <w:rPr>
          <w:color w:val="000000"/>
          <w:spacing w:val="0"/>
          <w:w w:val="100"/>
          <w:position w:val="0"/>
        </w:rPr>
        <w:t>用于境外经营净投资有效套期 的套期工具的汇兑差额</w:t>
      </w:r>
      <w:r>
        <w:rPr>
          <w:rFonts w:ascii="Times New Roman" w:eastAsia="Times New Roman" w:hAnsi="Times New Roman" w:cs="Times New Roman"/>
          <w:color w:val="000000"/>
          <w:spacing w:val="0"/>
          <w:w w:val="100"/>
          <w:position w:val="0"/>
        </w:rPr>
        <w:t>(</w:t>
      </w:r>
      <w:r>
        <w:rPr>
          <w:color w:val="000000"/>
          <w:spacing w:val="0"/>
          <w:w w:val="100"/>
          <w:position w:val="0"/>
        </w:rPr>
        <w:t>该差额计入其他综合收益，直至净投资被处置才被确认为当期损益</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 动计入其他综合收益的外币货币性项目除摊余成本之外的其他账面余额变动产生的汇兑差额计入其他综合收益之外，均计入 当期损益。</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以历史成本计量的外币非货币性项目，仍采用交易发生日的即期汇率折算的记账本位币金额计量。以公允价值计量的 外币非货币性项目，采用公允价值确定日的即期汇率折算，折算后的记账本位币金额与原记账本位币金额的差额，计入当期 损益。</w:t>
      </w:r>
    </w:p>
    <w:p>
      <w:pPr>
        <w:pStyle w:val="Style34"/>
        <w:keepNext w:val="0"/>
        <w:keepLines w:val="0"/>
        <w:widowControl w:val="0"/>
        <w:numPr>
          <w:ilvl w:val="0"/>
          <w:numId w:val="27"/>
        </w:numPr>
        <w:shd w:val="clear" w:color="auto" w:fill="auto"/>
        <w:tabs>
          <w:tab w:pos="734" w:val="left"/>
        </w:tabs>
        <w:bidi w:val="0"/>
        <w:spacing w:before="0" w:after="0" w:line="311" w:lineRule="exact"/>
        <w:ind w:left="0" w:right="0" w:firstLine="440"/>
        <w:jc w:val="both"/>
      </w:pPr>
      <w:bookmarkStart w:id="771" w:name="bookmark771"/>
      <w:bookmarkEnd w:id="771"/>
      <w:r>
        <w:rPr>
          <w:color w:val="000000"/>
          <w:spacing w:val="0"/>
          <w:w w:val="100"/>
          <w:position w:val="0"/>
        </w:rPr>
        <w:t>外币报表折算</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 项目采用发生时的即期汇率折算；利润表中的收入和费用项目，采用交易发生日的即期汇率当期加权平均汇率折算；年初未 分配利润为上一年折算后的年末未分配利润；年末未分配利润按折算后的利润分配各项目计算列示；按照上述折算产生的外 币财务报表折算差额，在资产负债表股东权益项目下的</w:t>
      </w:r>
      <w:r>
        <w:rPr>
          <w:rFonts w:ascii="Times New Roman" w:eastAsia="Times New Roman" w:hAnsi="Times New Roman" w:cs="Times New Roman"/>
          <w:color w:val="000000"/>
          <w:spacing w:val="0"/>
          <w:w w:val="100"/>
          <w:position w:val="0"/>
        </w:rPr>
        <w:t>“</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项目反映。处置境外经营并丧失控制权时，将资产负 债表中股东权益项目下列示的、与该境外经营相关的外币报表折算差额，全部或按处置该境外经营的比例转入处置当期损益。 在处置部分股权投资或其他原因导致持有境外经营权益比例降低但不丧失对境外经营控制权时，与该境外经营处置部分相关 的外币报表折算差额将归属于少数股东权益，不转入当期损益。</w:t>
      </w:r>
    </w:p>
    <w:p>
      <w:pPr>
        <w:pStyle w:val="Style34"/>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现金流量表采用现金流量发生日的即期汇率当期加权平均汇率折算。汇率变动对现金的影响额作为调节项目，在现金 流量表中单独列示</w:t>
      </w:r>
      <w:r>
        <w:rPr>
          <w:rFonts w:ascii="Times New Roman" w:eastAsia="Times New Roman" w:hAnsi="Times New Roman" w:cs="Times New Roman"/>
          <w:color w:val="000000"/>
          <w:spacing w:val="0"/>
          <w:w w:val="100"/>
          <w:position w:val="0"/>
        </w:rPr>
        <w:t>“</w:t>
      </w:r>
      <w:r>
        <w:rPr>
          <w:color w:val="000000"/>
          <w:spacing w:val="0"/>
          <w:w w:val="100"/>
          <w:position w:val="0"/>
        </w:rPr>
        <w:t>汇率变动对现金及现金等价物的影响</w:t>
      </w:r>
      <w:r>
        <w:rPr>
          <w:rFonts w:ascii="Times New Roman" w:eastAsia="Times New Roman" w:hAnsi="Times New Roman" w:cs="Times New Roman"/>
          <w:color w:val="000000"/>
          <w:spacing w:val="0"/>
          <w:w w:val="100"/>
          <w:position w:val="0"/>
        </w:rPr>
        <w:t>”</w:t>
      </w:r>
      <w:r>
        <w:rPr>
          <w:color w:val="000000"/>
          <w:spacing w:val="0"/>
          <w:w w:val="100"/>
          <w:position w:val="0"/>
        </w:rPr>
        <w:t>项目反映。</w:t>
      </w:r>
    </w:p>
    <w:p>
      <w:pPr>
        <w:pStyle w:val="Style38"/>
        <w:keepNext/>
        <w:keepLines/>
        <w:widowControl w:val="0"/>
        <w:shd w:val="clear" w:color="auto" w:fill="auto"/>
        <w:tabs>
          <w:tab w:pos="428" w:val="left"/>
        </w:tabs>
        <w:bidi w:val="0"/>
        <w:spacing w:before="0" w:after="28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2"/>
      <w:bookmarkEnd w:id="773"/>
      <w:bookmarkEnd w:id="775"/>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金融工具是指形成一方的金融资产并形成其他方的金融负债或权益工具的合同。金融工具包括金融资产、金融负债和 权益工具。</w:t>
      </w:r>
    </w:p>
    <w:p>
      <w:pPr>
        <w:pStyle w:val="Style34"/>
        <w:keepNext w:val="0"/>
        <w:keepLines w:val="0"/>
        <w:widowControl w:val="0"/>
        <w:numPr>
          <w:ilvl w:val="0"/>
          <w:numId w:val="29"/>
        </w:numPr>
        <w:shd w:val="clear" w:color="auto" w:fill="auto"/>
        <w:bidi w:val="0"/>
        <w:spacing w:before="0" w:after="0" w:line="311" w:lineRule="exact"/>
        <w:ind w:left="0" w:right="0" w:firstLine="440"/>
        <w:jc w:val="both"/>
      </w:pPr>
      <w:bookmarkStart w:id="776" w:name="bookmark776"/>
      <w:bookmarkEnd w:id="776"/>
      <w:r>
        <w:rPr>
          <w:color w:val="000000"/>
          <w:spacing w:val="0"/>
          <w:w w:val="100"/>
          <w:position w:val="0"/>
        </w:rPr>
        <w:t>金融工具的分类、确认依据和计量方法</w:t>
      </w:r>
    </w:p>
    <w:p>
      <w:pPr>
        <w:pStyle w:val="Style34"/>
        <w:keepNext w:val="0"/>
        <w:keepLines w:val="0"/>
        <w:widowControl w:val="0"/>
        <w:numPr>
          <w:ilvl w:val="0"/>
          <w:numId w:val="31"/>
        </w:numPr>
        <w:shd w:val="clear" w:color="auto" w:fill="auto"/>
        <w:tabs>
          <w:tab w:pos="796" w:val="left"/>
        </w:tabs>
        <w:bidi w:val="0"/>
        <w:spacing w:before="0" w:after="0" w:line="311" w:lineRule="exact"/>
        <w:ind w:left="0" w:right="0" w:firstLine="440"/>
        <w:jc w:val="both"/>
      </w:pPr>
      <w:bookmarkStart w:id="777" w:name="bookmark777"/>
      <w:bookmarkEnd w:id="777"/>
      <w:r>
        <w:rPr>
          <w:color w:val="000000"/>
          <w:spacing w:val="0"/>
          <w:w w:val="100"/>
          <w:position w:val="0"/>
        </w:rPr>
        <w:t>金融资产和金融负债的确认和初始计量</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本公司成为金融工具合同的一方时，确认一项金融资产或金融负债。对于以常规方式购买金融资产的，本公司在交易 日确认将收到的资产和为此将承担的负债。</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金融资产和金融负债在初始确认时以公允价值计量。对于以公允价值计量且其变动计入当期损益的金融资产和金融负 债，相关的交易费用直接计入当期损益，对于其他类别的金融资产和金融负债，相关交易费用计入初始确认金额。对于初始 确认时不具有重大融资成分的应收账款，按照本附注五</w:t>
      </w:r>
      <w:r>
        <w:rPr>
          <w:rFonts w:ascii="Times New Roman" w:eastAsia="Times New Roman" w:hAnsi="Times New Roman" w:cs="Times New Roman"/>
          <w:color w:val="000000"/>
          <w:spacing w:val="0"/>
          <w:w w:val="100"/>
          <w:position w:val="0"/>
        </w:rPr>
        <w:t>39</w:t>
      </w:r>
      <w:r>
        <w:rPr>
          <w:color w:val="000000"/>
          <w:spacing w:val="0"/>
          <w:w w:val="100"/>
          <w:position w:val="0"/>
        </w:rPr>
        <w:t>的收入确认方法确定的交易价格进行初始计量。</w:t>
      </w:r>
    </w:p>
    <w:p>
      <w:pPr>
        <w:pStyle w:val="Style34"/>
        <w:keepNext w:val="0"/>
        <w:keepLines w:val="0"/>
        <w:widowControl w:val="0"/>
        <w:numPr>
          <w:ilvl w:val="0"/>
          <w:numId w:val="31"/>
        </w:numPr>
        <w:shd w:val="clear" w:color="auto" w:fill="auto"/>
        <w:tabs>
          <w:tab w:pos="796" w:val="left"/>
        </w:tabs>
        <w:bidi w:val="0"/>
        <w:spacing w:before="0" w:after="0" w:line="311" w:lineRule="exact"/>
        <w:ind w:left="0" w:right="0" w:firstLine="440"/>
        <w:jc w:val="both"/>
      </w:pPr>
      <w:bookmarkStart w:id="778" w:name="bookmark778"/>
      <w:bookmarkEnd w:id="778"/>
      <w:r>
        <w:rPr>
          <w:color w:val="000000"/>
          <w:spacing w:val="0"/>
          <w:w w:val="100"/>
          <w:position w:val="0"/>
        </w:rPr>
        <w:t>金融资产的分类和后续计量</w:t>
      </w:r>
    </w:p>
    <w:p>
      <w:pPr>
        <w:pStyle w:val="Style34"/>
        <w:keepNext w:val="0"/>
        <w:keepLines w:val="0"/>
        <w:widowControl w:val="0"/>
        <w:shd w:val="clear" w:color="auto" w:fill="auto"/>
        <w:bidi w:val="0"/>
        <w:spacing w:before="0" w:line="311" w:lineRule="exact"/>
        <w:ind w:left="0" w:right="0" w:firstLine="440"/>
        <w:jc w:val="both"/>
      </w:pPr>
      <w:r>
        <w:rPr>
          <w:color w:val="000000"/>
          <w:spacing w:val="0"/>
          <w:w w:val="100"/>
          <w:position w:val="0"/>
        </w:rPr>
        <w:t>本公司根据管理金融资产的业务模式和金融资产的合同现金流量特征将金融资产分类为以摊余成本计量的金融资产、 以公允价值计量且其变动计入其他综合收益的金融资产和以公允价值计量且其变动计入当期损益的金融资产。</w:t>
      </w:r>
    </w:p>
    <w:p>
      <w:pPr>
        <w:pStyle w:val="Style34"/>
        <w:keepNext w:val="0"/>
        <w:keepLines w:val="0"/>
        <w:widowControl w:val="0"/>
        <w:numPr>
          <w:ilvl w:val="0"/>
          <w:numId w:val="33"/>
        </w:numPr>
        <w:shd w:val="clear" w:color="auto" w:fill="auto"/>
        <w:bidi w:val="0"/>
        <w:spacing w:before="0" w:after="0"/>
        <w:ind w:left="0" w:right="0" w:firstLine="440"/>
        <w:jc w:val="both"/>
      </w:pPr>
      <w:bookmarkStart w:id="779" w:name="bookmark779"/>
      <w:bookmarkEnd w:id="779"/>
      <w:r>
        <w:rPr>
          <w:color w:val="000000"/>
          <w:spacing w:val="0"/>
          <w:w w:val="100"/>
          <w:position w:val="0"/>
        </w:rPr>
        <w:t>以摊余成本计量的金融资产</w:t>
      </w:r>
    </w:p>
    <w:p>
      <w:pPr>
        <w:pStyle w:val="Style34"/>
        <w:keepNext w:val="0"/>
        <w:keepLines w:val="0"/>
        <w:widowControl w:val="0"/>
        <w:shd w:val="clear" w:color="auto" w:fill="auto"/>
        <w:bidi w:val="0"/>
        <w:spacing w:before="0" w:after="0" w:line="311" w:lineRule="exact"/>
        <w:ind w:left="0" w:right="0" w:firstLine="440"/>
        <w:jc w:val="both"/>
        <w:sectPr>
          <w:headerReference w:type="default" r:id="rId111"/>
          <w:footerReference w:type="default" r:id="rId112"/>
          <w:headerReference w:type="even" r:id="rId113"/>
          <w:footerReference w:type="even" r:id="rId114"/>
          <w:headerReference w:type="first" r:id="rId115"/>
          <w:footerReference w:type="first" r:id="rId116"/>
          <w:footnotePr>
            <w:pos w:val="pageBottom"/>
            <w:numFmt w:val="decimal"/>
            <w:numRestart w:val="continuous"/>
          </w:footnotePr>
          <w:pgSz w:w="11900" w:h="16840"/>
          <w:pgMar w:top="1383" w:right="1073" w:bottom="1498" w:left="1092" w:header="0" w:footer="3" w:gutter="0"/>
          <w:cols w:space="720"/>
          <w:noEndnote/>
          <w:titlePg/>
          <w:rtlGutter w:val="0"/>
          <w:docGrid w:linePitch="360"/>
        </w:sectPr>
      </w:pPr>
      <w:r>
        <w:rPr>
          <w:color w:val="000000"/>
          <w:spacing w:val="0"/>
          <w:w w:val="100"/>
          <w:position w:val="0"/>
        </w:rPr>
        <w:t>以摊余成本计量的金融资产，是指同时符合下列条件的金融资产：①本公司管理该金融资产的业务模式是以收取合同 现金流量为目标；②该金融资产的合同条款规定，在特定日期产生的现金流量，仅为对本金和以未偿付本金金额为基础的利 息的支付。</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该类金融资产在初始确认后采用实际利率法以摊余成本计量，所产生的利得或损失在终止确认、按照实际利率法摊销 或确认减值时，计入当期损益。</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对于金融资产的摊余成本，应当以该金融资产的初始确认金额经下列调整后的结果确定：①扣除已偿还的本金；②加 上或减去采用实际利率法将该初始确认金额与到期日金额之间的差额进行摊销形成的累计摊销额;③扣除累计计提的损失准 备。</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实际利率法，是指计算金融资产或金融负债的摊余成本以及将利息收入或利息费用分摊计入各会计期间的方法。实际 利率，是指将金融资产或金融负债在预计存续期的估计未来现金流量，折现为该金融资产账面余额或该金融负债摊余成本所 使用的利率。在确定实际利率时，本公司在考虑金融资产或金融负债所有合同条款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如提前还款、展期、看涨期权或其他类 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本公司根据金融资产账面余额乘以实际利率计算确定利息收入，但下列情况除外：①对于购入或源生的已发生信用减 值的金融资产，自初始确认起，按照该金融资产的摊余成本和经信用调整的实际利率计算确定其利息收入。②对于购入或源 生的未发生信用减值、但在后续期间成为已发生信用减值的金融资产，按照该金融资产的摊余成本和实际利率计算确定其利 息收入。若该金融工具在后续期间因其信用风险有所改善而不再存在信用减值，并且这一改善在客观上可与应用上述规定之 后发生的某一事件相联系，应转按实际利率乘以该金融资产账面余额来计算确定利息收入。</w:t>
      </w:r>
    </w:p>
    <w:p>
      <w:pPr>
        <w:pStyle w:val="Style34"/>
        <w:keepNext w:val="0"/>
        <w:keepLines w:val="0"/>
        <w:widowControl w:val="0"/>
        <w:shd w:val="clear" w:color="auto" w:fill="auto"/>
        <w:tabs>
          <w:tab w:pos="729" w:val="left"/>
        </w:tabs>
        <w:bidi w:val="0"/>
        <w:spacing w:before="0" w:after="0"/>
        <w:ind w:left="0" w:right="0" w:firstLine="440"/>
        <w:jc w:val="both"/>
      </w:pPr>
      <w:bookmarkStart w:id="780" w:name="bookmark780"/>
      <w:r>
        <w:rPr>
          <w:rFonts w:ascii="Times New Roman" w:eastAsia="Times New Roman" w:hAnsi="Times New Roman" w:cs="Times New Roman"/>
          <w:color w:val="000000"/>
          <w:spacing w:val="0"/>
          <w:w w:val="100"/>
          <w:position w:val="0"/>
        </w:rPr>
        <w:t>2</w:t>
      </w:r>
      <w:bookmarkEnd w:id="780"/>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以公允价值计量且其变动计入其他综合收益的金融资产</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以公允价值计量且其变动计入其他综合收益的金融资产，是指同时符合下列条件的金融资产：①本公司管理该金融资 产的业务模式既以收取合同现金流量为目标又以出售该金融资产为目标。②该金融资产的合同条款规定，在特定日期产生的 现金流量，仅为对本金和以未偿付本金金额为基础的利息的支付。</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该类金融资产在初始确认后以公允价值进行后续计量。采用实际利率法计算的利息、减值损失或利得及汇兑损益计入 当期损益，其他利得或损失计入其他综合收益。终止确认时，将之前计入其他综合收益的累计利得或损失从其他综合收益中 转出，计入当期损益。</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对于非交易性权益工具投资，本公司可在初始确认时将其不可撤销地指定为以公允价值计量且其变动计入其他综合收 益的金融资产。该指定基于单项非交易性权益工具投资的基础上作出，且相关投资从工具发行者的角度符合权益工具的定义。 此类投资在初始指定后，除了获得的股利</w:t>
      </w:r>
      <w:r>
        <w:rPr>
          <w:rFonts w:ascii="Times New Roman" w:eastAsia="Times New Roman" w:hAnsi="Times New Roman" w:cs="Times New Roman"/>
          <w:color w:val="000000"/>
          <w:spacing w:val="0"/>
          <w:w w:val="100"/>
          <w:position w:val="0"/>
        </w:rPr>
        <w:t>（</w:t>
      </w:r>
      <w:r>
        <w:rPr>
          <w:color w:val="000000"/>
          <w:spacing w:val="0"/>
          <w:w w:val="100"/>
          <w:position w:val="0"/>
        </w:rPr>
        <w:t>属于投资成本收回部分的除外</w:t>
      </w:r>
      <w:r>
        <w:rPr>
          <w:rFonts w:ascii="Times New Roman" w:eastAsia="Times New Roman" w:hAnsi="Times New Roman" w:cs="Times New Roman"/>
          <w:color w:val="000000"/>
          <w:spacing w:val="0"/>
          <w:w w:val="100"/>
          <w:position w:val="0"/>
        </w:rPr>
        <w:t>）</w:t>
      </w:r>
      <w:r>
        <w:rPr>
          <w:color w:val="000000"/>
          <w:spacing w:val="0"/>
          <w:w w:val="100"/>
          <w:position w:val="0"/>
        </w:rPr>
        <w:t>计入当期损益外，其他相关的利得或损失</w:t>
      </w:r>
      <w:r>
        <w:rPr>
          <w:rFonts w:ascii="Times New Roman" w:eastAsia="Times New Roman" w:hAnsi="Times New Roman" w:cs="Times New Roman"/>
          <w:color w:val="000000"/>
          <w:spacing w:val="0"/>
          <w:w w:val="100"/>
          <w:position w:val="0"/>
        </w:rPr>
        <w:t>（</w:t>
      </w:r>
      <w:r>
        <w:rPr>
          <w:color w:val="000000"/>
          <w:spacing w:val="0"/>
          <w:w w:val="100"/>
          <w:position w:val="0"/>
        </w:rPr>
        <w:t>包括汇兑 损益</w:t>
      </w:r>
      <w:r>
        <w:rPr>
          <w:rFonts w:ascii="Times New Roman" w:eastAsia="Times New Roman" w:hAnsi="Times New Roman" w:cs="Times New Roman"/>
          <w:color w:val="000000"/>
          <w:spacing w:val="0"/>
          <w:w w:val="100"/>
          <w:position w:val="0"/>
        </w:rPr>
        <w:t>）</w:t>
      </w:r>
      <w:r>
        <w:rPr>
          <w:color w:val="000000"/>
          <w:spacing w:val="0"/>
          <w:w w:val="100"/>
          <w:position w:val="0"/>
        </w:rPr>
        <w:t>均计入其他综合收益。终止确认时，将之前计入其他综合收益的累计利得或损失从其他综合收益中转出，计入留存收 益。</w:t>
      </w:r>
    </w:p>
    <w:p>
      <w:pPr>
        <w:pStyle w:val="Style34"/>
        <w:keepNext w:val="0"/>
        <w:keepLines w:val="0"/>
        <w:widowControl w:val="0"/>
        <w:shd w:val="clear" w:color="auto" w:fill="auto"/>
        <w:tabs>
          <w:tab w:pos="729" w:val="left"/>
        </w:tabs>
        <w:bidi w:val="0"/>
        <w:spacing w:before="0" w:after="0"/>
        <w:ind w:left="0" w:right="0" w:firstLine="440"/>
        <w:jc w:val="both"/>
      </w:pPr>
      <w:bookmarkStart w:id="781" w:name="bookmark781"/>
      <w:r>
        <w:rPr>
          <w:rFonts w:ascii="Times New Roman" w:eastAsia="Times New Roman" w:hAnsi="Times New Roman" w:cs="Times New Roman"/>
          <w:color w:val="000000"/>
          <w:spacing w:val="0"/>
          <w:w w:val="100"/>
          <w:position w:val="0"/>
        </w:rPr>
        <w:t>3</w:t>
      </w:r>
      <w:bookmarkEnd w:id="781"/>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以公允价值计量且其变动计入当期损益的金融资产</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除上述</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情形外，本公司将其余所有的金融资产分类为以公允价值计量且其变动计入当期损益的金融资产。在初始 确认时，如果能够消除或显著减少会计错配，可以将金融资产不可撤销地指定为以公允价值计量且其变动计入当期损益的金 融资产。本公司在非同一控制下的企业合并中确认的或有对价构成金融资产的，该金融资产分类为以公允价值计量且其变动 计入当期损益的金融资产。</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该类金融资产在初始确认后以公允价值进行后续计量，产生的利得或损失计入当期损益。</w:t>
      </w:r>
    </w:p>
    <w:p>
      <w:pPr>
        <w:pStyle w:val="Style34"/>
        <w:keepNext w:val="0"/>
        <w:keepLines w:val="0"/>
        <w:widowControl w:val="0"/>
        <w:shd w:val="clear" w:color="auto" w:fill="auto"/>
        <w:bidi w:val="0"/>
        <w:spacing w:before="0" w:after="0"/>
        <w:ind w:left="0" w:right="0" w:firstLine="440"/>
        <w:jc w:val="both"/>
      </w:pPr>
      <w:bookmarkStart w:id="782" w:name="bookmark782"/>
      <w:r>
        <w:rPr>
          <w:rFonts w:ascii="Times New Roman" w:eastAsia="Times New Roman" w:hAnsi="Times New Roman" w:cs="Times New Roman"/>
          <w:color w:val="000000"/>
          <w:spacing w:val="0"/>
          <w:w w:val="100"/>
          <w:position w:val="0"/>
        </w:rPr>
        <w:t>（</w:t>
      </w:r>
      <w:bookmarkEnd w:id="782"/>
      <w:r>
        <w:rPr>
          <w:rFonts w:ascii="Times New Roman" w:eastAsia="Times New Roman" w:hAnsi="Times New Roman" w:cs="Times New Roman"/>
          <w:color w:val="000000"/>
          <w:spacing w:val="0"/>
          <w:w w:val="100"/>
          <w:position w:val="0"/>
        </w:rPr>
        <w:t>3）</w:t>
      </w:r>
      <w:r>
        <w:rPr>
          <w:color w:val="000000"/>
          <w:spacing w:val="0"/>
          <w:w w:val="100"/>
          <w:position w:val="0"/>
        </w:rPr>
        <w:t>金融负债的分类和后续计量</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本公司将金融负债分类为以公允价值计量且其变动计入当期损益的金融负债、金融资产转移不符合终止确认条件或继 续涉入被转移金融资产所形成的金融负债、财务担保合同及以摊余成本计量的金融负债。</w:t>
      </w:r>
    </w:p>
    <w:p>
      <w:pPr>
        <w:pStyle w:val="Style34"/>
        <w:keepNext w:val="0"/>
        <w:keepLines w:val="0"/>
        <w:widowControl w:val="0"/>
        <w:shd w:val="clear" w:color="auto" w:fill="auto"/>
        <w:bidi w:val="0"/>
        <w:spacing w:before="0" w:after="0"/>
        <w:ind w:left="0" w:right="0" w:firstLine="440"/>
        <w:jc w:val="both"/>
      </w:pPr>
      <w:bookmarkStart w:id="783" w:name="bookmark783"/>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以公允价值计量且其变动计入当期损益的金融负债</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rPr>
        <w:t>（</w:t>
      </w:r>
      <w:r>
        <w:rPr>
          <w:color w:val="000000"/>
          <w:spacing w:val="0"/>
          <w:w w:val="100"/>
          <w:position w:val="0"/>
        </w:rPr>
        <w:t>含属于金融负债的衍生工具</w:t>
      </w:r>
      <w:r>
        <w:rPr>
          <w:color w:val="000000"/>
          <w:spacing w:val="0"/>
          <w:w w:val="100"/>
          <w:position w:val="0"/>
        </w:rPr>
        <w:t>）</w:t>
      </w:r>
      <w:r>
        <w:rPr>
          <w:color w:val="000000"/>
          <w:spacing w:val="0"/>
          <w:w w:val="100"/>
          <w:position w:val="0"/>
        </w:rPr>
        <w:t>和指定为以公 允价值计量且其变动计入当期损益的金融负债。在非同一控制下的企业合并中，本公司作为购买方确认的或有对价形成金融 负债的，该金融负债应当按照以公允价值计量且其变动计入当期损益进行会计处理。</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以公允价值计量且其变动计入当期损益的金融负债在初始确认后以公允价值进行后续计量，产生的利得或损失计入当 期损益。</w:t>
      </w:r>
    </w:p>
    <w:p>
      <w:pPr>
        <w:pStyle w:val="Style34"/>
        <w:keepNext w:val="0"/>
        <w:keepLines w:val="0"/>
        <w:widowControl w:val="0"/>
        <w:shd w:val="clear" w:color="auto" w:fill="auto"/>
        <w:bidi w:val="0"/>
        <w:spacing w:before="0" w:after="1020" w:line="313" w:lineRule="exact"/>
        <w:ind w:left="0" w:right="0" w:firstLine="440"/>
        <w:jc w:val="both"/>
      </w:pPr>
      <w:r>
        <w:rPr>
          <w:color w:val="000000"/>
          <w:spacing w:val="0"/>
          <w:w w:val="100"/>
          <w:position w:val="0"/>
        </w:rPr>
        <w:t>因公司自身信用风险变动引起的指定为以公允价值计量且其变动计入当期损益的金融负债的公允价值变动金额计入其 他综合收益，除非该处理会造成或扩大损益中的会计错配。该金融负债的其他公允价值变动计入当期损益。终止确认时，将 之前计入其他综合收益的累计利得或损失从其他综合收益中转出，计入留存收益。</w:t>
      </w:r>
    </w:p>
    <w:p>
      <w:pPr>
        <w:pStyle w:val="Style17"/>
        <w:keepNext/>
        <w:keepLines/>
        <w:widowControl w:val="0"/>
        <w:shd w:val="clear" w:color="auto" w:fill="auto"/>
        <w:bidi w:val="0"/>
        <w:spacing w:before="0" w:after="0" w:line="240" w:lineRule="auto"/>
        <w:ind w:left="0" w:right="0" w:firstLine="0"/>
        <w:jc w:val="right"/>
        <w:rPr>
          <w:sz w:val="20"/>
          <w:szCs w:val="20"/>
        </w:rPr>
      </w:pPr>
      <w:bookmarkStart w:id="784" w:name="bookmark784"/>
      <w:bookmarkStart w:id="785" w:name="bookmark785"/>
      <w:bookmarkStart w:id="786" w:name="bookmark786"/>
      <w:r>
        <w:rPr>
          <w:rFonts w:ascii="Arial" w:eastAsia="Arial" w:hAnsi="Arial" w:cs="Arial"/>
          <w:color w:val="A2A2A2"/>
          <w:spacing w:val="0"/>
          <w:w w:val="100"/>
          <w:position w:val="0"/>
          <w:sz w:val="20"/>
          <w:szCs w:val="20"/>
        </w:rPr>
        <w:t>cninf^</w:t>
      </w:r>
      <w:bookmarkEnd w:id="784"/>
      <w:bookmarkEnd w:id="785"/>
      <w:bookmarkEnd w:id="786"/>
    </w:p>
    <w:p>
      <w:pPr>
        <w:pStyle w:val="Style20"/>
        <w:keepNext w:val="0"/>
        <w:keepLines w:val="0"/>
        <w:widowControl w:val="0"/>
        <w:shd w:val="clear" w:color="auto" w:fill="auto"/>
        <w:bidi w:val="0"/>
        <w:spacing w:before="0" w:after="100" w:line="240" w:lineRule="auto"/>
        <w:ind w:left="0" w:right="0" w:firstLine="0"/>
        <w:jc w:val="right"/>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388" w:right="1065" w:bottom="946" w:left="1100" w:header="0" w:footer="3" w:gutter="0"/>
          <w:cols w:space="720"/>
          <w:noEndnote/>
          <w:rtlGutter w:val="0"/>
          <w:docGrid w:linePitch="360"/>
        </w:sectPr>
      </w:pPr>
      <w:r>
        <w:rPr>
          <w:spacing w:val="0"/>
          <w:w w:val="100"/>
          <w:position w:val="0"/>
        </w:rPr>
        <w:t>巨潮资职</w:t>
      </w:r>
    </w:p>
    <w:p>
      <w:pPr>
        <w:pStyle w:val="Style34"/>
        <w:keepNext w:val="0"/>
        <w:keepLines w:val="0"/>
        <w:widowControl w:val="0"/>
        <w:shd w:val="clear" w:color="auto" w:fill="auto"/>
        <w:tabs>
          <w:tab w:pos="781" w:val="left"/>
        </w:tabs>
        <w:bidi w:val="0"/>
        <w:spacing w:before="0" w:after="0" w:line="314" w:lineRule="exact"/>
        <w:ind w:left="0" w:right="0" w:firstLine="440"/>
        <w:jc w:val="both"/>
      </w:pPr>
      <w:bookmarkStart w:id="787" w:name="bookmark787"/>
      <w:r>
        <w:rPr>
          <w:rFonts w:ascii="Times New Roman" w:eastAsia="Times New Roman" w:hAnsi="Times New Roman" w:cs="Times New Roman"/>
          <w:color w:val="000000"/>
          <w:spacing w:val="0"/>
          <w:w w:val="100"/>
          <w:position w:val="0"/>
        </w:rPr>
        <w:t>2</w:t>
      </w:r>
      <w:bookmarkEnd w:id="787"/>
      <w:r>
        <w:rPr>
          <w:rFonts w:ascii="Times New Roman" w:eastAsia="Times New Roman" w:hAnsi="Times New Roman" w:cs="Times New Roman"/>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该类金融负债按照本附注五</w:t>
      </w:r>
      <w:r>
        <w:rPr>
          <w:rFonts w:ascii="Times New Roman" w:eastAsia="Times New Roman" w:hAnsi="Times New Roman" w:cs="Times New Roman"/>
          <w:color w:val="000000"/>
          <w:spacing w:val="0"/>
          <w:w w:val="100"/>
          <w:position w:val="0"/>
        </w:rPr>
        <w:t>10</w:t>
      </w:r>
      <w:r>
        <w:rPr>
          <w:color w:val="000000"/>
          <w:spacing w:val="0"/>
          <w:w w:val="100"/>
          <w:position w:val="0"/>
        </w:rPr>
        <w:t>所述金融资产转移的会计政策确定的方法进行计量。</w:t>
      </w:r>
    </w:p>
    <w:p>
      <w:pPr>
        <w:pStyle w:val="Style34"/>
        <w:keepNext w:val="0"/>
        <w:keepLines w:val="0"/>
        <w:widowControl w:val="0"/>
        <w:shd w:val="clear" w:color="auto" w:fill="auto"/>
        <w:tabs>
          <w:tab w:pos="781" w:val="left"/>
        </w:tabs>
        <w:bidi w:val="0"/>
        <w:spacing w:before="0" w:after="0" w:line="314" w:lineRule="exact"/>
        <w:ind w:left="0" w:right="0" w:firstLine="440"/>
        <w:jc w:val="both"/>
      </w:pPr>
      <w:bookmarkStart w:id="788" w:name="bookmark788"/>
      <w:r>
        <w:rPr>
          <w:rFonts w:ascii="Times New Roman" w:eastAsia="Times New Roman" w:hAnsi="Times New Roman" w:cs="Times New Roman"/>
          <w:color w:val="000000"/>
          <w:spacing w:val="0"/>
          <w:w w:val="100"/>
          <w:position w:val="0"/>
        </w:rPr>
        <w:t>3</w:t>
      </w:r>
      <w:bookmarkEnd w:id="788"/>
      <w:r>
        <w:rPr>
          <w:rFonts w:ascii="Times New Roman" w:eastAsia="Times New Roman" w:hAnsi="Times New Roman" w:cs="Times New Roman"/>
          <w:color w:val="000000"/>
          <w:spacing w:val="0"/>
          <w:w w:val="100"/>
          <w:position w:val="0"/>
        </w:rPr>
        <w:t>）</w:t>
        <w:tab/>
      </w:r>
      <w:r>
        <w:rPr>
          <w:color w:val="000000"/>
          <w:spacing w:val="0"/>
          <w:w w:val="100"/>
          <w:position w:val="0"/>
        </w:rPr>
        <w:t>财务担保合同</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财务担保合同，是指当特定债务人到期不能按照最初或修改后的债务工具条款偿付债务时，要求本公司向蒙受损失的 合同持有人赔付特定金额的合同。</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 xml:space="preserve">情形的财务担保合同，在初始确认后按照下列两项金额之中的较高者进行后续计量：①按照本附注五 </w:t>
      </w:r>
      <w:r>
        <w:rPr>
          <w:rFonts w:ascii="Times New Roman" w:eastAsia="Times New Roman" w:hAnsi="Times New Roman" w:cs="Times New Roman"/>
          <w:color w:val="000000"/>
          <w:spacing w:val="0"/>
          <w:w w:val="100"/>
          <w:position w:val="0"/>
        </w:rPr>
        <w:t>10</w:t>
      </w:r>
      <w:r>
        <w:rPr>
          <w:color w:val="000000"/>
          <w:spacing w:val="0"/>
          <w:w w:val="100"/>
          <w:position w:val="0"/>
        </w:rPr>
        <w:t>所述金融工具的减值方法确定的损失准备金额;②初始确认金额扣除按照本附注五</w:t>
      </w:r>
      <w:r>
        <w:rPr>
          <w:rFonts w:ascii="Times New Roman" w:eastAsia="Times New Roman" w:hAnsi="Times New Roman" w:cs="Times New Roman"/>
          <w:color w:val="000000"/>
          <w:spacing w:val="0"/>
          <w:w w:val="100"/>
          <w:position w:val="0"/>
        </w:rPr>
        <w:t>39</w:t>
      </w:r>
      <w:r>
        <w:rPr>
          <w:color w:val="000000"/>
          <w:spacing w:val="0"/>
          <w:w w:val="100"/>
          <w:position w:val="0"/>
        </w:rPr>
        <w:t>的收入确认方法所确定的累计摊销额 后的余额。</w:t>
      </w:r>
    </w:p>
    <w:p>
      <w:pPr>
        <w:pStyle w:val="Style34"/>
        <w:keepNext w:val="0"/>
        <w:keepLines w:val="0"/>
        <w:widowControl w:val="0"/>
        <w:shd w:val="clear" w:color="auto" w:fill="auto"/>
        <w:tabs>
          <w:tab w:pos="781" w:val="left"/>
        </w:tabs>
        <w:bidi w:val="0"/>
        <w:spacing w:before="0" w:after="0" w:line="314" w:lineRule="exact"/>
        <w:ind w:left="0" w:right="0" w:firstLine="440"/>
        <w:jc w:val="both"/>
      </w:pPr>
      <w:bookmarkStart w:id="789" w:name="bookmark789"/>
      <w:r>
        <w:rPr>
          <w:rFonts w:ascii="Times New Roman" w:eastAsia="Times New Roman" w:hAnsi="Times New Roman" w:cs="Times New Roman"/>
          <w:color w:val="000000"/>
          <w:spacing w:val="0"/>
          <w:w w:val="100"/>
          <w:position w:val="0"/>
        </w:rPr>
        <w:t>4</w:t>
      </w:r>
      <w:bookmarkEnd w:id="789"/>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以摊余成本计量的金融负债</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除上述</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情形外，本公司将其余所有的金融负债分类为以摊余成本计量的金融负债。</w:t>
      </w:r>
    </w:p>
    <w:p>
      <w:pPr>
        <w:pStyle w:val="Style34"/>
        <w:keepNext w:val="0"/>
        <w:keepLines w:val="0"/>
        <w:widowControl w:val="0"/>
        <w:shd w:val="clear" w:color="auto" w:fill="auto"/>
        <w:bidi w:val="0"/>
        <w:spacing w:before="0" w:line="314" w:lineRule="exact"/>
        <w:ind w:left="0" w:right="0" w:firstLine="440"/>
        <w:jc w:val="both"/>
      </w:pPr>
      <w:r>
        <w:rPr>
          <w:color w:val="000000"/>
          <w:spacing w:val="0"/>
          <w:w w:val="100"/>
          <w:position w:val="0"/>
        </w:rPr>
        <w:t>该类金融负债在初始确认后采用实际利率法以摊余成本计量，产生的利得或损失在终止确认或在按照实际利率法摊销 时计入当期损益。</w:t>
      </w:r>
    </w:p>
    <w:p>
      <w:pPr>
        <w:pStyle w:val="Style34"/>
        <w:keepNext w:val="0"/>
        <w:keepLines w:val="0"/>
        <w:widowControl w:val="0"/>
        <w:shd w:val="clear" w:color="auto" w:fill="auto"/>
        <w:tabs>
          <w:tab w:pos="834" w:val="left"/>
        </w:tabs>
        <w:bidi w:val="0"/>
        <w:spacing w:before="0" w:after="0"/>
        <w:ind w:left="0" w:right="0" w:firstLine="440"/>
        <w:jc w:val="both"/>
      </w:pPr>
      <w:bookmarkStart w:id="790" w:name="bookmark790"/>
      <w:r>
        <w:rPr>
          <w:rFonts w:ascii="Times New Roman" w:eastAsia="Times New Roman" w:hAnsi="Times New Roman" w:cs="Times New Roman"/>
          <w:color w:val="000000"/>
          <w:spacing w:val="0"/>
          <w:w w:val="100"/>
          <w:position w:val="0"/>
        </w:rPr>
        <w:t>（</w:t>
      </w:r>
      <w:bookmarkEnd w:id="790"/>
      <w:r>
        <w:rPr>
          <w:rFonts w:ascii="Times New Roman" w:eastAsia="Times New Roman" w:hAnsi="Times New Roman" w:cs="Times New Roman"/>
          <w:color w:val="000000"/>
          <w:spacing w:val="0"/>
          <w:w w:val="100"/>
          <w:position w:val="0"/>
        </w:rPr>
        <w:t>4）</w:t>
        <w:tab/>
      </w:r>
      <w:r>
        <w:rPr>
          <w:color w:val="000000"/>
          <w:spacing w:val="0"/>
          <w:w w:val="100"/>
          <w:position w:val="0"/>
        </w:rPr>
        <w:t>权益工具</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权益工具是指能证明拥有本公司在扣除所有负债后的资产中的剩余权益的合同。本公司发行</w:t>
      </w:r>
      <w:r>
        <w:rPr>
          <w:rFonts w:ascii="Times New Roman" w:eastAsia="Times New Roman" w:hAnsi="Times New Roman" w:cs="Times New Roman"/>
          <w:color w:val="000000"/>
          <w:spacing w:val="0"/>
          <w:w w:val="100"/>
          <w:position w:val="0"/>
        </w:rPr>
        <w:t>（</w:t>
      </w:r>
      <w:r>
        <w:rPr>
          <w:color w:val="000000"/>
          <w:spacing w:val="0"/>
          <w:w w:val="100"/>
          <w:position w:val="0"/>
        </w:rPr>
        <w:t>含再融资）、回购、出售或 注销权益工具作为权益的变动处理。与权益性交易相关的交易费用从权益中扣减。本公司对权益工具持有方的各种分配</w:t>
      </w:r>
      <w:r>
        <w:rPr>
          <w:rFonts w:ascii="Times New Roman" w:eastAsia="Times New Roman" w:hAnsi="Times New Roman" w:cs="Times New Roman"/>
          <w:color w:val="000000"/>
          <w:spacing w:val="0"/>
          <w:w w:val="100"/>
          <w:position w:val="0"/>
        </w:rPr>
        <w:t>（</w:t>
      </w:r>
      <w:r>
        <w:rPr>
          <w:color w:val="000000"/>
          <w:spacing w:val="0"/>
          <w:w w:val="100"/>
          <w:position w:val="0"/>
        </w:rPr>
        <w:t>不 包括股票股利</w:t>
      </w:r>
      <w:r>
        <w:rPr>
          <w:rFonts w:ascii="Times New Roman" w:eastAsia="Times New Roman" w:hAnsi="Times New Roman" w:cs="Times New Roman"/>
          <w:color w:val="000000"/>
          <w:spacing w:val="0"/>
          <w:w w:val="100"/>
          <w:position w:val="0"/>
        </w:rPr>
        <w:t>）</w:t>
      </w:r>
      <w:r>
        <w:rPr>
          <w:color w:val="000000"/>
          <w:spacing w:val="0"/>
          <w:w w:val="100"/>
          <w:position w:val="0"/>
        </w:rPr>
        <w:t>，减少股东权益。本公司不确认权益工具的公允价值变动额。</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金融负债与权益工具的区分：</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金融负债，是指符合下列条件之一的负债：</w:t>
      </w:r>
    </w:p>
    <w:p>
      <w:pPr>
        <w:pStyle w:val="Style34"/>
        <w:keepNext w:val="0"/>
        <w:keepLines w:val="0"/>
        <w:widowControl w:val="0"/>
        <w:shd w:val="clear" w:color="auto" w:fill="auto"/>
        <w:tabs>
          <w:tab w:pos="762" w:val="left"/>
        </w:tabs>
        <w:bidi w:val="0"/>
        <w:spacing w:before="0" w:after="0" w:line="314" w:lineRule="exact"/>
        <w:ind w:left="0" w:right="0" w:firstLine="440"/>
        <w:jc w:val="both"/>
      </w:pPr>
      <w:bookmarkStart w:id="791" w:name="bookmark791"/>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w:t>
        <w:tab/>
      </w:r>
      <w:r>
        <w:rPr>
          <w:color w:val="000000"/>
          <w:spacing w:val="0"/>
          <w:w w:val="100"/>
          <w:position w:val="0"/>
        </w:rPr>
        <w:t>向其他方交付现金或其他金融资产的合同义务。</w:t>
      </w:r>
    </w:p>
    <w:p>
      <w:pPr>
        <w:pStyle w:val="Style34"/>
        <w:keepNext w:val="0"/>
        <w:keepLines w:val="0"/>
        <w:widowControl w:val="0"/>
        <w:shd w:val="clear" w:color="auto" w:fill="auto"/>
        <w:tabs>
          <w:tab w:pos="781" w:val="left"/>
        </w:tabs>
        <w:bidi w:val="0"/>
        <w:spacing w:before="0" w:after="0" w:line="314" w:lineRule="exact"/>
        <w:ind w:left="0" w:right="0" w:firstLine="440"/>
        <w:jc w:val="both"/>
      </w:pPr>
      <w:bookmarkStart w:id="792" w:name="bookmark792"/>
      <w:r>
        <w:rPr>
          <w:rFonts w:ascii="Times New Roman" w:eastAsia="Times New Roman" w:hAnsi="Times New Roman" w:cs="Times New Roman"/>
          <w:color w:val="000000"/>
          <w:spacing w:val="0"/>
          <w:w w:val="100"/>
          <w:position w:val="0"/>
        </w:rPr>
        <w:t>2</w:t>
      </w:r>
      <w:bookmarkEnd w:id="792"/>
      <w:r>
        <w:rPr>
          <w:rFonts w:ascii="Times New Roman" w:eastAsia="Times New Roman" w:hAnsi="Times New Roman" w:cs="Times New Roman"/>
          <w:color w:val="000000"/>
          <w:spacing w:val="0"/>
          <w:w w:val="100"/>
          <w:position w:val="0"/>
        </w:rPr>
        <w:t>）</w:t>
        <w:tab/>
      </w:r>
      <w:r>
        <w:rPr>
          <w:color w:val="000000"/>
          <w:spacing w:val="0"/>
          <w:w w:val="100"/>
          <w:position w:val="0"/>
        </w:rPr>
        <w:t>在潜在不利条件下，与其他方交换金融资产或金融负债的合同义务。</w:t>
      </w:r>
    </w:p>
    <w:p>
      <w:pPr>
        <w:pStyle w:val="Style34"/>
        <w:keepNext w:val="0"/>
        <w:keepLines w:val="0"/>
        <w:widowControl w:val="0"/>
        <w:shd w:val="clear" w:color="auto" w:fill="auto"/>
        <w:tabs>
          <w:tab w:pos="781" w:val="left"/>
        </w:tabs>
        <w:bidi w:val="0"/>
        <w:spacing w:before="0" w:after="0" w:line="314" w:lineRule="exact"/>
        <w:ind w:left="0" w:right="0" w:firstLine="440"/>
        <w:jc w:val="both"/>
      </w:pPr>
      <w:bookmarkStart w:id="793" w:name="bookmark793"/>
      <w:r>
        <w:rPr>
          <w:rFonts w:ascii="Times New Roman" w:eastAsia="Times New Roman" w:hAnsi="Times New Roman" w:cs="Times New Roman"/>
          <w:color w:val="000000"/>
          <w:spacing w:val="0"/>
          <w:w w:val="100"/>
          <w:position w:val="0"/>
        </w:rPr>
        <w:t>3</w:t>
      </w:r>
      <w:bookmarkEnd w:id="793"/>
      <w:r>
        <w:rPr>
          <w:rFonts w:ascii="Times New Roman" w:eastAsia="Times New Roman" w:hAnsi="Times New Roman" w:cs="Times New Roman"/>
          <w:color w:val="000000"/>
          <w:spacing w:val="0"/>
          <w:w w:val="100"/>
          <w:position w:val="0"/>
        </w:rPr>
        <w:t>）</w:t>
        <w:tab/>
      </w:r>
      <w:r>
        <w:rPr>
          <w:color w:val="000000"/>
          <w:spacing w:val="0"/>
          <w:w w:val="100"/>
          <w:position w:val="0"/>
        </w:rPr>
        <w:t>将来须用或可用企业自身权益工具进行结算的非衍生工具合同，且企业根据该合同将交付可变数量的自身权益工具。</w:t>
      </w:r>
    </w:p>
    <w:p>
      <w:pPr>
        <w:pStyle w:val="Style34"/>
        <w:keepNext w:val="0"/>
        <w:keepLines w:val="0"/>
        <w:widowControl w:val="0"/>
        <w:shd w:val="clear" w:color="auto" w:fill="auto"/>
        <w:tabs>
          <w:tab w:pos="759" w:val="left"/>
        </w:tabs>
        <w:bidi w:val="0"/>
        <w:spacing w:before="0" w:after="0" w:line="314" w:lineRule="exact"/>
        <w:ind w:left="0" w:right="0" w:firstLine="440"/>
        <w:jc w:val="both"/>
      </w:pPr>
      <w:bookmarkStart w:id="794" w:name="bookmark794"/>
      <w:r>
        <w:rPr>
          <w:rFonts w:ascii="Times New Roman" w:eastAsia="Times New Roman" w:hAnsi="Times New Roman" w:cs="Times New Roman"/>
          <w:color w:val="000000"/>
          <w:spacing w:val="0"/>
          <w:w w:val="100"/>
          <w:position w:val="0"/>
        </w:rPr>
        <w:t>4</w:t>
      </w:r>
      <w:bookmarkEnd w:id="794"/>
      <w:r>
        <w:rPr>
          <w:rFonts w:ascii="Times New Roman" w:eastAsia="Times New Roman" w:hAnsi="Times New Roman" w:cs="Times New Roman"/>
          <w:color w:val="000000"/>
          <w:spacing w:val="0"/>
          <w:w w:val="100"/>
          <w:position w:val="0"/>
        </w:rPr>
        <w:t>）</w:t>
        <w:tab/>
      </w:r>
      <w:r>
        <w:rPr>
          <w:color w:val="000000"/>
          <w:spacing w:val="0"/>
          <w:w w:val="100"/>
          <w:position w:val="0"/>
        </w:rPr>
        <w:t>将来须用或可用企业自身权益工具进行结算的衍生工具合同，但以固定数量的自身权益工具交换固定金额的现金或 其他金融资产的衍生工具合同除外。</w:t>
      </w:r>
    </w:p>
    <w:p>
      <w:pPr>
        <w:pStyle w:val="Style34"/>
        <w:keepNext w:val="0"/>
        <w:keepLines w:val="0"/>
        <w:widowControl w:val="0"/>
        <w:shd w:val="clear" w:color="auto" w:fill="auto"/>
        <w:bidi w:val="0"/>
        <w:spacing w:before="0" w:line="314" w:lineRule="exact"/>
        <w:ind w:left="0" w:right="0" w:firstLine="440"/>
        <w:jc w:val="both"/>
      </w:pPr>
      <w:r>
        <w:rPr>
          <w:color w:val="000000"/>
          <w:spacing w:val="0"/>
          <w:w w:val="100"/>
          <w:position w:val="0"/>
        </w:rPr>
        <w:t>如果本公司不能无条件地避免以交付现金或其他金融资产来履行一项合同义务，则该合同义务符合金融负债的定义。 如果一项金融工具须用或可用本公司自身权益工具进行结算，需要考虑用于结算该工具的本公司自身权益工具，是作为现金 或其他金融资产的替代品，还是为了使该工具持有方享有在发行方扣除所有负债后的资产中的剩余权益。如果是前者，该工 具是本公司的金融负债；如果是后者，该工具是本公司的权益工具。</w:t>
      </w:r>
    </w:p>
    <w:p>
      <w:pPr>
        <w:pStyle w:val="Style34"/>
        <w:keepNext w:val="0"/>
        <w:keepLines w:val="0"/>
        <w:widowControl w:val="0"/>
        <w:shd w:val="clear" w:color="auto" w:fill="auto"/>
        <w:tabs>
          <w:tab w:pos="834" w:val="left"/>
        </w:tabs>
        <w:bidi w:val="0"/>
        <w:spacing w:before="0" w:after="0"/>
        <w:ind w:left="0" w:right="0" w:firstLine="440"/>
        <w:jc w:val="both"/>
      </w:pPr>
      <w:bookmarkStart w:id="795" w:name="bookmark795"/>
      <w:r>
        <w:rPr>
          <w:rFonts w:ascii="Times New Roman" w:eastAsia="Times New Roman" w:hAnsi="Times New Roman" w:cs="Times New Roman"/>
          <w:color w:val="000000"/>
          <w:spacing w:val="0"/>
          <w:w w:val="100"/>
          <w:position w:val="0"/>
        </w:rPr>
        <w:t>（</w:t>
      </w:r>
      <w:bookmarkEnd w:id="795"/>
      <w:r>
        <w:rPr>
          <w:rFonts w:ascii="Times New Roman" w:eastAsia="Times New Roman" w:hAnsi="Times New Roman" w:cs="Times New Roman"/>
          <w:color w:val="000000"/>
          <w:spacing w:val="0"/>
          <w:w w:val="100"/>
          <w:position w:val="0"/>
        </w:rPr>
        <w:t>5）</w:t>
        <w:tab/>
      </w:r>
      <w:r>
        <w:rPr>
          <w:color w:val="000000"/>
          <w:spacing w:val="0"/>
          <w:w w:val="100"/>
          <w:position w:val="0"/>
        </w:rPr>
        <w:t>衍生工具及嵌入衍生工具</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衍生工具，包括远期外汇合约、货币汇率互换合同、利率互换合同及外汇期权合同等。衍生工具于初始确认时以公允 价值进行初始计量，并以公允价值进行后续计量。衍生工具的公允价值变动计入当期损益。</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嵌入衍生工具，是指嵌入到非衍生工具</w:t>
      </w:r>
      <w:r>
        <w:rPr>
          <w:rFonts w:ascii="Times New Roman" w:eastAsia="Times New Roman" w:hAnsi="Times New Roman" w:cs="Times New Roman"/>
          <w:color w:val="000000"/>
          <w:spacing w:val="0"/>
          <w:w w:val="100"/>
          <w:position w:val="0"/>
        </w:rPr>
        <w:t>（</w:t>
      </w:r>
      <w:r>
        <w:rPr>
          <w:color w:val="000000"/>
          <w:spacing w:val="0"/>
          <w:w w:val="100"/>
          <w:position w:val="0"/>
        </w:rPr>
        <w:t>即主合同</w:t>
      </w:r>
      <w:r>
        <w:rPr>
          <w:rFonts w:ascii="Times New Roman" w:eastAsia="Times New Roman" w:hAnsi="Times New Roman" w:cs="Times New Roman"/>
          <w:color w:val="000000"/>
          <w:spacing w:val="0"/>
          <w:w w:val="100"/>
          <w:position w:val="0"/>
        </w:rPr>
        <w:t>）</w:t>
      </w:r>
      <w:r>
        <w:rPr>
          <w:color w:val="000000"/>
          <w:spacing w:val="0"/>
          <w:w w:val="100"/>
          <w:position w:val="0"/>
        </w:rPr>
        <w:t>中的衍生工具。对于嵌入衍生工具与主合同构成的混合合同，若主合 同属于金融资产的，本公司不从该混合合同中分拆嵌入衍生工具，而将该混合合同作为一个整体适用本公司关于金融资产分 类的会计政策。若混合合同包含的主合同不属于金融资产，且同时符合下列条件的，本公司将嵌入衍生工具从混合合同中分 拆，作为单独的衍生工具处理：</w:t>
      </w:r>
    </w:p>
    <w:p>
      <w:pPr>
        <w:pStyle w:val="Style34"/>
        <w:keepNext w:val="0"/>
        <w:keepLines w:val="0"/>
        <w:widowControl w:val="0"/>
        <w:shd w:val="clear" w:color="auto" w:fill="auto"/>
        <w:tabs>
          <w:tab w:pos="762" w:val="left"/>
        </w:tabs>
        <w:bidi w:val="0"/>
        <w:spacing w:before="0" w:after="0" w:line="314" w:lineRule="exact"/>
        <w:ind w:left="0" w:right="0" w:firstLine="440"/>
        <w:jc w:val="both"/>
      </w:pPr>
      <w:bookmarkStart w:id="796" w:name="bookmark796"/>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w:t>
        <w:tab/>
      </w:r>
      <w:r>
        <w:rPr>
          <w:color w:val="000000"/>
          <w:spacing w:val="0"/>
          <w:w w:val="100"/>
          <w:position w:val="0"/>
        </w:rPr>
        <w:t>嵌入衍生工具的经济特征及风险与主合同的经济特征及风险不紧密相关。</w:t>
      </w:r>
    </w:p>
    <w:p>
      <w:pPr>
        <w:pStyle w:val="Style34"/>
        <w:keepNext w:val="0"/>
        <w:keepLines w:val="0"/>
        <w:widowControl w:val="0"/>
        <w:shd w:val="clear" w:color="auto" w:fill="auto"/>
        <w:tabs>
          <w:tab w:pos="781" w:val="left"/>
        </w:tabs>
        <w:bidi w:val="0"/>
        <w:spacing w:before="0" w:after="0" w:line="314" w:lineRule="exact"/>
        <w:ind w:left="0" w:right="0" w:firstLine="440"/>
        <w:jc w:val="both"/>
      </w:pPr>
      <w:bookmarkStart w:id="797" w:name="bookmark797"/>
      <w:r>
        <w:rPr>
          <w:rFonts w:ascii="Times New Roman" w:eastAsia="Times New Roman" w:hAnsi="Times New Roman" w:cs="Times New Roman"/>
          <w:color w:val="000000"/>
          <w:spacing w:val="0"/>
          <w:w w:val="100"/>
          <w:position w:val="0"/>
        </w:rPr>
        <w:t>2</w:t>
      </w:r>
      <w:bookmarkEnd w:id="797"/>
      <w:r>
        <w:rPr>
          <w:rFonts w:ascii="Times New Roman" w:eastAsia="Times New Roman" w:hAnsi="Times New Roman" w:cs="Times New Roman"/>
          <w:color w:val="000000"/>
          <w:spacing w:val="0"/>
          <w:w w:val="100"/>
          <w:position w:val="0"/>
        </w:rPr>
        <w:t>）</w:t>
        <w:tab/>
      </w:r>
      <w:r>
        <w:rPr>
          <w:color w:val="000000"/>
          <w:spacing w:val="0"/>
          <w:w w:val="100"/>
          <w:position w:val="0"/>
        </w:rPr>
        <w:t>与该嵌入衍生工具具有相同条款的单独工具符合衍生工具的定义。</w:t>
      </w:r>
    </w:p>
    <w:p>
      <w:pPr>
        <w:pStyle w:val="Style34"/>
        <w:keepNext w:val="0"/>
        <w:keepLines w:val="0"/>
        <w:widowControl w:val="0"/>
        <w:shd w:val="clear" w:color="auto" w:fill="auto"/>
        <w:tabs>
          <w:tab w:pos="781" w:val="left"/>
        </w:tabs>
        <w:bidi w:val="0"/>
        <w:spacing w:before="0" w:after="0" w:line="314" w:lineRule="exact"/>
        <w:ind w:left="0" w:right="0" w:firstLine="440"/>
        <w:jc w:val="both"/>
      </w:pPr>
      <w:bookmarkStart w:id="798" w:name="bookmark798"/>
      <w:r>
        <w:rPr>
          <w:rFonts w:ascii="Times New Roman" w:eastAsia="Times New Roman" w:hAnsi="Times New Roman" w:cs="Times New Roman"/>
          <w:color w:val="000000"/>
          <w:spacing w:val="0"/>
          <w:w w:val="100"/>
          <w:position w:val="0"/>
        </w:rPr>
        <w:t>3</w:t>
      </w:r>
      <w:bookmarkEnd w:id="798"/>
      <w:r>
        <w:rPr>
          <w:rFonts w:ascii="Times New Roman" w:eastAsia="Times New Roman" w:hAnsi="Times New Roman" w:cs="Times New Roman"/>
          <w:color w:val="000000"/>
          <w:spacing w:val="0"/>
          <w:w w:val="100"/>
          <w:position w:val="0"/>
        </w:rPr>
        <w:t>）</w:t>
        <w:tab/>
      </w:r>
      <w:r>
        <w:rPr>
          <w:color w:val="000000"/>
          <w:spacing w:val="0"/>
          <w:w w:val="100"/>
          <w:position w:val="0"/>
        </w:rPr>
        <w:t>该混合合同不是以公允价值计量且其变动计入当期损益进行会计处理。</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嵌入衍生工具从混合合同中分拆的，本公司按照适用的会计准则规定对混合合同的主合同进行会计处理。本公司无法 根据嵌入衍生工具的条款和条件对嵌入衍生工具的公允价值进行可靠计量的，该嵌入衍生工具的公允价值根据混合合同公允 价值和主合同公允价值之间的差额确定。使用了上述方法后，该嵌入衍生工具在取得日或后续资产负债表日的公允价值仍然 无法单独计量的，本公司将该混合合同整体指定为以公允价值计量且其变动计入当期损益的金融工具。</w:t>
      </w:r>
    </w:p>
    <w:p>
      <w:pPr>
        <w:pStyle w:val="Style34"/>
        <w:keepNext w:val="0"/>
        <w:keepLines w:val="0"/>
        <w:widowControl w:val="0"/>
        <w:numPr>
          <w:ilvl w:val="0"/>
          <w:numId w:val="29"/>
        </w:numPr>
        <w:shd w:val="clear" w:color="auto" w:fill="auto"/>
        <w:bidi w:val="0"/>
        <w:spacing w:before="0" w:after="0" w:line="314" w:lineRule="exact"/>
        <w:ind w:left="0" w:right="0" w:firstLine="440"/>
        <w:jc w:val="both"/>
      </w:pPr>
      <w:bookmarkStart w:id="799" w:name="bookmark799"/>
      <w:bookmarkEnd w:id="799"/>
      <w:r>
        <w:rPr>
          <w:color w:val="000000"/>
          <w:spacing w:val="0"/>
          <w:w w:val="100"/>
          <w:position w:val="0"/>
        </w:rPr>
        <w:t>金融资产转移的确认依据及计量方法</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金融资产转移，是指本公司将金融资产</w:t>
      </w:r>
      <w:r>
        <w:rPr>
          <w:rFonts w:ascii="Times New Roman" w:eastAsia="Times New Roman" w:hAnsi="Times New Roman" w:cs="Times New Roman"/>
          <w:color w:val="000000"/>
          <w:spacing w:val="0"/>
          <w:w w:val="100"/>
          <w:position w:val="0"/>
        </w:rPr>
        <w:t>（</w:t>
      </w:r>
      <w:r>
        <w:rPr>
          <w:color w:val="000000"/>
          <w:spacing w:val="0"/>
          <w:w w:val="100"/>
          <w:position w:val="0"/>
        </w:rPr>
        <w:t>或其现金流量</w:t>
      </w:r>
      <w:r>
        <w:rPr>
          <w:rFonts w:ascii="Times New Roman" w:eastAsia="Times New Roman" w:hAnsi="Times New Roman" w:cs="Times New Roman"/>
          <w:color w:val="000000"/>
          <w:spacing w:val="0"/>
          <w:w w:val="100"/>
          <w:position w:val="0"/>
        </w:rPr>
        <w:t>）</w:t>
      </w:r>
      <w:r>
        <w:rPr>
          <w:color w:val="000000"/>
          <w:spacing w:val="0"/>
          <w:w w:val="100"/>
          <w:position w:val="0"/>
        </w:rPr>
        <w:t>让与或交付该金融资产发行方以外的另一方。金融资产终止确认， 是指本公司将之前确认的金融资产从其资产负债表中予以转出。</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满足下列条件之一的金融资产，本公司予以终止确认：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收取该金融资产现金流量的合同权利终止；</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该金融资产已 转移，且将金融资产所有权上几乎所有的风险和报酬转移给转入方；</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该金融资产已转移，虽然本公司既没有转移也没有 保留金融资产所有权上几乎所有的风险和报酬，但是放弃了对该金融资产的控制。</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若本公司既没有转移也没有保留金融资产所有权上几乎所有的风险和报酬，且保留了对该金融资产的控制的，则按照 继续涉入被转移金融资产的程度继续确认有关金融资产，并相应确认有关负债。继续涉入所转移金融资产的程度，是指该金 融资产价值变动使企业面临的风险水平。</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被转移金融资产在终止确认日的账 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因转移金融资产而收到的对价，与原直接计入其他综合收益的公允价值变动累计额中对应终止确认部分的金额 之和。金融资产部分转移满足终止确认条件的，将所转移金融资产整体的账面价值，在终止确认部分和未终止确认部分之间， 按照各自的相对公允价值进行分摊，并将下列两项金额的差额计入当期损益：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终止确认部分在终止确认日的账面价值；</w:t>
      </w:r>
      <w:r>
        <w:rPr>
          <w:rFonts w:ascii="Times New Roman" w:eastAsia="Times New Roman" w:hAnsi="Times New Roman" w:cs="Times New Roman"/>
          <w:color w:val="000000"/>
          <w:spacing w:val="0"/>
          <w:w w:val="100"/>
          <w:position w:val="0"/>
        </w:rPr>
        <w:t xml:space="preserve">（2） </w:t>
      </w:r>
      <w:r>
        <w:rPr>
          <w:color w:val="000000"/>
          <w:spacing w:val="0"/>
          <w:w w:val="100"/>
          <w:position w:val="0"/>
        </w:rPr>
        <w:t>终止确认部分收到的对价，与原直接计入其他综合收益的公允价值变动累计额中对应终止确认部分的金额之和。对于本公司 指定为以公允价值计量且其变动计入其他综合收益的非交易性权益工具，整体或部分转移满足终止确认条件的，按上述方法 计算的差额计入留存收益。</w:t>
      </w:r>
    </w:p>
    <w:p>
      <w:pPr>
        <w:pStyle w:val="Style34"/>
        <w:keepNext w:val="0"/>
        <w:keepLines w:val="0"/>
        <w:widowControl w:val="0"/>
        <w:numPr>
          <w:ilvl w:val="0"/>
          <w:numId w:val="29"/>
        </w:numPr>
        <w:shd w:val="clear" w:color="auto" w:fill="auto"/>
        <w:tabs>
          <w:tab w:pos="654" w:val="left"/>
        </w:tabs>
        <w:bidi w:val="0"/>
        <w:spacing w:before="0" w:after="0"/>
        <w:ind w:left="0" w:right="0"/>
        <w:jc w:val="both"/>
      </w:pPr>
      <w:bookmarkStart w:id="800" w:name="bookmark800"/>
      <w:bookmarkEnd w:id="800"/>
      <w:r>
        <w:rPr>
          <w:color w:val="000000"/>
          <w:spacing w:val="0"/>
          <w:w w:val="100"/>
          <w:position w:val="0"/>
        </w:rPr>
        <w:t>金融负债终止确认条件</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w:t>
      </w:r>
      <w:r>
        <w:rPr>
          <w:rFonts w:ascii="Times New Roman" w:eastAsia="Times New Roman" w:hAnsi="Times New Roman" w:cs="Times New Roman"/>
          <w:color w:val="000000"/>
          <w:spacing w:val="0"/>
          <w:w w:val="100"/>
          <w:position w:val="0"/>
        </w:rPr>
        <w:t>（</w:t>
      </w:r>
      <w:r>
        <w:rPr>
          <w:color w:val="000000"/>
          <w:spacing w:val="0"/>
          <w:w w:val="100"/>
          <w:position w:val="0"/>
        </w:rPr>
        <w:t>或其一部分</w:t>
      </w:r>
      <w:r>
        <w:rPr>
          <w:rFonts w:ascii="Times New Roman" w:eastAsia="Times New Roman" w:hAnsi="Times New Roman" w:cs="Times New Roman"/>
          <w:color w:val="000000"/>
          <w:spacing w:val="0"/>
          <w:w w:val="100"/>
          <w:position w:val="0"/>
        </w:rPr>
        <w:t>）</w:t>
      </w:r>
      <w:r>
        <w:rPr>
          <w:color w:val="000000"/>
          <w:spacing w:val="0"/>
          <w:w w:val="100"/>
          <w:position w:val="0"/>
        </w:rPr>
        <w:t>的现时义务已经解除的，本公司终止确认该金融负债</w:t>
      </w:r>
      <w:r>
        <w:rPr>
          <w:rFonts w:ascii="Times New Roman" w:eastAsia="Times New Roman" w:hAnsi="Times New Roman" w:cs="Times New Roman"/>
          <w:color w:val="000000"/>
          <w:spacing w:val="0"/>
          <w:w w:val="100"/>
          <w:position w:val="0"/>
        </w:rPr>
        <w:t>（</w:t>
      </w:r>
      <w:r>
        <w:rPr>
          <w:color w:val="000000"/>
          <w:spacing w:val="0"/>
          <w:w w:val="100"/>
          <w:position w:val="0"/>
        </w:rPr>
        <w:t>或该部分金融负债</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借入方</w:t>
      </w:r>
      <w:r>
        <w:rPr>
          <w:rFonts w:ascii="Times New Roman" w:eastAsia="Times New Roman" w:hAnsi="Times New Roman" w:cs="Times New Roman"/>
          <w:color w:val="000000"/>
          <w:spacing w:val="0"/>
          <w:w w:val="100"/>
          <w:position w:val="0"/>
        </w:rPr>
        <w:t>）</w:t>
      </w:r>
      <w:r>
        <w:rPr>
          <w:color w:val="000000"/>
          <w:spacing w:val="0"/>
          <w:w w:val="100"/>
          <w:position w:val="0"/>
        </w:rPr>
        <w:t>与借 出方之间签订协议，以承担新金融负债方式替换原金融负债，且新金融负债与原金融负债的合同条款实质上不同的，终止确 认原金融负债，同时确认一项新金融负债。本公司对原金融负债</w:t>
      </w:r>
      <w:r>
        <w:rPr>
          <w:rFonts w:ascii="Times New Roman" w:eastAsia="Times New Roman" w:hAnsi="Times New Roman" w:cs="Times New Roman"/>
          <w:color w:val="000000"/>
          <w:spacing w:val="0"/>
          <w:w w:val="100"/>
          <w:position w:val="0"/>
        </w:rPr>
        <w:t>（</w:t>
      </w:r>
      <w:r>
        <w:rPr>
          <w:color w:val="000000"/>
          <w:spacing w:val="0"/>
          <w:w w:val="100"/>
          <w:position w:val="0"/>
        </w:rPr>
        <w:t>或其一部分</w:t>
      </w:r>
      <w:r>
        <w:rPr>
          <w:rFonts w:ascii="Times New Roman" w:eastAsia="Times New Roman" w:hAnsi="Times New Roman" w:cs="Times New Roman"/>
          <w:color w:val="000000"/>
          <w:spacing w:val="0"/>
          <w:w w:val="100"/>
          <w:position w:val="0"/>
        </w:rPr>
        <w:t>）</w:t>
      </w:r>
      <w:r>
        <w:rPr>
          <w:color w:val="000000"/>
          <w:spacing w:val="0"/>
          <w:w w:val="100"/>
          <w:position w:val="0"/>
        </w:rPr>
        <w:t>的合同条款做出实质性修改的，终止确认原金 融负债，同时按照修改后的条款确认一项新金融负债。</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金融负债</w:t>
      </w:r>
      <w:r>
        <w:rPr>
          <w:rFonts w:ascii="Times New Roman" w:eastAsia="Times New Roman" w:hAnsi="Times New Roman" w:cs="Times New Roman"/>
          <w:color w:val="000000"/>
          <w:spacing w:val="0"/>
          <w:w w:val="100"/>
          <w:position w:val="0"/>
        </w:rPr>
        <w:t>（</w:t>
      </w:r>
      <w:r>
        <w:rPr>
          <w:color w:val="000000"/>
          <w:spacing w:val="0"/>
          <w:w w:val="100"/>
          <w:position w:val="0"/>
        </w:rPr>
        <w:t>或其一部分</w:t>
      </w:r>
      <w:r>
        <w:rPr>
          <w:rFonts w:ascii="Times New Roman" w:eastAsia="Times New Roman" w:hAnsi="Times New Roman" w:cs="Times New Roman"/>
          <w:color w:val="000000"/>
          <w:spacing w:val="0"/>
          <w:w w:val="100"/>
          <w:position w:val="0"/>
        </w:rPr>
        <w:t>）</w:t>
      </w:r>
      <w:r>
        <w:rPr>
          <w:color w:val="000000"/>
          <w:spacing w:val="0"/>
          <w:w w:val="100"/>
          <w:position w:val="0"/>
        </w:rPr>
        <w:t>终止确认的，本公司将其账面价值与支付的对价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包括转出的非现金资产或承担的负债</w:t>
      </w:r>
      <w:r>
        <w:rPr>
          <w:rFonts w:ascii="Times New Roman" w:eastAsia="Times New Roman" w:hAnsi="Times New Roman" w:cs="Times New Roman"/>
          <w:color w:val="000000"/>
          <w:spacing w:val="0"/>
          <w:w w:val="100"/>
          <w:position w:val="0"/>
        </w:rPr>
        <w:t>）</w:t>
      </w:r>
      <w:r>
        <w:rPr>
          <w:color w:val="000000"/>
          <w:spacing w:val="0"/>
          <w:w w:val="100"/>
          <w:position w:val="0"/>
        </w:rPr>
        <w:t>之间的差 额，计入当期损益。本公司回购金融负债一部分的，按照继续确认部分和终止确认部分在回购日各自的公允价值占整体公允 价值的比例，对该金融负债整体的账面价值进行分配。分配给终止确认部分的账面价值与支付的对价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 产或承担的负债</w:t>
      </w:r>
      <w:r>
        <w:rPr>
          <w:rFonts w:ascii="Times New Roman" w:eastAsia="Times New Roman" w:hAnsi="Times New Roman" w:cs="Times New Roman"/>
          <w:color w:val="000000"/>
          <w:spacing w:val="0"/>
          <w:w w:val="100"/>
          <w:position w:val="0"/>
        </w:rPr>
        <w:t>）</w:t>
      </w:r>
      <w:r>
        <w:rPr>
          <w:color w:val="000000"/>
          <w:spacing w:val="0"/>
          <w:w w:val="100"/>
          <w:position w:val="0"/>
        </w:rPr>
        <w:t>之间的差额，计入当期损益。</w:t>
      </w:r>
    </w:p>
    <w:p>
      <w:pPr>
        <w:pStyle w:val="Style34"/>
        <w:keepNext w:val="0"/>
        <w:keepLines w:val="0"/>
        <w:widowControl w:val="0"/>
        <w:numPr>
          <w:ilvl w:val="0"/>
          <w:numId w:val="29"/>
        </w:numPr>
        <w:shd w:val="clear" w:color="auto" w:fill="auto"/>
        <w:tabs>
          <w:tab w:pos="659" w:val="left"/>
        </w:tabs>
        <w:bidi w:val="0"/>
        <w:spacing w:before="0" w:after="0"/>
        <w:ind w:left="0" w:right="0"/>
        <w:jc w:val="both"/>
      </w:pPr>
      <w:bookmarkStart w:id="801" w:name="bookmark801"/>
      <w:bookmarkEnd w:id="801"/>
      <w:r>
        <w:rPr>
          <w:color w:val="000000"/>
          <w:spacing w:val="0"/>
          <w:w w:val="100"/>
          <w:position w:val="0"/>
        </w:rPr>
        <w:t>金融工具公允价值的确定</w:t>
      </w:r>
    </w:p>
    <w:p>
      <w:pPr>
        <w:pStyle w:val="Style34"/>
        <w:keepNext w:val="0"/>
        <w:keepLines w:val="0"/>
        <w:widowControl w:val="0"/>
        <w:shd w:val="clear" w:color="auto" w:fill="auto"/>
        <w:bidi w:val="0"/>
        <w:spacing w:before="0" w:line="313" w:lineRule="exact"/>
        <w:ind w:left="0" w:right="0"/>
        <w:jc w:val="both"/>
      </w:pPr>
      <w:r>
        <w:rPr>
          <w:color w:val="000000"/>
          <w:spacing w:val="0"/>
          <w:w w:val="100"/>
          <w:position w:val="0"/>
        </w:rPr>
        <w:t>金融资产和金融负债的公允价值确定方法见本附注五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4"/>
        <w:keepNext w:val="0"/>
        <w:keepLines w:val="0"/>
        <w:widowControl w:val="0"/>
        <w:numPr>
          <w:ilvl w:val="0"/>
          <w:numId w:val="29"/>
        </w:numPr>
        <w:shd w:val="clear" w:color="auto" w:fill="auto"/>
        <w:tabs>
          <w:tab w:pos="659" w:val="left"/>
        </w:tabs>
        <w:bidi w:val="0"/>
        <w:spacing w:before="0" w:after="0"/>
        <w:ind w:left="0" w:right="0"/>
        <w:jc w:val="both"/>
      </w:pPr>
      <w:bookmarkStart w:id="802" w:name="bookmark802"/>
      <w:bookmarkEnd w:id="802"/>
      <w:r>
        <w:rPr>
          <w:color w:val="000000"/>
          <w:spacing w:val="0"/>
          <w:w w:val="100"/>
          <w:position w:val="0"/>
        </w:rPr>
        <w:t>金融工具的减值</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本公司以预期信用损失为基础，对以摊余成本计量的金融资产、合同资产、以公允价值计量且其变动计入其他综合收 益的债务工具投资、租赁应收款以及本附注附注五</w:t>
      </w:r>
      <w:r>
        <w:rPr>
          <w:rFonts w:ascii="Times New Roman" w:eastAsia="Times New Roman" w:hAnsi="Times New Roman" w:cs="Times New Roman"/>
          <w:color w:val="000000"/>
          <w:spacing w:val="0"/>
          <w:w w:val="100"/>
          <w:position w:val="0"/>
        </w:rPr>
        <w:t>10</w:t>
      </w:r>
      <w:r>
        <w:rPr>
          <w:color w:val="000000"/>
          <w:spacing w:val="0"/>
          <w:w w:val="100"/>
          <w:position w:val="0"/>
        </w:rPr>
        <w:t>所述的财务担保合同进行减值处理并确认损失准备。预期信用损失，是 指以发生违约的风险为权重的金融工具信用损失的加权平均值。信用损失，是指本公司按照原实际利率折现的、根据合同应 收的所有合同现金流量与预期收取的所有现金流量之间的差额，即全部现金短缺的现值。</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对于购买或源生的已发生信用减值的金融资产，公司在资产负债表日仅将自初始确认后整个存续期内预期信用损失的 累计变动确认为损失准备。</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号——收入》规范的交易形成的应收款项或合同资产及租赁应收款，本公司运用简化计量 方法，按照相当于整个存续期内的预期信用损失金额计量损失准备。</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除上述计量方法以外的金融工具，本公司按照一般方法计量损失准备，在每个资产负债表日评估其信用风险自初始确 认后是否已经显著增加。如果信用风险自初始确认后已显著增加，公司按照整个存续期内预期信用损失的金额计量损失准备； 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个月内预期信用损失的金额计量损失准备。</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整个存续期预期信用损失，是指因金融工具整个预计存续期内所有可能发生的违约事件而导致的预期信用损失。未来 </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w:t>
      </w:r>
      <w:r>
        <w:rPr>
          <w:rFonts w:ascii="Times New Roman" w:eastAsia="Times New Roman" w:hAnsi="Times New Roman" w:cs="Times New Roman"/>
          <w:color w:val="000000"/>
          <w:spacing w:val="0"/>
          <w:w w:val="100"/>
          <w:position w:val="0"/>
        </w:rPr>
        <w:t>（</w:t>
      </w:r>
      <w:r>
        <w:rPr>
          <w:color w:val="000000"/>
          <w:spacing w:val="0"/>
          <w:w w:val="100"/>
          <w:position w:val="0"/>
        </w:rPr>
        <w:t>若金融工具的预计存续期少于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个月，则为预计存续期</w:t>
      </w:r>
      <w:r>
        <w:rPr>
          <w:rFonts w:ascii="Times New Roman" w:eastAsia="Times New Roman" w:hAnsi="Times New Roman" w:cs="Times New Roman"/>
          <w:color w:val="000000"/>
          <w:spacing w:val="0"/>
          <w:w w:val="100"/>
          <w:position w:val="0"/>
        </w:rPr>
        <w:t>）</w:t>
      </w:r>
      <w:r>
        <w:rPr>
          <w:color w:val="000000"/>
          <w:spacing w:val="0"/>
          <w:w w:val="100"/>
          <w:position w:val="0"/>
        </w:rPr>
        <w:t>可能发 生的金融工具违约事件而导致的预期信用损失，是整个存续期预期信用损失的一部分。</w:t>
      </w:r>
    </w:p>
    <w:p>
      <w:pPr>
        <w:pStyle w:val="Style34"/>
        <w:keepNext w:val="0"/>
        <w:keepLines w:val="0"/>
        <w:widowControl w:val="0"/>
        <w:shd w:val="clear" w:color="auto" w:fill="auto"/>
        <w:bidi w:val="0"/>
        <w:spacing w:before="0" w:line="313" w:lineRule="exact"/>
        <w:ind w:left="0" w:right="0" w:firstLine="440"/>
        <w:jc w:val="both"/>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393" w:right="1064" w:bottom="1700" w:left="1102" w:header="0" w:footer="3" w:gutter="0"/>
          <w:cols w:space="720"/>
          <w:noEndnote/>
          <w:rtlGutter w:val="0"/>
          <w:docGrid w:linePitch="360"/>
        </w:sectPr>
      </w:pPr>
      <w:r>
        <w:rPr>
          <w:color w:val="000000"/>
          <w:spacing w:val="0"/>
          <w:w w:val="100"/>
          <w:position w:val="0"/>
        </w:rPr>
        <w:t>本公司考虑所有合理且有依据的信息，包括前瞻性信息，通过比较金融工具在资产负债表日发生违约的风险与在初始 确认日发生违约的风险，确定金融工具预计存续期内发生违约风险的相对变化，以评估金融工具的信用风险自初始确认后是 否已显著增加。对于在单项工具层面无法以合理成本获得关于信用风险显著增加的充分证据的金融工具，本公司以组合为基 础考虑评估信用风险是否显著增加。若本公司判断金融工具在资产负债表日只具有较低的信用风险，则假定该金融工具的信 用风险自初始确认后并未显著增加。</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本公司在每个资产负债表日重新计量预期信用损失，由此形成的损失准备的增加或转回金额，作为减值损失或利得计 入当期损益。对于以摊余成本计量的金融资产，损失准备抵减该金融资产在资产负债表中列示的账面价值；对于以公允价值 计量且其变动计入其他综合收益的债务工具投资，公司在其他综合收益中确认其损失准备，不抵减该金融资产在资产负债表 中列示的账面价值。</w:t>
      </w:r>
    </w:p>
    <w:p>
      <w:pPr>
        <w:pStyle w:val="Style34"/>
        <w:keepNext w:val="0"/>
        <w:keepLines w:val="0"/>
        <w:widowControl w:val="0"/>
        <w:numPr>
          <w:ilvl w:val="0"/>
          <w:numId w:val="29"/>
        </w:numPr>
        <w:shd w:val="clear" w:color="auto" w:fill="auto"/>
        <w:bidi w:val="0"/>
        <w:spacing w:before="0" w:after="0"/>
        <w:ind w:left="0" w:right="0" w:firstLine="400"/>
        <w:jc w:val="left"/>
      </w:pPr>
      <w:bookmarkStart w:id="803" w:name="bookmark803"/>
      <w:bookmarkEnd w:id="803"/>
      <w:r>
        <w:rPr>
          <w:color w:val="000000"/>
          <w:spacing w:val="0"/>
          <w:w w:val="100"/>
          <w:position w:val="0"/>
        </w:rPr>
        <w:t>金融资产和金融负债的抵销</w:t>
      </w:r>
    </w:p>
    <w:p>
      <w:pPr>
        <w:pStyle w:val="Style34"/>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当本公司具有抵销已确认金融资产和金融负债的法定权利，且目前可执行该种法定权利，同时本公司计划以净额结算 或同时变现该金融资产和清偿该金融负债时，金融资产和金融负债以相互抵销后的金额在资产负债表内列示。除此以外，金 融资产和金融负债在资产负债表内分别列示，不予相互抵销。</w:t>
      </w:r>
    </w:p>
    <w:p>
      <w:pPr>
        <w:pStyle w:val="Style38"/>
        <w:keepNext/>
        <w:keepLines/>
        <w:widowControl w:val="0"/>
        <w:shd w:val="clear" w:color="auto" w:fill="auto"/>
        <w:bidi w:val="0"/>
        <w:spacing w:before="0" w:after="2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04"/>
      <w:bookmarkEnd w:id="805"/>
      <w:bookmarkEnd w:id="807"/>
    </w:p>
    <w:p>
      <w:pPr>
        <w:pStyle w:val="Style34"/>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本公司按照本附注五</w:t>
      </w:r>
      <w:r>
        <w:rPr>
          <w:rFonts w:ascii="Times New Roman" w:eastAsia="Times New Roman" w:hAnsi="Times New Roman" w:cs="Times New Roman"/>
          <w:color w:val="000000"/>
          <w:spacing w:val="0"/>
          <w:w w:val="100"/>
          <w:position w:val="0"/>
        </w:rPr>
        <w:t>10</w:t>
      </w:r>
      <w:r>
        <w:rPr>
          <w:color w:val="000000"/>
          <w:spacing w:val="0"/>
          <w:w w:val="100"/>
          <w:position w:val="0"/>
        </w:rPr>
        <w:t>所述简化计量方法确定应收票据的预期信用损失并进行会计处理。在资产负债表日，本公司按 应收取的合同现金流量与预期收取的现金流量之间的差额的现值计量应收票据的信用损失。当单项应收票据无法以合理成本 评估预期信用损失的信息时，本公司根据信用风险特征将应收票据划分为若干组合，参考历史信用损失经验，结合当前状况 并考虑前瞻性信息，在组合基础上估计预期信用损失，确定组合的依据如下：</w:t>
      </w:r>
    </w:p>
    <w:tbl>
      <w:tblPr>
        <w:tblOverlap w:val="never"/>
        <w:jc w:val="left"/>
        <w:tblLayout w:type="fixed"/>
      </w:tblPr>
      <w:tblGrid>
        <w:gridCol w:w="3096"/>
        <w:gridCol w:w="5400"/>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承兑人为信用风险较低的银行</w:t>
            </w:r>
          </w:p>
        </w:tc>
      </w:tr>
      <w:tr>
        <w:trPr>
          <w:trHeight w:val="35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承兑人为信用风险较高的企业</w:t>
            </w:r>
          </w:p>
        </w:tc>
      </w:tr>
    </w:tbl>
    <w:p>
      <w:pPr>
        <w:widowControl w:val="0"/>
        <w:spacing w:after="39" w:line="1" w:lineRule="exact"/>
      </w:pPr>
    </w:p>
    <w:p>
      <w:pPr>
        <w:pStyle w:val="Style62"/>
        <w:keepNext w:val="0"/>
        <w:keepLines w:val="0"/>
        <w:widowControl w:val="0"/>
        <w:shd w:val="clear" w:color="auto" w:fill="auto"/>
        <w:bidi w:val="0"/>
        <w:spacing w:before="0" w:after="40" w:line="240" w:lineRule="auto"/>
        <w:ind w:left="0" w:right="0" w:firstLine="440"/>
        <w:jc w:val="left"/>
      </w:pPr>
      <w:r>
        <w:rPr>
          <w:b w:val="0"/>
          <w:bCs w:val="0"/>
          <w:color w:val="000000"/>
          <w:spacing w:val="0"/>
          <w:w w:val="100"/>
          <w:position w:val="0"/>
        </w:rPr>
        <w:t>银行承兑汇票组合预期信用损失计算方法:</w:t>
      </w:r>
    </w:p>
    <w:tbl>
      <w:tblPr>
        <w:tblOverlap w:val="never"/>
        <w:jc w:val="left"/>
        <w:tblLayout w:type="fixed"/>
      </w:tblPr>
      <w:tblGrid>
        <w:gridCol w:w="2837"/>
        <w:gridCol w:w="5722"/>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预期信用损失计算方法</w:t>
            </w:r>
          </w:p>
        </w:tc>
      </w:tr>
      <w:tr>
        <w:trPr>
          <w:trHeight w:val="662"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参考历史信用损失经验，结合当前状况并考虑前瞻性信息，通过违约风险 敞口和整个存续期预期信用损失率，计算预期信用损失。</w:t>
            </w:r>
          </w:p>
        </w:tc>
      </w:tr>
    </w:tbl>
    <w:p>
      <w:pPr>
        <w:widowControl w:val="0"/>
        <w:spacing w:after="39" w:line="1" w:lineRule="exact"/>
      </w:pPr>
    </w:p>
    <w:p>
      <w:pPr>
        <w:pStyle w:val="Style62"/>
        <w:keepNext w:val="0"/>
        <w:keepLines w:val="0"/>
        <w:widowControl w:val="0"/>
        <w:shd w:val="clear" w:color="auto" w:fill="auto"/>
        <w:bidi w:val="0"/>
        <w:spacing w:before="0" w:after="40" w:line="240" w:lineRule="auto"/>
        <w:ind w:left="0" w:right="0" w:firstLine="400"/>
        <w:jc w:val="left"/>
      </w:pPr>
      <w:r>
        <w:rPr>
          <w:b w:val="0"/>
          <w:bCs w:val="0"/>
          <w:color w:val="000000"/>
          <w:spacing w:val="0"/>
          <w:w w:val="100"/>
          <w:position w:val="0"/>
        </w:rPr>
        <w:t>商业承兑汇票组合预期信用损失计算方法:</w:t>
      </w:r>
    </w:p>
    <w:tbl>
      <w:tblPr>
        <w:tblOverlap w:val="never"/>
        <w:jc w:val="left"/>
        <w:tblLayout w:type="fixed"/>
      </w:tblPr>
      <w:tblGrid>
        <w:gridCol w:w="2837"/>
        <w:gridCol w:w="5722"/>
      </w:tblGrid>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预期信用损失计算方法</w:t>
            </w:r>
          </w:p>
        </w:tc>
      </w:tr>
      <w:tr>
        <w:trPr>
          <w:trHeight w:val="662"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参考历史信用损失经验，结合当前状况并考虑前瞻性信息，通过违约风险 敞口和整个存续期预期信用损失率，计算预期信用损失。</w:t>
            </w:r>
          </w:p>
        </w:tc>
      </w:tr>
    </w:tbl>
    <w:p>
      <w:pPr>
        <w:widowControl w:val="0"/>
        <w:spacing w:after="639" w:line="1" w:lineRule="exact"/>
      </w:pPr>
    </w:p>
    <w:p>
      <w:pPr>
        <w:pStyle w:val="Style38"/>
        <w:keepNext/>
        <w:keepLines/>
        <w:widowControl w:val="0"/>
        <w:shd w:val="clear" w:color="auto" w:fill="auto"/>
        <w:bidi w:val="0"/>
        <w:spacing w:before="0" w:after="2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08"/>
      <w:bookmarkEnd w:id="809"/>
      <w:bookmarkEnd w:id="811"/>
    </w:p>
    <w:p>
      <w:pPr>
        <w:pStyle w:val="Style34"/>
        <w:keepNext w:val="0"/>
        <w:keepLines w:val="0"/>
        <w:widowControl w:val="0"/>
        <w:shd w:val="clear" w:color="auto" w:fill="auto"/>
        <w:bidi w:val="0"/>
        <w:spacing w:before="0" w:after="0" w:line="310" w:lineRule="exact"/>
        <w:ind w:left="0" w:right="0" w:firstLine="400"/>
        <w:jc w:val="both"/>
      </w:pPr>
      <w:r>
        <w:rPr>
          <w:color w:val="000000"/>
          <w:spacing w:val="0"/>
          <w:w w:val="100"/>
          <w:position w:val="0"/>
        </w:rPr>
        <w:t>应收账款的预期信用损失的确定方法及会计处理方法</w:t>
      </w:r>
    </w:p>
    <w:p>
      <w:pPr>
        <w:pStyle w:val="Style34"/>
        <w:keepNext w:val="0"/>
        <w:keepLines w:val="0"/>
        <w:widowControl w:val="0"/>
        <w:shd w:val="clear" w:color="auto" w:fill="auto"/>
        <w:bidi w:val="0"/>
        <w:spacing w:before="0" w:after="40" w:line="310" w:lineRule="exact"/>
        <w:ind w:left="0" w:right="0" w:firstLine="440"/>
        <w:jc w:val="left"/>
      </w:pPr>
      <w:r>
        <w:rPr>
          <w:color w:val="000000"/>
          <w:spacing w:val="0"/>
          <w:w w:val="100"/>
          <w:position w:val="0"/>
        </w:rPr>
        <w:t>本公司按照本附注五</w:t>
      </w:r>
      <w:r>
        <w:rPr>
          <w:rFonts w:ascii="Times New Roman" w:eastAsia="Times New Roman" w:hAnsi="Times New Roman" w:cs="Times New Roman"/>
          <w:color w:val="000000"/>
          <w:spacing w:val="0"/>
          <w:w w:val="100"/>
          <w:position w:val="0"/>
        </w:rPr>
        <w:t>10</w:t>
      </w:r>
      <w:r>
        <w:rPr>
          <w:color w:val="000000"/>
          <w:spacing w:val="0"/>
          <w:w w:val="100"/>
          <w:position w:val="0"/>
        </w:rPr>
        <w:t>所述简化计量方法确定应收账款的预期信用损失并进行会计处理。在资产负债表日，本公司按 应收取的合同现金流量与预期收取的现金流量之间的差额的现值计量应收账款的信用损失。当单项应收账款无法以合理成本 评估预期信用损失的信息时，本公司根据信用风险特征将应收账款划分为若干组合，参考历史信用损失经验，结合当前状况 并考虑前瞻性信息，在组合基础上估计预期信用损失，确定组合的依据如下：</w:t>
      </w:r>
    </w:p>
    <w:tbl>
      <w:tblPr>
        <w:tblOverlap w:val="never"/>
        <w:jc w:val="left"/>
        <w:tblLayout w:type="fixed"/>
      </w:tblPr>
      <w:tblGrid>
        <w:gridCol w:w="3101"/>
        <w:gridCol w:w="5395"/>
      </w:tblGrid>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按账龄划分的具有类似信用风险特征的应收账款</w:t>
            </w:r>
          </w:p>
        </w:tc>
      </w:tr>
      <w:tr>
        <w:trPr>
          <w:trHeight w:val="35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集团合并范围内关联方组合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本公司合并范围内单位具有类似的信用风险特征</w:t>
            </w:r>
          </w:p>
        </w:tc>
      </w:tr>
    </w:tbl>
    <w:p>
      <w:pPr>
        <w:widowControl w:val="0"/>
        <w:spacing w:after="39" w:line="1" w:lineRule="exact"/>
      </w:pPr>
    </w:p>
    <w:p>
      <w:pPr>
        <w:pStyle w:val="Style62"/>
        <w:keepNext w:val="0"/>
        <w:keepLines w:val="0"/>
        <w:widowControl w:val="0"/>
        <w:shd w:val="clear" w:color="auto" w:fill="auto"/>
        <w:bidi w:val="0"/>
        <w:spacing w:before="0" w:after="40" w:line="240" w:lineRule="auto"/>
        <w:ind w:left="0" w:right="0" w:firstLine="400"/>
        <w:jc w:val="both"/>
      </w:pPr>
      <w:r>
        <w:rPr>
          <w:rFonts w:ascii="Times New Roman" w:eastAsia="Times New Roman" w:hAnsi="Times New Roman" w:cs="Times New Roman"/>
          <w:b w:val="0"/>
          <w:bCs w:val="0"/>
          <w:color w:val="000000"/>
          <w:spacing w:val="0"/>
          <w:w w:val="100"/>
          <w:position w:val="0"/>
        </w:rPr>
        <w:t xml:space="preserve">1 </w:t>
      </w:r>
      <w:r>
        <w:rPr>
          <w:b w:val="0"/>
          <w:bCs w:val="0"/>
          <w:color w:val="000000"/>
          <w:spacing w:val="0"/>
          <w:w w:val="100"/>
          <w:position w:val="0"/>
        </w:rPr>
        <w:t>.账龄组合应收账款按照账龄分析法计算预期信用损失，账龄与整个存续期预期信用损失率对照表:</w:t>
      </w:r>
    </w:p>
    <w:tbl>
      <w:tblPr>
        <w:tblOverlap w:val="never"/>
        <w:jc w:val="left"/>
        <w:tblLayout w:type="fixed"/>
      </w:tblPr>
      <w:tblGrid>
        <w:gridCol w:w="4517"/>
        <w:gridCol w:w="4042"/>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预期信用损失率</w:t>
            </w: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10.00</w:t>
            </w:r>
          </w:p>
        </w:tc>
      </w:tr>
      <w:tr>
        <w:trPr>
          <w:trHeight w:val="35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30.00</w:t>
            </w:r>
          </w:p>
        </w:tc>
      </w:tr>
    </w:tbl>
    <w:p>
      <w:pPr>
        <w:widowControl w:val="0"/>
        <w:spacing w:after="859" w:line="1" w:lineRule="exact"/>
      </w:pPr>
    </w:p>
    <w:p>
      <w:pPr>
        <w:widowControl w:val="0"/>
        <w:jc w:val="center"/>
        <w:rPr>
          <w:sz w:val="2"/>
          <w:szCs w:val="2"/>
        </w:rPr>
      </w:pPr>
      <w:r>
        <w:drawing>
          <wp:inline>
            <wp:extent cx="554990" cy="158750"/>
            <wp:docPr id="503" name="Picutre 503"/>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25"/>
                    <a:stretch/>
                  </pic:blipFill>
                  <pic:spPr>
                    <a:xfrm>
                      <a:ext cx="554990" cy="158750"/>
                    </a:xfrm>
                    <a:prstGeom prst="rect"/>
                  </pic:spPr>
                </pic:pic>
              </a:graphicData>
            </a:graphic>
          </wp:inline>
        </w:drawing>
      </w:r>
    </w:p>
    <w:p>
      <w:pPr>
        <w:pStyle w:val="Style77"/>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b w:val="0"/>
          <w:bCs w:val="0"/>
          <w:spacing w:val="0"/>
          <w:w w:val="100"/>
          <w:position w:val="0"/>
          <w:sz w:val="12"/>
          <w:szCs w:val="12"/>
        </w:rPr>
        <w:t>巨潮凝讯</w:t>
      </w:r>
    </w:p>
    <w:p>
      <w:pPr>
        <w:pStyle w:val="Style77"/>
        <w:keepNext w:val="0"/>
        <w:keepLines w:val="0"/>
        <w:widowControl w:val="0"/>
        <w:shd w:val="clear" w:color="auto" w:fill="auto"/>
        <w:bidi w:val="0"/>
        <w:spacing w:before="0" w:after="0" w:line="240" w:lineRule="auto"/>
        <w:ind w:left="0" w:right="0" w:firstLine="0"/>
        <w:jc w:val="center"/>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1383" w:right="1037" w:bottom="164" w:left="1104" w:header="0" w:footer="3" w:gutter="0"/>
          <w:cols w:space="720"/>
          <w:noEndnote/>
          <w:rtlGutter w:val="0"/>
          <w:docGrid w:linePitch="360"/>
        </w:sectPr>
      </w:pPr>
      <w:r>
        <w:rPr>
          <w:spacing w:val="0"/>
          <w:w w:val="100"/>
          <w:position w:val="0"/>
        </w:rPr>
        <w:t>wwwxninfo.com.cn</w:t>
      </w:r>
    </w:p>
    <w:tbl>
      <w:tblPr>
        <w:tblOverlap w:val="never"/>
        <w:jc w:val="left"/>
        <w:tblLayout w:type="fixed"/>
      </w:tblPr>
      <w:tblGrid>
        <w:gridCol w:w="4517"/>
        <w:gridCol w:w="4042"/>
      </w:tblGrid>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6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color w:val="000000"/>
          <w:spacing w:val="0"/>
          <w:w w:val="100"/>
          <w:position w:val="0"/>
        </w:rPr>
        <w:t xml:space="preserve">2 </w:t>
      </w:r>
      <w:r>
        <w:rPr>
          <w:b w:val="0"/>
          <w:bCs w:val="0"/>
          <w:color w:val="000000"/>
          <w:spacing w:val="0"/>
          <w:w w:val="100"/>
          <w:position w:val="0"/>
        </w:rPr>
        <w:t>.集团合并范围内关联方组合应收账款预期信用损失计算方法:</w:t>
      </w:r>
    </w:p>
    <w:tbl>
      <w:tblPr>
        <w:tblOverlap w:val="never"/>
        <w:jc w:val="left"/>
        <w:tblLayout w:type="fixed"/>
      </w:tblPr>
      <w:tblGrid>
        <w:gridCol w:w="2837"/>
        <w:gridCol w:w="5722"/>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预期信用损失计算方法</w:t>
            </w:r>
          </w:p>
        </w:tc>
      </w:tr>
      <w:tr>
        <w:trPr>
          <w:trHeight w:val="667"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集团合并范围内关联方组合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参考历史信用损失经验，结合当前状况并考虑前瞻性信息，通过违约风险 敞口和整个存续期预期信用损失率，计算预期信用损失。</w:t>
            </w:r>
          </w:p>
        </w:tc>
      </w:tr>
    </w:tbl>
    <w:p>
      <w:pPr>
        <w:widowControl w:val="0"/>
        <w:spacing w:after="619" w:line="1" w:lineRule="exact"/>
      </w:pPr>
    </w:p>
    <w:p>
      <w:pPr>
        <w:pStyle w:val="Style38"/>
        <w:keepNext/>
        <w:keepLines/>
        <w:widowControl w:val="0"/>
        <w:shd w:val="clear" w:color="auto" w:fill="auto"/>
        <w:tabs>
          <w:tab w:pos="468" w:val="left"/>
        </w:tabs>
        <w:bidi w:val="0"/>
        <w:spacing w:before="0" w:after="34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2"/>
      <w:bookmarkEnd w:id="813"/>
      <w:bookmarkEnd w:id="815"/>
    </w:p>
    <w:p>
      <w:pPr>
        <w:pStyle w:val="Style38"/>
        <w:keepNext/>
        <w:keepLines/>
        <w:widowControl w:val="0"/>
        <w:shd w:val="clear" w:color="auto" w:fill="auto"/>
        <w:tabs>
          <w:tab w:pos="468" w:val="left"/>
        </w:tabs>
        <w:bidi w:val="0"/>
        <w:spacing w:before="0" w:after="280" w:line="240" w:lineRule="auto"/>
        <w:ind w:left="0" w:right="0" w:firstLine="0"/>
        <w:jc w:val="left"/>
      </w:pPr>
      <w:bookmarkStart w:id="812" w:name="bookmark812"/>
      <w:bookmarkStart w:id="813" w:name="bookmark813"/>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12"/>
      <w:bookmarkEnd w:id="813"/>
      <w:bookmarkEnd w:id="817"/>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其他应收款的预期信用损失的确定方法及会计处理方法</w:t>
      </w:r>
    </w:p>
    <w:p>
      <w:pPr>
        <w:pStyle w:val="Style34"/>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18"/>
          <w:szCs w:val="18"/>
        </w:rPr>
        <w:t>本公司按照本附注五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所述的一般方法确定其他应收款的预期信用损失并进行会计处理。在资产负债表日，本公司按 应收取的合同现金流量与预期收取的现金流量之间的差额的现值计量其他应收款的信用损失。当单项其他应收款无法以合理 成本评估预期信用损失的信息时，本公司根据信用风险特征将其他应收款划分为若干组合，参考历史信用损失经验，结合当 前状况并考虑前瞻性信息，在组合基础上估计预期信用损失，确定组合的依据如下</w:t>
      </w:r>
      <w:r>
        <w:rPr>
          <w:color w:val="000000"/>
          <w:spacing w:val="0"/>
          <w:w w:val="100"/>
          <w:position w:val="0"/>
          <w:sz w:val="20"/>
          <w:szCs w:val="20"/>
        </w:rPr>
        <w:t>：</w:t>
      </w:r>
    </w:p>
    <w:tbl>
      <w:tblPr>
        <w:tblOverlap w:val="never"/>
        <w:jc w:val="left"/>
        <w:tblLayout w:type="fixed"/>
      </w:tblPr>
      <w:tblGrid>
        <w:gridCol w:w="3101"/>
        <w:gridCol w:w="5251"/>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按账龄划分的具有类似信用风险特征的其他应收款</w:t>
            </w:r>
          </w:p>
        </w:tc>
      </w:tr>
      <w:tr>
        <w:trPr>
          <w:trHeight w:val="35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集团合并范围内关联方组合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本公司合并范围内单位具有类似的信用风险特征</w:t>
            </w:r>
          </w:p>
        </w:tc>
      </w:tr>
    </w:tbl>
    <w:p>
      <w:pPr>
        <w:pStyle w:val="Style62"/>
        <w:keepNext w:val="0"/>
        <w:keepLines w:val="0"/>
        <w:widowControl w:val="0"/>
        <w:shd w:val="clear" w:color="auto" w:fill="auto"/>
        <w:bidi w:val="0"/>
        <w:spacing w:before="0" w:after="60" w:line="240" w:lineRule="auto"/>
        <w:ind w:left="0" w:right="0" w:firstLine="440"/>
        <w:jc w:val="both"/>
      </w:pPr>
      <w:r>
        <w:rPr>
          <w:rFonts w:ascii="Times New Roman" w:eastAsia="Times New Roman" w:hAnsi="Times New Roman" w:cs="Times New Roman"/>
          <w:b w:val="0"/>
          <w:bCs w:val="0"/>
          <w:color w:val="000000"/>
          <w:spacing w:val="0"/>
          <w:w w:val="100"/>
          <w:position w:val="0"/>
        </w:rPr>
        <w:t xml:space="preserve">1 </w:t>
      </w:r>
      <w:r>
        <w:rPr>
          <w:b w:val="0"/>
          <w:bCs w:val="0"/>
          <w:color w:val="000000"/>
          <w:spacing w:val="0"/>
          <w:w w:val="100"/>
          <w:position w:val="0"/>
        </w:rPr>
        <w:t xml:space="preserve">.账龄组合其他应收款按照账龄分析法计算预期信用损失，账龄与整个存续期预期信用损失率对照 </w:t>
      </w:r>
      <w:r>
        <w:rPr>
          <w:b w:val="0"/>
          <w:bCs w:val="0"/>
          <w:color w:val="000000"/>
          <w:spacing w:val="0"/>
          <w:w w:val="100"/>
          <w:position w:val="0"/>
        </w:rPr>
        <w:t>表:</w:t>
      </w:r>
    </w:p>
    <w:tbl>
      <w:tblPr>
        <w:tblOverlap w:val="never"/>
        <w:jc w:val="left"/>
        <w:tblLayout w:type="fixed"/>
      </w:tblPr>
      <w:tblGrid>
        <w:gridCol w:w="4517"/>
        <w:gridCol w:w="4042"/>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预期信用损失率</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10.00</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30.00</w:t>
            </w:r>
          </w:p>
        </w:tc>
      </w:tr>
      <w:tr>
        <w:trPr>
          <w:trHeight w:val="35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6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color w:val="000000"/>
          <w:spacing w:val="0"/>
          <w:w w:val="100"/>
          <w:position w:val="0"/>
        </w:rPr>
        <w:t xml:space="preserve">2 </w:t>
      </w:r>
      <w:r>
        <w:rPr>
          <w:b w:val="0"/>
          <w:bCs w:val="0"/>
          <w:color w:val="000000"/>
          <w:spacing w:val="0"/>
          <w:w w:val="100"/>
          <w:position w:val="0"/>
        </w:rPr>
        <w:t>.集团合并范围内关联方组合其他应收款预期信用损失计算方法:</w:t>
      </w:r>
    </w:p>
    <w:tbl>
      <w:tblPr>
        <w:tblOverlap w:val="never"/>
        <w:jc w:val="left"/>
        <w:tblLayout w:type="fixed"/>
      </w:tblPr>
      <w:tblGrid>
        <w:gridCol w:w="2515"/>
        <w:gridCol w:w="6043"/>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预期信用损失计算方法</w:t>
            </w:r>
          </w:p>
        </w:tc>
      </w:tr>
      <w:tr>
        <w:trPr>
          <w:trHeight w:val="667"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集团合并范围内关联方组合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参考历史信用损失经验，结合当前状况并考虑前瞻性信息，通过违约风险敞 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tc>
      </w:tr>
    </w:tbl>
    <w:p>
      <w:pPr>
        <w:widowControl w:val="0"/>
        <w:spacing w:after="339" w:line="1" w:lineRule="exact"/>
      </w:pPr>
    </w:p>
    <w:p>
      <w:pPr>
        <w:pStyle w:val="Style38"/>
        <w:keepNext/>
        <w:keepLines/>
        <w:widowControl w:val="0"/>
        <w:shd w:val="clear" w:color="auto" w:fill="auto"/>
        <w:bidi w:val="0"/>
        <w:spacing w:before="0" w:after="28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18"/>
      <w:bookmarkEnd w:id="819"/>
      <w:bookmarkEnd w:id="821"/>
    </w:p>
    <w:p>
      <w:pPr>
        <w:pStyle w:val="Style34"/>
        <w:keepNext w:val="0"/>
        <w:keepLines w:val="0"/>
        <w:widowControl w:val="0"/>
        <w:numPr>
          <w:ilvl w:val="0"/>
          <w:numId w:val="35"/>
        </w:numPr>
        <w:shd w:val="clear" w:color="auto" w:fill="auto"/>
        <w:tabs>
          <w:tab w:pos="747" w:val="left"/>
        </w:tabs>
        <w:bidi w:val="0"/>
        <w:spacing w:before="0" w:after="0" w:line="314" w:lineRule="exact"/>
        <w:ind w:left="0" w:right="0" w:firstLine="440"/>
        <w:jc w:val="both"/>
      </w:pPr>
      <w:bookmarkStart w:id="822" w:name="bookmark822"/>
      <w:bookmarkEnd w:id="822"/>
      <w:r>
        <w:rPr>
          <w:color w:val="000000"/>
          <w:spacing w:val="0"/>
          <w:w w:val="100"/>
          <w:position w:val="0"/>
        </w:rPr>
        <w:t>存货包括系统集成商品、合同履约成本。合同履约成本是公司在履行合同过程中，尚未达到收入确认时点前发生的 相关合同履约成本支出。</w:t>
      </w:r>
    </w:p>
    <w:p>
      <w:pPr>
        <w:pStyle w:val="Style34"/>
        <w:keepNext w:val="0"/>
        <w:keepLines w:val="0"/>
        <w:widowControl w:val="0"/>
        <w:numPr>
          <w:ilvl w:val="0"/>
          <w:numId w:val="35"/>
        </w:numPr>
        <w:shd w:val="clear" w:color="auto" w:fill="auto"/>
        <w:bidi w:val="0"/>
        <w:spacing w:before="0" w:after="0" w:line="314" w:lineRule="exact"/>
        <w:ind w:left="0" w:right="0" w:firstLine="440"/>
        <w:jc w:val="both"/>
      </w:pPr>
      <w:bookmarkStart w:id="823" w:name="bookmark823"/>
      <w:bookmarkEnd w:id="823"/>
      <w:r>
        <w:rPr>
          <w:color w:val="000000"/>
          <w:spacing w:val="0"/>
          <w:w w:val="100"/>
          <w:position w:val="0"/>
        </w:rPr>
        <w:t xml:space="preserve"> </w:t>
      </w:r>
      <w:r>
        <w:rPr>
          <w:color w:val="000000"/>
          <w:spacing w:val="0"/>
          <w:w w:val="100"/>
          <w:position w:val="0"/>
        </w:rPr>
        <w:t>企业取得存货按实际成本计量。</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外购存货的成本即为该存货的采购成本，通过进一步加工取得的存货成本由采购 成本和加工成本构成。</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债务重组取得债务人用以抵债的存货，以放弃债权的公允价值和使该存货达到当前位置和状态所 发生的可直接归属于该存货的相关税费为基础确定其入账价值。</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在非货币性资产交换具备商业实质和换入资产或换出资 产的公允价值能够可靠计量的前提下，非货币性资产交换换入的存货通常以换出资产的公允价值为基础确定其入账价值，除 非有确凿证据表明换入资产公允价值更加可靠；不满足上述前提的非货币性资产交换，以换出资产的账面价值和应支付的相 关税费作为换入存货的成本。</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以同一控制下的企业吸收合并方式取得的存货按被合并方的账面价值确定其入账价值；以 非同一控制下的企业吸收合并方式取得的存货按公允价值确定其入账价值。</w:t>
      </w:r>
    </w:p>
    <w:p>
      <w:pPr>
        <w:pStyle w:val="Style34"/>
        <w:keepNext w:val="0"/>
        <w:keepLines w:val="0"/>
        <w:widowControl w:val="0"/>
        <w:numPr>
          <w:ilvl w:val="0"/>
          <w:numId w:val="35"/>
        </w:numPr>
        <w:shd w:val="clear" w:color="auto" w:fill="auto"/>
        <w:tabs>
          <w:tab w:pos="774" w:val="left"/>
        </w:tabs>
        <w:bidi w:val="0"/>
        <w:spacing w:before="0" w:after="0" w:line="314" w:lineRule="exact"/>
        <w:ind w:left="0" w:right="0" w:firstLine="440"/>
        <w:jc w:val="both"/>
      </w:pPr>
      <w:bookmarkStart w:id="824" w:name="bookmark824"/>
      <w:bookmarkEnd w:id="824"/>
      <w:r>
        <w:rPr>
          <w:color w:val="000000"/>
          <w:spacing w:val="0"/>
          <w:w w:val="100"/>
          <w:position w:val="0"/>
        </w:rPr>
        <w:t>企业发出存货的成本计量采用个别计价法。</w:t>
      </w:r>
    </w:p>
    <w:p>
      <w:pPr>
        <w:pStyle w:val="Style34"/>
        <w:keepNext w:val="0"/>
        <w:keepLines w:val="0"/>
        <w:widowControl w:val="0"/>
        <w:numPr>
          <w:ilvl w:val="0"/>
          <w:numId w:val="37"/>
        </w:numPr>
        <w:shd w:val="clear" w:color="auto" w:fill="auto"/>
        <w:bidi w:val="0"/>
        <w:spacing w:before="0" w:after="0" w:line="315" w:lineRule="exact"/>
        <w:ind w:left="0" w:right="0" w:firstLine="440"/>
        <w:jc w:val="both"/>
      </w:pPr>
      <w:bookmarkStart w:id="825" w:name="bookmark825"/>
      <w:bookmarkEnd w:id="825"/>
      <w:r>
        <w:rPr>
          <w:color w:val="000000"/>
          <w:spacing w:val="0"/>
          <w:w w:val="100"/>
          <w:position w:val="0"/>
        </w:rPr>
        <w:t>资产负债表日，存货采用成本与可变现净值孰低计量。存货可变现净值是按存货的估计售价减去至完工时估计将要 发生的成本、估计的销售费用以及相关税费后的金额。在确定存货的可变现净值时，以取得的确凿证据为基础，同时考虑持 有存货的目的以及资产负债表日后事项的影响，除有明确证据表明资产负债表日市场价格异常外，本期期末存货项目的可变 现净值以资产负债表日市场价格为基础确定，其中：</w:t>
      </w:r>
    </w:p>
    <w:p>
      <w:pPr>
        <w:pStyle w:val="Style34"/>
        <w:keepNext w:val="0"/>
        <w:keepLines w:val="0"/>
        <w:widowControl w:val="0"/>
        <w:shd w:val="clear" w:color="auto" w:fill="auto"/>
        <w:tabs>
          <w:tab w:pos="773" w:val="left"/>
        </w:tabs>
        <w:bidi w:val="0"/>
        <w:spacing w:before="0" w:after="0" w:line="315" w:lineRule="exact"/>
        <w:ind w:left="0" w:right="0" w:firstLine="440"/>
        <w:jc w:val="both"/>
      </w:pPr>
      <w:bookmarkStart w:id="826" w:name="bookmark826"/>
      <w:r>
        <w:rPr>
          <w:rFonts w:ascii="Times New Roman" w:eastAsia="Times New Roman" w:hAnsi="Times New Roman" w:cs="Times New Roman"/>
          <w:color w:val="000000"/>
          <w:spacing w:val="0"/>
          <w:w w:val="100"/>
          <w:position w:val="0"/>
        </w:rPr>
        <w:t>（</w:t>
      </w:r>
      <w:bookmarkEnd w:id="826"/>
      <w:r>
        <w:rPr>
          <w:rFonts w:ascii="Times New Roman" w:eastAsia="Times New Roman" w:hAnsi="Times New Roman" w:cs="Times New Roman"/>
          <w:color w:val="000000"/>
          <w:spacing w:val="0"/>
          <w:w w:val="100"/>
          <w:position w:val="0"/>
        </w:rPr>
        <w:t>1）</w:t>
        <w:tab/>
      </w:r>
      <w:r>
        <w:rPr>
          <w:color w:val="000000"/>
          <w:spacing w:val="0"/>
          <w:w w:val="100"/>
          <w:position w:val="0"/>
        </w:rPr>
        <w:t>产成品、商品和用于出售的材料等直接用于出售的商品存货，在正常生产经营过程中以该存货的估计售价减去估计 的销售费用和相关税费后的金额确定其可变现净值；</w:t>
      </w:r>
    </w:p>
    <w:p>
      <w:pPr>
        <w:pStyle w:val="Style34"/>
        <w:keepNext w:val="0"/>
        <w:keepLines w:val="0"/>
        <w:widowControl w:val="0"/>
        <w:shd w:val="clear" w:color="auto" w:fill="auto"/>
        <w:tabs>
          <w:tab w:pos="787" w:val="left"/>
        </w:tabs>
        <w:bidi w:val="0"/>
        <w:spacing w:before="0" w:after="0" w:line="315" w:lineRule="exact"/>
        <w:ind w:left="0" w:right="0" w:firstLine="440"/>
        <w:jc w:val="both"/>
      </w:pPr>
      <w:bookmarkStart w:id="827" w:name="bookmark827"/>
      <w:r>
        <w:rPr>
          <w:rFonts w:ascii="Times New Roman" w:eastAsia="Times New Roman" w:hAnsi="Times New Roman" w:cs="Times New Roman"/>
          <w:color w:val="000000"/>
          <w:spacing w:val="0"/>
          <w:w w:val="100"/>
          <w:position w:val="0"/>
        </w:rPr>
        <w:t>（</w:t>
      </w:r>
      <w:bookmarkEnd w:id="827"/>
      <w:r>
        <w:rPr>
          <w:rFonts w:ascii="Times New Roman" w:eastAsia="Times New Roman" w:hAnsi="Times New Roman" w:cs="Times New Roman"/>
          <w:color w:val="000000"/>
          <w:spacing w:val="0"/>
          <w:w w:val="100"/>
          <w:position w:val="0"/>
        </w:rPr>
        <w:t>2）</w:t>
        <w:tab/>
      </w:r>
      <w:r>
        <w:rPr>
          <w:color w:val="000000"/>
          <w:spacing w:val="0"/>
          <w:w w:val="100"/>
          <w:position w:val="0"/>
        </w:rPr>
        <w:t>需要经过加工的材料存货，在正常生产经营过程中以所生产的产成品的估计售价减去至完工时估计将要发生的成 本、估计的销售费用和相关税费后的金额确定其可变现净值；资产负债表日，同一项存货中一部分有合同价格约定、其他 部分不存在合同价格的，分别确定其可变现净值，并与其对应的成本进行比较，分别确定存货跌价准备的计提或转回的金 额。</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期末按照单个存货项目计提存货跌价准备；但对于数量繁多、单价较低的存货，按照存货类别计提存货跌价准备；与 在同一地区生产和销售的产品系列相关、具有相同或者类似最终用途或目的，且难以与其他项目分开计量的存货，则合并计 提存货跌价准备。</w:t>
      </w:r>
    </w:p>
    <w:p>
      <w:pPr>
        <w:pStyle w:val="Style34"/>
        <w:keepNext w:val="0"/>
        <w:keepLines w:val="0"/>
        <w:widowControl w:val="0"/>
        <w:shd w:val="clear" w:color="auto" w:fill="auto"/>
        <w:bidi w:val="0"/>
        <w:spacing w:before="0" w:line="315" w:lineRule="exact"/>
        <w:ind w:left="0" w:right="0" w:firstLine="44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34"/>
        <w:keepNext w:val="0"/>
        <w:keepLines w:val="0"/>
        <w:widowControl w:val="0"/>
        <w:shd w:val="clear" w:color="auto" w:fill="auto"/>
        <w:bidi w:val="0"/>
        <w:spacing w:before="0" w:after="300"/>
        <w:ind w:left="0" w:right="0" w:firstLine="44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.存货的盘存制度为永续盘存制。</w:t>
      </w:r>
    </w:p>
    <w:p>
      <w:pPr>
        <w:pStyle w:val="Style38"/>
        <w:keepNext/>
        <w:keepLines/>
        <w:widowControl w:val="0"/>
        <w:shd w:val="clear" w:color="auto" w:fill="auto"/>
        <w:bidi w:val="0"/>
        <w:spacing w:before="0" w:after="300" w:line="240" w:lineRule="auto"/>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28"/>
      <w:bookmarkEnd w:id="829"/>
      <w:bookmarkEnd w:id="831"/>
    </w:p>
    <w:p>
      <w:pPr>
        <w:pStyle w:val="Style34"/>
        <w:keepNext w:val="0"/>
        <w:keepLines w:val="0"/>
        <w:widowControl w:val="0"/>
        <w:numPr>
          <w:ilvl w:val="0"/>
          <w:numId w:val="39"/>
        </w:numPr>
        <w:shd w:val="clear" w:color="auto" w:fill="auto"/>
        <w:tabs>
          <w:tab w:pos="706" w:val="left"/>
        </w:tabs>
        <w:bidi w:val="0"/>
        <w:spacing w:before="0" w:after="0" w:line="312" w:lineRule="exact"/>
        <w:ind w:left="0" w:right="0" w:firstLine="440"/>
        <w:jc w:val="both"/>
      </w:pPr>
      <w:bookmarkStart w:id="832" w:name="bookmark832"/>
      <w:bookmarkEnd w:id="832"/>
      <w:r>
        <w:rPr>
          <w:color w:val="000000"/>
          <w:spacing w:val="0"/>
          <w:w w:val="100"/>
          <w:position w:val="0"/>
        </w:rPr>
        <w:t>合同资产是指公司已向客户转让商品而有权收取对价的权利，且该权利取决于时间流逝之外的其他因素。公司拥有 的、无条件</w:t>
      </w:r>
      <w:r>
        <w:rPr>
          <w:rFonts w:ascii="Times New Roman" w:eastAsia="Times New Roman" w:hAnsi="Times New Roman" w:cs="Times New Roman"/>
          <w:color w:val="000000"/>
          <w:spacing w:val="0"/>
          <w:w w:val="100"/>
          <w:position w:val="0"/>
        </w:rPr>
        <w:t>（</w:t>
      </w:r>
      <w:r>
        <w:rPr>
          <w:color w:val="000000"/>
          <w:spacing w:val="0"/>
          <w:w w:val="100"/>
          <w:position w:val="0"/>
        </w:rPr>
        <w:t>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向客户收取对价的权利作为应收款项列示。</w:t>
      </w:r>
    </w:p>
    <w:p>
      <w:pPr>
        <w:pStyle w:val="Style34"/>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公司将同一合同下的合同资产和合同负债相互抵销后以净额列示。</w:t>
      </w:r>
    </w:p>
    <w:p>
      <w:pPr>
        <w:pStyle w:val="Style34"/>
        <w:keepNext w:val="0"/>
        <w:keepLines w:val="0"/>
        <w:widowControl w:val="0"/>
        <w:numPr>
          <w:ilvl w:val="0"/>
          <w:numId w:val="39"/>
        </w:numPr>
        <w:shd w:val="clear" w:color="auto" w:fill="auto"/>
        <w:tabs>
          <w:tab w:pos="747" w:val="left"/>
        </w:tabs>
        <w:bidi w:val="0"/>
        <w:spacing w:before="0" w:after="0" w:line="314" w:lineRule="exact"/>
        <w:ind w:left="0" w:right="0" w:firstLine="440"/>
        <w:jc w:val="both"/>
      </w:pPr>
      <w:bookmarkStart w:id="833" w:name="bookmark833"/>
      <w:bookmarkEnd w:id="833"/>
      <w:r>
        <w:rPr>
          <w:color w:val="000000"/>
          <w:spacing w:val="0"/>
          <w:w w:val="100"/>
          <w:position w:val="0"/>
        </w:rPr>
        <w:t>合同资产的减值</w:t>
      </w:r>
    </w:p>
    <w:p>
      <w:pPr>
        <w:pStyle w:val="Style34"/>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本公司按照本附注三</w:t>
      </w:r>
      <w:r>
        <w:rPr>
          <w:rFonts w:ascii="Times New Roman" w:eastAsia="Times New Roman" w:hAnsi="Times New Roman" w:cs="Times New Roman"/>
          <w:color w:val="000000"/>
          <w:spacing w:val="0"/>
          <w:w w:val="100"/>
          <w:position w:val="0"/>
        </w:rPr>
        <w:t>（</w:t>
      </w:r>
      <w:r>
        <w:rPr>
          <w:color w:val="000000"/>
          <w:spacing w:val="0"/>
          <w:w w:val="100"/>
          <w:position w:val="0"/>
        </w:rPr>
        <w:t>十</w:t>
      </w:r>
      <w:r>
        <w:rPr>
          <w:rFonts w:ascii="Times New Roman" w:eastAsia="Times New Roman" w:hAnsi="Times New Roman" w:cs="Times New Roman"/>
          <w:color w:val="000000"/>
          <w:spacing w:val="0"/>
          <w:w w:val="100"/>
          <w:position w:val="0"/>
        </w:rPr>
        <w:t>）5</w:t>
      </w:r>
      <w:r>
        <w:rPr>
          <w:color w:val="000000"/>
          <w:spacing w:val="0"/>
          <w:w w:val="100"/>
          <w:position w:val="0"/>
        </w:rPr>
        <w:t>所述的简化计量方法确定合同资产的预期信用损失并进行会计处理。在资产负债表日，本公 司按应收取的合同现金流量与预期收取的现金流量之间的差额的现值计量合同资产的信用损失。当单项合同资产无法以合理 成本评估预期信用损失的信息时，本公司根据信用风险特征将合同资产划分为若干组合，参考历史信用损失经验，结合当前 状况并考虑前瞻性信息，在组合基础上估计预期信用损失，确定组合的依据如下：</w:t>
      </w:r>
    </w:p>
    <w:tbl>
      <w:tblPr>
        <w:tblOverlap w:val="never"/>
        <w:jc w:val="left"/>
        <w:tblLayout w:type="fixed"/>
      </w:tblPr>
      <w:tblGrid>
        <w:gridCol w:w="4282"/>
        <w:gridCol w:w="4277"/>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未逾期组合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未到无条件收款权利时点的合同资产</w:t>
            </w:r>
          </w:p>
        </w:tc>
      </w:tr>
      <w:tr>
        <w:trPr>
          <w:trHeight w:val="35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集团合并范围内关联方组合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本公司合并范围内单位具有类似的信用风险特征</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both"/>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34"/>
      <w:bookmarkEnd w:id="835"/>
      <w:bookmarkEnd w:id="837"/>
    </w:p>
    <w:p>
      <w:pPr>
        <w:pStyle w:val="Style34"/>
        <w:keepNext w:val="0"/>
        <w:keepLines w:val="0"/>
        <w:widowControl w:val="0"/>
        <w:numPr>
          <w:ilvl w:val="0"/>
          <w:numId w:val="41"/>
        </w:numPr>
        <w:shd w:val="clear" w:color="auto" w:fill="auto"/>
        <w:tabs>
          <w:tab w:pos="728" w:val="left"/>
        </w:tabs>
        <w:bidi w:val="0"/>
        <w:spacing w:before="0" w:after="0" w:line="312" w:lineRule="exact"/>
        <w:ind w:left="0" w:right="0" w:firstLine="440"/>
        <w:jc w:val="both"/>
      </w:pPr>
      <w:bookmarkStart w:id="838" w:name="bookmark838"/>
      <w:bookmarkEnd w:id="838"/>
      <w:r>
        <w:rPr>
          <w:color w:val="000000"/>
          <w:spacing w:val="0"/>
          <w:w w:val="100"/>
          <w:position w:val="0"/>
        </w:rPr>
        <w:t>合同成本的确认条件</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合同成本包括合同取得成本及合同履约成本。</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公司为取得合同发生的增量成本预期能够收回的，作为合同取得成本确认为一项资产。公司为取得合同发生的、除预 期能够收回的增量成本之外的其他支出，在发生时计入当期损益，明确由客户承担的除外。</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公司为履行合同发生的成本，不属于除收入准则外的其他企业会计准则规范范围且同时满足下列条件的，作为合同履 约成本确认为一项资产：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该成本与一份当前或预期取得的合同直接相关，包括直接人工、直接材料、制造费用或</w:t>
      </w:r>
      <w:r>
        <w:rPr>
          <w:rFonts w:ascii="Times New Roman" w:eastAsia="Times New Roman" w:hAnsi="Times New Roman" w:cs="Times New Roman"/>
          <w:color w:val="000000"/>
          <w:spacing w:val="0"/>
          <w:w w:val="100"/>
          <w:position w:val="0"/>
        </w:rPr>
        <w:t>（</w:t>
      </w:r>
      <w:r>
        <w:rPr>
          <w:color w:val="000000"/>
          <w:spacing w:val="0"/>
          <w:w w:val="100"/>
          <w:position w:val="0"/>
        </w:rPr>
        <w:t>类似费 用</w:t>
      </w:r>
      <w:r>
        <w:rPr>
          <w:rFonts w:ascii="Times New Roman" w:eastAsia="Times New Roman" w:hAnsi="Times New Roman" w:cs="Times New Roman"/>
          <w:color w:val="000000"/>
          <w:spacing w:val="0"/>
          <w:w w:val="100"/>
          <w:position w:val="0"/>
        </w:rPr>
        <w:t>）</w:t>
      </w:r>
      <w:r>
        <w:rPr>
          <w:color w:val="000000"/>
          <w:spacing w:val="0"/>
          <w:w w:val="100"/>
          <w:position w:val="0"/>
        </w:rPr>
        <w:t>、明确由客户承担的成本以及仅因该合同而发生的其他成本；</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该成本增加了公司未来用于履行履约义务的资源；</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该 成本预期能够收回。</w:t>
      </w:r>
    </w:p>
    <w:p>
      <w:pPr>
        <w:pStyle w:val="Style34"/>
        <w:keepNext w:val="0"/>
        <w:keepLines w:val="0"/>
        <w:widowControl w:val="0"/>
        <w:numPr>
          <w:ilvl w:val="0"/>
          <w:numId w:val="41"/>
        </w:numPr>
        <w:shd w:val="clear" w:color="auto" w:fill="auto"/>
        <w:tabs>
          <w:tab w:pos="747" w:val="left"/>
        </w:tabs>
        <w:bidi w:val="0"/>
        <w:spacing w:before="0" w:after="0" w:line="312" w:lineRule="exact"/>
        <w:ind w:left="0" w:right="0" w:firstLine="440"/>
        <w:jc w:val="both"/>
      </w:pPr>
      <w:bookmarkStart w:id="839" w:name="bookmark839"/>
      <w:bookmarkEnd w:id="839"/>
      <w:r>
        <w:rPr>
          <w:color w:val="000000"/>
          <w:spacing w:val="0"/>
          <w:w w:val="100"/>
          <w:position w:val="0"/>
        </w:rPr>
        <w:t>与合同成本有关的资产的摊销</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合同取得成本确认的资产与和合同履约成本确认的资产</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 xml:space="preserve">采用与该资产相关的商品 </w:t>
      </w:r>
      <w:r>
        <w:rPr>
          <w:color w:val="000000"/>
          <w:spacing w:val="0"/>
          <w:w w:val="100"/>
          <w:position w:val="0"/>
        </w:rPr>
        <w:t>或服务收入确认相同的基础进行摊销，计入当期损益。摊销期限不超过一年则在发生时计入当期损益。</w:t>
      </w:r>
    </w:p>
    <w:p>
      <w:pPr>
        <w:pStyle w:val="Style34"/>
        <w:keepNext w:val="0"/>
        <w:keepLines w:val="0"/>
        <w:widowControl w:val="0"/>
        <w:numPr>
          <w:ilvl w:val="0"/>
          <w:numId w:val="41"/>
        </w:numPr>
        <w:shd w:val="clear" w:color="auto" w:fill="auto"/>
        <w:bidi w:val="0"/>
        <w:spacing w:before="0" w:after="0"/>
        <w:ind w:left="0" w:right="0" w:firstLine="440"/>
        <w:jc w:val="both"/>
      </w:pPr>
      <w:bookmarkStart w:id="840" w:name="bookmark840"/>
      <w:bookmarkEnd w:id="840"/>
      <w:r>
        <w:rPr>
          <w:color w:val="000000"/>
          <w:spacing w:val="0"/>
          <w:w w:val="100"/>
          <w:position w:val="0"/>
        </w:rPr>
        <w:t>与合同成本有关的资产的减值</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在确定与合同成本有关的资产的减值损失时，公司首先对按照其他企业会计准则确认的、与合同有关的其他资产确定 减值损失；然后确定与合同成本有关的资产的减值损失。与合同成本有关的资产，其账面价值高于公司因转让与该资产相关 的商品预期能够取得的剩余对价与为转让该相关商品估计将要发生的成本的差额的，超出部分计提减值准备，并确认为资产 减值损失。</w:t>
      </w:r>
    </w:p>
    <w:p>
      <w:pPr>
        <w:pStyle w:val="Style34"/>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计提减值准备后，如果以前期间减值的因素发生变化，使得公司因转让与该资产相关的商品预期能够取得的剩余对价 与为转让该相关商品估计将要发生的成本的差额高于该资产账面价值的，转回原已计提的资产减值准备，并计入当期损益， 但转回后的资产账面价值不超过假定不计提减值准备情况下该资产在转回日的账面价值。</w:t>
      </w:r>
    </w:p>
    <w:p>
      <w:pPr>
        <w:pStyle w:val="Style34"/>
        <w:keepNext w:val="0"/>
        <w:keepLines w:val="0"/>
        <w:widowControl w:val="0"/>
        <w:shd w:val="clear" w:color="auto" w:fill="auto"/>
        <w:bidi w:val="0"/>
        <w:spacing w:before="0" w:after="300"/>
        <w:ind w:left="0" w:right="0" w:firstLine="0"/>
        <w:jc w:val="both"/>
      </w:pPr>
      <w:r>
        <w:rPr>
          <w:rFonts w:ascii="Times New Roman" w:eastAsia="Times New Roman" w:hAnsi="Times New Roman" w:cs="Times New Roman"/>
          <w:b/>
          <w:bCs/>
          <w:color w:val="000000"/>
          <w:spacing w:val="0"/>
          <w:w w:val="100"/>
          <w:position w:val="0"/>
        </w:rPr>
        <w:t>18</w:t>
      </w:r>
      <w:r>
        <w:rPr>
          <w:b/>
          <w:bCs/>
          <w:color w:val="000000"/>
          <w:spacing w:val="0"/>
          <w:w w:val="100"/>
          <w:position w:val="0"/>
        </w:rPr>
        <w:t>、持有待售资产</w:t>
      </w:r>
    </w:p>
    <w:p>
      <w:pPr>
        <w:pStyle w:val="Style34"/>
        <w:keepNext w:val="0"/>
        <w:keepLines w:val="0"/>
        <w:widowControl w:val="0"/>
        <w:numPr>
          <w:ilvl w:val="0"/>
          <w:numId w:val="43"/>
        </w:numPr>
        <w:shd w:val="clear" w:color="auto" w:fill="auto"/>
        <w:tabs>
          <w:tab w:pos="703" w:val="left"/>
        </w:tabs>
        <w:bidi w:val="0"/>
        <w:spacing w:before="0" w:after="0"/>
        <w:ind w:left="0" w:right="0" w:firstLine="440"/>
        <w:jc w:val="both"/>
      </w:pPr>
      <w:bookmarkStart w:id="841" w:name="bookmark841"/>
      <w:bookmarkEnd w:id="841"/>
      <w:r>
        <w:rPr>
          <w:color w:val="000000"/>
          <w:spacing w:val="0"/>
          <w:w w:val="100"/>
          <w:position w:val="0"/>
        </w:rPr>
        <w:t>划分为持有待售类别的条件</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公司主要通过出售</w:t>
      </w:r>
      <w:r>
        <w:rPr>
          <w:rFonts w:ascii="Times New Roman" w:eastAsia="Times New Roman" w:hAnsi="Times New Roman" w:cs="Times New Roman"/>
          <w:color w:val="000000"/>
          <w:spacing w:val="0"/>
          <w:w w:val="100"/>
          <w:position w:val="0"/>
        </w:rPr>
        <w:t>(</w:t>
      </w:r>
      <w:r>
        <w:rPr>
          <w:color w:val="000000"/>
          <w:spacing w:val="0"/>
          <w:w w:val="100"/>
          <w:position w:val="0"/>
        </w:rPr>
        <w:t>包括具有商业实质的非货币性资产交换，下同</w:t>
      </w:r>
      <w:r>
        <w:rPr>
          <w:rFonts w:ascii="Times New Roman" w:eastAsia="Times New Roman" w:hAnsi="Times New Roman" w:cs="Times New Roman"/>
          <w:color w:val="000000"/>
          <w:spacing w:val="0"/>
          <w:w w:val="100"/>
          <w:position w:val="0"/>
        </w:rPr>
        <w:t>)</w:t>
      </w:r>
      <w:r>
        <w:rPr>
          <w:color w:val="000000"/>
          <w:spacing w:val="0"/>
          <w:w w:val="100"/>
          <w:position w:val="0"/>
        </w:rPr>
        <w:t>而非持续使用一项非流动资产或处置组收回其账面价 值的，在满足下列条件时，将其划分为持有待售类别：</w:t>
      </w:r>
    </w:p>
    <w:p>
      <w:pPr>
        <w:pStyle w:val="Style34"/>
        <w:keepNext w:val="0"/>
        <w:keepLines w:val="0"/>
        <w:widowControl w:val="0"/>
        <w:numPr>
          <w:ilvl w:val="0"/>
          <w:numId w:val="45"/>
        </w:numPr>
        <w:shd w:val="clear" w:color="auto" w:fill="auto"/>
        <w:tabs>
          <w:tab w:pos="785" w:val="left"/>
        </w:tabs>
        <w:bidi w:val="0"/>
        <w:spacing w:before="0" w:after="0"/>
        <w:ind w:left="0" w:right="0" w:firstLine="440"/>
        <w:jc w:val="both"/>
      </w:pPr>
      <w:bookmarkStart w:id="842" w:name="bookmark842"/>
      <w:bookmarkEnd w:id="842"/>
      <w:r>
        <w:rPr>
          <w:color w:val="000000"/>
          <w:spacing w:val="0"/>
          <w:w w:val="100"/>
          <w:position w:val="0"/>
        </w:rPr>
        <w:t>根据类似交易中出售此类资产或处置组的惯例，在当前状况下即可立即出售；</w:t>
      </w:r>
    </w:p>
    <w:p>
      <w:pPr>
        <w:pStyle w:val="Style34"/>
        <w:keepNext w:val="0"/>
        <w:keepLines w:val="0"/>
        <w:widowControl w:val="0"/>
        <w:numPr>
          <w:ilvl w:val="0"/>
          <w:numId w:val="45"/>
        </w:numPr>
        <w:shd w:val="clear" w:color="auto" w:fill="auto"/>
        <w:tabs>
          <w:tab w:pos="767" w:val="left"/>
        </w:tabs>
        <w:bidi w:val="0"/>
        <w:spacing w:before="0" w:after="0" w:line="312" w:lineRule="exact"/>
        <w:ind w:left="0" w:right="0" w:firstLine="440"/>
        <w:jc w:val="both"/>
      </w:pPr>
      <w:bookmarkStart w:id="843" w:name="bookmark843"/>
      <w:bookmarkEnd w:id="843"/>
      <w:r>
        <w:rPr>
          <w:color w:val="000000"/>
          <w:spacing w:val="0"/>
          <w:w w:val="100"/>
          <w:position w:val="0"/>
        </w:rPr>
        <w:t>出售极可能发生，即公司已经就一项出售计划作出决议且获得确定的购买承诺，预计出售将在一年内完成。有关规 定要求相关权力机构或者监督部门批准后方可出售的，公司已经获得批准。确定的购买承诺，是指公司与其他方签订的具有 法律约束力的购买协议，该协议包含交易价格、时间和足够严厉的违约惩罚等重要条款，使协议出现重大调整或者撤销的可 能性极小。</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公司因出售对子公司的投资等原因导致其丧失对子公司控制权的，当拟出售的子公司投资满足持有待售类别划分条件 时，在母公司个别财务报表中将对子公司投资整体划分为持有待售类别，在合并报表中将子公司所有资产和负债划分为持有 待售类别。</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持有待售的非流动资产或处置组不再满足持有待售类别划分条件的，公司停止将其划分为持有待售类别。部分资产或 负债从持有待售的处置组中移除的，处置组中剩余资产或负债新组成的处置组仍满足持有待售划分条件的，公司将新组成的 处置组划分为持有待售类别，否则将满足持有待售类别划分条件的非流动资产单独划分为持有待售类别。</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对于当期首次满足持有待售类别划分条件的非流动资产或处置组，不调整可比会计期间的资产负债表。</w:t>
      </w:r>
    </w:p>
    <w:p>
      <w:pPr>
        <w:pStyle w:val="Style34"/>
        <w:keepNext w:val="0"/>
        <w:keepLines w:val="0"/>
        <w:widowControl w:val="0"/>
        <w:numPr>
          <w:ilvl w:val="0"/>
          <w:numId w:val="43"/>
        </w:numPr>
        <w:shd w:val="clear" w:color="auto" w:fill="auto"/>
        <w:tabs>
          <w:tab w:pos="722" w:val="left"/>
        </w:tabs>
        <w:bidi w:val="0"/>
        <w:spacing w:before="0" w:after="0"/>
        <w:ind w:left="0" w:right="0" w:firstLine="440"/>
        <w:jc w:val="both"/>
      </w:pPr>
      <w:bookmarkStart w:id="844" w:name="bookmark844"/>
      <w:bookmarkEnd w:id="844"/>
      <w:r>
        <w:rPr>
          <w:color w:val="000000"/>
          <w:spacing w:val="0"/>
          <w:w w:val="100"/>
          <w:position w:val="0"/>
        </w:rPr>
        <w:t>持有待售类的非流动资产或处置组的初始计量及后续计量</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对于取得日划分为持有待售类别的非流动资产或处置组，公司在初始计量时比较假定其不划分为持有待售类别情况下 的初始计量金额和公允价值减去出售费用后的净额，以两者孰低计量。除公司合并中取得的非流动资产或处置组外，由非流 动资产或处置组以公允价值减去出售费用后的净额作为初始计量金额而产生的差额，计入当期损益。</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公司将非流动资产或处置组首次划分为持有待售类别前，按照相关会计准则规定计量非流动资产或处置组中各项资产 和负债的账面价值。在初始计量或资产负债表日重新计量持有待售的非流动资产或处置组时，其账面价值高于公允价值减去 出售费用后的净额的，将账面价值减记至公允价值减去出售费用后的净额，减记的金额确认为资产减值损失，计入当期损益， 同时计提持有待售资产减值准备。持有待售的非流动资产或处置组中的非流动资产不计提折旧或摊销，持有待售的处置组中 的负债的利息和其他费用应继续予以确认。</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公司对持有待售的处置组确认资产减值损失金额时，先抵减处置组商誉的账面价值，再根据处置组中适用《企业会计 准则第</w:t>
      </w:r>
      <w:r>
        <w:rPr>
          <w:rFonts w:ascii="Times New Roman" w:eastAsia="Times New Roman" w:hAnsi="Times New Roman" w:cs="Times New Roman"/>
          <w:color w:val="000000"/>
          <w:spacing w:val="0"/>
          <w:w w:val="100"/>
          <w:position w:val="0"/>
        </w:rPr>
        <w:t>42</w:t>
      </w:r>
      <w:r>
        <w:rPr>
          <w:color w:val="000000"/>
          <w:spacing w:val="0"/>
          <w:w w:val="100"/>
          <w:position w:val="0"/>
        </w:rPr>
        <w:t>号——持有待售的非流动资产、处置组和终止经营》</w:t>
      </w:r>
      <w:r>
        <w:rPr>
          <w:color w:val="000000"/>
          <w:spacing w:val="0"/>
          <w:w w:val="100"/>
          <w:position w:val="0"/>
        </w:rPr>
        <w:t>(</w:t>
      </w:r>
      <w:r>
        <w:rPr>
          <w:color w:val="000000"/>
          <w:spacing w:val="0"/>
          <w:w w:val="100"/>
          <w:position w:val="0"/>
        </w:rPr>
        <w:t>以下简称第</w:t>
      </w:r>
      <w:r>
        <w:rPr>
          <w:rFonts w:ascii="Times New Roman" w:eastAsia="Times New Roman" w:hAnsi="Times New Roman" w:cs="Times New Roman"/>
          <w:color w:val="000000"/>
          <w:spacing w:val="0"/>
          <w:w w:val="100"/>
          <w:position w:val="0"/>
        </w:rPr>
        <w:t>42</w:t>
      </w:r>
      <w:r>
        <w:rPr>
          <w:color w:val="000000"/>
          <w:spacing w:val="0"/>
          <w:w w:val="100"/>
          <w:position w:val="0"/>
        </w:rPr>
        <w:t>号准则</w:t>
      </w:r>
      <w:r>
        <w:rPr>
          <w:rFonts w:ascii="Times New Roman" w:eastAsia="Times New Roman" w:hAnsi="Times New Roman" w:cs="Times New Roman"/>
          <w:color w:val="000000"/>
          <w:spacing w:val="0"/>
          <w:w w:val="100"/>
          <w:position w:val="0"/>
        </w:rPr>
        <w:t>)</w:t>
      </w:r>
      <w:r>
        <w:rPr>
          <w:color w:val="000000"/>
          <w:spacing w:val="0"/>
          <w:w w:val="100"/>
          <w:position w:val="0"/>
        </w:rPr>
        <w:t>计量规定的各项非流动资产账面价值所 占比重，按比例抵减其账面价值。公司在资产负债表日重新计量持有待售的处置组时，首先按照相关会计准则规定计量处置 组中不适用第</w:t>
      </w:r>
      <w:r>
        <w:rPr>
          <w:rFonts w:ascii="Times New Roman" w:eastAsia="Times New Roman" w:hAnsi="Times New Roman" w:cs="Times New Roman"/>
          <w:color w:val="000000"/>
          <w:spacing w:val="0"/>
          <w:w w:val="100"/>
          <w:position w:val="0"/>
        </w:rPr>
        <w:t>42</w:t>
      </w:r>
      <w:r>
        <w:rPr>
          <w:color w:val="000000"/>
          <w:spacing w:val="0"/>
          <w:w w:val="100"/>
          <w:position w:val="0"/>
        </w:rPr>
        <w:t>号准则计量规定的资产和负债的账面价值，再按照上述相关规定进行会计处理。</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后续资产负债表日持有待售的非流动资产公允价值减去出售费用后的净额增加的，以前减记的金额应当予以恢复，并 在划分为持有待售类别后确认的资产减值损失金额内转回，转回金额计入当期损益；划分为持有待售类别前确认的资产减值 损失不得转回。</w:t>
      </w:r>
    </w:p>
    <w:p>
      <w:pPr>
        <w:pStyle w:val="Style34"/>
        <w:keepNext w:val="0"/>
        <w:keepLines w:val="0"/>
        <w:widowControl w:val="0"/>
        <w:shd w:val="clear" w:color="auto" w:fill="auto"/>
        <w:bidi w:val="0"/>
        <w:spacing w:before="0" w:after="0" w:line="312" w:lineRule="exact"/>
        <w:ind w:left="0" w:right="0" w:firstLine="440"/>
        <w:jc w:val="both"/>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388" w:right="1051" w:bottom="1470" w:left="1077" w:header="0" w:footer="3" w:gutter="0"/>
          <w:cols w:space="720"/>
          <w:noEndnote/>
          <w:rtlGutter w:val="0"/>
          <w:docGrid w:linePitch="360"/>
        </w:sectPr>
      </w:pPr>
      <w:r>
        <w:rPr>
          <w:color w:val="000000"/>
          <w:spacing w:val="0"/>
          <w:w w:val="100"/>
          <w:position w:val="0"/>
        </w:rPr>
        <w:t xml:space="preserve">后续资产负债表日持有待售的处置组公允价值减去出售费用后的净额增加的，以前减记的金额应当予以恢复，并在划 </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分为持有待售类别后适用第</w:t>
      </w:r>
      <w:r>
        <w:rPr>
          <w:rFonts w:ascii="Times New Roman" w:eastAsia="Times New Roman" w:hAnsi="Times New Roman" w:cs="Times New Roman"/>
          <w:color w:val="000000"/>
          <w:spacing w:val="0"/>
          <w:w w:val="100"/>
          <w:position w:val="0"/>
        </w:rPr>
        <w:t>42</w:t>
      </w:r>
      <w:r>
        <w:rPr>
          <w:color w:val="000000"/>
          <w:spacing w:val="0"/>
          <w:w w:val="100"/>
          <w:position w:val="0"/>
        </w:rPr>
        <w:t>号准则计量规定的非流动资产确认的资产减值损失金额内转回，转回金额依据处置组中除商誉 外的适用第</w:t>
      </w:r>
      <w:r>
        <w:rPr>
          <w:rFonts w:ascii="Times New Roman" w:eastAsia="Times New Roman" w:hAnsi="Times New Roman" w:cs="Times New Roman"/>
          <w:color w:val="000000"/>
          <w:spacing w:val="0"/>
          <w:w w:val="100"/>
          <w:position w:val="0"/>
        </w:rPr>
        <w:t>42</w:t>
      </w:r>
      <w:r>
        <w:rPr>
          <w:color w:val="000000"/>
          <w:spacing w:val="0"/>
          <w:w w:val="100"/>
          <w:position w:val="0"/>
        </w:rPr>
        <w:t>号准则计量规定的各项非流动资产账面价值所占比重，按比例增加其账面价值，同时将转回金额计入当期损益。 已抵减的商誉账面价值以及划分为持有待售类别前确认的资产减值损失不得转回。</w:t>
      </w:r>
    </w:p>
    <w:p>
      <w:pPr>
        <w:pStyle w:val="Style34"/>
        <w:keepNext w:val="0"/>
        <w:keepLines w:val="0"/>
        <w:widowControl w:val="0"/>
        <w:numPr>
          <w:ilvl w:val="0"/>
          <w:numId w:val="43"/>
        </w:numPr>
        <w:shd w:val="clear" w:color="auto" w:fill="auto"/>
        <w:bidi w:val="0"/>
        <w:spacing w:before="0" w:after="0" w:line="314" w:lineRule="exact"/>
        <w:ind w:left="0" w:right="0" w:firstLine="440"/>
        <w:jc w:val="both"/>
      </w:pPr>
      <w:bookmarkStart w:id="845" w:name="bookmark845"/>
      <w:bookmarkEnd w:id="845"/>
      <w:r>
        <w:rPr>
          <w:color w:val="000000"/>
          <w:spacing w:val="0"/>
          <w:w w:val="100"/>
          <w:position w:val="0"/>
        </w:rPr>
        <w:t>划分为持有待售类别的终止确认和计量</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非流动资产或处置组不再满足持有待售类别的划分条件而不再继续划分为持有待售类别或非流动资产从持有待售的处 置组中移除时，按照以下两者孰低计量：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划分为持有待售类别前的账面价值，按照假定不划分为持有待售类别情况下本 应确认的折旧、摊销或减值等进行调整后的金额；</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可收回金额。</w:t>
      </w:r>
    </w:p>
    <w:p>
      <w:pPr>
        <w:pStyle w:val="Style3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公司终止确认持有待售的非流动资产或处置组时，将尚未确认的利得或损失计入当期损益。</w:t>
      </w:r>
    </w:p>
    <w:p>
      <w:pPr>
        <w:pStyle w:val="Style62"/>
        <w:keepNext w:val="0"/>
        <w:keepLines w:val="0"/>
        <w:widowControl w:val="0"/>
        <w:shd w:val="clear" w:color="auto" w:fill="auto"/>
        <w:tabs>
          <w:tab w:pos="414" w:val="left"/>
        </w:tabs>
        <w:bidi w:val="0"/>
        <w:spacing w:before="0" w:after="380" w:line="240" w:lineRule="auto"/>
        <w:ind w:left="0" w:right="0" w:firstLine="0"/>
        <w:jc w:val="both"/>
      </w:pPr>
      <w:bookmarkStart w:id="846" w:name="bookmark846"/>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p>
    <w:p>
      <w:pPr>
        <w:pStyle w:val="Style62"/>
        <w:keepNext w:val="0"/>
        <w:keepLines w:val="0"/>
        <w:widowControl w:val="0"/>
        <w:shd w:val="clear" w:color="auto" w:fill="auto"/>
        <w:tabs>
          <w:tab w:pos="423" w:val="left"/>
        </w:tabs>
        <w:bidi w:val="0"/>
        <w:spacing w:before="0" w:after="380" w:line="240" w:lineRule="auto"/>
        <w:ind w:left="0" w:right="0" w:firstLine="0"/>
        <w:jc w:val="both"/>
      </w:pPr>
      <w:bookmarkStart w:id="847" w:name="bookmark847"/>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p>
    <w:p>
      <w:pPr>
        <w:pStyle w:val="Style62"/>
        <w:keepNext w:val="0"/>
        <w:keepLines w:val="0"/>
        <w:widowControl w:val="0"/>
        <w:shd w:val="clear" w:color="auto" w:fill="auto"/>
        <w:tabs>
          <w:tab w:pos="423" w:val="left"/>
        </w:tabs>
        <w:bidi w:val="0"/>
        <w:spacing w:before="0" w:after="380" w:line="240" w:lineRule="auto"/>
        <w:ind w:left="0" w:right="0" w:firstLine="0"/>
        <w:jc w:val="both"/>
      </w:pPr>
      <w:bookmarkStart w:id="848" w:name="bookmark848"/>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p>
    <w:p>
      <w:pPr>
        <w:pStyle w:val="Style62"/>
        <w:keepNext w:val="0"/>
        <w:keepLines w:val="0"/>
        <w:widowControl w:val="0"/>
        <w:shd w:val="clear" w:color="auto" w:fill="auto"/>
        <w:tabs>
          <w:tab w:pos="423" w:val="left"/>
        </w:tabs>
        <w:bidi w:val="0"/>
        <w:spacing w:before="0" w:after="280" w:line="240" w:lineRule="auto"/>
        <w:ind w:left="0" w:right="0" w:firstLine="0"/>
        <w:jc w:val="both"/>
      </w:pPr>
      <w:bookmarkStart w:id="849" w:name="bookmark849"/>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本部分所指的长期股权投资是指本公司对被投资单位具有控制、共同控制或重大影响的长期股权投资，包括对子公司、 合营企业和联营企业的权益性投资。</w:t>
      </w:r>
    </w:p>
    <w:p>
      <w:pPr>
        <w:pStyle w:val="Style34"/>
        <w:keepNext w:val="0"/>
        <w:keepLines w:val="0"/>
        <w:widowControl w:val="0"/>
        <w:numPr>
          <w:ilvl w:val="0"/>
          <w:numId w:val="47"/>
        </w:numPr>
        <w:shd w:val="clear" w:color="auto" w:fill="auto"/>
        <w:tabs>
          <w:tab w:pos="700" w:val="left"/>
        </w:tabs>
        <w:bidi w:val="0"/>
        <w:spacing w:before="0" w:after="0" w:line="313" w:lineRule="exact"/>
        <w:ind w:left="0" w:right="0" w:firstLine="440"/>
        <w:jc w:val="both"/>
      </w:pPr>
      <w:bookmarkStart w:id="850" w:name="bookmark850"/>
      <w:bookmarkEnd w:id="850"/>
      <w:r>
        <w:rPr>
          <w:color w:val="000000"/>
          <w:spacing w:val="0"/>
          <w:w w:val="100"/>
          <w:position w:val="0"/>
        </w:rPr>
        <w:t>共同控制和重大影响的判断标准</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共同控制，是指按照相关约定对某项安排所共有的控制，并且该安排的相关活动必须经过分享控制权的参与方一致同 意后才能决策。本公司与其他合营方一同对被投资单位实施共同控制且对被投资单位实施共同控制且对被投资单位净资产享 有权利的，被投资单位为本公司的合营企业。判断是否存在共同控制时，不考虑享有的保护性权利。</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重大影响，是指对一个企业的财务和经营决策有参与决策的权力，但并不能够控制或者与其他方一起共同控制这些政 策的制定。本公司能够对被投资单位施加重大影响的，被投资单位为本公司联营企业。在确定能否对被投资单位施加重大影 响时，考虑投资方直接或间接持有被投资单位的表决权股份以及投资方及其他方持有的当期可执行潜在表决权在假定转换为 对被投资方单位的股权后产生的影响，包括被投资单位发行的当期可转换的认股权证、股份期权及可转换公司债券等的影响。</w:t>
      </w:r>
    </w:p>
    <w:p>
      <w:pPr>
        <w:pStyle w:val="Style34"/>
        <w:keepNext w:val="0"/>
        <w:keepLines w:val="0"/>
        <w:widowControl w:val="0"/>
        <w:numPr>
          <w:ilvl w:val="0"/>
          <w:numId w:val="47"/>
        </w:numPr>
        <w:shd w:val="clear" w:color="auto" w:fill="auto"/>
        <w:tabs>
          <w:tab w:pos="719" w:val="left"/>
        </w:tabs>
        <w:bidi w:val="0"/>
        <w:spacing w:before="0" w:after="0" w:line="313" w:lineRule="exact"/>
        <w:ind w:left="0" w:right="0" w:firstLine="440"/>
        <w:jc w:val="both"/>
      </w:pPr>
      <w:bookmarkStart w:id="851" w:name="bookmark851"/>
      <w:bookmarkEnd w:id="851"/>
      <w:r>
        <w:rPr>
          <w:color w:val="000000"/>
          <w:spacing w:val="0"/>
          <w:w w:val="100"/>
          <w:position w:val="0"/>
        </w:rPr>
        <w:t>长期股权投资的投资成本的确定</w:t>
      </w:r>
    </w:p>
    <w:p>
      <w:pPr>
        <w:pStyle w:val="Style34"/>
        <w:keepNext w:val="0"/>
        <w:keepLines w:val="0"/>
        <w:widowControl w:val="0"/>
        <w:numPr>
          <w:ilvl w:val="0"/>
          <w:numId w:val="49"/>
        </w:numPr>
        <w:shd w:val="clear" w:color="auto" w:fill="auto"/>
        <w:tabs>
          <w:tab w:pos="764" w:val="left"/>
        </w:tabs>
        <w:bidi w:val="0"/>
        <w:spacing w:before="0" w:after="0" w:line="313" w:lineRule="exact"/>
        <w:ind w:left="0" w:right="0" w:firstLine="440"/>
        <w:jc w:val="both"/>
      </w:pPr>
      <w:bookmarkStart w:id="852" w:name="bookmark852"/>
      <w:bookmarkEnd w:id="852"/>
      <w:r>
        <w:rPr>
          <w:color w:val="000000"/>
          <w:spacing w:val="0"/>
          <w:w w:val="100"/>
          <w:position w:val="0"/>
        </w:rPr>
        <w:t>同一控制下的合并形成的，合并方以支付现金、转让非现金资产、承担债务或发行权益性证券作为合并对价的，在 合并日按取得被合并方所有者权益在最终控制方合并财务报表中的账面价值的份额作为其初始投资成本。长期股权投资初始 投资成本与支付的现金、转让的非现金资产、所承担债务账面价值或发行股份的面值总额之间的差额调整资本公积；资本公 积不足冲减的，调整留存收益。通过多次交易分步取得同一控制下被合并方的股权，最终形成同一控制下企业合并的，应分 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的，在合并日按照应享有被合并方股东权益在最终控制方合并财务报表中的账面价值的份额作为长期股权投资的 初始投资成本，长期股权投资初始投资成本与达到合并前的长期股权投资账面价值加上合并日进一步取得股份新支付对价的 账面价值之和的差额，调整资本公积；资本公积不足冲减的，调整留存收益。合并日之前持有的股权投资因采用权益法核算 或为其他权益工具投资而确认的其他综合收益，暂不进行会计处理。</w:t>
      </w:r>
    </w:p>
    <w:p>
      <w:pPr>
        <w:pStyle w:val="Style34"/>
        <w:keepNext w:val="0"/>
        <w:keepLines w:val="0"/>
        <w:widowControl w:val="0"/>
        <w:numPr>
          <w:ilvl w:val="0"/>
          <w:numId w:val="49"/>
        </w:numPr>
        <w:shd w:val="clear" w:color="auto" w:fill="auto"/>
        <w:tabs>
          <w:tab w:pos="764" w:val="left"/>
        </w:tabs>
        <w:bidi w:val="0"/>
        <w:spacing w:before="0" w:after="0" w:line="314" w:lineRule="exact"/>
        <w:ind w:left="0" w:right="0" w:firstLine="440"/>
        <w:jc w:val="both"/>
      </w:pPr>
      <w:bookmarkStart w:id="853" w:name="bookmark853"/>
      <w:bookmarkEnd w:id="853"/>
      <w:r>
        <w:rPr>
          <w:color w:val="000000"/>
          <w:spacing w:val="0"/>
          <w:w w:val="100"/>
          <w:position w:val="0"/>
        </w:rPr>
        <w:t>非同一控制下的企业合并形成的，公司按照购买日确定的合并成本作为长期股权投资的初始投资成本。合并成本为 购买日购买方为取得对被购买方的控制权而付出的资产、发生或承担的负债以及发行的权益性证券的公允价值。购买方为企 业合并而发生的审计、法律服务、评估咨询等中介费用以及其他相关管理费用于发生时计入当期损益；购买方作为合并对价 发行的权益性证券或债务性证券的交易费用，计入权益性证券或债务性证券的初始确认金额。本公司将合并协议约定的或有 对价作为企业合并转移对价的一部分，按照其在购买日的公允价值计入企业合并成本。通过多次交易分步实现的非同一控制 下企业合并，根据企业会计准则判断该多次交易是否属于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 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xml:space="preserve">的，按照原持有被购买方的股权投资账面价值加上新增投资成本之和，作为 改按成本法核算的长期股权投资的初始投资成本；原持有的股权采用权益法核算的，相关其他综合收益暂不进行会计处理； </w:t>
      </w:r>
      <w:r>
        <w:rPr>
          <w:color w:val="000000"/>
          <w:spacing w:val="0"/>
          <w:w w:val="100"/>
          <w:position w:val="0"/>
        </w:rPr>
        <w:t>原持有股权投资为其他权益工具投资的，其公允价值与账面价值之间的差额，以及原计入其他综合收益的累计公允价值变动 直接转入留存收益。</w:t>
      </w:r>
    </w:p>
    <w:p>
      <w:pPr>
        <w:pStyle w:val="Style34"/>
        <w:keepNext w:val="0"/>
        <w:keepLines w:val="0"/>
        <w:widowControl w:val="0"/>
        <w:numPr>
          <w:ilvl w:val="0"/>
          <w:numId w:val="49"/>
        </w:numPr>
        <w:shd w:val="clear" w:color="auto" w:fill="auto"/>
        <w:bidi w:val="0"/>
        <w:spacing w:before="0" w:after="0" w:line="313" w:lineRule="exact"/>
        <w:ind w:left="0" w:right="0" w:firstLine="440"/>
        <w:jc w:val="both"/>
      </w:pPr>
      <w:bookmarkStart w:id="854" w:name="bookmark854"/>
      <w:bookmarkEnd w:id="854"/>
      <w:r>
        <w:rPr>
          <w:color w:val="000000"/>
          <w:spacing w:val="0"/>
          <w:w w:val="100"/>
          <w:position w:val="0"/>
        </w:rPr>
        <w:t>除企业合并形成的长期股权投资外的其他股权投资，按成本进行初始计量：以支付现金取得的，按照实际支付的购 买价款作为其初始投资成本；以发行权益性证券取得的，按照发行权益性证券的公允价值作为其初始投资成本，与发行权益 性证券直接相关的费用，按照《企业会计准则第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号——金融工具列报》的有关规定确定；在非货币性资产交换具有商业实 质和换入资产或换出资产的公允价值能够可靠计量的前提下,非货币性资产交换换入的长期股权投资以换出资产的公允价值 和应支付的相关税费确定其初始投资成本，除非有确凿证据表明换入资产的公允价值更加可靠；不满足上述前提的非货币性 资产交换，以换出资产的账面价值和应支付的相关税费作为换入长期股权投资的初始投资成本。通过债务重组取得的长期股 权投资，其初始投资成本以放弃债权的公允价值为基础确定。与取得长期股权投资直接相关的费用、税金及其他必要支出也 计入投资成本。</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对于因追加投资能够对被投资单位实施重大影响或实施共同控制但不构成控制的，长期股权投资成本为按照《企业会 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号——金融工具确认和计量》确定的原持有股权投资的公允价值加上新增投资成本之和，作为改按权益法核算的 初始投资成本。原持有的股权投资分类为其他权益工具投资的，其公允价值与账面价值之间的差额，以及原计入其他综合收 益的累计公允价值变动应当直接转入留存收益。</w:t>
      </w:r>
    </w:p>
    <w:p>
      <w:pPr>
        <w:pStyle w:val="Style34"/>
        <w:keepNext w:val="0"/>
        <w:keepLines w:val="0"/>
        <w:widowControl w:val="0"/>
        <w:numPr>
          <w:ilvl w:val="0"/>
          <w:numId w:val="47"/>
        </w:numPr>
        <w:shd w:val="clear" w:color="auto" w:fill="auto"/>
        <w:tabs>
          <w:tab w:pos="710" w:val="left"/>
        </w:tabs>
        <w:bidi w:val="0"/>
        <w:spacing w:before="0" w:after="0"/>
        <w:ind w:left="0" w:right="0" w:firstLine="440"/>
        <w:jc w:val="both"/>
      </w:pPr>
      <w:bookmarkStart w:id="855" w:name="bookmark855"/>
      <w:bookmarkEnd w:id="855"/>
      <w:r>
        <w:rPr>
          <w:color w:val="000000"/>
          <w:spacing w:val="0"/>
          <w:w w:val="100"/>
          <w:position w:val="0"/>
        </w:rPr>
        <w:t>长期股权投资的后续计量及损益确认方法</w:t>
      </w:r>
    </w:p>
    <w:p>
      <w:pPr>
        <w:pStyle w:val="Style34"/>
        <w:keepNext w:val="0"/>
        <w:keepLines w:val="0"/>
        <w:widowControl w:val="0"/>
        <w:numPr>
          <w:ilvl w:val="0"/>
          <w:numId w:val="51"/>
        </w:numPr>
        <w:shd w:val="clear" w:color="auto" w:fill="auto"/>
        <w:tabs>
          <w:tab w:pos="782" w:val="left"/>
        </w:tabs>
        <w:bidi w:val="0"/>
        <w:spacing w:before="0" w:after="0"/>
        <w:ind w:left="0" w:right="0" w:firstLine="440"/>
        <w:jc w:val="both"/>
      </w:pPr>
      <w:bookmarkStart w:id="856" w:name="bookmark856"/>
      <w:bookmarkEnd w:id="856"/>
      <w:r>
        <w:rPr>
          <w:color w:val="000000"/>
          <w:spacing w:val="0"/>
          <w:w w:val="100"/>
          <w:position w:val="0"/>
        </w:rPr>
        <w:t>成本法核算的长期股权投资</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公司对子公司的长期股权投资，采用成本法核算。除取得投资时实际支付的价款或对价中包含的已宣告但尚未发放的 现金股利或利润外，公司按照享有被投资单位宣告发放的现金股利或利润确认当期投资收益。</w:t>
      </w:r>
    </w:p>
    <w:p>
      <w:pPr>
        <w:pStyle w:val="Style34"/>
        <w:keepNext w:val="0"/>
        <w:keepLines w:val="0"/>
        <w:widowControl w:val="0"/>
        <w:numPr>
          <w:ilvl w:val="0"/>
          <w:numId w:val="51"/>
        </w:numPr>
        <w:shd w:val="clear" w:color="auto" w:fill="auto"/>
        <w:tabs>
          <w:tab w:pos="782" w:val="left"/>
        </w:tabs>
        <w:bidi w:val="0"/>
        <w:spacing w:before="0" w:after="0"/>
        <w:ind w:left="0" w:right="0" w:firstLine="440"/>
        <w:jc w:val="both"/>
      </w:pPr>
      <w:bookmarkStart w:id="857" w:name="bookmark857"/>
      <w:bookmarkEnd w:id="857"/>
      <w:r>
        <w:rPr>
          <w:color w:val="000000"/>
          <w:spacing w:val="0"/>
          <w:w w:val="100"/>
          <w:position w:val="0"/>
        </w:rPr>
        <w:t>权益法核算的长期股权投资</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对联营企业和合营企业的长期股权投资，采用权益法核算。</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采用权益法核算的长期股权投资的初始投资成本大于投资时应享有被投资单位可辨认净资产公允价值份额的，不调整 长期股权投资的初始投资成本；长期股权投资的初始投资成本小于投资时应享有被投资单位可辨认净资产公允价值份额的， 其差额应当计入当期损益，同时调整长期股权投资的成本。取得长期股权投资后，被投资单位采用的会计政策及会计期间与 公司不一致的，按照公司的会计政策及会计期间对被投资单位的财务报表进行调整，并据以确认投资损益和其他综合收益等。 按照应享有或应分担的被投资单位实现的净损益和其他综合收益的份额，分别确认投资收益和其他综合收益，同时调整长期 股权投资的账面价值；在确认应享有被投资单位净损益的份额时，以取得投资时被投资单位各项可辨认资产等的公允价值为 基础，对被投资单位的净利润进行调整后确认。按照被投资单位宣告分派的利润或现金股利计算应享有的部分，相应减少长 期股权投资的账面价值；对于被投资单位除净损益、其他综合收益和利润分配以外所有者权益的其他变动，调整长期股权投 资的账面价值并计入所有者权益。公司与联营企业、合营企业之间发生的未实现内部交易损益按照享有的比例计算归属于公 司的部分，予以抵销，在此基础上确认投资收益。与被投资单位发生的未实现内部交易损失，属于资产减值损失的，全额确 认。</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在公司确认应分担被投资单位发生亏损时，按照以下顺序进行处理：首先，冲减长期股权投资的账面价值。其次，长 期股权投资的账面价值不足以冲减的，以其他实质上构成对被投资单位净投资的长期权益账面价值为限继续确认投资损失、 冲减长期应收项目的账面价值。经过上述处理，按照投资合同或协议约定企业仍承担额外义务的，按预计承担的义务确认预 计负债，计入当期投资损失。被投资单位以后期间实现净利润的，本公司在收益弥补未确认的亏损分担额后，恢复确认收益 分享额。</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在持有投资期间，被投资单位编制合并财务报表的，以合并财务报表中的净利润、其他综合收益和其他所有者权益变 动中归属于被投资单位的金额为基础进行核算。</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对于本公司向合营企业与联营企业投出的资产构成业务的，投资方因此取得长期股权投资但未取得控制权的，以投出 业务的公允价值作为新增长期股权投资的初始投资成本，初始投资成本与投出业务的账面价值之差，全额计入当期损益。本 公司向合营企业或者联营企业出售的资产构成业务的，取得的对价与业务的账面价值之差，全额计入当期损益。本公司自联 营及合营企业购入的资产构成业务的，按《企业会计准则第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号——企业合并》的规定进行会计处理，全额确认与交易相关 的利得或损失。</w:t>
      </w:r>
    </w:p>
    <w:p>
      <w:pPr>
        <w:pStyle w:val="Style34"/>
        <w:keepNext w:val="0"/>
        <w:keepLines w:val="0"/>
        <w:widowControl w:val="0"/>
        <w:numPr>
          <w:ilvl w:val="0"/>
          <w:numId w:val="47"/>
        </w:numPr>
        <w:shd w:val="clear" w:color="auto" w:fill="auto"/>
        <w:tabs>
          <w:tab w:pos="719" w:val="left"/>
        </w:tabs>
        <w:bidi w:val="0"/>
        <w:spacing w:before="0"/>
        <w:ind w:left="0" w:right="0" w:firstLine="440"/>
        <w:jc w:val="both"/>
      </w:pPr>
      <w:bookmarkStart w:id="858" w:name="bookmark858"/>
      <w:bookmarkEnd w:id="858"/>
      <w:r>
        <w:rPr>
          <w:color w:val="000000"/>
          <w:spacing w:val="0"/>
          <w:w w:val="100"/>
          <w:position w:val="0"/>
        </w:rPr>
        <w:t>长期股权投资的处置</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处置长期股权投资，其账面价值与实际取得价款的差额，计入当期损益。</w:t>
      </w:r>
    </w:p>
    <w:p>
      <w:pPr>
        <w:pStyle w:val="Style34"/>
        <w:keepNext w:val="0"/>
        <w:keepLines w:val="0"/>
        <w:widowControl w:val="0"/>
        <w:shd w:val="clear" w:color="auto" w:fill="auto"/>
        <w:tabs>
          <w:tab w:pos="799" w:val="left"/>
        </w:tabs>
        <w:bidi w:val="0"/>
        <w:spacing w:before="0" w:after="0"/>
        <w:ind w:left="0" w:right="0" w:firstLine="440"/>
        <w:jc w:val="both"/>
      </w:pPr>
      <w:bookmarkStart w:id="859" w:name="bookmark859"/>
      <w:r>
        <w:rPr>
          <w:rFonts w:ascii="Times New Roman" w:eastAsia="Times New Roman" w:hAnsi="Times New Roman" w:cs="Times New Roman"/>
          <w:color w:val="000000"/>
          <w:spacing w:val="0"/>
          <w:w w:val="100"/>
          <w:position w:val="0"/>
        </w:rPr>
        <w:t>（</w:t>
      </w:r>
      <w:bookmarkEnd w:id="859"/>
      <w:r>
        <w:rPr>
          <w:rFonts w:ascii="Times New Roman" w:eastAsia="Times New Roman" w:hAnsi="Times New Roman" w:cs="Times New Roman"/>
          <w:color w:val="000000"/>
          <w:spacing w:val="0"/>
          <w:w w:val="100"/>
          <w:position w:val="0"/>
        </w:rPr>
        <w:t>1）</w:t>
        <w:tab/>
      </w:r>
      <w:r>
        <w:rPr>
          <w:color w:val="000000"/>
          <w:spacing w:val="0"/>
          <w:w w:val="100"/>
          <w:position w:val="0"/>
        </w:rPr>
        <w:t>权益法核算下的长期股权投资的处置</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采用权益法核算的长期股权投资，处置后的剩余股权仍采用权益法核算的，在处置该项投资时，采用与被投资单位直 接处置相关资产或者负债相同的基础，按相应比例对原计入其他综合收益的部分进行会计处理。因被投资单位除净损益、其 他综合收益和利润分配以外的其他所有者权益变动而确认的所有者权益，按比例结转入当期损益。</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因处置部分股权投资等原因丧失了对投资单位的共同控制或者重大影响的，处置后的剩余股权改按金融工具确认和计 量准则核算，其在丧失共同控制或重大影响之日的公允价值与账面价值之间的差额计入当期损益。原股权投资因采用权益法 核算而确认的其他综合收益，在终止确认权益法核算时采用与被投资单位直接处置相关资产或负债相同的基础进行会计处 理。因被投资方除净损益、其他综合收益和利润分配以外的其他所有者权益变动而确认的所有者权益，在终止采用权益法核 算时全部转入当期损益。</w:t>
      </w:r>
    </w:p>
    <w:p>
      <w:pPr>
        <w:pStyle w:val="Style34"/>
        <w:keepNext w:val="0"/>
        <w:keepLines w:val="0"/>
        <w:widowControl w:val="0"/>
        <w:shd w:val="clear" w:color="auto" w:fill="auto"/>
        <w:tabs>
          <w:tab w:pos="799" w:val="left"/>
        </w:tabs>
        <w:bidi w:val="0"/>
        <w:spacing w:before="0" w:after="0"/>
        <w:ind w:left="0" w:right="0" w:firstLine="440"/>
        <w:jc w:val="both"/>
      </w:pPr>
      <w:bookmarkStart w:id="860" w:name="bookmark860"/>
      <w:r>
        <w:rPr>
          <w:rFonts w:ascii="Times New Roman" w:eastAsia="Times New Roman" w:hAnsi="Times New Roman" w:cs="Times New Roman"/>
          <w:color w:val="000000"/>
          <w:spacing w:val="0"/>
          <w:w w:val="100"/>
          <w:position w:val="0"/>
        </w:rPr>
        <w:t>（</w:t>
      </w:r>
      <w:bookmarkEnd w:id="860"/>
      <w:r>
        <w:rPr>
          <w:rFonts w:ascii="Times New Roman" w:eastAsia="Times New Roman" w:hAnsi="Times New Roman" w:cs="Times New Roman"/>
          <w:color w:val="000000"/>
          <w:spacing w:val="0"/>
          <w:w w:val="100"/>
          <w:position w:val="0"/>
        </w:rPr>
        <w:t>2）</w:t>
        <w:tab/>
      </w:r>
      <w:r>
        <w:rPr>
          <w:color w:val="000000"/>
          <w:spacing w:val="0"/>
          <w:w w:val="100"/>
          <w:position w:val="0"/>
        </w:rPr>
        <w:t>成本法核算下的长期股权投资的处置</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采用成本法核算的长期股权投资，处置后剩余股权仍采用成本法核算的，其在取得对被投资单位的控制之前因采用权 益法核算或者金融工具确认和计量准则核算而确认的其他综合收益，采用与被投资单位直接处置相关资产或者负债相同的基 础进行处理，并按比例结转当期损益；因采用权益法核算而确认的被投资单位净资产中除净损益、其他综合收益和净利润分 配以外的其他所有者权益变动按比例结转当期损益。</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因其他投资方增资而导致本公司持股比例下降、从而丧失控制权但能对被投资单位实施共同控制或施加重大影响的， 按照新的持股比例确认本公司应享有的被投资单位因增资扩股而增加净资产的份额，与应结转持股比例下降部分所对应的长 期股权投资原账面价值之间的差额计入当期损益；然后，按照新的持股比例视同自取得投资时即采用权益法核算进行调整。</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公司因处置部分股权投资或其他原因丧失了对原有子公司控制权的，处置后的剩余股权能够对被投资单位实施共同控 制或施加重大影响的，改按权益法核算，并对该剩余股权视同自取得时即采用权益法核算进行调整，购买日之前持有的股权 投资因采用权益法核算而确认的其他综合收益和其他所有者权益按比例结转;处置后的剩余股权不能对被投资单位实施共同 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号——金融工具确认和计量》的有关规定进行会计处理，其在丧失控制之 日的公允价值与账面价值间的差额计入当期损益，其他综合收益和其他所有者权益全部结转为当期损益。</w:t>
      </w:r>
    </w:p>
    <w:p>
      <w:pPr>
        <w:pStyle w:val="Style3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本公司通过多次交易分步处置对子公司股权投资直至丧失控制权，如果上述交易属于一揽子交易的，将各项交易作为 一项处置子公司股权投资并丧失控制权的交易进行会计处理,在丧失控制权之前每一次处置价款与所处置的股权对应的长期 股权投资账面价值之间的差额，先确认为其他综合收益，到丧失控制权时再一并转入丧失控制权的当期损益。</w:t>
      </w:r>
    </w:p>
    <w:p>
      <w:pPr>
        <w:pStyle w:val="Style38"/>
        <w:keepNext/>
        <w:keepLines/>
        <w:widowControl w:val="0"/>
        <w:shd w:val="clear" w:color="auto" w:fill="auto"/>
        <w:tabs>
          <w:tab w:pos="436" w:val="left"/>
        </w:tabs>
        <w:bidi w:val="0"/>
        <w:spacing w:before="0" w:after="28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61"/>
      <w:bookmarkEnd w:id="862"/>
      <w:bookmarkEnd w:id="864"/>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8"/>
        <w:keepNext/>
        <w:keepLines/>
        <w:widowControl w:val="0"/>
        <w:shd w:val="clear" w:color="auto" w:fill="auto"/>
        <w:tabs>
          <w:tab w:pos="436" w:val="left"/>
        </w:tabs>
        <w:bidi w:val="0"/>
        <w:spacing w:before="0" w:after="3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65"/>
      <w:bookmarkEnd w:id="866"/>
      <w:bookmarkEnd w:id="868"/>
    </w:p>
    <w:p>
      <w:pPr>
        <w:pStyle w:val="Style38"/>
        <w:keepNext/>
        <w:keepLines/>
        <w:widowControl w:val="0"/>
        <w:shd w:val="clear" w:color="auto" w:fill="auto"/>
        <w:tabs>
          <w:tab w:pos="445" w:val="left"/>
        </w:tabs>
        <w:bidi w:val="0"/>
        <w:spacing w:before="0" w:after="280" w:line="240" w:lineRule="auto"/>
        <w:ind w:left="0" w:right="0" w:firstLine="0"/>
        <w:jc w:val="left"/>
      </w:pPr>
      <w:bookmarkStart w:id="865" w:name="bookmark865"/>
      <w:bookmarkStart w:id="866" w:name="bookmark866"/>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65"/>
      <w:bookmarkEnd w:id="866"/>
      <w:bookmarkEnd w:id="870"/>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固定资产是指同时具有下列特征的有形资产：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为生产商品、提供劳务、出租或经营管理持有的；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使用寿命超过一个会 计年度。固定资产同时满足下列条件的予以确认：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 能够可靠地计量。与固定资产有关的后续支出，符合上述确认条件的，计入固定资产成本；不符合上述确认条件的，发生时 计入当期损益。</w:t>
      </w:r>
    </w:p>
    <w:p>
      <w:pPr>
        <w:pStyle w:val="Style38"/>
        <w:keepNext/>
        <w:keepLines/>
        <w:widowControl w:val="0"/>
        <w:shd w:val="clear" w:color="auto" w:fill="auto"/>
        <w:tabs>
          <w:tab w:pos="445" w:val="left"/>
        </w:tabs>
        <w:bidi w:val="0"/>
        <w:spacing w:before="0" w:after="380" w:line="240" w:lineRule="auto"/>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71"/>
      <w:bookmarkEnd w:id="872"/>
      <w:bookmarkEnd w:id="874"/>
    </w:p>
    <w:tbl>
      <w:tblPr>
        <w:tblOverlap w:val="never"/>
        <w:jc w:val="center"/>
        <w:tblLayout w:type="fixed"/>
      </w:tblPr>
      <w:tblGrid>
        <w:gridCol w:w="1925"/>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bl>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1.80-3.00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19.20-32.00</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19.20</w:t>
            </w:r>
          </w:p>
        </w:tc>
      </w:tr>
    </w:tbl>
    <w:p>
      <w:pPr>
        <w:pStyle w:val="Style45"/>
        <w:keepNext w:val="0"/>
        <w:keepLines w:val="0"/>
        <w:widowControl w:val="0"/>
        <w:shd w:val="clear" w:color="auto" w:fill="auto"/>
        <w:bidi w:val="0"/>
        <w:spacing w:before="0" w:after="80" w:line="240" w:lineRule="auto"/>
        <w:ind w:left="408" w:right="0" w:firstLine="0"/>
        <w:jc w:val="left"/>
        <w:rPr>
          <w:sz w:val="20"/>
          <w:szCs w:val="20"/>
        </w:rPr>
      </w:pPr>
      <w:r>
        <w:rPr>
          <w:color w:val="000000"/>
          <w:spacing w:val="0"/>
          <w:w w:val="100"/>
          <w:position w:val="0"/>
          <w:sz w:val="20"/>
          <w:szCs w:val="20"/>
        </w:rPr>
        <w:t>说明：</w:t>
      </w:r>
    </w:p>
    <w:p>
      <w:pPr>
        <w:pStyle w:val="Style45"/>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符合资本化条件的固定资产装修费用，在两次装修期间与固定资产尚可使用年限两者中较短的期间内，采用年限平</w:t>
      </w:r>
    </w:p>
    <w:p>
      <w:pPr>
        <w:pStyle w:val="Style34"/>
        <w:keepNext w:val="0"/>
        <w:keepLines w:val="0"/>
        <w:widowControl w:val="0"/>
        <w:shd w:val="clear" w:color="auto" w:fill="auto"/>
        <w:bidi w:val="0"/>
        <w:spacing w:before="0" w:after="0" w:line="318" w:lineRule="exact"/>
        <w:ind w:left="0" w:right="0" w:firstLine="0"/>
        <w:jc w:val="left"/>
      </w:pPr>
      <w:r>
        <w:rPr>
          <w:color w:val="000000"/>
          <w:spacing w:val="0"/>
          <w:w w:val="100"/>
          <w:position w:val="0"/>
        </w:rPr>
        <w:t>均法单独计提折旧。</w:t>
      </w:r>
    </w:p>
    <w:p>
      <w:pPr>
        <w:pStyle w:val="Style34"/>
        <w:keepNext w:val="0"/>
        <w:keepLines w:val="0"/>
        <w:widowControl w:val="0"/>
        <w:shd w:val="clear" w:color="auto" w:fill="auto"/>
        <w:tabs>
          <w:tab w:pos="809" w:val="left"/>
        </w:tabs>
        <w:bidi w:val="0"/>
        <w:spacing w:before="0" w:after="0" w:line="318" w:lineRule="exact"/>
        <w:ind w:left="0" w:right="0" w:firstLine="440"/>
        <w:jc w:val="both"/>
      </w:pPr>
      <w:bookmarkStart w:id="875" w:name="bookmark875"/>
      <w:r>
        <w:rPr>
          <w:rFonts w:ascii="Times New Roman" w:eastAsia="Times New Roman" w:hAnsi="Times New Roman" w:cs="Times New Roman"/>
          <w:color w:val="000000"/>
          <w:spacing w:val="0"/>
          <w:w w:val="100"/>
          <w:position w:val="0"/>
        </w:rPr>
        <w:t>（</w:t>
      </w:r>
      <w:bookmarkEnd w:id="875"/>
      <w:r>
        <w:rPr>
          <w:rFonts w:ascii="Times New Roman" w:eastAsia="Times New Roman" w:hAnsi="Times New Roman" w:cs="Times New Roman"/>
          <w:color w:val="000000"/>
          <w:spacing w:val="0"/>
          <w:w w:val="100"/>
          <w:position w:val="0"/>
        </w:rPr>
        <w:t>2）</w:t>
        <w:tab/>
      </w:r>
      <w:r>
        <w:rPr>
          <w:color w:val="000000"/>
          <w:spacing w:val="0"/>
          <w:w w:val="100"/>
          <w:position w:val="0"/>
        </w:rPr>
        <w:t>已计提减值准备的固定资产，还应扣除已计提的固定资产减值准备累计金额计算折旧率。</w:t>
      </w:r>
    </w:p>
    <w:p>
      <w:pPr>
        <w:pStyle w:val="Style34"/>
        <w:keepNext w:val="0"/>
        <w:keepLines w:val="0"/>
        <w:widowControl w:val="0"/>
        <w:shd w:val="clear" w:color="auto" w:fill="auto"/>
        <w:tabs>
          <w:tab w:pos="809" w:val="left"/>
        </w:tabs>
        <w:bidi w:val="0"/>
        <w:spacing w:before="0" w:after="380" w:line="318" w:lineRule="exact"/>
        <w:ind w:left="0" w:right="0" w:firstLine="440"/>
        <w:jc w:val="both"/>
      </w:pPr>
      <w:bookmarkStart w:id="876" w:name="bookmark876"/>
      <w:r>
        <w:rPr>
          <w:rFonts w:ascii="Times New Roman" w:eastAsia="Times New Roman" w:hAnsi="Times New Roman" w:cs="Times New Roman"/>
          <w:color w:val="000000"/>
          <w:spacing w:val="0"/>
          <w:w w:val="100"/>
          <w:position w:val="0"/>
        </w:rPr>
        <w:t>（</w:t>
      </w:r>
      <w:bookmarkEnd w:id="876"/>
      <w:r>
        <w:rPr>
          <w:rFonts w:ascii="Times New Roman" w:eastAsia="Times New Roman" w:hAnsi="Times New Roman" w:cs="Times New Roman"/>
          <w:color w:val="000000"/>
          <w:spacing w:val="0"/>
          <w:w w:val="100"/>
          <w:position w:val="0"/>
        </w:rPr>
        <w:t>3）</w:t>
        <w:tab/>
      </w:r>
      <w:r>
        <w:rPr>
          <w:color w:val="000000"/>
          <w:spacing w:val="0"/>
          <w:w w:val="100"/>
          <w:position w:val="0"/>
        </w:rPr>
        <w:t>公司至少年度终了对固定资产的使用寿命、预计净残值和折旧方法进行复核，如发生改变则作为会计估计变更处理。</w:t>
      </w:r>
    </w:p>
    <w:p>
      <w:pPr>
        <w:pStyle w:val="Style38"/>
        <w:keepNext/>
        <w:keepLines/>
        <w:widowControl w:val="0"/>
        <w:shd w:val="clear" w:color="auto" w:fill="auto"/>
        <w:bidi w:val="0"/>
        <w:spacing w:before="0" w:after="28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77"/>
      <w:bookmarkEnd w:id="878"/>
      <w:bookmarkEnd w:id="880"/>
    </w:p>
    <w:p>
      <w:pPr>
        <w:pStyle w:val="Style3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当本公司租入的固定资产符合下列一项或数项标准时，确认为融资租入固定资产：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在租赁期届满时，租赁资产的所有权 转移给本公司；</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本公司有购买租赁资产的选择权，所订立的购买价款预计将远低于行使选择权时租赁资产的公允价值， 因而在租赁开始日就可以合理确定本公司将会行使这种选择权；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即使资产的所有权不转移，但租赁期占租赁资产使用寿 命的大部分；</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本公司在租赁开始日的最低租赁付款额现值，几乎相当于租赁开始日租赁资产公允价值；出租人在租赁开 始日的最低租赁收款额现值，几乎相当于租赁开始日租赁资产公允价值；</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租赁资产性质特殊，如果不作较大改造，只有 本公司才能使用。融资租赁租入的固定资产，按租赁开始日租赁资产公允价值与最低租赁付款额的现值两者中较低者，作为 入账价值。最低租赁付款额作为长期应付款的入账价值，其差额作为未确认融资费用。在租赁谈判和签订租赁合同过程中发 生的，可归属于租赁项目的手续费、律师费、差旅费、印花税等初始直接费用，计入租入资产价值。未确认融资费用在租赁 期内各个期间采用实际利率法进行分摊。融资租入的固定资产采用与自有固定资产一致的政策计提租赁资产折旧。能够合理 确定租赁期届满时将会取得租赁资产所有权的，在租赁资产尚可使用年限内计提折旧；无法合理确定租赁期届满时能够取得 租赁资产所有权的，在租赁期与租赁资产尚可使用年限两者中较短的期间内计提折旧。</w:t>
      </w:r>
    </w:p>
    <w:p>
      <w:pPr>
        <w:pStyle w:val="Style38"/>
        <w:keepNext/>
        <w:keepLines/>
        <w:widowControl w:val="0"/>
        <w:shd w:val="clear" w:color="auto" w:fill="auto"/>
        <w:tabs>
          <w:tab w:pos="451" w:val="left"/>
        </w:tabs>
        <w:bidi w:val="0"/>
        <w:spacing w:before="0" w:after="3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81"/>
      <w:bookmarkEnd w:id="882"/>
      <w:bookmarkEnd w:id="884"/>
    </w:p>
    <w:p>
      <w:pPr>
        <w:pStyle w:val="Style38"/>
        <w:keepNext/>
        <w:keepLines/>
        <w:widowControl w:val="0"/>
        <w:shd w:val="clear" w:color="auto" w:fill="auto"/>
        <w:tabs>
          <w:tab w:pos="451" w:val="left"/>
        </w:tabs>
        <w:bidi w:val="0"/>
        <w:spacing w:before="0" w:after="280" w:line="240" w:lineRule="auto"/>
        <w:ind w:left="0" w:right="0" w:firstLine="0"/>
        <w:jc w:val="left"/>
      </w:pPr>
      <w:bookmarkStart w:id="881" w:name="bookmark881"/>
      <w:bookmarkStart w:id="882" w:name="bookmark882"/>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81"/>
      <w:bookmarkEnd w:id="882"/>
      <w:bookmarkEnd w:id="886"/>
    </w:p>
    <w:p>
      <w:pPr>
        <w:pStyle w:val="Style34"/>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34"/>
        <w:keepNext w:val="0"/>
        <w:keepLines w:val="0"/>
        <w:widowControl w:val="0"/>
        <w:numPr>
          <w:ilvl w:val="0"/>
          <w:numId w:val="53"/>
        </w:numPr>
        <w:shd w:val="clear" w:color="auto" w:fill="auto"/>
        <w:tabs>
          <w:tab w:pos="727" w:val="left"/>
        </w:tabs>
        <w:bidi w:val="0"/>
        <w:spacing w:before="0" w:after="0" w:line="318" w:lineRule="exact"/>
        <w:ind w:left="0" w:right="0" w:firstLine="440"/>
        <w:jc w:val="left"/>
      </w:pPr>
      <w:bookmarkStart w:id="887" w:name="bookmark887"/>
      <w:bookmarkEnd w:id="887"/>
      <w:r>
        <w:rPr>
          <w:color w:val="000000"/>
          <w:spacing w:val="0"/>
          <w:w w:val="100"/>
          <w:position w:val="0"/>
        </w:rPr>
        <w:t>借款费用资本化的确认原则</w:t>
      </w:r>
    </w:p>
    <w:p>
      <w:pPr>
        <w:pStyle w:val="Style34"/>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他借款费用，在发生时根据其发生额确认为费用，计入当期损益。</w:t>
      </w:r>
    </w:p>
    <w:p>
      <w:pPr>
        <w:pStyle w:val="Style34"/>
        <w:keepNext w:val="0"/>
        <w:keepLines w:val="0"/>
        <w:widowControl w:val="0"/>
        <w:numPr>
          <w:ilvl w:val="0"/>
          <w:numId w:val="53"/>
        </w:numPr>
        <w:shd w:val="clear" w:color="auto" w:fill="auto"/>
        <w:tabs>
          <w:tab w:pos="747" w:val="left"/>
        </w:tabs>
        <w:bidi w:val="0"/>
        <w:spacing w:before="0" w:after="0" w:line="318" w:lineRule="exact"/>
        <w:ind w:left="0" w:right="0" w:firstLine="440"/>
        <w:jc w:val="left"/>
      </w:pPr>
      <w:bookmarkStart w:id="888" w:name="bookmark888"/>
      <w:bookmarkEnd w:id="888"/>
      <w:r>
        <w:rPr>
          <w:color w:val="000000"/>
          <w:spacing w:val="0"/>
          <w:w w:val="100"/>
          <w:position w:val="0"/>
        </w:rPr>
        <w:t>借款费用资本化期间</w:t>
      </w:r>
    </w:p>
    <w:p>
      <w:pPr>
        <w:pStyle w:val="Style34"/>
        <w:keepNext w:val="0"/>
        <w:keepLines w:val="0"/>
        <w:widowControl w:val="0"/>
        <w:shd w:val="clear" w:color="auto" w:fill="auto"/>
        <w:tabs>
          <w:tab w:pos="787" w:val="left"/>
        </w:tabs>
        <w:bidi w:val="0"/>
        <w:spacing w:before="0" w:after="0" w:line="318" w:lineRule="exact"/>
        <w:ind w:left="0" w:right="0" w:firstLine="440"/>
        <w:jc w:val="both"/>
      </w:pPr>
      <w:bookmarkStart w:id="889" w:name="bookmark889"/>
      <w:r>
        <w:rPr>
          <w:rFonts w:ascii="Times New Roman" w:eastAsia="Times New Roman" w:hAnsi="Times New Roman" w:cs="Times New Roman"/>
          <w:color w:val="000000"/>
          <w:spacing w:val="0"/>
          <w:w w:val="100"/>
          <w:position w:val="0"/>
        </w:rPr>
        <w:t>（</w:t>
      </w:r>
      <w:bookmarkEnd w:id="889"/>
      <w:r>
        <w:rPr>
          <w:rFonts w:ascii="Times New Roman" w:eastAsia="Times New Roman" w:hAnsi="Times New Roman" w:cs="Times New Roman"/>
          <w:color w:val="000000"/>
          <w:spacing w:val="0"/>
          <w:w w:val="100"/>
          <w:position w:val="0"/>
        </w:rPr>
        <w:t>1）</w:t>
        <w:tab/>
      </w:r>
      <w:r>
        <w:rPr>
          <w:color w:val="000000"/>
          <w:spacing w:val="0"/>
          <w:w w:val="100"/>
          <w:position w:val="0"/>
        </w:rPr>
        <w:t>当同时满足下列条件时，开始资本化：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 销售状态所必要的购建或者生产活动已经开始。</w:t>
      </w:r>
    </w:p>
    <w:p>
      <w:pPr>
        <w:pStyle w:val="Style34"/>
        <w:keepNext w:val="0"/>
        <w:keepLines w:val="0"/>
        <w:widowControl w:val="0"/>
        <w:shd w:val="clear" w:color="auto" w:fill="auto"/>
        <w:tabs>
          <w:tab w:pos="787" w:val="left"/>
        </w:tabs>
        <w:bidi w:val="0"/>
        <w:spacing w:before="0" w:after="0" w:line="318" w:lineRule="exact"/>
        <w:ind w:left="0" w:right="0" w:firstLine="440"/>
        <w:jc w:val="both"/>
      </w:pPr>
      <w:bookmarkStart w:id="890" w:name="bookmark890"/>
      <w:r>
        <w:rPr>
          <w:rFonts w:ascii="Times New Roman" w:eastAsia="Times New Roman" w:hAnsi="Times New Roman" w:cs="Times New Roman"/>
          <w:color w:val="000000"/>
          <w:spacing w:val="0"/>
          <w:w w:val="100"/>
          <w:position w:val="0"/>
        </w:rPr>
        <w:t>（</w:t>
      </w:r>
      <w:bookmarkEnd w:id="890"/>
      <w:r>
        <w:rPr>
          <w:rFonts w:ascii="Times New Roman" w:eastAsia="Times New Roman" w:hAnsi="Times New Roman" w:cs="Times New Roman"/>
          <w:color w:val="000000"/>
          <w:spacing w:val="0"/>
          <w:w w:val="100"/>
          <w:position w:val="0"/>
        </w:rPr>
        <w:t>2）</w:t>
        <w:tab/>
      </w:r>
      <w:r>
        <w:rPr>
          <w:color w:val="000000"/>
          <w:spacing w:val="0"/>
          <w:w w:val="100"/>
          <w:position w:val="0"/>
        </w:rPr>
        <w:t>暂停资本化：若符合资本化条件的资产在购建或者生产过程中发生非正常中断，并且中断时间连续超过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 借款费用的资本化；中断期间发生的借款费用确认为当期费用，直至资产的购建或者生产活动重新开始。该项中断如是所购 建或生产的符合资本化条件的资产达到预定可使用状态或者可销售状态必要的程序，则借款费用继续资本化。</w:t>
      </w:r>
    </w:p>
    <w:p>
      <w:pPr>
        <w:pStyle w:val="Style34"/>
        <w:keepNext w:val="0"/>
        <w:keepLines w:val="0"/>
        <w:widowControl w:val="0"/>
        <w:shd w:val="clear" w:color="auto" w:fill="auto"/>
        <w:tabs>
          <w:tab w:pos="782" w:val="left"/>
        </w:tabs>
        <w:bidi w:val="0"/>
        <w:spacing w:before="0" w:after="0" w:line="318" w:lineRule="exact"/>
        <w:ind w:left="0" w:right="0" w:firstLine="440"/>
        <w:jc w:val="both"/>
      </w:pPr>
      <w:bookmarkStart w:id="891" w:name="bookmark891"/>
      <w:r>
        <w:rPr>
          <w:rFonts w:ascii="Times New Roman" w:eastAsia="Times New Roman" w:hAnsi="Times New Roman" w:cs="Times New Roman"/>
          <w:color w:val="000000"/>
          <w:spacing w:val="0"/>
          <w:w w:val="100"/>
          <w:position w:val="0"/>
        </w:rPr>
        <w:t>（</w:t>
      </w:r>
      <w:bookmarkEnd w:id="891"/>
      <w:r>
        <w:rPr>
          <w:rFonts w:ascii="Times New Roman" w:eastAsia="Times New Roman" w:hAnsi="Times New Roman" w:cs="Times New Roman"/>
          <w:color w:val="000000"/>
          <w:spacing w:val="0"/>
          <w:w w:val="100"/>
          <w:position w:val="0"/>
        </w:rPr>
        <w:t>3）</w:t>
        <w:tab/>
      </w:r>
      <w:r>
        <w:rPr>
          <w:color w:val="000000"/>
          <w:spacing w:val="0"/>
          <w:w w:val="100"/>
          <w:position w:val="0"/>
        </w:rPr>
        <w:t>停止资本化：当所购建或者生产符合资本化条件的资产达到预定可使用或者可销售状态时，借款费用停止资本化。 当购建或者生产符合资本化的资产中部分项目分别完工且可单独使用时，该部分资产借款费用停止资本化。购建或者生产的 资产的各部分分别完工，但必须等到整体完工后才可使用或者对外销售的，在该资产整体完工时停止借款费用资本化。</w:t>
      </w:r>
    </w:p>
    <w:p>
      <w:pPr>
        <w:pStyle w:val="Style34"/>
        <w:keepNext w:val="0"/>
        <w:keepLines w:val="0"/>
        <w:widowControl w:val="0"/>
        <w:numPr>
          <w:ilvl w:val="0"/>
          <w:numId w:val="53"/>
        </w:numPr>
        <w:shd w:val="clear" w:color="auto" w:fill="auto"/>
        <w:tabs>
          <w:tab w:pos="747" w:val="left"/>
        </w:tabs>
        <w:bidi w:val="0"/>
        <w:spacing w:before="0" w:after="0" w:line="318" w:lineRule="exact"/>
        <w:ind w:left="0" w:right="0" w:firstLine="440"/>
        <w:jc w:val="both"/>
      </w:pPr>
      <w:bookmarkStart w:id="892" w:name="bookmark892"/>
      <w:bookmarkEnd w:id="892"/>
      <w:r>
        <w:rPr>
          <w:color w:val="000000"/>
          <w:spacing w:val="0"/>
          <w:w w:val="100"/>
          <w:position w:val="0"/>
        </w:rPr>
        <w:t>借款费用资本化率及资本化金额的计算方法</w:t>
      </w:r>
    </w:p>
    <w:p>
      <w:pPr>
        <w:pStyle w:val="Style34"/>
        <w:keepNext w:val="0"/>
        <w:keepLines w:val="0"/>
        <w:widowControl w:val="0"/>
        <w:shd w:val="clear" w:color="auto" w:fill="auto"/>
        <w:bidi w:val="0"/>
        <w:spacing w:before="0" w:after="700" w:line="318" w:lineRule="exact"/>
        <w:ind w:left="0" w:right="0" w:firstLine="440"/>
        <w:jc w:val="both"/>
        <w:sectPr>
          <w:headerReference w:type="default" r:id="rId135"/>
          <w:footerReference w:type="default" r:id="rId136"/>
          <w:headerReference w:type="even" r:id="rId137"/>
          <w:footerReference w:type="even" r:id="rId138"/>
          <w:footnotePr>
            <w:pos w:val="pageBottom"/>
            <w:numFmt w:val="decimal"/>
            <w:numRestart w:val="continuous"/>
          </w:footnotePr>
          <w:type w:val="continuous"/>
          <w:pgSz w:w="11900" w:h="16840"/>
          <w:pgMar w:top="1388" w:right="1051" w:bottom="1470" w:left="1077" w:header="0" w:footer="3" w:gutter="0"/>
          <w:cols w:space="720"/>
          <w:noEndnote/>
          <w:rtlGutter w:val="0"/>
          <w:docGrid w:linePitch="360"/>
        </w:sectPr>
      </w:pPr>
      <w:r>
        <w:rPr>
          <w:color w:val="000000"/>
          <w:spacing w:val="0"/>
          <w:w w:val="100"/>
          <w:position w:val="0"/>
        </w:rPr>
        <w:t>为购建或者生产符合资本化条件的资产而借入专门借款的，以专门借款当期实际发生的利息费用</w:t>
      </w:r>
      <w:r>
        <w:rPr>
          <w:rFonts w:ascii="Times New Roman" w:eastAsia="Times New Roman" w:hAnsi="Times New Roman" w:cs="Times New Roman"/>
          <w:color w:val="000000"/>
          <w:spacing w:val="0"/>
          <w:w w:val="100"/>
          <w:position w:val="0"/>
        </w:rPr>
        <w:t>（</w:t>
      </w:r>
      <w:r>
        <w:rPr>
          <w:color w:val="000000"/>
          <w:spacing w:val="0"/>
          <w:w w:val="100"/>
          <w:position w:val="0"/>
        </w:rPr>
        <w:t xml:space="preserve">包括按照实际利率法 </w:t>
      </w:r>
    </w:p>
    <w:p>
      <w:pPr>
        <w:pStyle w:val="Style34"/>
        <w:keepNext w:val="0"/>
        <w:keepLines w:val="0"/>
        <w:widowControl w:val="0"/>
        <w:shd w:val="clear" w:color="auto" w:fill="auto"/>
        <w:bidi w:val="0"/>
        <w:spacing w:before="0" w:after="700" w:line="318" w:lineRule="exact"/>
        <w:ind w:left="0" w:right="0" w:firstLine="0"/>
        <w:jc w:val="both"/>
      </w:pPr>
      <w:r>
        <w:rPr>
          <w:color w:val="000000"/>
          <w:spacing w:val="0"/>
          <w:w w:val="100"/>
          <w:position w:val="0"/>
        </w:rPr>
        <w:t>确定的折价或溢价的摊销</w:t>
      </w:r>
      <w:r>
        <w:rPr>
          <w:rFonts w:ascii="Times New Roman" w:eastAsia="Times New Roman" w:hAnsi="Times New Roman" w:cs="Times New Roman"/>
          <w:color w:val="000000"/>
          <w:spacing w:val="0"/>
          <w:w w:val="100"/>
          <w:position w:val="0"/>
        </w:rPr>
        <w:t>）</w:t>
      </w:r>
      <w:r>
        <w:rPr>
          <w:color w:val="000000"/>
          <w:spacing w:val="0"/>
          <w:w w:val="100"/>
          <w:position w:val="0"/>
        </w:rPr>
        <w:t>，减去将尚未动用的借款资金存入银行取得的利息收入或进行暂时性投资取得的投资收益后的金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w:t>
      </w:r>
      <w:r>
        <w:rPr>
          <w:rFonts w:ascii="Times New Roman" w:eastAsia="Times New Roman" w:hAnsi="Times New Roman" w:cs="Times New Roman"/>
          <w:color w:val="000000"/>
          <w:spacing w:val="0"/>
          <w:w w:val="100"/>
          <w:position w:val="0"/>
        </w:rPr>
        <w:t>（</w:t>
      </w:r>
      <w:r>
        <w:rPr>
          <w:color w:val="000000"/>
          <w:spacing w:val="0"/>
          <w:w w:val="100"/>
          <w:position w:val="0"/>
        </w:rPr>
        <w:t>加权平均利率</w:t>
      </w:r>
      <w:r>
        <w:rPr>
          <w:rFonts w:ascii="Times New Roman" w:eastAsia="Times New Roman" w:hAnsi="Times New Roman" w:cs="Times New Roman"/>
          <w:color w:val="000000"/>
          <w:spacing w:val="0"/>
          <w:w w:val="100"/>
          <w:position w:val="0"/>
        </w:rPr>
        <w:t>）</w:t>
      </w:r>
      <w:r>
        <w:rPr>
          <w:color w:val="000000"/>
          <w:spacing w:val="0"/>
          <w:w w:val="100"/>
          <w:position w:val="0"/>
        </w:rPr>
        <w:t>，计算确定一般借款应予资本化的利息金额。在资本 化期间内，每一会计期间的利息资本化金额不超过当期相关借款实际发生的利息金额。外币专门借款本金及利息的汇兑差额, 在资本化期间内予以资本化。专门借款发生的辅助费用，在所购建或生产的符合资本化条件的资产达到预定可使用或者可销 售状态之前发生的，予以资本化；在达到预定可使用或者可销售状态之后发生的，计入当期损益。一般借款发生的辅助费用， 在发生时计入当期损益。借款存在折价或者溢价的，按照实际利率法确定每一会计期间应摊销的折价或者溢价金额，调整每 期利息金额。</w:t>
      </w:r>
    </w:p>
    <w:p>
      <w:pPr>
        <w:pStyle w:val="Style62"/>
        <w:keepNext w:val="0"/>
        <w:keepLines w:val="0"/>
        <w:widowControl w:val="0"/>
        <w:shd w:val="clear" w:color="auto" w:fill="auto"/>
        <w:tabs>
          <w:tab w:pos="424" w:val="left"/>
        </w:tabs>
        <w:bidi w:val="0"/>
        <w:spacing w:before="0" w:line="240" w:lineRule="auto"/>
        <w:ind w:left="0" w:right="0" w:firstLine="0"/>
        <w:jc w:val="left"/>
      </w:pPr>
      <w:bookmarkStart w:id="893" w:name="bookmark893"/>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p>
    <w:p>
      <w:pPr>
        <w:pStyle w:val="Style62"/>
        <w:keepNext w:val="0"/>
        <w:keepLines w:val="0"/>
        <w:widowControl w:val="0"/>
        <w:shd w:val="clear" w:color="auto" w:fill="auto"/>
        <w:tabs>
          <w:tab w:pos="424" w:val="left"/>
        </w:tabs>
        <w:bidi w:val="0"/>
        <w:spacing w:before="0" w:line="240" w:lineRule="auto"/>
        <w:ind w:left="0" w:right="0" w:firstLine="0"/>
        <w:jc w:val="left"/>
      </w:pPr>
      <w:bookmarkStart w:id="894" w:name="bookmark894"/>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p>
    <w:p>
      <w:pPr>
        <w:pStyle w:val="Style62"/>
        <w:keepNext w:val="0"/>
        <w:keepLines w:val="0"/>
        <w:widowControl w:val="0"/>
        <w:shd w:val="clear" w:color="auto" w:fill="auto"/>
        <w:tabs>
          <w:tab w:pos="424" w:val="left"/>
        </w:tabs>
        <w:bidi w:val="0"/>
        <w:spacing w:before="0" w:line="240" w:lineRule="auto"/>
        <w:ind w:left="0" w:right="0" w:firstLine="0"/>
        <w:jc w:val="left"/>
      </w:pPr>
      <w:bookmarkStart w:id="895" w:name="bookmark895"/>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p>
    <w:p>
      <w:pPr>
        <w:pStyle w:val="Style62"/>
        <w:keepNext w:val="0"/>
        <w:keepLines w:val="0"/>
        <w:widowControl w:val="0"/>
        <w:shd w:val="clear" w:color="auto" w:fill="auto"/>
        <w:tabs>
          <w:tab w:pos="424" w:val="left"/>
        </w:tabs>
        <w:bidi w:val="0"/>
        <w:spacing w:before="0" w:line="240" w:lineRule="auto"/>
        <w:ind w:left="0" w:right="0" w:firstLine="0"/>
        <w:jc w:val="left"/>
      </w:pPr>
      <w:bookmarkStart w:id="896" w:name="bookmark896"/>
      <w:r>
        <w:rPr>
          <w:rFonts w:ascii="Times New Roman" w:eastAsia="Times New Roman" w:hAnsi="Times New Roman" w:cs="Times New Roman"/>
          <w:color w:val="000000"/>
          <w:spacing w:val="0"/>
          <w:w w:val="100"/>
          <w:position w:val="0"/>
        </w:rPr>
        <w:t>3</w:t>
      </w:r>
      <w:bookmarkEnd w:id="896"/>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p>
    <w:p>
      <w:pPr>
        <w:pStyle w:val="Style62"/>
        <w:keepNext w:val="0"/>
        <w:keepLines w:val="0"/>
        <w:widowControl w:val="0"/>
        <w:shd w:val="clear" w:color="auto" w:fill="auto"/>
        <w:bidi w:val="0"/>
        <w:spacing w:before="0" w:after="280" w:line="240" w:lineRule="auto"/>
        <w:ind w:left="0" w:right="0" w:firstLine="0"/>
        <w:jc w:val="left"/>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p>
    <w:p>
      <w:pPr>
        <w:pStyle w:val="Style34"/>
        <w:keepNext w:val="0"/>
        <w:keepLines w:val="0"/>
        <w:widowControl w:val="0"/>
        <w:numPr>
          <w:ilvl w:val="0"/>
          <w:numId w:val="55"/>
        </w:numPr>
        <w:shd w:val="clear" w:color="auto" w:fill="auto"/>
        <w:tabs>
          <w:tab w:pos="709" w:val="left"/>
        </w:tabs>
        <w:bidi w:val="0"/>
        <w:spacing w:before="0" w:after="0" w:line="313" w:lineRule="exact"/>
        <w:ind w:left="0" w:right="0" w:firstLine="440"/>
        <w:jc w:val="both"/>
      </w:pPr>
      <w:bookmarkStart w:id="898" w:name="bookmark898"/>
      <w:bookmarkEnd w:id="898"/>
      <w:r>
        <w:rPr>
          <w:color w:val="000000"/>
          <w:spacing w:val="0"/>
          <w:w w:val="100"/>
          <w:position w:val="0"/>
        </w:rPr>
        <w:t>无形资产的初始计量</w:t>
      </w:r>
    </w:p>
    <w:p>
      <w:pPr>
        <w:pStyle w:val="Style3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无形资产按成本进行初始计量。外购无形资产的成本，包括购买价、相关税费以及直接归属于该项资产达到预定用途 所发生的其他支出。购买无形资产的价款超过正常信用条件延期支付，实质上具有融资性质的，无形资产的成本以购买价款 的现值为基础确定。债务重组取得债务人用以抵债的无形资产，以放弃债权的公允价值和可直接归属于使该资产达到预定用 途所发生的税金等其他成本为基础确定其入账价值。在非货币性资产交换具备商业实质且换入或换出资产的公允价值能够可 靠计量的前提下，非货币性资产交换换入的无形资产以换出资产的公允价值和应支付的相关税费作为换入无形资产的成本， 除非有确凿证据表明换入资产的公允价值更可靠；不满足上述前提的非货币性资产交换，以换出资产的账面价值和应支付的 相关税费作为换入无形资产的成本，不确认损益。</w:t>
      </w:r>
    </w:p>
    <w:p>
      <w:pPr>
        <w:pStyle w:val="Style3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与无形资产有关的支出，如果相关的经济利益很可能流入本公司且成本能可靠地计量，则计入无形资产成本。除此之 外的其他项目的支出，在发生时计入当期损益。</w:t>
      </w:r>
    </w:p>
    <w:p>
      <w:pPr>
        <w:pStyle w:val="Style3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取得的土地使用权通常作为无形资产核算。自行开发构建厂房等建筑物，相关的土地使用权支出和建筑物建造成本分 别作为无形资产和固定资产核算。如为外购的房屋及建筑物，则将有关价款在土地使用权和建筑物之间分配，难以合理分配 的，全部作为固定资产处理。</w:t>
      </w:r>
    </w:p>
    <w:p>
      <w:pPr>
        <w:pStyle w:val="Style34"/>
        <w:keepNext w:val="0"/>
        <w:keepLines w:val="0"/>
        <w:widowControl w:val="0"/>
        <w:numPr>
          <w:ilvl w:val="0"/>
          <w:numId w:val="55"/>
        </w:numPr>
        <w:shd w:val="clear" w:color="auto" w:fill="auto"/>
        <w:tabs>
          <w:tab w:pos="719" w:val="left"/>
        </w:tabs>
        <w:bidi w:val="0"/>
        <w:spacing w:before="0" w:after="0" w:line="313" w:lineRule="exact"/>
        <w:ind w:left="0" w:right="0" w:firstLine="440"/>
        <w:jc w:val="left"/>
      </w:pPr>
      <w:bookmarkStart w:id="899" w:name="bookmark899"/>
      <w:bookmarkEnd w:id="899"/>
      <w:r>
        <w:rPr>
          <w:color w:val="000000"/>
          <w:spacing w:val="0"/>
          <w:w w:val="100"/>
          <w:position w:val="0"/>
        </w:rPr>
        <w:t>无形资产使用寿命及摊销</w:t>
      </w:r>
    </w:p>
    <w:p>
      <w:pPr>
        <w:pStyle w:val="Style3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根据无形资产的合同性权利或其他法定权利、同行业情况、历史经验、相关专家论证等综合因素判断，能合理确定无 形资产为公司带来经济利益期限的，作为使用寿命有限的无形资产；无法合理确定无形资产为公司带来经济利益期限的，视 为使用寿命不确定的无形资产。</w:t>
      </w:r>
    </w:p>
    <w:p>
      <w:pPr>
        <w:pStyle w:val="Style3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对使用寿命有限的无形资产，估计其使用寿命时通常考虑以下因素：</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运用该资产生产的产品通常的寿命周期、可获 得的类似资产使用寿命的信息；</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技术、工艺等方面的现阶段情况及对未来发展趋势的估计；</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以该资产生产的产品或提 供劳务的市场需求情况；</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现在或潜在的竞争者预期采取的行动；</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为维持该资产带来经济利益能力的预期维护支出，以 及公司预计支付有关支出的能力；</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对该资产控制期限的相关法律规定或类似限制，如特许使用期、租赁期等；</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与公司 持有其他资产使用寿命的关联性等。使用寿命有限的无形资产的使用寿命估计情况</w:t>
      </w:r>
      <w:r>
        <w:rPr>
          <w:color w:val="000000"/>
          <w:spacing w:val="0"/>
          <w:w w:val="100"/>
          <w:position w:val="0"/>
        </w:rPr>
        <w:t>：</w:t>
      </w:r>
    </w:p>
    <w:tbl>
      <w:tblPr>
        <w:tblOverlap w:val="never"/>
        <w:jc w:val="left"/>
        <w:tblLayout w:type="fixed"/>
      </w:tblPr>
      <w:tblGrid>
        <w:gridCol w:w="2818"/>
        <w:gridCol w:w="2458"/>
        <w:gridCol w:w="3269"/>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预计使用寿命依据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r>
              <w:rPr>
                <w:rFonts w:ascii="Times New Roman" w:eastAsia="Times New Roman" w:hAnsi="Times New Roman" w:cs="Times New Roman"/>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专用软件</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预计受益期限</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tbl>
      <w:tblPr>
        <w:tblOverlap w:val="never"/>
        <w:jc w:val="left"/>
        <w:tblLayout w:type="fixed"/>
      </w:tblPr>
      <w:tblGrid>
        <w:gridCol w:w="2818"/>
        <w:gridCol w:w="2458"/>
        <w:gridCol w:w="3269"/>
      </w:tblGrid>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预计受益期限</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bl>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使用寿命有限的无形资产，在使用寿命内按照与该项无形资产有关的经济利益的预期实现方式系统合理地摊销，无法 可靠确定预期实现方式的，采用直线法摊销。使用寿命不确定的无形资产不予摊销，但每年均对该无形资产的使用寿命进行 复核，并进行减值测试。</w:t>
      </w:r>
    </w:p>
    <w:p>
      <w:pPr>
        <w:pStyle w:val="Style34"/>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本公司于每年年度终了，对使用寿命有限的无形资产的使用寿命及摊销方法进行复核，与以前估计不同的，调整原先 估计数，并按会计估计变更处理；预计某项无形资产已经不能给企业带来未来经济利益的，将该项无形资产的账面价值全部 转入当期损益。</w:t>
      </w:r>
    </w:p>
    <w:p>
      <w:pPr>
        <w:pStyle w:val="Style38"/>
        <w:keepNext/>
        <w:keepLines/>
        <w:widowControl w:val="0"/>
        <w:shd w:val="clear" w:color="auto" w:fill="auto"/>
        <w:bidi w:val="0"/>
        <w:spacing w:before="0" w:after="280" w:line="240" w:lineRule="auto"/>
        <w:ind w:left="0" w:right="0" w:firstLine="0"/>
        <w:jc w:val="both"/>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00"/>
      <w:bookmarkEnd w:id="901"/>
      <w:bookmarkEnd w:id="903"/>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内部研究开发项目的支出，区分为研究阶段支出和开发阶段支出。划分研究阶段和开发阶段的标准：为获取新的技术 和知识等进行的有计划的调查阶段，应确定为研究阶段，该阶段具有计划性和探索性等特点；在进行商业性生产或使用前， 将研究成果或其他知识应用于某项计划或设计，以生产出新的或具有实质性改进的材料、装置、产品等阶段，应确定为开发 阶段，该阶段具有针对性和形成成果的可能性较大等特点。</w:t>
      </w:r>
    </w:p>
    <w:p>
      <w:pPr>
        <w:pStyle w:val="Style34"/>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内部研究开发项目研究阶段的支出，于发生时计入当期损益。内部研究开发项目开发阶段的支出，同时满足下列条件 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 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无形资产产生经济利益的方式，包括能够证明运用该无形资产生产的产品存在市场或无形资产自身存在市场， 无形资产将在内部使用的，可证明其有用性；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有足够的技术、财务资源和其他资源支持，以完成该无形资产的开发，并 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归属于该无形资产开发阶段的支出能够可靠地计量。如不满足上述条件的，于发生时计 入当期损益；无法区分研究阶段支出和开发阶段支出的，将发生的研发支出全部计入当期损益。</w:t>
      </w:r>
    </w:p>
    <w:p>
      <w:pPr>
        <w:pStyle w:val="Style34"/>
        <w:keepNext w:val="0"/>
        <w:keepLines w:val="0"/>
        <w:widowControl w:val="0"/>
        <w:shd w:val="clear" w:color="auto" w:fill="auto"/>
        <w:bidi w:val="0"/>
        <w:spacing w:before="0" w:after="180"/>
        <w:ind w:left="0" w:right="0" w:firstLine="0"/>
        <w:jc w:val="both"/>
      </w:pPr>
      <w:r>
        <w:rPr>
          <w:rFonts w:ascii="Times New Roman" w:eastAsia="Times New Roman" w:hAnsi="Times New Roman" w:cs="Times New Roman"/>
          <w:b/>
          <w:bCs/>
          <w:color w:val="000000"/>
          <w:spacing w:val="0"/>
          <w:w w:val="100"/>
          <w:position w:val="0"/>
        </w:rPr>
        <w:t>31</w:t>
      </w:r>
      <w:r>
        <w:rPr>
          <w:b/>
          <w:bCs/>
          <w:color w:val="000000"/>
          <w:spacing w:val="0"/>
          <w:w w:val="100"/>
          <w:position w:val="0"/>
        </w:rPr>
        <w:t>、长期资产减值</w:t>
      </w:r>
    </w:p>
    <w:p>
      <w:pPr>
        <w:pStyle w:val="Style34"/>
        <w:keepNext w:val="0"/>
        <w:keepLines w:val="0"/>
        <w:widowControl w:val="0"/>
        <w:shd w:val="clear" w:color="auto" w:fill="auto"/>
        <w:bidi w:val="0"/>
        <w:spacing w:before="0" w:line="315" w:lineRule="exact"/>
        <w:ind w:left="0" w:right="0" w:firstLine="440"/>
        <w:jc w:val="both"/>
      </w:pPr>
      <w:r>
        <w:rPr>
          <w:color w:val="000000"/>
          <w:spacing w:val="0"/>
          <w:w w:val="100"/>
          <w:position w:val="0"/>
        </w:rPr>
        <w:t>长期股权投资、固定资产、无形资产、商誉等长期资产，存在下列迹象的，表明资产可能发生了减值：</w:t>
      </w:r>
    </w:p>
    <w:p>
      <w:pPr>
        <w:pStyle w:val="Style34"/>
        <w:keepNext w:val="0"/>
        <w:keepLines w:val="0"/>
        <w:widowControl w:val="0"/>
        <w:numPr>
          <w:ilvl w:val="0"/>
          <w:numId w:val="57"/>
        </w:numPr>
        <w:shd w:val="clear" w:color="auto" w:fill="auto"/>
        <w:tabs>
          <w:tab w:pos="706" w:val="left"/>
        </w:tabs>
        <w:bidi w:val="0"/>
        <w:spacing w:before="0" w:after="0"/>
        <w:ind w:left="0" w:right="0" w:firstLine="440"/>
        <w:jc w:val="both"/>
      </w:pPr>
      <w:bookmarkStart w:id="904" w:name="bookmark904"/>
      <w:bookmarkEnd w:id="904"/>
      <w:r>
        <w:rPr>
          <w:color w:val="000000"/>
          <w:spacing w:val="0"/>
          <w:w w:val="100"/>
          <w:position w:val="0"/>
        </w:rPr>
        <w:t>资产的市价当期大幅度下跌，其跌幅明显高于因时间的推移或者正常使用而预计的下跌；</w:t>
      </w:r>
    </w:p>
    <w:p>
      <w:pPr>
        <w:pStyle w:val="Style34"/>
        <w:keepNext w:val="0"/>
        <w:keepLines w:val="0"/>
        <w:widowControl w:val="0"/>
        <w:numPr>
          <w:ilvl w:val="0"/>
          <w:numId w:val="57"/>
        </w:numPr>
        <w:shd w:val="clear" w:color="auto" w:fill="auto"/>
        <w:tabs>
          <w:tab w:pos="698" w:val="left"/>
        </w:tabs>
        <w:bidi w:val="0"/>
        <w:spacing w:before="0" w:after="0" w:line="315" w:lineRule="exact"/>
        <w:ind w:left="0" w:right="0" w:firstLine="440"/>
        <w:jc w:val="both"/>
      </w:pPr>
      <w:bookmarkStart w:id="905" w:name="bookmark905"/>
      <w:bookmarkEnd w:id="905"/>
      <w:r>
        <w:rPr>
          <w:color w:val="000000"/>
          <w:spacing w:val="0"/>
          <w:w w:val="100"/>
          <w:position w:val="0"/>
        </w:rPr>
        <w:t>企业经营所处的经济、技术或者法律等环境以及资产所处的市场在当期或者将在近期发生重大变化，从而对企业产 生不利影响；</w:t>
      </w:r>
    </w:p>
    <w:p>
      <w:pPr>
        <w:pStyle w:val="Style34"/>
        <w:keepNext w:val="0"/>
        <w:keepLines w:val="0"/>
        <w:widowControl w:val="0"/>
        <w:numPr>
          <w:ilvl w:val="0"/>
          <w:numId w:val="57"/>
        </w:numPr>
        <w:shd w:val="clear" w:color="auto" w:fill="auto"/>
        <w:tabs>
          <w:tab w:pos="696" w:val="left"/>
        </w:tabs>
        <w:bidi w:val="0"/>
        <w:spacing w:before="0" w:line="315" w:lineRule="exact"/>
        <w:ind w:left="0" w:right="0" w:firstLine="440"/>
        <w:jc w:val="both"/>
      </w:pPr>
      <w:bookmarkStart w:id="906" w:name="bookmark906"/>
      <w:bookmarkEnd w:id="906"/>
      <w:r>
        <w:rPr>
          <w:color w:val="000000"/>
          <w:spacing w:val="0"/>
          <w:w w:val="100"/>
          <w:position w:val="0"/>
        </w:rPr>
        <w:t>市场利率或者其他市场投资报酬率在当期已经提高，从而影响企业计算资产预计未来现金流量现值的折现率，导致 资产可收回金额大幅度降低；</w:t>
      </w:r>
    </w:p>
    <w:p>
      <w:pPr>
        <w:pStyle w:val="Style34"/>
        <w:keepNext w:val="0"/>
        <w:keepLines w:val="0"/>
        <w:widowControl w:val="0"/>
        <w:numPr>
          <w:ilvl w:val="0"/>
          <w:numId w:val="57"/>
        </w:numPr>
        <w:shd w:val="clear" w:color="auto" w:fill="auto"/>
        <w:tabs>
          <w:tab w:pos="725" w:val="left"/>
        </w:tabs>
        <w:bidi w:val="0"/>
        <w:spacing w:before="0" w:after="0"/>
        <w:ind w:left="0" w:right="0" w:firstLine="440"/>
        <w:jc w:val="both"/>
      </w:pPr>
      <w:bookmarkStart w:id="907" w:name="bookmark907"/>
      <w:bookmarkEnd w:id="907"/>
      <w:r>
        <w:rPr>
          <w:color w:val="000000"/>
          <w:spacing w:val="0"/>
          <w:w w:val="100"/>
          <w:position w:val="0"/>
        </w:rPr>
        <w:t>有证据表明资产已经陈旧过时或者其实体已经损坏；</w:t>
      </w:r>
    </w:p>
    <w:p>
      <w:pPr>
        <w:pStyle w:val="Style34"/>
        <w:keepNext w:val="0"/>
        <w:keepLines w:val="0"/>
        <w:widowControl w:val="0"/>
        <w:numPr>
          <w:ilvl w:val="0"/>
          <w:numId w:val="57"/>
        </w:numPr>
        <w:shd w:val="clear" w:color="auto" w:fill="auto"/>
        <w:tabs>
          <w:tab w:pos="725" w:val="left"/>
        </w:tabs>
        <w:bidi w:val="0"/>
        <w:spacing w:before="0" w:after="0"/>
        <w:ind w:left="0" w:right="0" w:firstLine="440"/>
        <w:jc w:val="both"/>
      </w:pPr>
      <w:bookmarkStart w:id="908" w:name="bookmark908"/>
      <w:bookmarkEnd w:id="908"/>
      <w:r>
        <w:rPr>
          <w:color w:val="000000"/>
          <w:spacing w:val="0"/>
          <w:w w:val="100"/>
          <w:position w:val="0"/>
        </w:rPr>
        <w:t>资产已经或者将被闲置、终止使用或者计划提前处置；</w:t>
      </w:r>
    </w:p>
    <w:p>
      <w:pPr>
        <w:pStyle w:val="Style34"/>
        <w:keepNext w:val="0"/>
        <w:keepLines w:val="0"/>
        <w:widowControl w:val="0"/>
        <w:numPr>
          <w:ilvl w:val="0"/>
          <w:numId w:val="57"/>
        </w:numPr>
        <w:shd w:val="clear" w:color="auto" w:fill="auto"/>
        <w:tabs>
          <w:tab w:pos="703" w:val="left"/>
        </w:tabs>
        <w:bidi w:val="0"/>
        <w:spacing w:before="0" w:line="315" w:lineRule="exact"/>
        <w:ind w:left="0" w:right="0" w:firstLine="440"/>
        <w:jc w:val="both"/>
      </w:pPr>
      <w:bookmarkStart w:id="909" w:name="bookmark909"/>
      <w:bookmarkEnd w:id="909"/>
      <w:r>
        <w:rPr>
          <w:color w:val="000000"/>
          <w:spacing w:val="0"/>
          <w:w w:val="100"/>
          <w:position w:val="0"/>
        </w:rPr>
        <w:t>企业内部报告的证据表明资产的经济绩效已经低于或者将低于预期，如资产所创造的净现金流量或者实现的营业利 润</w:t>
      </w:r>
      <w:r>
        <w:rPr>
          <w:rFonts w:ascii="Times New Roman" w:eastAsia="Times New Roman" w:hAnsi="Times New Roman" w:cs="Times New Roman"/>
          <w:color w:val="000000"/>
          <w:spacing w:val="0"/>
          <w:w w:val="100"/>
          <w:position w:val="0"/>
        </w:rPr>
        <w:t>（</w:t>
      </w:r>
      <w:r>
        <w:rPr>
          <w:color w:val="000000"/>
          <w:spacing w:val="0"/>
          <w:w w:val="100"/>
          <w:position w:val="0"/>
        </w:rPr>
        <w:t>或者亏损</w:t>
      </w:r>
      <w:r>
        <w:rPr>
          <w:rFonts w:ascii="Times New Roman" w:eastAsia="Times New Roman" w:hAnsi="Times New Roman" w:cs="Times New Roman"/>
          <w:color w:val="000000"/>
          <w:spacing w:val="0"/>
          <w:w w:val="100"/>
          <w:position w:val="0"/>
        </w:rPr>
        <w:t>）</w:t>
      </w:r>
      <w:r>
        <w:rPr>
          <w:color w:val="000000"/>
          <w:spacing w:val="0"/>
          <w:w w:val="100"/>
          <w:position w:val="0"/>
        </w:rPr>
        <w:t>远远低于</w:t>
      </w:r>
      <w:r>
        <w:rPr>
          <w:rFonts w:ascii="Times New Roman" w:eastAsia="Times New Roman" w:hAnsi="Times New Roman" w:cs="Times New Roman"/>
          <w:color w:val="000000"/>
          <w:spacing w:val="0"/>
          <w:w w:val="100"/>
          <w:position w:val="0"/>
        </w:rPr>
        <w:t>（</w:t>
      </w:r>
      <w:r>
        <w:rPr>
          <w:color w:val="000000"/>
          <w:spacing w:val="0"/>
          <w:w w:val="100"/>
          <w:position w:val="0"/>
        </w:rPr>
        <w:t>或者高于</w:t>
      </w:r>
      <w:r>
        <w:rPr>
          <w:rFonts w:ascii="Times New Roman" w:eastAsia="Times New Roman" w:hAnsi="Times New Roman" w:cs="Times New Roman"/>
          <w:color w:val="000000"/>
          <w:spacing w:val="0"/>
          <w:w w:val="100"/>
          <w:position w:val="0"/>
        </w:rPr>
        <w:t>）</w:t>
      </w:r>
      <w:r>
        <w:rPr>
          <w:color w:val="000000"/>
          <w:spacing w:val="0"/>
          <w:w w:val="100"/>
          <w:position w:val="0"/>
        </w:rPr>
        <w:t>预计金额等；</w:t>
      </w:r>
    </w:p>
    <w:p>
      <w:pPr>
        <w:pStyle w:val="Style34"/>
        <w:keepNext w:val="0"/>
        <w:keepLines w:val="0"/>
        <w:widowControl w:val="0"/>
        <w:numPr>
          <w:ilvl w:val="0"/>
          <w:numId w:val="57"/>
        </w:numPr>
        <w:shd w:val="clear" w:color="auto" w:fill="auto"/>
        <w:tabs>
          <w:tab w:pos="725" w:val="left"/>
        </w:tabs>
        <w:bidi w:val="0"/>
        <w:spacing w:before="0" w:after="0"/>
        <w:ind w:left="0" w:right="0" w:firstLine="440"/>
        <w:jc w:val="both"/>
      </w:pPr>
      <w:bookmarkStart w:id="910" w:name="bookmark910"/>
      <w:bookmarkEnd w:id="910"/>
      <w:r>
        <w:rPr>
          <w:color w:val="000000"/>
          <w:spacing w:val="0"/>
          <w:w w:val="100"/>
          <w:position w:val="0"/>
        </w:rPr>
        <w:t>其他表明资产可能已经发生减值的迹象。</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上述长期资产于资产负债日存在减值迹象的，应当进行减值测试。减值测试结果表明资产的可收回金额低于其账面价 值的，按其差额计提减值准备并计入减值损失。可收回金额为资产的公允价值减去处置费用后的净额与资产预计未来现金流 量的现值两者之间的较高者。公允价值的确定方法详见本附注三</w:t>
      </w: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；处置费用包括与资产处置有关的法律费用、相关税 费、搬运费以及为使资产达到可销售状态所发生的直接费用；资产预计未来现金流量的现值，按照资产在持续使用过程中和 最终处置时所产生的预计未来现金流量，选择恰当的折现率对其进行折现后的金额加以确定。</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资产减值准备按单项资产为基础计算并确认，如果难以对单项资产的可收回金额进行估计的，以资产组所属的资产组 确定资产组的可收回金额。资产组是能够独立产生现金流入的最小资产组合。</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在财务报表中单独列示的商誉，在进行减值测试时，将商誉的账面价值分摊至预期从企业合并的协同效应收益中受益 的资产组或资产组组合。测试结果表明包含分摊的商誉的资产组或者资产组组合的可收回金额低于其账面价值的，确认相应 的减值损失。减值损失金额先抵减分摊至该资产组或者资产组组合的商誉的账面价值，再根据资产组或者资产组组合中除商 </w:t>
      </w:r>
      <w:r>
        <w:rPr>
          <w:color w:val="000000"/>
          <w:spacing w:val="0"/>
          <w:w w:val="100"/>
          <w:position w:val="0"/>
        </w:rPr>
        <w:t>誉以外的其他各项资产的账面价值所占比重，按比例抵减其他各项资产的账面价值。 商誉和使用寿命不确定的无形资产至少在每年年终终了进行减值测试。</w:t>
      </w:r>
    </w:p>
    <w:p>
      <w:pPr>
        <w:pStyle w:val="Style34"/>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上述资产减值损失一经确认，在以后期间不予转回。</w:t>
      </w:r>
    </w:p>
    <w:p>
      <w:pPr>
        <w:pStyle w:val="Style38"/>
        <w:keepNext/>
        <w:keepLines/>
        <w:widowControl w:val="0"/>
        <w:shd w:val="clear" w:color="auto" w:fill="auto"/>
        <w:tabs>
          <w:tab w:pos="478" w:val="left"/>
        </w:tabs>
        <w:bidi w:val="0"/>
        <w:spacing w:before="0" w:after="26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3</w:t>
      </w:r>
      <w:bookmarkEnd w:id="913"/>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11"/>
      <w:bookmarkEnd w:id="912"/>
      <w:bookmarkEnd w:id="914"/>
    </w:p>
    <w:p>
      <w:pPr>
        <w:pStyle w:val="Style34"/>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长期待摊费用按实际支出入账，在受益期或规定的期限内平均摊销。如果长期待摊的费用项目不能使以后会计期间受 益，则将尚未摊销的该项目的摊余价值全部转入当期损益。摊销年限为</w:t>
      </w:r>
      <w:r>
        <w:rPr>
          <w:rFonts w:ascii="Times New Roman" w:eastAsia="Times New Roman" w:hAnsi="Times New Roman" w:cs="Times New Roman"/>
          <w:color w:val="000000"/>
          <w:spacing w:val="0"/>
          <w:w w:val="100"/>
          <w:position w:val="0"/>
        </w:rPr>
        <w:t>3-5</w:t>
      </w:r>
      <w:r>
        <w:rPr>
          <w:color w:val="000000"/>
          <w:spacing w:val="0"/>
          <w:w w:val="100"/>
          <w:position w:val="0"/>
        </w:rPr>
        <w:t>年。</w:t>
      </w:r>
    </w:p>
    <w:p>
      <w:pPr>
        <w:pStyle w:val="Style38"/>
        <w:keepNext/>
        <w:keepLines/>
        <w:widowControl w:val="0"/>
        <w:shd w:val="clear" w:color="auto" w:fill="auto"/>
        <w:tabs>
          <w:tab w:pos="478" w:val="left"/>
        </w:tabs>
        <w:bidi w:val="0"/>
        <w:spacing w:before="0" w:after="260" w:line="240" w:lineRule="auto"/>
        <w:ind w:left="0" w:right="0" w:firstLine="0"/>
        <w:jc w:val="both"/>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w:t>
      </w:r>
      <w:bookmarkEnd w:id="917"/>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15"/>
      <w:bookmarkEnd w:id="916"/>
      <w:bookmarkEnd w:id="918"/>
    </w:p>
    <w:p>
      <w:pPr>
        <w:pStyle w:val="Style34"/>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合同负债是指公司已收或应收客户对价而应向客户转让商品的义务。公司将同一合同下的合同资产和合同负债相互抵 销后以净额列示。</w:t>
      </w:r>
    </w:p>
    <w:p>
      <w:pPr>
        <w:pStyle w:val="Style38"/>
        <w:keepNext/>
        <w:keepLines/>
        <w:widowControl w:val="0"/>
        <w:shd w:val="clear" w:color="auto" w:fill="auto"/>
        <w:tabs>
          <w:tab w:pos="478" w:val="left"/>
        </w:tabs>
        <w:bidi w:val="0"/>
        <w:spacing w:before="0" w:after="38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3</w:t>
      </w:r>
      <w:bookmarkEnd w:id="92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19"/>
      <w:bookmarkEnd w:id="920"/>
      <w:bookmarkEnd w:id="922"/>
    </w:p>
    <w:p>
      <w:pPr>
        <w:pStyle w:val="Style38"/>
        <w:keepNext/>
        <w:keepLines/>
        <w:widowControl w:val="0"/>
        <w:shd w:val="clear" w:color="auto" w:fill="auto"/>
        <w:tabs>
          <w:tab w:pos="488" w:val="left"/>
        </w:tabs>
        <w:bidi w:val="0"/>
        <w:spacing w:before="0" w:after="260" w:line="240" w:lineRule="auto"/>
        <w:ind w:left="0" w:right="0" w:firstLine="0"/>
        <w:jc w:val="left"/>
      </w:pPr>
      <w:bookmarkStart w:id="919" w:name="bookmark919"/>
      <w:bookmarkStart w:id="920" w:name="bookmark920"/>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19"/>
      <w:bookmarkEnd w:id="920"/>
      <w:bookmarkEnd w:id="924"/>
    </w:p>
    <w:p>
      <w:pPr>
        <w:pStyle w:val="Style34"/>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本公司在职工提供服务的会计期间，将实际发生的职工工资、奖金、按规定的基准和比例为职工缴纳的医疗保险费、 工伤保险费和生育保险费等社会保险费和住房公积金，确认为负债，并计入当期损益或相关资产成本。职工福利费为非货币 性福利的，如能够可靠计量的，按照公允价值计量。如果该负债预期在职工提供相关服务的年度报告期结束后十二个月内不 能完全支付，且财务影响重大的，则该负债将以折现后的金额计量。</w:t>
      </w:r>
    </w:p>
    <w:p>
      <w:pPr>
        <w:pStyle w:val="Style38"/>
        <w:keepNext/>
        <w:keepLines/>
        <w:widowControl w:val="0"/>
        <w:shd w:val="clear" w:color="auto" w:fill="auto"/>
        <w:tabs>
          <w:tab w:pos="488" w:val="left"/>
        </w:tabs>
        <w:bidi w:val="0"/>
        <w:spacing w:before="0" w:after="26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25"/>
      <w:bookmarkEnd w:id="926"/>
      <w:bookmarkEnd w:id="928"/>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离职后福利计划包括设定提存计划和设定受益计划。其中，设定提存计划，是指向独立的基金缴存固定费用后，企业 不再承担进一步支付义务的离职后福利计划。</w:t>
      </w:r>
    </w:p>
    <w:p>
      <w:pPr>
        <w:pStyle w:val="Style3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本公司按当期政府的相关规定为职工缴纳基本养老保险和失业保险，在职工为本公司提供服务的会计期间，根据设定 提存计划计算的应缴存金额确认为负债，并计入当期损益或相关资产成本。</w:t>
      </w:r>
    </w:p>
    <w:p>
      <w:pPr>
        <w:pStyle w:val="Style38"/>
        <w:keepNext/>
        <w:keepLines/>
        <w:widowControl w:val="0"/>
        <w:shd w:val="clear" w:color="auto" w:fill="auto"/>
        <w:tabs>
          <w:tab w:pos="488" w:val="left"/>
        </w:tabs>
        <w:bidi w:val="0"/>
        <w:spacing w:before="0" w:after="26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9"/>
      <w:bookmarkEnd w:id="930"/>
      <w:bookmarkEnd w:id="932"/>
    </w:p>
    <w:p>
      <w:pPr>
        <w:pStyle w:val="Style34"/>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在本公司不能单方面撤回因解除劳动关系计划或者裁减建议所提供的辞退福利时，和本公司确认与涉及支付辞退福利 的重组相关的成本或费用时两者孰早日，确认辞退福利产生的职工薪酬负债，并计入当期损益。但辞退福利预期在年度报告 期结束后十二个月不能完全支付的，按照其他长期职工薪酬处理。</w:t>
      </w:r>
    </w:p>
    <w:p>
      <w:pPr>
        <w:pStyle w:val="Style34"/>
        <w:keepNext w:val="0"/>
        <w:keepLines w:val="0"/>
        <w:widowControl w:val="0"/>
        <w:shd w:val="clear" w:color="auto" w:fill="auto"/>
        <w:bidi w:val="0"/>
        <w:spacing w:before="0" w:after="320" w:line="319" w:lineRule="exact"/>
        <w:ind w:left="0" w:right="0" w:firstLine="440"/>
        <w:jc w:val="both"/>
      </w:pPr>
      <w:r>
        <w:rPr>
          <w:color w:val="000000"/>
          <w:spacing w:val="0"/>
          <w:w w:val="100"/>
          <w:position w:val="0"/>
        </w:rPr>
        <w:t>职工内部退休计划采用与上述辞退福利相同的原则处理。本公司将自职工停止提供服务日至正常退休日的期间拟支付 的内退人员工资和缴纳的社会保险费等，在符合预计负债确认条件时，计入当期损益</w:t>
      </w:r>
      <w:r>
        <w:rPr>
          <w:rFonts w:ascii="Times New Roman" w:eastAsia="Times New Roman" w:hAnsi="Times New Roman" w:cs="Times New Roman"/>
          <w:color w:val="000000"/>
          <w:spacing w:val="0"/>
          <w:w w:val="100"/>
          <w:position w:val="0"/>
        </w:rPr>
        <w:t>（</w:t>
      </w:r>
      <w:r>
        <w:rPr>
          <w:color w:val="000000"/>
          <w:spacing w:val="0"/>
          <w:w w:val="100"/>
          <w:position w:val="0"/>
        </w:rPr>
        <w:t>辞退福利</w:t>
      </w:r>
      <w:r>
        <w:rPr>
          <w:rFonts w:ascii="Times New Roman" w:eastAsia="Times New Roman" w:hAnsi="Times New Roman" w:cs="Times New Roman"/>
          <w:color w:val="000000"/>
          <w:spacing w:val="0"/>
          <w:w w:val="100"/>
          <w:position w:val="0"/>
        </w:rPr>
        <w:t>）</w:t>
      </w:r>
      <w:r>
        <w:rPr>
          <w:color w:val="000000"/>
          <w:spacing w:val="0"/>
          <w:w w:val="100"/>
          <w:position w:val="0"/>
        </w:rPr>
        <w:t>。正式退休日期之后的经济 补偿</w:t>
      </w:r>
      <w:r>
        <w:rPr>
          <w:rFonts w:ascii="Times New Roman" w:eastAsia="Times New Roman" w:hAnsi="Times New Roman" w:cs="Times New Roman"/>
          <w:color w:val="000000"/>
          <w:spacing w:val="0"/>
          <w:w w:val="100"/>
          <w:position w:val="0"/>
        </w:rPr>
        <w:t>（</w:t>
      </w:r>
      <w:r>
        <w:rPr>
          <w:color w:val="000000"/>
          <w:spacing w:val="0"/>
          <w:w w:val="100"/>
          <w:position w:val="0"/>
        </w:rPr>
        <w:t>如正常养老退休金</w:t>
      </w:r>
      <w:r>
        <w:rPr>
          <w:rFonts w:ascii="Times New Roman" w:eastAsia="Times New Roman" w:hAnsi="Times New Roman" w:cs="Times New Roman"/>
          <w:color w:val="000000"/>
          <w:spacing w:val="0"/>
          <w:w w:val="100"/>
          <w:position w:val="0"/>
        </w:rPr>
        <w:t>）</w:t>
      </w:r>
      <w:r>
        <w:rPr>
          <w:color w:val="000000"/>
          <w:spacing w:val="0"/>
          <w:w w:val="100"/>
          <w:position w:val="0"/>
        </w:rPr>
        <w:t>，按照离职后福利处理。</w:t>
      </w:r>
    </w:p>
    <w:p>
      <w:pPr>
        <w:pStyle w:val="Style62"/>
        <w:keepNext w:val="0"/>
        <w:keepLines w:val="0"/>
        <w:widowControl w:val="0"/>
        <w:numPr>
          <w:ilvl w:val="0"/>
          <w:numId w:val="49"/>
        </w:numPr>
        <w:shd w:val="clear" w:color="auto" w:fill="auto"/>
        <w:bidi w:val="0"/>
        <w:spacing w:before="0" w:line="240" w:lineRule="auto"/>
        <w:ind w:left="0" w:right="0" w:firstLine="0"/>
        <w:jc w:val="both"/>
      </w:pPr>
      <w:bookmarkStart w:id="933" w:name="bookmark933"/>
      <w:bookmarkEnd w:id="933"/>
      <w:r>
        <w:rPr>
          <w:color w:val="000000"/>
          <w:spacing w:val="0"/>
          <w:w w:val="100"/>
          <w:position w:val="0"/>
        </w:rPr>
        <w:t>其他长期职工福利的会计处理方法</w:t>
      </w:r>
    </w:p>
    <w:p>
      <w:pPr>
        <w:pStyle w:val="Style62"/>
        <w:keepNext w:val="0"/>
        <w:keepLines w:val="0"/>
        <w:widowControl w:val="0"/>
        <w:shd w:val="clear" w:color="auto" w:fill="auto"/>
        <w:tabs>
          <w:tab w:pos="463" w:val="left"/>
        </w:tabs>
        <w:bidi w:val="0"/>
        <w:spacing w:before="0" w:line="240" w:lineRule="auto"/>
        <w:ind w:left="0" w:right="0" w:firstLine="0"/>
        <w:jc w:val="both"/>
      </w:pPr>
      <w:bookmarkStart w:id="934" w:name="bookmark934"/>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p>
    <w:p>
      <w:pPr>
        <w:pStyle w:val="Style62"/>
        <w:keepNext w:val="0"/>
        <w:keepLines w:val="0"/>
        <w:widowControl w:val="0"/>
        <w:shd w:val="clear" w:color="auto" w:fill="auto"/>
        <w:tabs>
          <w:tab w:pos="463" w:val="left"/>
        </w:tabs>
        <w:bidi w:val="0"/>
        <w:spacing w:before="0" w:line="240" w:lineRule="auto"/>
        <w:ind w:left="0" w:right="0" w:firstLine="0"/>
        <w:jc w:val="both"/>
      </w:pPr>
      <w:bookmarkStart w:id="935" w:name="bookmark935"/>
      <w:r>
        <w:rPr>
          <w:rFonts w:ascii="Times New Roman" w:eastAsia="Times New Roman" w:hAnsi="Times New Roman" w:cs="Times New Roman"/>
          <w:color w:val="000000"/>
          <w:spacing w:val="0"/>
          <w:w w:val="100"/>
          <w:position w:val="0"/>
        </w:rPr>
        <w:t>3</w:t>
      </w:r>
      <w:bookmarkEnd w:id="93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p>
    <w:p>
      <w:pPr>
        <w:pStyle w:val="Style62"/>
        <w:keepNext w:val="0"/>
        <w:keepLines w:val="0"/>
        <w:widowControl w:val="0"/>
        <w:shd w:val="clear" w:color="auto" w:fill="auto"/>
        <w:tabs>
          <w:tab w:pos="463" w:val="left"/>
        </w:tabs>
        <w:bidi w:val="0"/>
        <w:spacing w:before="0" w:after="280" w:line="240" w:lineRule="auto"/>
        <w:ind w:left="0" w:right="0" w:firstLine="0"/>
        <w:jc w:val="both"/>
      </w:pPr>
      <w:bookmarkStart w:id="936" w:name="bookmark936"/>
      <w:r>
        <w:rPr>
          <w:rFonts w:ascii="Times New Roman" w:eastAsia="Times New Roman" w:hAnsi="Times New Roman" w:cs="Times New Roman"/>
          <w:color w:val="000000"/>
          <w:spacing w:val="0"/>
          <w:w w:val="100"/>
          <w:position w:val="0"/>
        </w:rPr>
        <w:t>3</w:t>
      </w:r>
      <w:bookmarkEnd w:id="93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p>
    <w:p>
      <w:pPr>
        <w:pStyle w:val="Style34"/>
        <w:keepNext w:val="0"/>
        <w:keepLines w:val="0"/>
        <w:widowControl w:val="0"/>
        <w:numPr>
          <w:ilvl w:val="0"/>
          <w:numId w:val="59"/>
        </w:numPr>
        <w:shd w:val="clear" w:color="auto" w:fill="auto"/>
        <w:tabs>
          <w:tab w:pos="739" w:val="left"/>
        </w:tabs>
        <w:bidi w:val="0"/>
        <w:spacing w:before="0" w:after="0" w:line="310" w:lineRule="exact"/>
        <w:ind w:left="0" w:right="0" w:firstLine="440"/>
        <w:jc w:val="both"/>
      </w:pPr>
      <w:bookmarkStart w:id="937" w:name="bookmark937"/>
      <w:bookmarkEnd w:id="937"/>
      <w:r>
        <w:rPr>
          <w:color w:val="000000"/>
          <w:spacing w:val="0"/>
          <w:w w:val="100"/>
          <w:position w:val="0"/>
        </w:rPr>
        <w:t>股份支付的种类</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rPr>
        <w:t>(</w:t>
      </w:r>
      <w:r>
        <w:rPr>
          <w:color w:val="000000"/>
          <w:spacing w:val="0"/>
          <w:w w:val="100"/>
          <w:position w:val="0"/>
        </w:rPr>
        <w:t>或其他方</w:t>
      </w:r>
      <w:r>
        <w:rPr>
          <w:rFonts w:ascii="Times New Roman" w:eastAsia="Times New Roman" w:hAnsi="Times New Roman" w:cs="Times New Roman"/>
          <w:color w:val="000000"/>
          <w:spacing w:val="0"/>
          <w:w w:val="100"/>
          <w:position w:val="0"/>
        </w:rPr>
        <w:t>)</w:t>
      </w:r>
      <w:r>
        <w:rPr>
          <w:color w:val="000000"/>
          <w:spacing w:val="0"/>
          <w:w w:val="100"/>
          <w:position w:val="0"/>
        </w:rPr>
        <w:t>提供服务而授予权益工具或者承担以权益工具为基础确定的负债的交易。 包括以权益结算的股份支付和以现金结算的股份支付。</w:t>
      </w:r>
    </w:p>
    <w:p>
      <w:pPr>
        <w:pStyle w:val="Style34"/>
        <w:keepNext w:val="0"/>
        <w:keepLines w:val="0"/>
        <w:widowControl w:val="0"/>
        <w:numPr>
          <w:ilvl w:val="0"/>
          <w:numId w:val="59"/>
        </w:numPr>
        <w:shd w:val="clear" w:color="auto" w:fill="auto"/>
        <w:tabs>
          <w:tab w:pos="759" w:val="left"/>
        </w:tabs>
        <w:bidi w:val="0"/>
        <w:spacing w:before="0" w:after="0" w:line="310" w:lineRule="exact"/>
        <w:ind w:left="0" w:right="0" w:firstLine="440"/>
        <w:jc w:val="both"/>
      </w:pPr>
      <w:bookmarkStart w:id="938" w:name="bookmark938"/>
      <w:bookmarkEnd w:id="938"/>
      <w:r>
        <w:rPr>
          <w:color w:val="000000"/>
          <w:spacing w:val="0"/>
          <w:w w:val="100"/>
          <w:position w:val="0"/>
        </w:rPr>
        <w:t>权益工具公允价值的确定方法</w:t>
      </w:r>
    </w:p>
    <w:p>
      <w:pPr>
        <w:pStyle w:val="Style34"/>
        <w:keepNext w:val="0"/>
        <w:keepLines w:val="0"/>
        <w:widowControl w:val="0"/>
        <w:numPr>
          <w:ilvl w:val="0"/>
          <w:numId w:val="61"/>
        </w:numPr>
        <w:shd w:val="clear" w:color="auto" w:fill="auto"/>
        <w:bidi w:val="0"/>
        <w:spacing w:before="0" w:line="310" w:lineRule="exact"/>
        <w:ind w:left="0" w:right="0" w:firstLine="440"/>
        <w:jc w:val="both"/>
      </w:pPr>
      <w:bookmarkStart w:id="939" w:name="bookmark939"/>
      <w:bookmarkEnd w:id="939"/>
      <w:r>
        <w:rPr>
          <w:color w:val="000000"/>
          <w:spacing w:val="0"/>
          <w:w w:val="100"/>
          <w:position w:val="0"/>
        </w:rPr>
        <w:t>存在活跃市场的，按照活跃市场中的报价确定；</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不存在活跃市场的，采用布莱克</w:t>
      </w:r>
      <w:r>
        <w:rPr>
          <w:rFonts w:ascii="Times New Roman" w:eastAsia="Times New Roman" w:hAnsi="Times New Roman" w:cs="Times New Roman"/>
          <w:color w:val="000000"/>
          <w:spacing w:val="0"/>
          <w:w w:val="100"/>
          <w:position w:val="0"/>
        </w:rPr>
        <w:t>-</w:t>
      </w:r>
      <w:r>
        <w:rPr>
          <w:color w:val="000000"/>
          <w:spacing w:val="0"/>
          <w:w w:val="100"/>
          <w:position w:val="0"/>
        </w:rPr>
        <w:t>斯科尔斯期权定价模型。</w:t>
      </w:r>
    </w:p>
    <w:p>
      <w:pPr>
        <w:pStyle w:val="Style3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.确认可行权权益工具最佳估计的依据</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等待期内每个资产负债表日，本公司根据最新取得的可行权职工人数变动等后续信息做出最佳估计，修正预计可行权 的权益工具数量。在可行权日，最终预计可行权权益工具的数量应当与实际可行权数量一致。</w:t>
      </w:r>
    </w:p>
    <w:p>
      <w:pPr>
        <w:pStyle w:val="Style34"/>
        <w:keepNext w:val="0"/>
        <w:keepLines w:val="0"/>
        <w:widowControl w:val="0"/>
        <w:numPr>
          <w:ilvl w:val="0"/>
          <w:numId w:val="53"/>
        </w:numPr>
        <w:shd w:val="clear" w:color="auto" w:fill="auto"/>
        <w:tabs>
          <w:tab w:pos="759" w:val="left"/>
        </w:tabs>
        <w:bidi w:val="0"/>
        <w:spacing w:before="0" w:line="310" w:lineRule="exact"/>
        <w:ind w:left="0" w:right="0" w:firstLine="440"/>
        <w:jc w:val="both"/>
      </w:pPr>
      <w:bookmarkStart w:id="940" w:name="bookmark940"/>
      <w:bookmarkEnd w:id="940"/>
      <w:r>
        <w:rPr>
          <w:color w:val="000000"/>
          <w:spacing w:val="0"/>
          <w:w w:val="100"/>
          <w:position w:val="0"/>
        </w:rPr>
        <w:t>股份支付的会计处理</w:t>
      </w:r>
    </w:p>
    <w:p>
      <w:pPr>
        <w:pStyle w:val="Style34"/>
        <w:keepNext w:val="0"/>
        <w:keepLines w:val="0"/>
        <w:widowControl w:val="0"/>
        <w:numPr>
          <w:ilvl w:val="0"/>
          <w:numId w:val="63"/>
        </w:numPr>
        <w:shd w:val="clear" w:color="auto" w:fill="auto"/>
        <w:tabs>
          <w:tab w:pos="821" w:val="left"/>
        </w:tabs>
        <w:bidi w:val="0"/>
        <w:spacing w:before="0" w:after="0"/>
        <w:ind w:left="0" w:right="0" w:firstLine="440"/>
        <w:jc w:val="both"/>
      </w:pPr>
      <w:bookmarkStart w:id="941" w:name="bookmark941"/>
      <w:bookmarkEnd w:id="941"/>
      <w:r>
        <w:rPr>
          <w:color w:val="000000"/>
          <w:spacing w:val="0"/>
          <w:w w:val="100"/>
          <w:position w:val="0"/>
        </w:rPr>
        <w:t>以权益结算的股份支付</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以权益结算的股份支付换取职工提供服务的，授予后立即可行权的，在授予日按照权益工具的公允价值计入相关成本 或费用，相应调整资本公积；完成等待期内的服务或达到规定业绩条件才可行权的，在等待期内的每个资产负债表日，以对 可行权权益工具数量的最佳估计为基础，按权益工具授予日的公允价值，将当期取得的服务计入相关成本或费用，相应调整 资本公积，在可行权日之后不再对已确认的相关成本或费用和所有者权益总额进行调整。</w:t>
      </w:r>
    </w:p>
    <w:p>
      <w:pPr>
        <w:pStyle w:val="Style34"/>
        <w:keepNext w:val="0"/>
        <w:keepLines w:val="0"/>
        <w:widowControl w:val="0"/>
        <w:shd w:val="clear" w:color="auto" w:fill="auto"/>
        <w:bidi w:val="0"/>
        <w:spacing w:before="0" w:line="310" w:lineRule="exact"/>
        <w:ind w:left="0" w:right="0" w:firstLine="440"/>
        <w:jc w:val="both"/>
      </w:pPr>
      <w:r>
        <w:rPr>
          <w:color w:val="000000"/>
          <w:spacing w:val="0"/>
          <w:w w:val="100"/>
          <w:position w:val="0"/>
        </w:rPr>
        <w:t>以权益结算的股份支付换取其他方服务的，若其他方服务的公允价值能够可靠计量的，按照其他方服务在取得日的公 允价值计量；其他方服务的公允价值不能可靠计量但权益工具公允价值能够可靠计量的，按照权益工具在服务取得日的公允 价值计量，计入相关成本或费用，相应增加所有者权益。</w:t>
      </w:r>
    </w:p>
    <w:p>
      <w:pPr>
        <w:pStyle w:val="Style34"/>
        <w:keepNext w:val="0"/>
        <w:keepLines w:val="0"/>
        <w:widowControl w:val="0"/>
        <w:numPr>
          <w:ilvl w:val="0"/>
          <w:numId w:val="63"/>
        </w:numPr>
        <w:shd w:val="clear" w:color="auto" w:fill="auto"/>
        <w:tabs>
          <w:tab w:pos="821" w:val="left"/>
        </w:tabs>
        <w:bidi w:val="0"/>
        <w:spacing w:before="0" w:after="0"/>
        <w:ind w:left="0" w:right="0" w:firstLine="440"/>
        <w:jc w:val="both"/>
      </w:pPr>
      <w:bookmarkStart w:id="942" w:name="bookmark942"/>
      <w:bookmarkEnd w:id="942"/>
      <w:r>
        <w:rPr>
          <w:color w:val="000000"/>
          <w:spacing w:val="0"/>
          <w:w w:val="100"/>
          <w:position w:val="0"/>
        </w:rPr>
        <w:t>以现金结算的股份支付</w:t>
      </w:r>
    </w:p>
    <w:p>
      <w:pPr>
        <w:pStyle w:val="Style34"/>
        <w:keepNext w:val="0"/>
        <w:keepLines w:val="0"/>
        <w:widowControl w:val="0"/>
        <w:shd w:val="clear" w:color="auto" w:fill="auto"/>
        <w:bidi w:val="0"/>
        <w:spacing w:before="0" w:line="310" w:lineRule="exact"/>
        <w:ind w:left="0" w:right="0" w:firstLine="440"/>
        <w:jc w:val="both"/>
      </w:pPr>
      <w:r>
        <w:rPr>
          <w:color w:val="000000"/>
          <w:spacing w:val="0"/>
          <w:w w:val="100"/>
          <w:position w:val="0"/>
        </w:rPr>
        <w:t>以现金结算的股份支付换取职工服务的，授予后立即可行权的，在授予日按公司承担负债的公允价值计入相关成本或 费用，相应增加负债；完成等待期内的服务或达到规定业绩条件才可行权的换取职工服务的以现金结算的股份支付，在等待 期内的每个资产负债表日，以对可行权情况的最佳估计为基础，按公司承担负债的公允价值，将当期取得的服务计入相关成 本或费用和相应的负债。在相关负债结算前的每个资产负债表日以及结算日，对负债的公允价值重新计量，其变动计入当期 损益。</w:t>
      </w:r>
    </w:p>
    <w:p>
      <w:pPr>
        <w:pStyle w:val="Style34"/>
        <w:keepNext w:val="0"/>
        <w:keepLines w:val="0"/>
        <w:widowControl w:val="0"/>
        <w:numPr>
          <w:ilvl w:val="0"/>
          <w:numId w:val="63"/>
        </w:numPr>
        <w:shd w:val="clear" w:color="auto" w:fill="auto"/>
        <w:tabs>
          <w:tab w:pos="821" w:val="left"/>
        </w:tabs>
        <w:bidi w:val="0"/>
        <w:spacing w:before="0" w:after="0"/>
        <w:ind w:left="0" w:right="0" w:firstLine="440"/>
        <w:jc w:val="both"/>
      </w:pPr>
      <w:bookmarkStart w:id="943" w:name="bookmark943"/>
      <w:bookmarkEnd w:id="943"/>
      <w:r>
        <w:rPr>
          <w:color w:val="000000"/>
          <w:spacing w:val="0"/>
          <w:w w:val="100"/>
          <w:position w:val="0"/>
        </w:rPr>
        <w:t>修改、终止股份支付计划</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如果修改增加了所授予的权益工具的公允价值，公司按照权益工具公允价值的增加相应地确认取得服务的增加；如果 修改增加了所授予的权益工具的数量，公司将增加的权益工具的公允价值相应地确认为取得服务的增加；如果公司按照有利 于职工的方式修改可行权条件，公司在处理可行权条件时，考虑修改后的可行权条件。</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如果取消了以权益结算的股份支付，则于取消日作为加速行权处理，立即确认尚未确认的金额</w:t>
      </w:r>
      <w:r>
        <w:rPr>
          <w:rFonts w:ascii="Times New Roman" w:eastAsia="Times New Roman" w:hAnsi="Times New Roman" w:cs="Times New Roman"/>
          <w:color w:val="000000"/>
          <w:spacing w:val="0"/>
          <w:w w:val="100"/>
          <w:position w:val="0"/>
        </w:rPr>
        <w:t>(</w:t>
      </w:r>
      <w:r>
        <w:rPr>
          <w:color w:val="000000"/>
          <w:spacing w:val="0"/>
          <w:w w:val="100"/>
          <w:position w:val="0"/>
        </w:rPr>
        <w:t>将剩余等待期内应确认 的金额立即计入当期损益，同时确认资本公积</w:t>
      </w:r>
      <w:r>
        <w:rPr>
          <w:rFonts w:ascii="Times New Roman" w:eastAsia="Times New Roman" w:hAnsi="Times New Roman" w:cs="Times New Roman"/>
          <w:color w:val="000000"/>
          <w:spacing w:val="0"/>
          <w:w w:val="100"/>
          <w:position w:val="0"/>
        </w:rPr>
        <w:t>)</w:t>
      </w:r>
      <w:r>
        <w:rPr>
          <w:color w:val="000000"/>
          <w:spacing w:val="0"/>
          <w:w w:val="100"/>
          <w:position w:val="0"/>
        </w:rPr>
        <w:t>。职工或者其他方能够选择满足非可行权条件但在等待期内未满足的，作为 取消以权益结算的股份支付处理。但是，如果授予新的权益工具，并在新权益工具授予日认定所授予权益工具用于替代被取 消的权益工具的，则以与处理原权益工具条款和条件修改相同的方式，对被授予的替代权益工具进行处理。</w:t>
      </w:r>
    </w:p>
    <w:p>
      <w:pPr>
        <w:pStyle w:val="Style34"/>
        <w:keepNext w:val="0"/>
        <w:keepLines w:val="0"/>
        <w:widowControl w:val="0"/>
        <w:numPr>
          <w:ilvl w:val="0"/>
          <w:numId w:val="53"/>
        </w:numPr>
        <w:shd w:val="clear" w:color="auto" w:fill="auto"/>
        <w:tabs>
          <w:tab w:pos="759" w:val="left"/>
        </w:tabs>
        <w:bidi w:val="0"/>
        <w:spacing w:before="0" w:after="0" w:line="310" w:lineRule="exact"/>
        <w:ind w:left="0" w:right="0" w:firstLine="440"/>
        <w:jc w:val="both"/>
      </w:pPr>
      <w:bookmarkStart w:id="944" w:name="bookmark944"/>
      <w:bookmarkEnd w:id="944"/>
      <w:r>
        <w:rPr>
          <w:color w:val="000000"/>
          <w:spacing w:val="0"/>
          <w:w w:val="100"/>
          <w:position w:val="0"/>
        </w:rPr>
        <w:t>涉及本公司与本公司股东或实际控制人的股份支付交易的会计处理</w:t>
      </w:r>
    </w:p>
    <w:p>
      <w:pPr>
        <w:pStyle w:val="Style34"/>
        <w:keepNext w:val="0"/>
        <w:keepLines w:val="0"/>
        <w:widowControl w:val="0"/>
        <w:shd w:val="clear" w:color="auto" w:fill="auto"/>
        <w:bidi w:val="0"/>
        <w:spacing w:before="0" w:line="310" w:lineRule="exact"/>
        <w:ind w:left="0" w:right="0" w:firstLine="440"/>
        <w:jc w:val="both"/>
      </w:pPr>
      <w:r>
        <w:rPr>
          <w:color w:val="000000"/>
          <w:spacing w:val="0"/>
          <w:w w:val="100"/>
          <w:position w:val="0"/>
        </w:rPr>
        <w:t>涉及本公司与本公司股东或实际控制人的股份支付交易，结算企业与接受服务企业中其一在本公司内，另一在本公司 外的，在本公司合并财务报表中按照以下规定进行会计处理：</w:t>
      </w:r>
    </w:p>
    <w:p>
      <w:pPr>
        <w:pStyle w:val="Style34"/>
        <w:keepNext w:val="0"/>
        <w:keepLines w:val="0"/>
        <w:widowControl w:val="0"/>
        <w:shd w:val="clear" w:color="auto" w:fill="auto"/>
        <w:tabs>
          <w:tab w:pos="772" w:val="left"/>
        </w:tabs>
        <w:bidi w:val="0"/>
        <w:spacing w:before="0" w:after="0" w:line="315" w:lineRule="exact"/>
        <w:ind w:left="0" w:right="0" w:firstLine="440"/>
        <w:jc w:val="both"/>
      </w:pPr>
      <w:bookmarkStart w:id="945" w:name="bookmark945"/>
      <w:r>
        <w:rPr>
          <w:rFonts w:ascii="Times New Roman" w:eastAsia="Times New Roman" w:hAnsi="Times New Roman" w:cs="Times New Roman"/>
          <w:color w:val="000000"/>
          <w:spacing w:val="0"/>
          <w:w w:val="100"/>
          <w:position w:val="0"/>
        </w:rPr>
        <w:t>（</w:t>
      </w:r>
      <w:bookmarkEnd w:id="945"/>
      <w:r>
        <w:rPr>
          <w:rFonts w:ascii="Times New Roman" w:eastAsia="Times New Roman" w:hAnsi="Times New Roman" w:cs="Times New Roman"/>
          <w:color w:val="000000"/>
          <w:spacing w:val="0"/>
          <w:w w:val="100"/>
          <w:position w:val="0"/>
        </w:rPr>
        <w:t>1）</w:t>
        <w:tab/>
      </w:r>
      <w:r>
        <w:rPr>
          <w:color w:val="000000"/>
          <w:spacing w:val="0"/>
          <w:w w:val="100"/>
          <w:position w:val="0"/>
        </w:rPr>
        <w:t>结算企业以其本身权益工具结算的，将该股份支付交易作为权益结算的股份支付处理；除此之外，作为现金结算的 股份支付处理。</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结算企业是接受服务企业的投资者的，按照授予日权益工具的公允价值或应承担负债的公允价值确认为对接受服务企 业的长期股权投资，同时确认资本公积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w:t>
      </w:r>
      <w:r>
        <w:rPr>
          <w:color w:val="000000"/>
          <w:spacing w:val="0"/>
          <w:w w:val="100"/>
          <w:position w:val="0"/>
        </w:rPr>
        <w:t>或负债。</w:t>
      </w:r>
    </w:p>
    <w:p>
      <w:pPr>
        <w:pStyle w:val="Style34"/>
        <w:keepNext w:val="0"/>
        <w:keepLines w:val="0"/>
        <w:widowControl w:val="0"/>
        <w:shd w:val="clear" w:color="auto" w:fill="auto"/>
        <w:tabs>
          <w:tab w:pos="767" w:val="left"/>
        </w:tabs>
        <w:bidi w:val="0"/>
        <w:spacing w:before="0" w:after="360" w:line="315" w:lineRule="exact"/>
        <w:ind w:left="0" w:right="0" w:firstLine="440"/>
        <w:jc w:val="both"/>
      </w:pPr>
      <w:bookmarkStart w:id="946" w:name="bookmark946"/>
      <w:r>
        <w:rPr>
          <w:rFonts w:ascii="Times New Roman" w:eastAsia="Times New Roman" w:hAnsi="Times New Roman" w:cs="Times New Roman"/>
          <w:color w:val="000000"/>
          <w:spacing w:val="0"/>
          <w:w w:val="100"/>
          <w:position w:val="0"/>
        </w:rPr>
        <w:t>（</w:t>
      </w:r>
      <w:bookmarkEnd w:id="946"/>
      <w:r>
        <w:rPr>
          <w:rFonts w:ascii="Times New Roman" w:eastAsia="Times New Roman" w:hAnsi="Times New Roman" w:cs="Times New Roman"/>
          <w:color w:val="000000"/>
          <w:spacing w:val="0"/>
          <w:w w:val="100"/>
          <w:position w:val="0"/>
        </w:rPr>
        <w:t>2）</w:t>
        <w:tab/>
      </w:r>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处理。本公司内各企业之间发生的股份支付交易，接受服务企业和结算企业不是同一企业的，在接受服务企业和结算企业各 自的个别财务报表中对该股份支付交易的确认和计量，比照上述原则处理。</w:t>
      </w:r>
    </w:p>
    <w:p>
      <w:pPr>
        <w:pStyle w:val="Style38"/>
        <w:keepNext/>
        <w:keepLines/>
        <w:widowControl w:val="0"/>
        <w:shd w:val="clear" w:color="auto" w:fill="auto"/>
        <w:tabs>
          <w:tab w:pos="431" w:val="left"/>
        </w:tabs>
        <w:bidi w:val="0"/>
        <w:spacing w:before="0" w:line="240"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3</w:t>
      </w:r>
      <w:bookmarkEnd w:id="94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47"/>
      <w:bookmarkEnd w:id="948"/>
      <w:bookmarkEnd w:id="950"/>
    </w:p>
    <w:p>
      <w:pPr>
        <w:pStyle w:val="Style38"/>
        <w:keepNext/>
        <w:keepLines/>
        <w:widowControl w:val="0"/>
        <w:shd w:val="clear" w:color="auto" w:fill="auto"/>
        <w:tabs>
          <w:tab w:pos="431" w:val="left"/>
        </w:tabs>
        <w:bidi w:val="0"/>
        <w:spacing w:before="0" w:after="240" w:line="240" w:lineRule="auto"/>
        <w:ind w:left="0" w:right="0" w:firstLine="0"/>
        <w:jc w:val="both"/>
      </w:pPr>
      <w:bookmarkStart w:id="947" w:name="bookmark947"/>
      <w:bookmarkStart w:id="948" w:name="bookmark948"/>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47"/>
      <w:bookmarkEnd w:id="948"/>
      <w:bookmarkEnd w:id="952"/>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8</w:t>
      </w:r>
      <w:r>
        <w:rPr>
          <w:color w:val="000000"/>
          <w:spacing w:val="0"/>
          <w:w w:val="100"/>
          <w:position w:val="0"/>
        </w:rPr>
        <w:t>号——上市公司从事互联网营销及数据服务相关业务》的披露要 求：</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 xml:space="preserve">[2017]22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numPr>
          <w:ilvl w:val="0"/>
          <w:numId w:val="65"/>
        </w:numPr>
        <w:shd w:val="clear" w:color="auto" w:fill="auto"/>
        <w:bidi w:val="0"/>
        <w:spacing w:before="0" w:after="0" w:line="312" w:lineRule="exact"/>
        <w:ind w:left="0" w:right="0" w:firstLine="440"/>
        <w:jc w:val="both"/>
      </w:pPr>
      <w:bookmarkStart w:id="953" w:name="bookmark953"/>
      <w:bookmarkEnd w:id="953"/>
      <w:r>
        <w:rPr>
          <w:color w:val="000000"/>
          <w:spacing w:val="0"/>
          <w:w w:val="100"/>
          <w:position w:val="0"/>
        </w:rPr>
        <w:t>收入的总确认原则</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新收入准则下，公司以控制权转移作为收入确认时点的判断标准。公司在履行了合同中的履约义务，即在客户取得相 关商品控制权时确认收入。</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满足下列条件之一的，公司属于在某一时段内履行履约义务；否则，属于在某一时点履行履约义务：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客户在公司履 约的同时即取得并消耗公司履约所带来的经济利益；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公司履约过程中所产 出的商品具有不可替代用途，且公司在整个合同期间内有权就累计至今已完成的履约部分收取款项。</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对于在某一时段内履行的履约义务，公司在该段时间内按照履约进度确认收入，但是，履约进度不能合理确定的除外。 当履约进度不能合理确定时，公司已经发生的成本预计能够得到补偿的，按照已经发生的成本金额确认收入，直到履约进度 能够合理确定为止。</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shd w:val="clear" w:color="auto" w:fill="FFFFFF"/>
        </w:rPr>
        <w:t>对于在某一时点履行的履约义务，公司在客户取得相关商品控制权时点确认收入。在判断客户是否已取得商品控制权 时，公司考虑下列迹象：</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公司就该商品享有现时收款权利，即客户就该商品负有现时付款义务；</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公司已将该商品的法 定所有权转移给客户，即客户已拥有该商品的法定所有权；</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公司已将该商品实物转移给客户，即客户已实物占有该商品；</w:t>
      </w:r>
    </w:p>
    <w:p>
      <w:pPr>
        <w:pStyle w:val="Style34"/>
        <w:keepNext w:val="0"/>
        <w:keepLines w:val="0"/>
        <w:widowControl w:val="0"/>
        <w:shd w:val="clear" w:color="auto" w:fill="auto"/>
        <w:bidi w:val="0"/>
        <w:spacing w:before="0" w:after="0" w:line="312" w:lineRule="exact"/>
        <w:ind w:left="0" w:right="0" w:firstLine="0"/>
        <w:jc w:val="both"/>
      </w:pPr>
      <w:bookmarkStart w:id="954" w:name="bookmark954"/>
      <w:r>
        <w:rPr>
          <w:rFonts w:ascii="Times New Roman" w:eastAsia="Times New Roman" w:hAnsi="Times New Roman" w:cs="Times New Roman"/>
          <w:color w:val="000000"/>
          <w:spacing w:val="0"/>
          <w:w w:val="100"/>
          <w:position w:val="0"/>
        </w:rPr>
        <w:t>（</w:t>
      </w:r>
      <w:bookmarkEnd w:id="954"/>
      <w:r>
        <w:rPr>
          <w:rFonts w:ascii="Times New Roman" w:eastAsia="Times New Roman" w:hAnsi="Times New Roman" w:cs="Times New Roman"/>
          <w:color w:val="000000"/>
          <w:spacing w:val="0"/>
          <w:w w:val="100"/>
          <w:position w:val="0"/>
        </w:rPr>
        <w:t>4）</w:t>
      </w:r>
      <w:r>
        <w:rPr>
          <w:color w:val="000000"/>
          <w:spacing w:val="0"/>
          <w:w w:val="100"/>
          <w:position w:val="0"/>
        </w:rPr>
        <w:t>公司已将该商品所有权上的主要风险和报酬转移给客户，即客户已取得该商品所有权上的主要风险和报酬；</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客户已接 受该商品；</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其他表明客户已取得商品控制权的迹象。</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合同中包含两项或多项履约义务的，公司在合同开始日，按照各单项履约义务所承诺商品的单独售价的相对比例，将交易价 格分摊至各单项履约义务，按照分摊至各单项履约义务的交易价格计量收入。交易价格，是公司因向客户转让商品而预期有 权收取的对价金额。公司代第三方收取的款项以及公司预期将退还给客户的款项，作为负债进行会计处理，不计入交易价格。 合同中存在可变对价的，公司按照期望值或最可能发生金额确定可变对价的最佳估计数，但包含可变对价的交易价格，不超 过在相关不确定性消除时累计已确认收入极可能不会发生重大转回的金额。合同中存在重大融资成分的，公司按照假定客户 在取得商品控制权时即以现金支付的应付金额确定交易价格。该交易价格与合同对价之间的差额，在合同期间内采用实际利 率法摊销。合同开始日，公司预计客户取得商品控制权与客户支付价款间隔不超过一年的，不考虑合同中存在的重大融资成 分。</w:t>
      </w:r>
    </w:p>
    <w:p>
      <w:pPr>
        <w:pStyle w:val="Style34"/>
        <w:keepNext w:val="0"/>
        <w:keepLines w:val="0"/>
        <w:widowControl w:val="0"/>
        <w:shd w:val="clear" w:color="auto" w:fill="auto"/>
        <w:bidi w:val="0"/>
        <w:spacing w:before="0" w:after="0" w:line="312" w:lineRule="exact"/>
        <w:ind w:left="0" w:right="0" w:firstLine="440"/>
        <w:jc w:val="both"/>
      </w:pPr>
      <w:bookmarkStart w:id="955" w:name="bookmark955"/>
      <w:r>
        <w:rPr>
          <w:rFonts w:ascii="Times New Roman" w:eastAsia="Times New Roman" w:hAnsi="Times New Roman" w:cs="Times New Roman"/>
          <w:color w:val="000000"/>
          <w:spacing w:val="0"/>
          <w:w w:val="100"/>
          <w:position w:val="0"/>
        </w:rPr>
        <w:t>（</w:t>
      </w:r>
      <w:bookmarkEnd w:id="955"/>
      <w:r>
        <w:rPr>
          <w:rFonts w:ascii="Times New Roman" w:eastAsia="Times New Roman" w:hAnsi="Times New Roman" w:cs="Times New Roman"/>
          <w:color w:val="000000"/>
          <w:spacing w:val="0"/>
          <w:w w:val="100"/>
          <w:position w:val="0"/>
        </w:rPr>
        <w:t>1）</w:t>
      </w:r>
      <w:r>
        <w:rPr>
          <w:color w:val="000000"/>
          <w:spacing w:val="0"/>
          <w:w w:val="100"/>
          <w:position w:val="0"/>
        </w:rPr>
        <w:t>移动数据推广</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移动数据推广业务是指通过移动互联网广告平台进行广告推广，公司按客户系统后台统计推广数量及单价暂估当月收 入，次月根据双方确认的结算单、对账单及后台系统数据进行调整。</w:t>
      </w:r>
    </w:p>
    <w:p>
      <w:pPr>
        <w:pStyle w:val="Style34"/>
        <w:keepNext w:val="0"/>
        <w:keepLines w:val="0"/>
        <w:widowControl w:val="0"/>
        <w:shd w:val="clear" w:color="auto" w:fill="auto"/>
        <w:bidi w:val="0"/>
        <w:spacing w:before="0" w:after="0" w:line="312" w:lineRule="exact"/>
        <w:ind w:left="0" w:right="0" w:firstLine="520"/>
        <w:jc w:val="both"/>
      </w:pPr>
      <w:bookmarkStart w:id="956" w:name="bookmark956"/>
      <w:r>
        <w:rPr>
          <w:rFonts w:ascii="Times New Roman" w:eastAsia="Times New Roman" w:hAnsi="Times New Roman" w:cs="Times New Roman"/>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专有品牌推广</w:t>
      </w:r>
    </w:p>
    <w:p>
      <w:pPr>
        <w:pStyle w:val="Style34"/>
        <w:keepNext w:val="0"/>
        <w:keepLines w:val="0"/>
        <w:widowControl w:val="0"/>
        <w:shd w:val="clear" w:color="auto" w:fill="auto"/>
        <w:bidi w:val="0"/>
        <w:spacing w:before="0" w:after="120" w:line="312" w:lineRule="exact"/>
        <w:ind w:left="0" w:right="0" w:firstLine="440"/>
        <w:jc w:val="both"/>
        <w:sectPr>
          <w:headerReference w:type="default" r:id="rId139"/>
          <w:footerReference w:type="default" r:id="rId140"/>
          <w:headerReference w:type="even" r:id="rId141"/>
          <w:footerReference w:type="even" r:id="rId142"/>
          <w:headerReference w:type="first" r:id="rId143"/>
          <w:footerReference w:type="first" r:id="rId144"/>
          <w:footnotePr>
            <w:pos w:val="pageBottom"/>
            <w:numFmt w:val="decimal"/>
            <w:numRestart w:val="continuous"/>
          </w:footnotePr>
          <w:pgSz w:w="11900" w:h="16840"/>
          <w:pgMar w:top="1388" w:right="1051" w:bottom="1470" w:left="1077" w:header="0" w:footer="3" w:gutter="0"/>
          <w:cols w:space="720"/>
          <w:noEndnote/>
          <w:titlePg/>
          <w:rtlGutter w:val="0"/>
          <w:docGrid w:linePitch="360"/>
        </w:sectPr>
      </w:pPr>
      <w:r>
        <w:rPr>
          <w:color w:val="000000"/>
          <w:spacing w:val="0"/>
          <w:w w:val="100"/>
          <w:position w:val="0"/>
        </w:rPr>
        <w:t>根据用户消费充值的总额，按公司与广告主协议约定的比例计算享有的分成部分，在与广告主核对无误后确认收入。</w:t>
      </w:r>
    </w:p>
    <w:p>
      <w:pPr>
        <w:pStyle w:val="Style34"/>
        <w:keepNext w:val="0"/>
        <w:keepLines w:val="0"/>
        <w:widowControl w:val="0"/>
        <w:numPr>
          <w:ilvl w:val="0"/>
          <w:numId w:val="51"/>
        </w:numPr>
        <w:shd w:val="clear" w:color="auto" w:fill="auto"/>
        <w:tabs>
          <w:tab w:pos="832" w:val="left"/>
        </w:tabs>
        <w:bidi w:val="0"/>
        <w:spacing w:before="0" w:after="0" w:line="313" w:lineRule="exact"/>
        <w:ind w:left="0" w:right="0" w:firstLine="440"/>
        <w:jc w:val="both"/>
      </w:pPr>
      <w:bookmarkStart w:id="957" w:name="bookmark957"/>
      <w:bookmarkEnd w:id="957"/>
      <w:r>
        <w:rPr>
          <w:color w:val="000000"/>
          <w:spacing w:val="0"/>
          <w:w w:val="100"/>
          <w:position w:val="0"/>
        </w:rPr>
        <w:t>自有平台广告</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自有平台广告分为按</w:t>
      </w:r>
      <w:r>
        <w:rPr>
          <w:rFonts w:ascii="Times New Roman" w:eastAsia="Times New Roman" w:hAnsi="Times New Roman" w:cs="Times New Roman"/>
          <w:color w:val="000000"/>
          <w:spacing w:val="0"/>
          <w:w w:val="100"/>
          <w:position w:val="0"/>
        </w:rPr>
        <w:t>CPC</w:t>
      </w:r>
      <w:r>
        <w:rPr>
          <w:color w:val="000000"/>
          <w:spacing w:val="0"/>
          <w:w w:val="100"/>
          <w:position w:val="0"/>
        </w:rPr>
        <w:t>、</w:t>
      </w:r>
      <w:r>
        <w:rPr>
          <w:rFonts w:ascii="Times New Roman" w:eastAsia="Times New Roman" w:hAnsi="Times New Roman" w:cs="Times New Roman"/>
          <w:color w:val="000000"/>
          <w:spacing w:val="0"/>
          <w:w w:val="100"/>
          <w:position w:val="0"/>
        </w:rPr>
        <w:t>CPA</w:t>
      </w:r>
      <w:r>
        <w:rPr>
          <w:color w:val="000000"/>
          <w:spacing w:val="0"/>
          <w:w w:val="100"/>
          <w:position w:val="0"/>
        </w:rPr>
        <w:t>及</w:t>
      </w:r>
      <w:r>
        <w:rPr>
          <w:rFonts w:ascii="Times New Roman" w:eastAsia="Times New Roman" w:hAnsi="Times New Roman" w:cs="Times New Roman"/>
          <w:color w:val="000000"/>
          <w:spacing w:val="0"/>
          <w:w w:val="100"/>
          <w:position w:val="0"/>
        </w:rPr>
        <w:t>CPT</w:t>
      </w:r>
      <w:r>
        <w:rPr>
          <w:color w:val="000000"/>
          <w:spacing w:val="0"/>
          <w:w w:val="100"/>
          <w:position w:val="0"/>
        </w:rPr>
        <w:t>三种结算方式确认收入</w:t>
      </w:r>
      <w:r>
        <w:rPr>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CPC</w:t>
      </w:r>
      <w:r>
        <w:rPr>
          <w:color w:val="000000"/>
          <w:spacing w:val="0"/>
          <w:w w:val="100"/>
          <w:position w:val="0"/>
        </w:rPr>
        <w:t>方式结算的营业收入系根据公司与广告主的协议 约定按用户实际点击数确认；以</w:t>
      </w:r>
      <w:r>
        <w:rPr>
          <w:rFonts w:ascii="Times New Roman" w:eastAsia="Times New Roman" w:hAnsi="Times New Roman" w:cs="Times New Roman"/>
          <w:color w:val="000000"/>
          <w:spacing w:val="0"/>
          <w:w w:val="100"/>
          <w:position w:val="0"/>
        </w:rPr>
        <w:t>CPA</w:t>
      </w:r>
      <w:r>
        <w:rPr>
          <w:color w:val="000000"/>
          <w:spacing w:val="0"/>
          <w:w w:val="100"/>
          <w:position w:val="0"/>
        </w:rPr>
        <w:t>方式结算的移动</w:t>
      </w:r>
      <w:r>
        <w:rPr>
          <w:rFonts w:ascii="Times New Roman" w:eastAsia="Times New Roman" w:hAnsi="Times New Roman" w:cs="Times New Roman"/>
          <w:color w:val="000000"/>
          <w:spacing w:val="0"/>
          <w:w w:val="100"/>
          <w:position w:val="0"/>
        </w:rPr>
        <w:t>APP</w:t>
      </w:r>
      <w:r>
        <w:rPr>
          <w:color w:val="000000"/>
          <w:spacing w:val="0"/>
          <w:w w:val="100"/>
          <w:position w:val="0"/>
        </w:rPr>
        <w:t>营销收入，公司根据用户激活</w:t>
      </w:r>
      <w:r>
        <w:rPr>
          <w:rFonts w:ascii="Times New Roman" w:eastAsia="Times New Roman" w:hAnsi="Times New Roman" w:cs="Times New Roman"/>
          <w:color w:val="000000"/>
          <w:spacing w:val="0"/>
          <w:w w:val="100"/>
          <w:position w:val="0"/>
        </w:rPr>
        <w:t>APP</w:t>
      </w:r>
      <w:r>
        <w:rPr>
          <w:color w:val="000000"/>
          <w:spacing w:val="0"/>
          <w:w w:val="100"/>
          <w:position w:val="0"/>
        </w:rPr>
        <w:t>的数量及按协议约定的激活单价, 与广告主核对无误后确认收入；以</w:t>
      </w:r>
      <w:r>
        <w:rPr>
          <w:rFonts w:ascii="Times New Roman" w:eastAsia="Times New Roman" w:hAnsi="Times New Roman" w:cs="Times New Roman"/>
          <w:color w:val="000000"/>
          <w:spacing w:val="0"/>
          <w:w w:val="100"/>
          <w:position w:val="0"/>
        </w:rPr>
        <w:t>CPT</w:t>
      </w:r>
      <w:r>
        <w:rPr>
          <w:color w:val="000000"/>
          <w:spacing w:val="0"/>
          <w:w w:val="100"/>
          <w:position w:val="0"/>
        </w:rPr>
        <w:t>方式结算的包时段投放广告收入，公司根据已经媒体和广告客户确认后的广告投放的 服务天数以及合作协议中所约定的单价确认收入。</w:t>
      </w:r>
    </w:p>
    <w:p>
      <w:pPr>
        <w:pStyle w:val="Style34"/>
        <w:keepNext w:val="0"/>
        <w:keepLines w:val="0"/>
        <w:widowControl w:val="0"/>
        <w:numPr>
          <w:ilvl w:val="0"/>
          <w:numId w:val="51"/>
        </w:numPr>
        <w:shd w:val="clear" w:color="auto" w:fill="auto"/>
        <w:tabs>
          <w:tab w:pos="832" w:val="left"/>
        </w:tabs>
        <w:bidi w:val="0"/>
        <w:spacing w:before="0" w:after="0" w:line="313" w:lineRule="exact"/>
        <w:ind w:left="0" w:right="0" w:firstLine="440"/>
        <w:jc w:val="both"/>
      </w:pPr>
      <w:bookmarkStart w:id="958" w:name="bookmark958"/>
      <w:bookmarkEnd w:id="958"/>
      <w:r>
        <w:rPr>
          <w:color w:val="000000"/>
          <w:spacing w:val="0"/>
          <w:w w:val="100"/>
          <w:position w:val="0"/>
        </w:rPr>
        <w:t>电商推广</w:t>
      </w:r>
    </w:p>
    <w:p>
      <w:pPr>
        <w:pStyle w:val="Style34"/>
        <w:keepNext w:val="0"/>
        <w:keepLines w:val="0"/>
        <w:widowControl w:val="0"/>
        <w:numPr>
          <w:ilvl w:val="0"/>
          <w:numId w:val="67"/>
        </w:numPr>
        <w:shd w:val="clear" w:color="auto" w:fill="auto"/>
        <w:tabs>
          <w:tab w:pos="738" w:val="left"/>
        </w:tabs>
        <w:bidi w:val="0"/>
        <w:spacing w:before="0" w:after="0" w:line="313" w:lineRule="exact"/>
        <w:ind w:left="0" w:right="0" w:firstLine="440"/>
        <w:jc w:val="both"/>
      </w:pPr>
      <w:bookmarkStart w:id="959" w:name="bookmark959"/>
      <w:bookmarkEnd w:id="959"/>
      <w:r>
        <w:rPr>
          <w:color w:val="000000"/>
          <w:spacing w:val="0"/>
          <w:w w:val="100"/>
          <w:position w:val="0"/>
        </w:rPr>
        <w:t>公司作为淘宝客直接推广商品：淘宝用户购买公司推广商品后，商户将推广费用返利给公司，公司根据阿里妈妈后 台统计数据确认收入；</w:t>
      </w:r>
    </w:p>
    <w:p>
      <w:pPr>
        <w:pStyle w:val="Style34"/>
        <w:keepNext w:val="0"/>
        <w:keepLines w:val="0"/>
        <w:widowControl w:val="0"/>
        <w:numPr>
          <w:ilvl w:val="0"/>
          <w:numId w:val="67"/>
        </w:numPr>
        <w:shd w:val="clear" w:color="auto" w:fill="auto"/>
        <w:tabs>
          <w:tab w:pos="752" w:val="left"/>
        </w:tabs>
        <w:bidi w:val="0"/>
        <w:spacing w:before="0" w:after="0" w:line="313" w:lineRule="exact"/>
        <w:ind w:left="0" w:right="0" w:firstLine="440"/>
        <w:jc w:val="both"/>
      </w:pPr>
      <w:bookmarkStart w:id="960" w:name="bookmark960"/>
      <w:bookmarkEnd w:id="960"/>
      <w:r>
        <w:rPr>
          <w:color w:val="000000"/>
          <w:spacing w:val="0"/>
          <w:w w:val="100"/>
          <w:position w:val="0"/>
        </w:rPr>
        <w:t>公司与其他淘宝客代理商合作推广商品：淘宝用户购买合作推广的商品后，商户将推广费返利给代理商，公司与代 理商根据阿里妈妈后台数据按协议约定的比例进行结算，公司按照结算金额确认收入。</w:t>
      </w:r>
    </w:p>
    <w:p>
      <w:pPr>
        <w:pStyle w:val="Style34"/>
        <w:keepNext w:val="0"/>
        <w:keepLines w:val="0"/>
        <w:widowControl w:val="0"/>
        <w:numPr>
          <w:ilvl w:val="0"/>
          <w:numId w:val="51"/>
        </w:numPr>
        <w:shd w:val="clear" w:color="auto" w:fill="auto"/>
        <w:tabs>
          <w:tab w:pos="832" w:val="left"/>
        </w:tabs>
        <w:bidi w:val="0"/>
        <w:spacing w:before="0" w:after="0" w:line="313" w:lineRule="exact"/>
        <w:ind w:left="0" w:right="0" w:firstLine="440"/>
        <w:jc w:val="both"/>
      </w:pPr>
      <w:bookmarkStart w:id="961" w:name="bookmark961"/>
      <w:bookmarkEnd w:id="961"/>
      <w:r>
        <w:rPr>
          <w:color w:val="000000"/>
          <w:spacing w:val="0"/>
          <w:w w:val="100"/>
          <w:position w:val="0"/>
        </w:rPr>
        <w:t>第三方平台广告</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公司在腾讯等第三方平台充值并获得虚拟货币，取得广告资源代理权，再将投放广告权利让渡给客户，腾讯等第三方 平台在用户点击广告后对广告客户扣除已充值的虚拟货币，不点击则不消耗虚拟货币。公司与广告客户定期对消耗情况进行 核对，按用户实际点击量的消耗金额确认收入。</w:t>
      </w:r>
    </w:p>
    <w:p>
      <w:pPr>
        <w:pStyle w:val="Style34"/>
        <w:keepNext w:val="0"/>
        <w:keepLines w:val="0"/>
        <w:widowControl w:val="0"/>
        <w:numPr>
          <w:ilvl w:val="0"/>
          <w:numId w:val="51"/>
        </w:numPr>
        <w:shd w:val="clear" w:color="auto" w:fill="auto"/>
        <w:tabs>
          <w:tab w:pos="832" w:val="left"/>
        </w:tabs>
        <w:bidi w:val="0"/>
        <w:spacing w:before="0" w:after="0" w:line="313" w:lineRule="exact"/>
        <w:ind w:left="0" w:right="0" w:firstLine="440"/>
        <w:jc w:val="both"/>
      </w:pPr>
      <w:bookmarkStart w:id="962" w:name="bookmark962"/>
      <w:bookmarkEnd w:id="962"/>
      <w:r>
        <w:rPr>
          <w:color w:val="000000"/>
          <w:spacing w:val="0"/>
          <w:w w:val="100"/>
          <w:position w:val="0"/>
        </w:rPr>
        <w:t>小说代理业务</w:t>
      </w:r>
    </w:p>
    <w:p>
      <w:pPr>
        <w:pStyle w:val="Style34"/>
        <w:keepNext w:val="0"/>
        <w:keepLines w:val="0"/>
        <w:widowControl w:val="0"/>
        <w:shd w:val="clear" w:color="auto" w:fill="auto"/>
        <w:bidi w:val="0"/>
        <w:spacing w:before="0" w:after="480" w:line="313"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CPS</w:t>
      </w:r>
      <w:r>
        <w:rPr>
          <w:color w:val="000000"/>
          <w:spacing w:val="0"/>
          <w:w w:val="100"/>
          <w:position w:val="0"/>
        </w:rPr>
        <w:t>方式结算的小说阅读营业收入，系公司根据用户点击公司推广的相关链接跳转至平台消费付费的总额按协议约定的比 例计算享有的分成部分，与客户核对无误后确认收入。</w:t>
      </w:r>
    </w:p>
    <w:p>
      <w:pPr>
        <w:pStyle w:val="Style9"/>
        <w:keepNext w:val="0"/>
        <w:keepLines w:val="0"/>
        <w:widowControl w:val="0"/>
        <w:shd w:val="clear" w:color="auto" w:fill="auto"/>
        <w:bidi w:val="0"/>
        <w:spacing w:before="0" w:after="360" w:line="240" w:lineRule="auto"/>
        <w:ind w:left="0" w:right="0" w:firstLine="0"/>
        <w:jc w:val="both"/>
        <w:rPr>
          <w:sz w:val="15"/>
          <w:szCs w:val="15"/>
        </w:rPr>
      </w:pPr>
      <w:r>
        <w:rPr>
          <w:color w:val="000000"/>
          <w:spacing w:val="0"/>
          <w:w w:val="100"/>
          <w:position w:val="0"/>
          <w:sz w:val="15"/>
          <w:szCs w:val="15"/>
        </w:rPr>
        <w:t>公司需遵守《深圳证券交易所行业信息披露指引第</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号——上市公司从事软件与信息技术服务业务》的披露要求</w:t>
      </w:r>
    </w:p>
    <w:p>
      <w:pPr>
        <w:pStyle w:val="Style34"/>
        <w:keepNext w:val="0"/>
        <w:keepLines w:val="0"/>
        <w:widowControl w:val="0"/>
        <w:numPr>
          <w:ilvl w:val="0"/>
          <w:numId w:val="69"/>
        </w:numPr>
        <w:shd w:val="clear" w:color="auto" w:fill="auto"/>
        <w:tabs>
          <w:tab w:pos="832" w:val="left"/>
        </w:tabs>
        <w:bidi w:val="0"/>
        <w:spacing w:before="0" w:after="0" w:line="312" w:lineRule="exact"/>
        <w:ind w:left="0" w:right="0" w:firstLine="440"/>
        <w:jc w:val="both"/>
      </w:pPr>
      <w:bookmarkStart w:id="963" w:name="bookmark963"/>
      <w:bookmarkEnd w:id="963"/>
      <w:r>
        <w:rPr>
          <w:color w:val="000000"/>
          <w:spacing w:val="0"/>
          <w:w w:val="100"/>
          <w:position w:val="0"/>
        </w:rPr>
        <w:t>软件开发及服务</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软件开发业务是指针对客户的科技建设需求而提供的软件开发与实施服务、软件维护服务。主要包括以下业务类型：</w:t>
      </w:r>
    </w:p>
    <w:p>
      <w:pPr>
        <w:pStyle w:val="Style34"/>
        <w:keepNext w:val="0"/>
        <w:keepLines w:val="0"/>
        <w:widowControl w:val="0"/>
        <w:numPr>
          <w:ilvl w:val="0"/>
          <w:numId w:val="71"/>
        </w:numPr>
        <w:shd w:val="clear" w:color="auto" w:fill="auto"/>
        <w:tabs>
          <w:tab w:pos="760" w:val="left"/>
        </w:tabs>
        <w:bidi w:val="0"/>
        <w:spacing w:before="0" w:after="0"/>
        <w:ind w:left="0" w:right="0" w:firstLine="440"/>
        <w:jc w:val="both"/>
      </w:pPr>
      <w:bookmarkStart w:id="964" w:name="bookmark964"/>
      <w:bookmarkEnd w:id="964"/>
      <w:r>
        <w:rPr>
          <w:rFonts w:ascii="Times New Roman" w:eastAsia="Times New Roman" w:hAnsi="Times New Roman" w:cs="Times New Roman"/>
          <w:color w:val="000000"/>
          <w:spacing w:val="0"/>
          <w:w w:val="100"/>
          <w:position w:val="0"/>
        </w:rPr>
        <w:t>IT</w:t>
      </w:r>
      <w:r>
        <w:rPr>
          <w:color w:val="000000"/>
          <w:spacing w:val="0"/>
          <w:w w:val="100"/>
          <w:position w:val="0"/>
        </w:rPr>
        <w:t>解决方案</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公司按照客户需求提供软件开发以及升级、改造、配套服务，根据合同约定对阶段性开发成果或最终产品负责，成果 交付时需要按照合同约定工作任务进行验收，公司在所开发软件成果交付运行，并通过客户验收后按照合同约定金额确认收 入。</w:t>
      </w:r>
    </w:p>
    <w:p>
      <w:pPr>
        <w:pStyle w:val="Style34"/>
        <w:keepNext w:val="0"/>
        <w:keepLines w:val="0"/>
        <w:widowControl w:val="0"/>
        <w:numPr>
          <w:ilvl w:val="0"/>
          <w:numId w:val="71"/>
        </w:numPr>
        <w:shd w:val="clear" w:color="auto" w:fill="auto"/>
        <w:tabs>
          <w:tab w:pos="780" w:val="left"/>
        </w:tabs>
        <w:bidi w:val="0"/>
        <w:spacing w:before="0" w:after="0" w:line="312" w:lineRule="exact"/>
        <w:ind w:left="0" w:right="0" w:firstLine="440"/>
        <w:jc w:val="both"/>
      </w:pPr>
      <w:bookmarkStart w:id="965" w:name="bookmark965"/>
      <w:bookmarkEnd w:id="965"/>
      <w:r>
        <w:rPr>
          <w:color w:val="000000"/>
          <w:spacing w:val="0"/>
          <w:w w:val="100"/>
          <w:position w:val="0"/>
        </w:rPr>
        <w:t>软件外包服务</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公司根据客户需求，按期提供技术人员完成开发及服务，无需对最终开发成果负责。根据合同，于约定的每个结算时 点与客户确认对应服务期间内提供的人员数量、出勤情况、考核评价，按合同约定的不同级别技术人员的人月单价以及双方 确认的工作量确认收入。</w:t>
      </w:r>
    </w:p>
    <w:p>
      <w:pPr>
        <w:pStyle w:val="Style34"/>
        <w:keepNext w:val="0"/>
        <w:keepLines w:val="0"/>
        <w:widowControl w:val="0"/>
        <w:numPr>
          <w:ilvl w:val="0"/>
          <w:numId w:val="71"/>
        </w:numPr>
        <w:shd w:val="clear" w:color="auto" w:fill="auto"/>
        <w:tabs>
          <w:tab w:pos="780" w:val="left"/>
        </w:tabs>
        <w:bidi w:val="0"/>
        <w:spacing w:before="0" w:after="0" w:line="312" w:lineRule="exact"/>
        <w:ind w:left="0" w:right="0" w:firstLine="440"/>
        <w:jc w:val="both"/>
      </w:pPr>
      <w:bookmarkStart w:id="966" w:name="bookmark966"/>
      <w:bookmarkEnd w:id="966"/>
      <w:r>
        <w:rPr>
          <w:color w:val="000000"/>
          <w:spacing w:val="0"/>
          <w:w w:val="100"/>
          <w:position w:val="0"/>
        </w:rPr>
        <w:t>软件运维服务</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公司根据客户需求，对本公司所开发的应用软件系统或客户指定的软件系统或其他</w:t>
      </w:r>
      <w:r>
        <w:rPr>
          <w:rFonts w:ascii="Times New Roman" w:eastAsia="Times New Roman" w:hAnsi="Times New Roman" w:cs="Times New Roman"/>
          <w:color w:val="000000"/>
          <w:spacing w:val="0"/>
          <w:w w:val="100"/>
          <w:position w:val="0"/>
        </w:rPr>
        <w:t>IT</w:t>
      </w:r>
      <w:r>
        <w:rPr>
          <w:color w:val="000000"/>
          <w:spacing w:val="0"/>
          <w:w w:val="100"/>
          <w:position w:val="0"/>
        </w:rPr>
        <w:t>运营系统提供运行维护服务，无 需对开发或服务成果负责。根据合同约定的服务方式提供现场或远程维护，按照约定的服务期间</w:t>
      </w:r>
      <w:r>
        <w:rPr>
          <w:rFonts w:ascii="Times New Roman" w:eastAsia="Times New Roman" w:hAnsi="Times New Roman" w:cs="Times New Roman"/>
          <w:color w:val="000000"/>
          <w:spacing w:val="0"/>
          <w:w w:val="100"/>
          <w:position w:val="0"/>
        </w:rPr>
        <w:t>(</w:t>
      </w:r>
      <w:r>
        <w:rPr>
          <w:color w:val="000000"/>
          <w:spacing w:val="0"/>
          <w:w w:val="100"/>
          <w:position w:val="0"/>
        </w:rPr>
        <w:t>月度、季度、半年度、年 度</w:t>
      </w:r>
      <w:r>
        <w:rPr>
          <w:rFonts w:ascii="Times New Roman" w:eastAsia="Times New Roman" w:hAnsi="Times New Roman" w:cs="Times New Roman"/>
          <w:color w:val="000000"/>
          <w:spacing w:val="0"/>
          <w:w w:val="100"/>
          <w:position w:val="0"/>
        </w:rPr>
        <w:t>)</w:t>
      </w:r>
      <w:r>
        <w:rPr>
          <w:color w:val="000000"/>
          <w:spacing w:val="0"/>
          <w:w w:val="100"/>
          <w:position w:val="0"/>
        </w:rPr>
        <w:t>对提供的服务确认收入。</w:t>
      </w:r>
    </w:p>
    <w:p>
      <w:pPr>
        <w:pStyle w:val="Style34"/>
        <w:keepNext w:val="0"/>
        <w:keepLines w:val="0"/>
        <w:widowControl w:val="0"/>
        <w:numPr>
          <w:ilvl w:val="0"/>
          <w:numId w:val="69"/>
        </w:numPr>
        <w:shd w:val="clear" w:color="auto" w:fill="auto"/>
        <w:tabs>
          <w:tab w:pos="832" w:val="left"/>
        </w:tabs>
        <w:bidi w:val="0"/>
        <w:spacing w:before="0" w:after="0" w:line="312" w:lineRule="exact"/>
        <w:ind w:left="0" w:right="0" w:firstLine="440"/>
        <w:jc w:val="both"/>
      </w:pPr>
      <w:bookmarkStart w:id="967" w:name="bookmark967"/>
      <w:bookmarkEnd w:id="967"/>
      <w:r>
        <w:rPr>
          <w:color w:val="000000"/>
          <w:spacing w:val="0"/>
          <w:w w:val="100"/>
          <w:position w:val="0"/>
        </w:rPr>
        <w:t>系统集成及服务</w:t>
      </w:r>
    </w:p>
    <w:p>
      <w:pPr>
        <w:pStyle w:val="Style34"/>
        <w:keepNext w:val="0"/>
        <w:keepLines w:val="0"/>
        <w:widowControl w:val="0"/>
        <w:numPr>
          <w:ilvl w:val="0"/>
          <w:numId w:val="73"/>
        </w:numPr>
        <w:shd w:val="clear" w:color="auto" w:fill="auto"/>
        <w:tabs>
          <w:tab w:pos="760" w:val="left"/>
        </w:tabs>
        <w:bidi w:val="0"/>
        <w:spacing w:before="0" w:after="0" w:line="312" w:lineRule="exact"/>
        <w:ind w:left="0" w:right="0" w:firstLine="440"/>
        <w:jc w:val="both"/>
      </w:pPr>
      <w:bookmarkStart w:id="968" w:name="bookmark968"/>
      <w:bookmarkEnd w:id="968"/>
      <w:r>
        <w:rPr>
          <w:color w:val="000000"/>
          <w:spacing w:val="0"/>
          <w:w w:val="100"/>
          <w:position w:val="0"/>
        </w:rPr>
        <w:t>系统集成</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系统集成是指应客户需求，代客户采购数据中心、网络中心所需要的软硬件设备，并提供相应的集成服务，包括数据 中心集成设计、机房一体化建设、智能化综合布线、产品选型、软硬件详细配置、软硬件供货、软硬件安装调试、</w:t>
      </w:r>
      <w:r>
        <w:rPr>
          <w:rFonts w:ascii="Times New Roman" w:eastAsia="Times New Roman" w:hAnsi="Times New Roman" w:cs="Times New Roman"/>
          <w:color w:val="000000"/>
          <w:spacing w:val="0"/>
          <w:w w:val="100"/>
          <w:position w:val="0"/>
        </w:rPr>
        <w:t>IT</w:t>
      </w:r>
      <w:r>
        <w:rPr>
          <w:color w:val="000000"/>
          <w:spacing w:val="0"/>
          <w:w w:val="100"/>
          <w:position w:val="0"/>
        </w:rPr>
        <w:t>系统软 硬件改造升级、技术咨询等。按照合同约定，无法区分软硬件设备与相关服务价款，公司在相关货物发出及服务提供并经客 户验收合格后确认系统集成收入。</w:t>
      </w:r>
    </w:p>
    <w:p>
      <w:pPr>
        <w:pStyle w:val="Style34"/>
        <w:keepNext w:val="0"/>
        <w:keepLines w:val="0"/>
        <w:widowControl w:val="0"/>
        <w:numPr>
          <w:ilvl w:val="0"/>
          <w:numId w:val="73"/>
        </w:numPr>
        <w:shd w:val="clear" w:color="auto" w:fill="auto"/>
        <w:tabs>
          <w:tab w:pos="780" w:val="left"/>
        </w:tabs>
        <w:bidi w:val="0"/>
        <w:spacing w:before="0" w:after="0" w:line="312" w:lineRule="exact"/>
        <w:ind w:left="0" w:right="0" w:firstLine="440"/>
        <w:jc w:val="both"/>
      </w:pPr>
      <w:bookmarkStart w:id="969" w:name="bookmark969"/>
      <w:bookmarkEnd w:id="969"/>
      <w:r>
        <w:rPr>
          <w:color w:val="000000"/>
          <w:spacing w:val="0"/>
          <w:w w:val="100"/>
          <w:position w:val="0"/>
        </w:rPr>
        <w:t>系统集成服务</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主要为客户采购软硬件设备同时，需要提供的集成服务，且在合同履约义务中单独约定支付价格，通常包括按次提供 的服务，例如机器安装调试、综合布线等；和按期</w:t>
      </w:r>
      <w:r>
        <w:rPr>
          <w:rFonts w:ascii="Times New Roman" w:eastAsia="Times New Roman" w:hAnsi="Times New Roman" w:cs="Times New Roman"/>
          <w:color w:val="000000"/>
          <w:spacing w:val="0"/>
          <w:w w:val="100"/>
          <w:position w:val="0"/>
        </w:rPr>
        <w:t>(</w:t>
      </w:r>
      <w:r>
        <w:rPr>
          <w:color w:val="000000"/>
          <w:spacing w:val="0"/>
          <w:w w:val="100"/>
          <w:position w:val="0"/>
        </w:rPr>
        <w:t>如年度</w:t>
      </w:r>
      <w:r>
        <w:rPr>
          <w:rFonts w:ascii="Times New Roman" w:eastAsia="Times New Roman" w:hAnsi="Times New Roman" w:cs="Times New Roman"/>
          <w:color w:val="000000"/>
          <w:spacing w:val="0"/>
          <w:w w:val="100"/>
          <w:position w:val="0"/>
        </w:rPr>
        <w:t>)</w:t>
      </w:r>
      <w:r>
        <w:rPr>
          <w:color w:val="000000"/>
          <w:spacing w:val="0"/>
          <w:w w:val="100"/>
          <w:position w:val="0"/>
        </w:rPr>
        <w:t>提供的服务，如机器设备的运行维护等。</w:t>
      </w:r>
    </w:p>
    <w:p>
      <w:pPr>
        <w:pStyle w:val="Style34"/>
        <w:keepNext w:val="0"/>
        <w:keepLines w:val="0"/>
        <w:widowControl w:val="0"/>
        <w:shd w:val="clear" w:color="auto" w:fill="auto"/>
        <w:bidi w:val="0"/>
        <w:spacing w:before="0" w:after="960" w:line="312" w:lineRule="exact"/>
        <w:ind w:left="0" w:right="0" w:firstLine="0"/>
        <w:jc w:val="both"/>
      </w:pPr>
      <w:r>
        <w:rPr>
          <w:color w:val="000000"/>
          <w:spacing w:val="0"/>
          <w:w w:val="100"/>
          <w:position w:val="0"/>
        </w:rPr>
        <w:t>按次提供的服务，公司在服务已经提供完毕，并达成合同约定的条款时一次性确认收入；按期提供的服务，公司按照合同约</w:t>
      </w:r>
    </w:p>
    <w:p>
      <w:pPr>
        <w:pStyle w:val="Style17"/>
        <w:keepNext/>
        <w:keepLines/>
        <w:widowControl w:val="0"/>
        <w:shd w:val="clear" w:color="auto" w:fill="auto"/>
        <w:bidi w:val="0"/>
        <w:spacing w:before="0" w:after="0" w:line="240" w:lineRule="auto"/>
        <w:ind w:left="0" w:right="0" w:firstLine="0"/>
        <w:jc w:val="right"/>
        <w:rPr>
          <w:sz w:val="20"/>
          <w:szCs w:val="20"/>
        </w:rPr>
      </w:pPr>
      <w:bookmarkStart w:id="970" w:name="bookmark970"/>
      <w:bookmarkStart w:id="971" w:name="bookmark971"/>
      <w:bookmarkStart w:id="972" w:name="bookmark972"/>
      <w:r>
        <w:rPr>
          <w:rFonts w:ascii="Arial" w:eastAsia="Arial" w:hAnsi="Arial" w:cs="Arial"/>
          <w:color w:val="A2A2A2"/>
          <w:spacing w:val="0"/>
          <w:w w:val="100"/>
          <w:position w:val="0"/>
          <w:sz w:val="20"/>
          <w:szCs w:val="20"/>
        </w:rPr>
        <w:t>cninf^r</w:t>
      </w:r>
      <w:bookmarkEnd w:id="970"/>
      <w:bookmarkEnd w:id="971"/>
      <w:bookmarkEnd w:id="972"/>
    </w:p>
    <w:p>
      <w:pPr>
        <w:pStyle w:val="Style20"/>
        <w:keepNext w:val="0"/>
        <w:keepLines w:val="0"/>
        <w:widowControl w:val="0"/>
        <w:shd w:val="clear" w:color="auto" w:fill="auto"/>
        <w:bidi w:val="0"/>
        <w:spacing w:before="0" w:after="0" w:line="240" w:lineRule="auto"/>
        <w:ind w:left="0" w:right="0" w:firstLine="0"/>
        <w:jc w:val="right"/>
      </w:pPr>
      <w:r>
        <w:rPr>
          <w:spacing w:val="0"/>
          <w:w w:val="100"/>
          <w:position w:val="0"/>
        </w:rPr>
        <w:t>巨潮资讯</w:t>
      </w:r>
    </w:p>
    <w:p>
      <w:pPr>
        <w:pStyle w:val="Style72"/>
        <w:keepNext w:val="0"/>
        <w:keepLines w:val="0"/>
        <w:widowControl w:val="0"/>
        <w:shd w:val="clear" w:color="auto" w:fill="auto"/>
        <w:bidi w:val="0"/>
        <w:spacing w:before="0" w:after="0" w:line="240" w:lineRule="auto"/>
        <w:ind w:left="0" w:right="0" w:firstLine="0"/>
        <w:jc w:val="right"/>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398" w:right="1023" w:bottom="164" w:left="1104" w:header="0" w:footer="3" w:gutter="0"/>
          <w:cols w:space="720"/>
          <w:noEndnote/>
          <w:rtlGutter w:val="0"/>
          <w:docGrid w:linePitch="360"/>
        </w:sectPr>
      </w:pPr>
      <w:r>
        <w:fldChar w:fldCharType="begin"/>
      </w:r>
      <w:r>
        <w:rPr/>
        <w:instrText> HYPERLINK "http://www.cnlnto.ccm.cn" </w:instrText>
      </w:r>
      <w:r>
        <w:fldChar w:fldCharType="separate"/>
      </w:r>
      <w:r>
        <w:rPr>
          <w:spacing w:val="0"/>
          <w:w w:val="100"/>
          <w:position w:val="0"/>
        </w:rPr>
        <w:t>www.cnlnto.ccm.cn</w:t>
      </w:r>
      <w:r>
        <w:fldChar w:fldCharType="end"/>
      </w:r>
    </w:p>
    <w:p>
      <w:pPr>
        <w:pStyle w:val="Style34"/>
        <w:keepNext w:val="0"/>
        <w:keepLines w:val="0"/>
        <w:widowControl w:val="0"/>
        <w:shd w:val="clear" w:color="auto" w:fill="auto"/>
        <w:bidi w:val="0"/>
        <w:spacing w:before="0" w:after="400" w:line="313" w:lineRule="exact"/>
        <w:ind w:left="0" w:right="0" w:firstLine="0"/>
        <w:jc w:val="both"/>
      </w:pPr>
      <w:r>
        <w:rPr>
          <w:color w:val="000000"/>
          <w:spacing w:val="0"/>
          <w:w w:val="100"/>
          <w:position w:val="0"/>
        </w:rPr>
        <w:t>定的内容提供服务，在服务期间分期确认收入。</w:t>
      </w:r>
    </w:p>
    <w:p>
      <w:pPr>
        <w:pStyle w:val="Style34"/>
        <w:keepNext w:val="0"/>
        <w:keepLines w:val="0"/>
        <w:widowControl w:val="0"/>
        <w:shd w:val="clear" w:color="auto" w:fill="auto"/>
        <w:bidi w:val="0"/>
        <w:spacing w:before="0" w:after="300"/>
        <w:ind w:left="0" w:right="0" w:firstLine="0"/>
        <w:jc w:val="both"/>
      </w:pPr>
      <w:r>
        <w:rPr>
          <w:rFonts w:ascii="Times New Roman" w:eastAsia="Times New Roman" w:hAnsi="Times New Roman" w:cs="Times New Roman"/>
          <w:b/>
          <w:bCs/>
          <w:color w:val="000000"/>
          <w:spacing w:val="0"/>
          <w:w w:val="100"/>
          <w:position w:val="0"/>
        </w:rPr>
        <w:t>40</w:t>
      </w:r>
      <w:r>
        <w:rPr>
          <w:b/>
          <w:bCs/>
          <w:color w:val="000000"/>
          <w:spacing w:val="0"/>
          <w:w w:val="100"/>
          <w:position w:val="0"/>
        </w:rPr>
        <w:t>、政府补助</w:t>
      </w:r>
    </w:p>
    <w:p>
      <w:pPr>
        <w:pStyle w:val="Style34"/>
        <w:keepNext w:val="0"/>
        <w:keepLines w:val="0"/>
        <w:widowControl w:val="0"/>
        <w:numPr>
          <w:ilvl w:val="0"/>
          <w:numId w:val="81"/>
        </w:numPr>
        <w:shd w:val="clear" w:color="auto" w:fill="auto"/>
        <w:tabs>
          <w:tab w:pos="750" w:val="left"/>
        </w:tabs>
        <w:bidi w:val="0"/>
        <w:spacing w:before="0" w:after="0"/>
        <w:ind w:left="0" w:right="0" w:firstLine="440"/>
        <w:jc w:val="both"/>
      </w:pPr>
      <w:bookmarkStart w:id="990" w:name="bookmark990"/>
      <w:bookmarkEnd w:id="990"/>
      <w:r>
        <w:rPr>
          <w:color w:val="000000"/>
          <w:spacing w:val="0"/>
          <w:w w:val="100"/>
          <w:position w:val="0"/>
        </w:rPr>
        <w:t>政府补助的分类</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政府补助，是指本公司从政府无偿取得货币性资产或非货币性资产。分为与资产相关的政府补助和与收益相关的政府 补助。</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与资产相关的政府补助，是指本公司取得的、用于购建或以其他方式形成长期资产的政府补助，包括购买固定资产或 无形资产的财政拨款、固定资产专门借款的财政贴息等；与收益相关的政府补助，是指除与资产相关的政府补助之外的政府 补助。对于同时包含与资产相关部分和与收益相关部分的政府补助，区分不同部分分别进行会计处理；难以区分的，整体归 类为与收益相关的政府补助。</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本公司在进行政府补助分类时采取的具体标准为：</w:t>
      </w:r>
    </w:p>
    <w:p>
      <w:pPr>
        <w:pStyle w:val="Style34"/>
        <w:keepNext w:val="0"/>
        <w:keepLines w:val="0"/>
        <w:widowControl w:val="0"/>
        <w:numPr>
          <w:ilvl w:val="0"/>
          <w:numId w:val="83"/>
        </w:numPr>
        <w:shd w:val="clear" w:color="auto" w:fill="auto"/>
        <w:tabs>
          <w:tab w:pos="809" w:val="left"/>
        </w:tabs>
        <w:bidi w:val="0"/>
        <w:spacing w:before="0" w:after="0" w:line="313" w:lineRule="exact"/>
        <w:ind w:left="0" w:right="0" w:firstLine="440"/>
        <w:jc w:val="both"/>
      </w:pPr>
      <w:bookmarkStart w:id="991" w:name="bookmark991"/>
      <w:bookmarkEnd w:id="991"/>
      <w:r>
        <w:rPr>
          <w:color w:val="000000"/>
          <w:spacing w:val="0"/>
          <w:w w:val="100"/>
          <w:position w:val="0"/>
        </w:rPr>
        <w:t>政府补助文件规定的补助对象用于购建或以其他方式形成长期资产，或者补助对象的支出主要用于购建或以其他方 式形成长期资产的，划分为与资产相关的政府补助。</w:t>
      </w:r>
    </w:p>
    <w:p>
      <w:pPr>
        <w:pStyle w:val="Style34"/>
        <w:keepNext w:val="0"/>
        <w:keepLines w:val="0"/>
        <w:widowControl w:val="0"/>
        <w:numPr>
          <w:ilvl w:val="0"/>
          <w:numId w:val="83"/>
        </w:numPr>
        <w:shd w:val="clear" w:color="auto" w:fill="auto"/>
        <w:tabs>
          <w:tab w:pos="809" w:val="left"/>
        </w:tabs>
        <w:bidi w:val="0"/>
        <w:spacing w:before="0" w:after="0" w:line="313" w:lineRule="exact"/>
        <w:ind w:left="0" w:right="0" w:firstLine="440"/>
        <w:jc w:val="both"/>
      </w:pPr>
      <w:bookmarkStart w:id="992" w:name="bookmark992"/>
      <w:bookmarkEnd w:id="992"/>
      <w:r>
        <w:rPr>
          <w:color w:val="000000"/>
          <w:spacing w:val="0"/>
          <w:w w:val="100"/>
          <w:position w:val="0"/>
        </w:rPr>
        <w:t>根据政府补助文件获得的政府补助全部或者主要用于补偿以后期间或已发生的费用或损失的政府补助，划分为与收 益相关的政府补助。</w:t>
      </w:r>
    </w:p>
    <w:p>
      <w:pPr>
        <w:pStyle w:val="Style34"/>
        <w:keepNext w:val="0"/>
        <w:keepLines w:val="0"/>
        <w:widowControl w:val="0"/>
        <w:numPr>
          <w:ilvl w:val="0"/>
          <w:numId w:val="83"/>
        </w:numPr>
        <w:shd w:val="clear" w:color="auto" w:fill="auto"/>
        <w:tabs>
          <w:tab w:pos="814" w:val="left"/>
        </w:tabs>
        <w:bidi w:val="0"/>
        <w:spacing w:before="0" w:line="313" w:lineRule="exact"/>
        <w:ind w:left="0" w:right="0" w:firstLine="440"/>
        <w:jc w:val="both"/>
      </w:pPr>
      <w:bookmarkStart w:id="993" w:name="bookmark993"/>
      <w:bookmarkEnd w:id="993"/>
      <w:r>
        <w:rPr>
          <w:color w:val="000000"/>
          <w:spacing w:val="0"/>
          <w:w w:val="100"/>
          <w:position w:val="0"/>
        </w:rPr>
        <w:t>若政府文件未明确规定补助对象，则采用以下方式将该政府补助款划分为与资产相关的政府补助或与收益相关的政 府补助：</w:t>
      </w:r>
      <w:r>
        <w:rPr>
          <w:rFonts w:ascii="Times New Roman" w:eastAsia="Times New Roman" w:hAnsi="Times New Roman" w:cs="Times New Roman"/>
          <w:color w:val="000000"/>
          <w:spacing w:val="0"/>
          <w:w w:val="100"/>
          <w:position w:val="0"/>
        </w:rPr>
        <w:t>1)</w:t>
      </w:r>
      <w:r>
        <w:rPr>
          <w:color w:val="000000"/>
          <w:spacing w:val="0"/>
          <w:w w:val="100"/>
          <w:position w:val="0"/>
        </w:rPr>
        <w:t>政府文件明确了补助所针对的特定项目的，根据该特定项目的预算中将形成资产的支出金额和计入费用的支出金 额的相对比例进行划分，对该划分比例需在每个资产负债表日进行复核，必要时进行变更；</w:t>
      </w:r>
      <w:r>
        <w:rPr>
          <w:rFonts w:ascii="Times New Roman" w:eastAsia="Times New Roman" w:hAnsi="Times New Roman" w:cs="Times New Roman"/>
          <w:color w:val="000000"/>
          <w:spacing w:val="0"/>
          <w:w w:val="100"/>
          <w:position w:val="0"/>
        </w:rPr>
        <w:t>2)</w:t>
      </w:r>
      <w:r>
        <w:rPr>
          <w:color w:val="000000"/>
          <w:spacing w:val="0"/>
          <w:w w:val="100"/>
          <w:position w:val="0"/>
        </w:rPr>
        <w:t>政府文件中对用途仅作一般性 表述，没有指明特定项目的，作为与收益相关的政府补助。</w:t>
      </w:r>
    </w:p>
    <w:p>
      <w:pPr>
        <w:pStyle w:val="Style34"/>
        <w:keepNext w:val="0"/>
        <w:keepLines w:val="0"/>
        <w:widowControl w:val="0"/>
        <w:numPr>
          <w:ilvl w:val="0"/>
          <w:numId w:val="81"/>
        </w:numPr>
        <w:shd w:val="clear" w:color="auto" w:fill="auto"/>
        <w:tabs>
          <w:tab w:pos="769" w:val="left"/>
        </w:tabs>
        <w:bidi w:val="0"/>
        <w:spacing w:before="0" w:after="0"/>
        <w:ind w:left="0" w:right="0" w:firstLine="440"/>
        <w:jc w:val="both"/>
      </w:pPr>
      <w:bookmarkStart w:id="994" w:name="bookmark994"/>
      <w:bookmarkEnd w:id="994"/>
      <w:r>
        <w:rPr>
          <w:color w:val="000000"/>
          <w:spacing w:val="0"/>
          <w:w w:val="100"/>
          <w:position w:val="0"/>
        </w:rPr>
        <w:t>政府补助的确认时点</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本公司对于政府补助通常在实际收到时，按照实收金额予以确认和计量。但对于期末有确凿证据表明能够符合财政扶 持政策规定的相关条件预计能够收到财政扶持资金，按照应收的金额计量。按照应收金额计量的政府补助应同时符合以下条 件：</w:t>
      </w:r>
    </w:p>
    <w:p>
      <w:pPr>
        <w:pStyle w:val="Style34"/>
        <w:keepNext w:val="0"/>
        <w:keepLines w:val="0"/>
        <w:widowControl w:val="0"/>
        <w:numPr>
          <w:ilvl w:val="0"/>
          <w:numId w:val="85"/>
        </w:numPr>
        <w:shd w:val="clear" w:color="auto" w:fill="auto"/>
        <w:tabs>
          <w:tab w:pos="804" w:val="left"/>
        </w:tabs>
        <w:bidi w:val="0"/>
        <w:spacing w:before="0" w:after="0" w:line="313" w:lineRule="exact"/>
        <w:ind w:left="0" w:right="0" w:firstLine="440"/>
        <w:jc w:val="both"/>
      </w:pPr>
      <w:bookmarkStart w:id="995" w:name="bookmark995"/>
      <w:bookmarkEnd w:id="995"/>
      <w:r>
        <w:rPr>
          <w:color w:val="000000"/>
          <w:spacing w:val="0"/>
          <w:w w:val="100"/>
          <w:position w:val="0"/>
        </w:rPr>
        <w:t>所依据的是当地财政部门正式发布并按照《政府信息公开条例》的规定予以主动公开的财政扶持项目及其财政资金 管理办法，且该管理办法应当是普惠性的</w:t>
      </w:r>
      <w:r>
        <w:rPr>
          <w:rFonts w:ascii="Times New Roman" w:eastAsia="Times New Roman" w:hAnsi="Times New Roman" w:cs="Times New Roman"/>
          <w:color w:val="000000"/>
          <w:spacing w:val="0"/>
          <w:w w:val="100"/>
          <w:position w:val="0"/>
        </w:rPr>
        <w:t>(</w:t>
      </w:r>
      <w:r>
        <w:rPr>
          <w:color w:val="000000"/>
          <w:spacing w:val="0"/>
          <w:w w:val="100"/>
          <w:position w:val="0"/>
        </w:rPr>
        <w:t>任何符合规定条件的企业均可申请</w:t>
      </w:r>
      <w:r>
        <w:rPr>
          <w:rFonts w:ascii="Times New Roman" w:eastAsia="Times New Roman" w:hAnsi="Times New Roman" w:cs="Times New Roman"/>
          <w:color w:val="000000"/>
          <w:spacing w:val="0"/>
          <w:w w:val="100"/>
          <w:position w:val="0"/>
        </w:rPr>
        <w:t>)</w:t>
      </w:r>
      <w:r>
        <w:rPr>
          <w:color w:val="000000"/>
          <w:spacing w:val="0"/>
          <w:w w:val="100"/>
          <w:position w:val="0"/>
        </w:rPr>
        <w:t>，而不是专门针对特定企业制定的；</w:t>
      </w:r>
    </w:p>
    <w:p>
      <w:pPr>
        <w:pStyle w:val="Style34"/>
        <w:keepNext w:val="0"/>
        <w:keepLines w:val="0"/>
        <w:widowControl w:val="0"/>
        <w:numPr>
          <w:ilvl w:val="0"/>
          <w:numId w:val="85"/>
        </w:numPr>
        <w:shd w:val="clear" w:color="auto" w:fill="auto"/>
        <w:tabs>
          <w:tab w:pos="809" w:val="left"/>
        </w:tabs>
        <w:bidi w:val="0"/>
        <w:spacing w:before="0" w:after="0" w:line="313" w:lineRule="exact"/>
        <w:ind w:left="0" w:right="0" w:firstLine="440"/>
        <w:jc w:val="both"/>
      </w:pPr>
      <w:bookmarkStart w:id="996" w:name="bookmark996"/>
      <w:bookmarkEnd w:id="996"/>
      <w:r>
        <w:rPr>
          <w:color w:val="000000"/>
          <w:spacing w:val="0"/>
          <w:w w:val="100"/>
          <w:position w:val="0"/>
        </w:rPr>
        <w:t>应收补助款的金额已经过有权政府部门发文确认，或者可根据正式发布的财政资金管理办法的有关规定自行合理测 算，且预计其金额不存在重大不确定性；</w:t>
      </w:r>
    </w:p>
    <w:p>
      <w:pPr>
        <w:pStyle w:val="Style34"/>
        <w:keepNext w:val="0"/>
        <w:keepLines w:val="0"/>
        <w:widowControl w:val="0"/>
        <w:numPr>
          <w:ilvl w:val="0"/>
          <w:numId w:val="85"/>
        </w:numPr>
        <w:shd w:val="clear" w:color="auto" w:fill="auto"/>
        <w:tabs>
          <w:tab w:pos="809" w:val="left"/>
        </w:tabs>
        <w:bidi w:val="0"/>
        <w:spacing w:before="0" w:after="0" w:line="313" w:lineRule="exact"/>
        <w:ind w:left="0" w:right="0" w:firstLine="440"/>
        <w:jc w:val="both"/>
      </w:pPr>
      <w:bookmarkStart w:id="997" w:name="bookmark997"/>
      <w:bookmarkEnd w:id="997"/>
      <w:r>
        <w:rPr>
          <w:color w:val="000000"/>
          <w:spacing w:val="0"/>
          <w:w w:val="100"/>
          <w:position w:val="0"/>
        </w:rPr>
        <w:t>相关的补助款批文中已明确承诺了拨付期限，且该款项的拨付是有相应财政预算作为保障的，因而可以合理保证其 可在规定期限内收到；</w:t>
      </w:r>
    </w:p>
    <w:p>
      <w:pPr>
        <w:pStyle w:val="Style34"/>
        <w:keepNext w:val="0"/>
        <w:keepLines w:val="0"/>
        <w:widowControl w:val="0"/>
        <w:numPr>
          <w:ilvl w:val="0"/>
          <w:numId w:val="85"/>
        </w:numPr>
        <w:shd w:val="clear" w:color="auto" w:fill="auto"/>
        <w:tabs>
          <w:tab w:pos="832" w:val="left"/>
        </w:tabs>
        <w:bidi w:val="0"/>
        <w:spacing w:before="0" w:line="313" w:lineRule="exact"/>
        <w:ind w:left="0" w:right="0" w:firstLine="440"/>
        <w:jc w:val="both"/>
      </w:pPr>
      <w:bookmarkStart w:id="998" w:name="bookmark998"/>
      <w:bookmarkEnd w:id="998"/>
      <w:r>
        <w:rPr>
          <w:color w:val="000000"/>
          <w:spacing w:val="0"/>
          <w:w w:val="100"/>
          <w:position w:val="0"/>
        </w:rPr>
        <w:t>根据本公司和该补助事项的具体情况，应满足的其他相关条件</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numPr>
          <w:ilvl w:val="0"/>
          <w:numId w:val="81"/>
        </w:numPr>
        <w:shd w:val="clear" w:color="auto" w:fill="auto"/>
        <w:tabs>
          <w:tab w:pos="769" w:val="left"/>
        </w:tabs>
        <w:bidi w:val="0"/>
        <w:spacing w:before="0" w:after="0"/>
        <w:ind w:left="0" w:right="0" w:firstLine="440"/>
        <w:jc w:val="both"/>
      </w:pPr>
      <w:bookmarkStart w:id="999" w:name="bookmark999"/>
      <w:bookmarkEnd w:id="999"/>
      <w:r>
        <w:rPr>
          <w:color w:val="000000"/>
          <w:spacing w:val="0"/>
          <w:w w:val="100"/>
          <w:position w:val="0"/>
        </w:rPr>
        <w:t>政府补助的会计处理</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政府补助为货币性资产的，按收到或应收的金额计量；为非货币性资产的，按公允价值计量；非货币性资产公允价值 不能可靠取得的，按名义金额计量。按照名义金额计量的政府补助，直接计入当期损益。</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本公司对政府补助采用的是总额法，具体会计处理如下：</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与资产相关的政府补助确认为递延收益，在相关资产使用寿命内按照合理、系统的方法分期计入当期损益；相关资产 在使用寿命结束前被出售、转让、报废或发生毁损的，将相关递延收益余额转入资产处置当期的损益。</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与收益相关的政府补助，用于补偿本公司以后期间的相关成本费用或损失的，确认为递延收益，并在确认相关成本费 用或损失的期间，计入当期损益；用于补偿企业已发生的相关成本费用或损失的，直接计入当期损益。</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本公司取得的政策性优惠贷款贴息，区分以下两种情况，分别进行会计处理：</w:t>
      </w:r>
    </w:p>
    <w:p>
      <w:pPr>
        <w:pStyle w:val="Style34"/>
        <w:keepNext w:val="0"/>
        <w:keepLines w:val="0"/>
        <w:widowControl w:val="0"/>
        <w:numPr>
          <w:ilvl w:val="0"/>
          <w:numId w:val="87"/>
        </w:numPr>
        <w:shd w:val="clear" w:color="auto" w:fill="auto"/>
        <w:tabs>
          <w:tab w:pos="809" w:val="left"/>
        </w:tabs>
        <w:bidi w:val="0"/>
        <w:spacing w:before="0" w:after="0" w:line="313" w:lineRule="exact"/>
        <w:ind w:left="0" w:right="0" w:firstLine="440"/>
        <w:jc w:val="both"/>
      </w:pPr>
      <w:bookmarkStart w:id="1000" w:name="bookmark1000"/>
      <w:bookmarkEnd w:id="1000"/>
      <w:r>
        <w:rPr>
          <w:color w:val="000000"/>
          <w:spacing w:val="0"/>
          <w:w w:val="100"/>
          <w:position w:val="0"/>
        </w:rPr>
        <w:t>财政将贴息资金拨付给贷款银行，由贷款银行以政策性优惠利率向企业提供贷款的，本公司以实际收到的借款金额 作为借款的入账价值，按照借款本金和该政策性优惠利率计算相关借款费用。</w:t>
      </w:r>
    </w:p>
    <w:p>
      <w:pPr>
        <w:pStyle w:val="Style34"/>
        <w:keepNext w:val="0"/>
        <w:keepLines w:val="0"/>
        <w:widowControl w:val="0"/>
        <w:numPr>
          <w:ilvl w:val="0"/>
          <w:numId w:val="87"/>
        </w:numPr>
        <w:shd w:val="clear" w:color="auto" w:fill="auto"/>
        <w:tabs>
          <w:tab w:pos="832" w:val="left"/>
        </w:tabs>
        <w:bidi w:val="0"/>
        <w:spacing w:before="0" w:after="0" w:line="313" w:lineRule="exact"/>
        <w:ind w:left="0" w:right="0" w:firstLine="440"/>
        <w:jc w:val="both"/>
      </w:pPr>
      <w:bookmarkStart w:id="1001" w:name="bookmark1001"/>
      <w:bookmarkEnd w:id="1001"/>
      <w:r>
        <w:rPr>
          <w:color w:val="000000"/>
          <w:spacing w:val="0"/>
          <w:w w:val="100"/>
          <w:position w:val="0"/>
        </w:rPr>
        <w:t>财政将贴息资金直接拨付给本公司的，本公司将对应的贴息冲减相关借款费用。</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已确认的政府补助需要退回的，在需要退回的当期分以下情况进行会计处理：</w:t>
      </w:r>
    </w:p>
    <w:p>
      <w:pPr>
        <w:pStyle w:val="Style34"/>
        <w:keepNext w:val="0"/>
        <w:keepLines w:val="0"/>
        <w:widowControl w:val="0"/>
        <w:numPr>
          <w:ilvl w:val="0"/>
          <w:numId w:val="89"/>
        </w:numPr>
        <w:shd w:val="clear" w:color="auto" w:fill="auto"/>
        <w:tabs>
          <w:tab w:pos="812" w:val="left"/>
        </w:tabs>
        <w:bidi w:val="0"/>
        <w:spacing w:before="0" w:after="0" w:line="312" w:lineRule="exact"/>
        <w:ind w:left="0" w:right="0" w:firstLine="440"/>
        <w:jc w:val="both"/>
      </w:pPr>
      <w:bookmarkStart w:id="1002" w:name="bookmark1002"/>
      <w:bookmarkEnd w:id="1002"/>
      <w:r>
        <w:rPr>
          <w:color w:val="000000"/>
          <w:spacing w:val="0"/>
          <w:w w:val="100"/>
          <w:position w:val="0"/>
        </w:rPr>
        <w:t>初始确认时冲减相关资产账面价值的，调整资产账面价值；</w:t>
      </w:r>
    </w:p>
    <w:p>
      <w:pPr>
        <w:pStyle w:val="Style34"/>
        <w:keepNext w:val="0"/>
        <w:keepLines w:val="0"/>
        <w:widowControl w:val="0"/>
        <w:numPr>
          <w:ilvl w:val="0"/>
          <w:numId w:val="89"/>
        </w:numPr>
        <w:shd w:val="clear" w:color="auto" w:fill="auto"/>
        <w:tabs>
          <w:tab w:pos="812" w:val="left"/>
        </w:tabs>
        <w:bidi w:val="0"/>
        <w:spacing w:before="0" w:after="0" w:line="312" w:lineRule="exact"/>
        <w:ind w:left="0" w:right="0" w:firstLine="440"/>
        <w:jc w:val="both"/>
      </w:pPr>
      <w:bookmarkStart w:id="1003" w:name="bookmark1003"/>
      <w:bookmarkEnd w:id="1003"/>
      <w:r>
        <w:rPr>
          <w:color w:val="000000"/>
          <w:spacing w:val="0"/>
          <w:w w:val="100"/>
          <w:position w:val="0"/>
        </w:rPr>
        <w:t>存在相关递延收益的，冲减相关递延收益账面余额，超出部分计入当期损益；</w:t>
      </w:r>
    </w:p>
    <w:p>
      <w:pPr>
        <w:pStyle w:val="Style34"/>
        <w:keepNext w:val="0"/>
        <w:keepLines w:val="0"/>
        <w:widowControl w:val="0"/>
        <w:numPr>
          <w:ilvl w:val="0"/>
          <w:numId w:val="89"/>
        </w:numPr>
        <w:shd w:val="clear" w:color="auto" w:fill="auto"/>
        <w:tabs>
          <w:tab w:pos="812" w:val="left"/>
        </w:tabs>
        <w:bidi w:val="0"/>
        <w:spacing w:before="0" w:after="0" w:line="312" w:lineRule="exact"/>
        <w:ind w:left="0" w:right="0" w:firstLine="440"/>
        <w:jc w:val="both"/>
      </w:pPr>
      <w:bookmarkStart w:id="1004" w:name="bookmark1004"/>
      <w:bookmarkEnd w:id="1004"/>
      <w:r>
        <w:rPr>
          <w:color w:val="000000"/>
          <w:spacing w:val="0"/>
          <w:w w:val="100"/>
          <w:position w:val="0"/>
        </w:rPr>
        <w:t>属于其他情况的，直接计入当期损益。</w:t>
      </w:r>
    </w:p>
    <w:p>
      <w:pPr>
        <w:pStyle w:val="Style34"/>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政府补助计入不同损益项目的区分原则为：与本公司日常活动相关的政府补助，按照经济业务实质，计入其他收益或 冲减相关成本费用；与本公司日常活动无关的政府补助，计入营业外收支。</w:t>
      </w:r>
    </w:p>
    <w:p>
      <w:pPr>
        <w:pStyle w:val="Style38"/>
        <w:keepNext/>
        <w:keepLines/>
        <w:widowControl w:val="0"/>
        <w:shd w:val="clear" w:color="auto" w:fill="auto"/>
        <w:bidi w:val="0"/>
        <w:spacing w:before="0" w:after="28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4</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5"/>
      <w:bookmarkEnd w:id="1006"/>
      <w:bookmarkEnd w:id="1008"/>
    </w:p>
    <w:p>
      <w:pPr>
        <w:pStyle w:val="Style34"/>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.递延所得税资产和递延所得税负债的确认和计量</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本公司根据资产、负债于资产负债日的账面价值与计税基础之间的暂时性差异，采用资产负债表债务法确认递延所得 税。公司当期所得税和递延所得税作为所得税费用或收益计入当期损益，但不包括下列情况产生的所得税: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rPr>
        <w:t>(1)</w:t>
      </w:r>
      <w:r>
        <w:rPr>
          <w:color w:val="000000"/>
          <w:spacing w:val="0"/>
          <w:w w:val="100"/>
          <w:position w:val="0"/>
        </w:rPr>
        <w:t>企业合并；⑵ 直接在所有者权益中确认的交易或者事项。</w:t>
      </w:r>
    </w:p>
    <w:p>
      <w:pPr>
        <w:pStyle w:val="Style34"/>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对于可抵扣暂时性差异、能够结转以后年度的可抵扣亏损和税款抵减，公司以很可能取得用来抵扣可抵扣暂时性差异、 可抵扣亏损和税款抵减的未来应纳税所得额为限，确认由此产生的递延所得税资产，除非该可抵扣暂时性差异是在以下交易 中产生的：</w:t>
      </w:r>
    </w:p>
    <w:p>
      <w:pPr>
        <w:pStyle w:val="Style34"/>
        <w:keepNext w:val="0"/>
        <w:keepLines w:val="0"/>
        <w:widowControl w:val="0"/>
        <w:numPr>
          <w:ilvl w:val="0"/>
          <w:numId w:val="91"/>
        </w:numPr>
        <w:shd w:val="clear" w:color="auto" w:fill="auto"/>
        <w:tabs>
          <w:tab w:pos="812" w:val="left"/>
        </w:tabs>
        <w:bidi w:val="0"/>
        <w:spacing w:before="0" w:after="0"/>
        <w:ind w:left="0" w:right="0" w:firstLine="440"/>
        <w:jc w:val="left"/>
      </w:pPr>
      <w:bookmarkStart w:id="1009" w:name="bookmark1009"/>
      <w:bookmarkEnd w:id="1009"/>
      <w:r>
        <w:rPr>
          <w:color w:val="000000"/>
          <w:spacing w:val="0"/>
          <w:w w:val="100"/>
          <w:position w:val="0"/>
        </w:rPr>
        <w:t>该交易不是企业合并，并且交易发生时既不影响会计利润也不影响应纳税所得额；</w:t>
      </w:r>
    </w:p>
    <w:p>
      <w:pPr>
        <w:pStyle w:val="Style34"/>
        <w:keepNext w:val="0"/>
        <w:keepLines w:val="0"/>
        <w:widowControl w:val="0"/>
        <w:numPr>
          <w:ilvl w:val="0"/>
          <w:numId w:val="91"/>
        </w:numPr>
        <w:shd w:val="clear" w:color="auto" w:fill="auto"/>
        <w:tabs>
          <w:tab w:pos="785" w:val="left"/>
        </w:tabs>
        <w:bidi w:val="0"/>
        <w:spacing w:before="0" w:after="0" w:line="313" w:lineRule="exact"/>
        <w:ind w:left="0" w:right="0" w:firstLine="440"/>
        <w:jc w:val="left"/>
      </w:pPr>
      <w:bookmarkStart w:id="1010" w:name="bookmark1010"/>
      <w:bookmarkEnd w:id="1010"/>
      <w:r>
        <w:rPr>
          <w:color w:val="000000"/>
          <w:spacing w:val="0"/>
          <w:w w:val="100"/>
          <w:position w:val="0"/>
        </w:rPr>
        <w:t>对于与子公司、合营企业及联营企业投资相关的可抵扣暂时性差异，同时满足下列条件的，确认相应的递延所得税 资产：暂时性差异在可预见的未来很可能转回，且未来很可能获得用来抵扣可抵扣暂时性差异的应纳税所得额。</w:t>
      </w:r>
    </w:p>
    <w:p>
      <w:pPr>
        <w:pStyle w:val="Style3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各项应纳税暂时性差异均确认相关的递延所得税负债，除非该应纳税暂时性差异是在以下交易中产生的：</w:t>
      </w:r>
    </w:p>
    <w:p>
      <w:pPr>
        <w:pStyle w:val="Style34"/>
        <w:keepNext w:val="0"/>
        <w:keepLines w:val="0"/>
        <w:widowControl w:val="0"/>
        <w:numPr>
          <w:ilvl w:val="0"/>
          <w:numId w:val="93"/>
        </w:numPr>
        <w:shd w:val="clear" w:color="auto" w:fill="auto"/>
        <w:tabs>
          <w:tab w:pos="785" w:val="left"/>
        </w:tabs>
        <w:bidi w:val="0"/>
        <w:spacing w:before="0" w:after="0" w:line="313" w:lineRule="exact"/>
        <w:ind w:left="0" w:right="0" w:firstLine="440"/>
        <w:jc w:val="left"/>
      </w:pPr>
      <w:bookmarkStart w:id="1011" w:name="bookmark1011"/>
      <w:bookmarkEnd w:id="1011"/>
      <w:r>
        <w:rPr>
          <w:color w:val="000000"/>
          <w:spacing w:val="0"/>
          <w:w w:val="100"/>
          <w:position w:val="0"/>
        </w:rPr>
        <w:t>商誉的初始确认，或者具有以下特征的交易中产生的资产或负债的初始确认：该交易不是企业合并，并且交易发生 时既不影响会计利润也不影响应纳税所得额；</w:t>
      </w:r>
    </w:p>
    <w:p>
      <w:pPr>
        <w:pStyle w:val="Style34"/>
        <w:keepNext w:val="0"/>
        <w:keepLines w:val="0"/>
        <w:widowControl w:val="0"/>
        <w:numPr>
          <w:ilvl w:val="0"/>
          <w:numId w:val="93"/>
        </w:numPr>
        <w:shd w:val="clear" w:color="auto" w:fill="auto"/>
        <w:tabs>
          <w:tab w:pos="789" w:val="left"/>
        </w:tabs>
        <w:bidi w:val="0"/>
        <w:spacing w:before="0" w:after="0" w:line="313" w:lineRule="exact"/>
        <w:ind w:left="0" w:right="0" w:firstLine="440"/>
        <w:jc w:val="left"/>
      </w:pPr>
      <w:bookmarkStart w:id="1012" w:name="bookmark1012"/>
      <w:bookmarkEnd w:id="1012"/>
      <w:r>
        <w:rPr>
          <w:color w:val="000000"/>
          <w:spacing w:val="0"/>
          <w:w w:val="100"/>
          <w:position w:val="0"/>
        </w:rPr>
        <w:t>对于与子公司、合营企业及联营企业投资相关的应纳税暂时性差异，该暂时性差异转回的时间能够控制并且该暂时 性差异在可预见的未来很可能不会转回。</w:t>
      </w:r>
    </w:p>
    <w:p>
      <w:pPr>
        <w:pStyle w:val="Style3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rPr>
        <w:t>(</w:t>
      </w:r>
      <w:r>
        <w:rPr>
          <w:color w:val="000000"/>
          <w:spacing w:val="0"/>
          <w:w w:val="100"/>
          <w:position w:val="0"/>
        </w:rPr>
        <w:t>未作为资产和负债确认的项目按照税法规定可以确定其计税基础 的，该计税基础与其账面数之间的差额</w:t>
      </w:r>
      <w:r>
        <w:rPr>
          <w:rFonts w:ascii="Times New Roman" w:eastAsia="Times New Roman" w:hAnsi="Times New Roman" w:cs="Times New Roman"/>
          <w:color w:val="000000"/>
          <w:spacing w:val="0"/>
          <w:w w:val="100"/>
          <w:position w:val="0"/>
        </w:rPr>
        <w:t>)</w:t>
      </w:r>
      <w:r>
        <w:rPr>
          <w:color w:val="000000"/>
          <w:spacing w:val="0"/>
          <w:w w:val="100"/>
          <w:position w:val="0"/>
        </w:rPr>
        <w:t>，按照预期收回该资产或清偿该负债期间的适用税率计算确认递延所得税资产或递 延所得税负债。</w:t>
      </w:r>
    </w:p>
    <w:p>
      <w:pPr>
        <w:pStyle w:val="Style3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确认递延所得税资产以很可能取得用来抵扣可抵扣暂时性差异的应纳税所得额为限。资产负债表日，有确凿证据表明 未来期间很可能获得足够的应纳税所得额用来抵扣可抵扣暂时性差异的，确认以前会计期间未确认的递延所得税资产。对递 延所得税资产的账面价值进行复核，如果未来期间很可能无法获得足够的应纳税所得额用以抵扣递延所得税资产的利益，则 减记递延所得税资产的账面价值。在很可能获得足够的应纳税所得额时，转回减记的金额。</w:t>
      </w:r>
    </w:p>
    <w:p>
      <w:pPr>
        <w:pStyle w:val="Style34"/>
        <w:keepNext w:val="0"/>
        <w:keepLines w:val="0"/>
        <w:widowControl w:val="0"/>
        <w:numPr>
          <w:ilvl w:val="0"/>
          <w:numId w:val="65"/>
        </w:numPr>
        <w:shd w:val="clear" w:color="auto" w:fill="auto"/>
        <w:bidi w:val="0"/>
        <w:spacing w:before="0" w:after="0" w:line="313" w:lineRule="exact"/>
        <w:ind w:left="0" w:right="0" w:firstLine="440"/>
        <w:jc w:val="left"/>
      </w:pPr>
      <w:bookmarkStart w:id="1013" w:name="bookmark1013"/>
      <w:bookmarkEnd w:id="1013"/>
      <w:r>
        <w:rPr>
          <w:color w:val="000000"/>
          <w:spacing w:val="0"/>
          <w:w w:val="100"/>
          <w:position w:val="0"/>
        </w:rPr>
        <w:t>当拥有以净额结算的法定权利，且意图以净额结算或取得资产、清偿负债同时进行时，本公司当期所得税资产及当 期所得税负债以抵销后的净额列报。</w:t>
      </w:r>
    </w:p>
    <w:p>
      <w:pPr>
        <w:pStyle w:val="Style34"/>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债转回的期间内，涉及的纳税主体意图以净额结算当期所得税资产和负债或是同时取得资产、清偿负债时，本公司递延所得 税资产及递延所得税负债以抵销后的净额列报。</w:t>
      </w:r>
    </w:p>
    <w:p>
      <w:pPr>
        <w:pStyle w:val="Style38"/>
        <w:keepNext/>
        <w:keepLines/>
        <w:widowControl w:val="0"/>
        <w:shd w:val="clear" w:color="auto" w:fill="auto"/>
        <w:bidi w:val="0"/>
        <w:spacing w:before="0" w:after="38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4</w:t>
      </w:r>
      <w:bookmarkEnd w:id="1016"/>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014"/>
      <w:bookmarkEnd w:id="1015"/>
      <w:bookmarkEnd w:id="1017"/>
    </w:p>
    <w:p>
      <w:pPr>
        <w:pStyle w:val="Style38"/>
        <w:keepNext/>
        <w:keepLines/>
        <w:widowControl w:val="0"/>
        <w:numPr>
          <w:ilvl w:val="0"/>
          <w:numId w:val="95"/>
        </w:numPr>
        <w:shd w:val="clear" w:color="auto" w:fill="auto"/>
        <w:bidi w:val="0"/>
        <w:spacing w:before="0" w:after="280" w:line="240" w:lineRule="auto"/>
        <w:ind w:left="0" w:right="0" w:firstLine="140"/>
        <w:jc w:val="left"/>
      </w:pPr>
      <w:bookmarkStart w:id="1014" w:name="bookmark1014"/>
      <w:bookmarkStart w:id="1015" w:name="bookmark1015"/>
      <w:bookmarkStart w:id="1018" w:name="bookmark1018"/>
      <w:bookmarkStart w:id="1019" w:name="bookmark1019"/>
      <w:bookmarkEnd w:id="1018"/>
      <w:r>
        <w:rPr>
          <w:color w:val="000000"/>
          <w:spacing w:val="0"/>
          <w:w w:val="100"/>
          <w:position w:val="0"/>
        </w:rPr>
        <w:t>经营租赁的会计处理方法</w:t>
      </w:r>
      <w:bookmarkEnd w:id="1014"/>
      <w:bookmarkEnd w:id="1015"/>
      <w:bookmarkEnd w:id="1019"/>
    </w:p>
    <w:p>
      <w:pPr>
        <w:pStyle w:val="Style34"/>
        <w:keepNext w:val="0"/>
        <w:keepLines w:val="0"/>
        <w:widowControl w:val="0"/>
        <w:shd w:val="clear" w:color="auto" w:fill="auto"/>
        <w:bidi w:val="0"/>
        <w:spacing w:before="0" w:after="200" w:line="314"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出租人：公司出租资产收取的租赁费，在不扣除免租期的整个租赁期内，按直线法进行分摊，确认为租赁相关收入。 公司支付的与租赁交易相关的初始直接费用，计入当期费用；如金额较大的，则予以资本化，在这个租赁期间内按照与租赁 相关收入确认相同的基础分期计入当期收益。公司承担了应由承租方承担的与租赁相关的费用时，公司将该部分费用从租金 收入总额扣除，按扣除后的租金费用在租赁期内分配。或有租金于实际发生时计入当期损益。</w:t>
      </w:r>
    </w:p>
    <w:p>
      <w:pPr>
        <w:pStyle w:val="Style34"/>
        <w:keepNext w:val="0"/>
        <w:keepLines w:val="0"/>
        <w:widowControl w:val="0"/>
        <w:shd w:val="clear" w:color="auto" w:fill="auto"/>
        <w:bidi w:val="0"/>
        <w:spacing w:before="0" w:after="380" w:line="317" w:lineRule="exact"/>
        <w:ind w:left="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承租人：公司租入资产所支付的租赁费，在不扣除免租期的整个租赁期内，按直线法进行分摊，计入当期费用。公 司支付的与租赁交易相关的初始直接费用，计入当期费用；资产出租方承担了应由公司承担的与租赁相关的费用时，公司将 该部分费用从租金总额中扣除，按扣除后的租金费用在租赁期内分摊，计入当期费用。或有租金于实际发生时计入当期损益。</w:t>
      </w:r>
    </w:p>
    <w:p>
      <w:pPr>
        <w:pStyle w:val="Style38"/>
        <w:keepNext/>
        <w:keepLines/>
        <w:widowControl w:val="0"/>
        <w:numPr>
          <w:ilvl w:val="0"/>
          <w:numId w:val="95"/>
        </w:numPr>
        <w:shd w:val="clear" w:color="auto" w:fill="auto"/>
        <w:bidi w:val="0"/>
        <w:spacing w:before="0" w:after="320" w:line="240" w:lineRule="auto"/>
        <w:ind w:left="0" w:right="0" w:firstLine="14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融资租赁的会计处理方法</w:t>
      </w:r>
      <w:bookmarkEnd w:id="1020"/>
      <w:bookmarkEnd w:id="1021"/>
      <w:bookmarkEnd w:id="1023"/>
    </w:p>
    <w:p>
      <w:pPr>
        <w:pStyle w:val="Style34"/>
        <w:keepNext w:val="0"/>
        <w:keepLines w:val="0"/>
        <w:widowControl w:val="0"/>
        <w:numPr>
          <w:ilvl w:val="0"/>
          <w:numId w:val="97"/>
        </w:numPr>
        <w:shd w:val="clear" w:color="auto" w:fill="auto"/>
        <w:tabs>
          <w:tab w:pos="711" w:val="left"/>
        </w:tabs>
        <w:bidi w:val="0"/>
        <w:spacing w:before="0" w:after="0" w:line="314" w:lineRule="exact"/>
        <w:ind w:left="0" w:right="0" w:firstLine="420"/>
        <w:jc w:val="both"/>
      </w:pPr>
      <w:bookmarkStart w:id="1024" w:name="bookmark1024"/>
      <w:bookmarkEnd w:id="1024"/>
      <w:r>
        <w:rPr>
          <w:color w:val="000000"/>
          <w:spacing w:val="0"/>
          <w:w w:val="100"/>
          <w:position w:val="0"/>
        </w:rPr>
        <w:t>出租人：在租赁期开始日本公司按最低租赁收款额与初始直接费用之和作为应收融资租赁款的入账价值，同时记录 未担保余值；将最低租赁收款额、初始直接费用及未担保余值之和与其现值之和的差额确认为未实现融资收益。未实现融资 收益在租赁期内各个期间采用实际利率法计算确认当期的融资收入。应收融资租赁款扣除未实现融资收益后的余额分别长期 债权和一年内到期的长期债权列示。或有租金于实际发生时计入当期损益。</w:t>
      </w:r>
    </w:p>
    <w:p>
      <w:pPr>
        <w:pStyle w:val="Style34"/>
        <w:keepNext w:val="0"/>
        <w:keepLines w:val="0"/>
        <w:widowControl w:val="0"/>
        <w:numPr>
          <w:ilvl w:val="0"/>
          <w:numId w:val="97"/>
        </w:numPr>
        <w:shd w:val="clear" w:color="auto" w:fill="auto"/>
        <w:tabs>
          <w:tab w:pos="711" w:val="left"/>
        </w:tabs>
        <w:bidi w:val="0"/>
        <w:spacing w:before="0" w:after="380" w:line="314" w:lineRule="exact"/>
        <w:ind w:left="0" w:right="0" w:firstLine="420"/>
        <w:jc w:val="both"/>
      </w:pPr>
      <w:bookmarkStart w:id="1025" w:name="bookmark1025"/>
      <w:bookmarkEnd w:id="1025"/>
      <w:r>
        <w:rPr>
          <w:color w:val="000000"/>
          <w:spacing w:val="0"/>
          <w:w w:val="100"/>
          <w:position w:val="0"/>
        </w:rPr>
        <w:t>承租人：在租赁期开始日本公司将租赁资产公允价值与最低租赁付款额现值两者中较低者作为租入资产的入账价值, 将最低租赁付款额作为长期应付款的入账价值，其差额作为未确认融资费用。初始直接费用计入租入资产价值。未确认融资 费用在租赁期内各个期间采用实际利率法计算确认当期的融资费用。最低租赁付款额扣除未确认融资费用后的余额分别长期 负债和一年内到期的长期负债列示。或有租金于实际发生时计入当期损益。</w:t>
      </w:r>
    </w:p>
    <w:p>
      <w:pPr>
        <w:pStyle w:val="Style38"/>
        <w:keepNext/>
        <w:keepLines/>
        <w:widowControl w:val="0"/>
        <w:shd w:val="clear" w:color="auto" w:fill="auto"/>
        <w:bidi w:val="0"/>
        <w:spacing w:before="0" w:after="38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4</w:t>
      </w:r>
      <w:bookmarkEnd w:id="1028"/>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26"/>
      <w:bookmarkEnd w:id="1027"/>
      <w:bookmarkEnd w:id="1029"/>
    </w:p>
    <w:p>
      <w:pPr>
        <w:pStyle w:val="Style38"/>
        <w:keepNext/>
        <w:keepLines/>
        <w:widowControl w:val="0"/>
        <w:shd w:val="clear" w:color="auto" w:fill="auto"/>
        <w:bidi w:val="0"/>
        <w:spacing w:before="0" w:after="380" w:line="240" w:lineRule="auto"/>
        <w:ind w:left="0" w:right="0" w:firstLine="0"/>
        <w:jc w:val="left"/>
      </w:pPr>
      <w:bookmarkStart w:id="1026" w:name="bookmark1026"/>
      <w:bookmarkStart w:id="1027" w:name="bookmark1027"/>
      <w:bookmarkStart w:id="1030" w:name="bookmark1030"/>
      <w:bookmarkStart w:id="1031" w:name="bookmark1031"/>
      <w:r>
        <w:rPr>
          <w:rFonts w:ascii="Times New Roman" w:eastAsia="Times New Roman" w:hAnsi="Times New Roman" w:cs="Times New Roman"/>
          <w:color w:val="000000"/>
          <w:spacing w:val="0"/>
          <w:w w:val="100"/>
          <w:position w:val="0"/>
        </w:rPr>
        <w:t>4</w:t>
      </w:r>
      <w:bookmarkEnd w:id="1030"/>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26"/>
      <w:bookmarkEnd w:id="1027"/>
      <w:bookmarkEnd w:id="1031"/>
    </w:p>
    <w:p>
      <w:pPr>
        <w:pStyle w:val="Style38"/>
        <w:keepNext/>
        <w:keepLines/>
        <w:widowControl w:val="0"/>
        <w:numPr>
          <w:ilvl w:val="0"/>
          <w:numId w:val="99"/>
        </w:numPr>
        <w:shd w:val="clear" w:color="auto" w:fill="auto"/>
        <w:bidi w:val="0"/>
        <w:spacing w:before="0" w:after="320" w:line="240" w:lineRule="auto"/>
        <w:ind w:left="0" w:right="0" w:firstLine="140"/>
        <w:jc w:val="left"/>
      </w:pPr>
      <w:bookmarkStart w:id="1026" w:name="bookmark1026"/>
      <w:bookmarkStart w:id="1027" w:name="bookmark1027"/>
      <w:bookmarkStart w:id="1032" w:name="bookmark1032"/>
      <w:bookmarkStart w:id="1033" w:name="bookmark1033"/>
      <w:bookmarkEnd w:id="1032"/>
      <w:r>
        <w:rPr>
          <w:color w:val="000000"/>
          <w:spacing w:val="0"/>
          <w:w w:val="100"/>
          <w:position w:val="0"/>
        </w:rPr>
        <w:t>重要会计政策变更</w:t>
      </w:r>
      <w:bookmarkEnd w:id="1026"/>
      <w:bookmarkEnd w:id="1027"/>
      <w:bookmarkEnd w:id="1033"/>
    </w:p>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日发布《企业会 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w:t>
            </w:r>
            <w:r>
              <w:rPr>
                <w:rFonts w:ascii="Times New Roman" w:eastAsia="Times New Roman" w:hAnsi="Times New Roman" w:cs="Times New Roman"/>
                <w:color w:val="000000"/>
                <w:spacing w:val="0"/>
                <w:w w:val="100"/>
                <w:position w:val="0"/>
              </w:rPr>
              <w:t>(2017</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财 会</w:t>
            </w:r>
            <w:r>
              <w:rPr>
                <w:rFonts w:ascii="Times New Roman" w:eastAsia="Times New Roman" w:hAnsi="Times New Roman" w:cs="Times New Roman"/>
                <w:color w:val="000000"/>
                <w:spacing w:val="0"/>
                <w:w w:val="100"/>
                <w:position w:val="0"/>
              </w:rPr>
              <w:t>［2017］22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日起执行新收入准则。</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本次变更经公司第四届董事会第三次会 议审议通过。</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313"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 xml:space="preserve">原收入准则下，公司以风险报酬转移作为收入确认时点的判断标准。商品销售收入同时满足下列条件时予以确认： </w:t>
      </w:r>
      <w:r>
        <w:rPr>
          <w:rFonts w:ascii="Times New Roman" w:eastAsia="Times New Roman" w:hAnsi="Times New Roman" w:cs="Times New Roman"/>
          <w:color w:val="000000"/>
          <w:spacing w:val="0"/>
          <w:w w:val="100"/>
          <w:position w:val="0"/>
        </w:rPr>
        <w:t>(1)</w:t>
      </w:r>
      <w:r>
        <w:rPr>
          <w:color w:val="000000"/>
          <w:spacing w:val="0"/>
          <w:w w:val="100"/>
          <w:position w:val="0"/>
        </w:rPr>
        <w:t>公司已将商品所有权上的主要风险和报酬转移给购买方；</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公司既没有保留与所有权相联系的继续管理权，也没有对已 售出的商品实施有效控制；</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收入的金额能够可靠地计量；</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相关的经济利益很可能流入企业；</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 的成本能够可靠地计量时。</w:t>
      </w:r>
    </w:p>
    <w:p>
      <w:pPr>
        <w:pStyle w:val="Style34"/>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新收入准则下，公司以控制权转移作为收入确认时点的判断标准。公司在履行了合同中的履约义务，即在客户取得相 关商品控制权时确认收入。在满足一定条件时，公司属于在某一段时间内履行履约义务，否则，属于在某一时点履行履约义 务。合同中包含两项或多项履约义务的，公司在合同开始日，按照各单项履约义务所承诺商品的单独售价的相对比例，将交 易价格分摊至各单项履约义务，按照分摊至各单项履约义务的交易价格计量收入。</w:t>
      </w:r>
    </w:p>
    <w:p>
      <w:pPr>
        <w:pStyle w:val="Style34"/>
        <w:keepNext w:val="0"/>
        <w:keepLines w:val="0"/>
        <w:widowControl w:val="0"/>
        <w:shd w:val="clear" w:color="auto" w:fill="auto"/>
        <w:bidi w:val="0"/>
        <w:spacing w:before="0" w:after="40" w:line="313" w:lineRule="exact"/>
        <w:ind w:left="0" w:right="0" w:firstLine="420"/>
        <w:jc w:val="left"/>
      </w:pPr>
      <w:r>
        <w:rPr>
          <w:color w:val="000000"/>
          <w:spacing w:val="0"/>
          <w:w w:val="100"/>
          <w:position w:val="0"/>
        </w:rPr>
        <w:t>除了根据新收入准则规定中履行履约义务与客户付款之间的关系在资产负债表中增加列示合同资产或合同负债，与原 收入准则相比，本公司在新收入准则下相关确认与计量原则的主要变化如下：</w:t>
      </w:r>
    </w:p>
    <w:tbl>
      <w:tblPr>
        <w:tblOverlap w:val="never"/>
        <w:jc w:val="left"/>
        <w:tblLayout w:type="fixed"/>
      </w:tblPr>
      <w:tblGrid>
        <w:gridCol w:w="662"/>
        <w:gridCol w:w="3994"/>
        <w:gridCol w:w="3902"/>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与新收入准则相关的确认与计量原则</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与原收入准则相关的确认与计量原则</w:t>
            </w:r>
          </w:p>
        </w:tc>
      </w:tr>
      <w:tr>
        <w:trPr>
          <w:trHeight w:val="974"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解决方案采用在所开发软件成果交付运行，并通 过客户验收后按照合同约定金额确认收入。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解决方案采用完工百分比法确认服务收入，并按 已经发生的成本占项目预算总成本的比例计算开 发项目完工进度。</w:t>
            </w:r>
          </w:p>
        </w:tc>
      </w:tr>
    </w:tbl>
    <w:p>
      <w:pPr>
        <w:pStyle w:val="Style34"/>
        <w:keepNext w:val="0"/>
        <w:keepLines w:val="0"/>
        <w:widowControl w:val="0"/>
        <w:shd w:val="clear" w:color="auto" w:fill="auto"/>
        <w:bidi w:val="0"/>
        <w:spacing w:before="0" w:after="380" w:line="307" w:lineRule="exact"/>
        <w:ind w:left="0" w:right="0" w:firstLine="420"/>
        <w:jc w:val="left"/>
        <w:sectPr>
          <w:headerReference w:type="default" r:id="rId149"/>
          <w:footerReference w:type="default" r:id="rId150"/>
          <w:headerReference w:type="even" r:id="rId151"/>
          <w:footerReference w:type="even" r:id="rId152"/>
          <w:headerReference w:type="first" r:id="rId153"/>
          <w:footerReference w:type="first" r:id="rId154"/>
          <w:footnotePr>
            <w:pos w:val="pageBottom"/>
            <w:numFmt w:val="decimal"/>
            <w:numRestart w:val="continuous"/>
          </w:footnotePr>
          <w:pgSz w:w="11900" w:h="16840"/>
          <w:pgMar w:top="1383" w:right="1081" w:bottom="1407" w:left="1046" w:header="0" w:footer="3" w:gutter="0"/>
          <w:cols w:space="720"/>
          <w:noEndnote/>
          <w:titlePg/>
          <w:rtlGutter w:val="0"/>
          <w:docGrid w:linePitch="360"/>
        </w:sectPr>
      </w:pPr>
      <w:r>
        <w:rPr>
          <w:color w:val="000000"/>
          <w:spacing w:val="0"/>
          <w:w w:val="100"/>
          <w:position w:val="0"/>
        </w:rPr>
        <w:t>上述收入确认相关政策变更业经公司第四届董事会第三次会议审议通过。本公司按照新收入准则的相关规定，对比较 期间财务报表不予调整,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日执行新收入准则与原准则的差异追溯调整当期期初留存收益及财务报表其他相关项目 金额</w:t>
      </w:r>
      <w:r>
        <w:rPr>
          <w:rFonts w:ascii="Times New Roman" w:eastAsia="Times New Roman" w:hAnsi="Times New Roman" w:cs="Times New Roman"/>
          <w:color w:val="000000"/>
          <w:spacing w:val="0"/>
          <w:w w:val="100"/>
          <w:position w:val="0"/>
        </w:rPr>
        <w:t>(</w:t>
      </w:r>
      <w:r>
        <w:rPr>
          <w:color w:val="000000"/>
          <w:spacing w:val="0"/>
          <w:w w:val="100"/>
          <w:position w:val="0"/>
        </w:rPr>
        <w:t>公司仅对在首次执行日尚未完成的合同的累积影响数进行调整</w:t>
      </w:r>
      <w:r>
        <w:rPr>
          <w:rFonts w:ascii="Times New Roman" w:eastAsia="Times New Roman" w:hAnsi="Times New Roman" w:cs="Times New Roman"/>
          <w:color w:val="000000"/>
          <w:spacing w:val="0"/>
          <w:w w:val="100"/>
          <w:position w:val="0"/>
        </w:rPr>
        <w:t>)</w:t>
      </w:r>
      <w:r>
        <w:rPr>
          <w:color w:val="000000"/>
          <w:spacing w:val="0"/>
          <w:w w:val="100"/>
          <w:position w:val="0"/>
        </w:rPr>
        <w:t>。调整情况详见本附注五</w:t>
      </w:r>
      <w:r>
        <w:rPr>
          <w:rFonts w:ascii="Times New Roman" w:eastAsia="Times New Roman" w:hAnsi="Times New Roman" w:cs="Times New Roman"/>
          <w:color w:val="000000"/>
          <w:spacing w:val="0"/>
          <w:w w:val="100"/>
          <w:position w:val="0"/>
        </w:rPr>
        <w:t xml:space="preserve">44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)之说明。</w:t>
      </w:r>
    </w:p>
    <w:p>
      <w:pPr>
        <w:pStyle w:val="Style38"/>
        <w:keepNext/>
        <w:keepLines/>
        <w:widowControl w:val="0"/>
        <w:numPr>
          <w:ilvl w:val="0"/>
          <w:numId w:val="99"/>
        </w:numPr>
        <w:shd w:val="clear" w:color="auto" w:fill="auto"/>
        <w:tabs>
          <w:tab w:pos="493" w:val="left"/>
        </w:tabs>
        <w:bidi w:val="0"/>
        <w:spacing w:before="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重要会计估计变更</w:t>
      </w:r>
      <w:bookmarkEnd w:id="1034"/>
      <w:bookmarkEnd w:id="1035"/>
      <w:bookmarkEnd w:id="1037"/>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numPr>
          <w:ilvl w:val="0"/>
          <w:numId w:val="99"/>
        </w:numPr>
        <w:shd w:val="clear" w:color="auto" w:fill="auto"/>
        <w:tabs>
          <w:tab w:pos="493" w:val="left"/>
        </w:tabs>
        <w:bidi w:val="0"/>
        <w:spacing w:before="0" w:line="240" w:lineRule="auto"/>
        <w:ind w:left="0" w:right="0" w:firstLine="0"/>
        <w:jc w:val="left"/>
      </w:pPr>
      <w:bookmarkStart w:id="1038" w:name="bookmark1038"/>
      <w:bookmarkStart w:id="1039" w:name="bookmark1039"/>
      <w:bookmarkStart w:id="1040" w:name="bookmark1040"/>
      <w:bookmarkStart w:id="1041" w:name="bookmark1041"/>
      <w:bookmarkEnd w:id="1040"/>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38"/>
      <w:bookmarkEnd w:id="1039"/>
      <w:bookmarkEnd w:id="104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507,399,322.97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507,399,322.97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16,700,000.00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691,483.05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691,483.05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588,035,060.58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483,847,844.42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-104,187,216.16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70,457,533.20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71,094,271.69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636,738.49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13,690,102.15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13,690,102.15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137,235,441.45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283,414,899.90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146,179,458.45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4,373,545.21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5,131,048.47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757,503.26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1,338,582,488.61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1,381,968,972.65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43,386,484.04</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21,024,090.51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21,024,090.51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62,656,890.64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62,656,890.64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44,476,156.28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44,476,156.28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919,022,158.47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919,022,158.47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4,449,492.41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4,449,492.41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17,408,326.67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16,725,103.37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-683,223.30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1,070,287,114.98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1,069,603,891.68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-683,223.30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2,408,869,603.59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2,451,572,864.33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42,703,260.74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232,435,264.06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232,435,264.06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16,213,688.00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16,213,688.00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242,769,447.53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246,149,489.61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3,380,042.08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91,245,087.35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-91,245,087.35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196,098,650.70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196,098,650.70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36,480,108.84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36,480,108.84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22,139,040.46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22,482,409.67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343,369.21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35,223,416.95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35,223,416.95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165,736,144.17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165,736,144.17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31,058,325.30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34,372,911.83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3,314,586.53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875,768,065.91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987,659,627.08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111,891,561.17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178,595,998.79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178,595,998.79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1,172,366.25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1,172,366.25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180,368,365.04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180,368,365.04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1,056,136,430.95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1,168,027,992.12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111,891,561.17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446,762,257.00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446,762,257.00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338,878,685.57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338,878,685.57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-7,559,483.12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-7,559,483.12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26,301,702.47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23,896,061.79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-2,405,640.68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509,237,335.70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451,248,308.21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-57,989,027.49</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1,313,620,497.62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1,253,225,829.45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-60,394,668.17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39,112,675.02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30,319,042.76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-8,793,632.26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1,352,733,172.64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1,283,544,872.21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-69,188,300.43</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2,408,869,603.59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2,451,572,864.33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42,703,260.74</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336,629,070.87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336,629,070.87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326,622,025.57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241,633,640.50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-84,988,385.07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6,415,335.66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50,273,795.63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43,858,459.97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52,377,806.29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52,377,806.29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95,510,340.79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161,016,998.86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65,506,658.07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243,080.91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1,182,380.58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939,299.67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817,797,660.09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843,113,692.73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25,316,032.64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1,167,126,895.73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1,167,126,895.73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60,645,525.58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60,645,525.58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33,286,820.81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33,286,820.81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3,934,697.80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3,934,697.80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16,261,985.91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15,715,547.78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-546,438.13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1,282,505,925.83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1,281,959,487.70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-546,438.13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2,100,303,585.92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2,125,073,180.43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24,769,594.51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194,435,264.06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194,435,264.06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16,213,688.00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16,213,688.00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303,139,951.11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259,131,666.06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-44,008,285.05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74,248,449.06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-74,248,449.06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160,936,547.01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160,936,547.01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16,511,154.00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16,511,154.00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7,528,947.07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7,528,947.07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162,062,688.41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162,093,348.78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30,660.37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383" w:right="1081" w:bottom="1407" w:left="1046" w:header="0" w:footer="3" w:gutter="0"/>
          <w:cols w:space="720"/>
          <w:noEndnote/>
          <w:titlePg/>
          <w:rtlGutter w:val="0"/>
          <w:docGrid w:linePitch="360"/>
        </w:sectPr>
      </w:pP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165,736,144.17</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165,736,144.17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10,507,277.53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16,622,805.59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6,115,528.06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952,851,106.66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1,001,677,107.99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48,826,001.33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178,595,998.79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178,595,998.79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178,595,998.79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178,595,998.79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1,131,447,105.45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1,180,273,106.78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48,826,001.33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446,762,257.00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446,762,257.00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338,489,645.20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338,489,645.20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-7,654,194.75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-7,654,194.75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25,357,192.84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22,951,552.16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-2,405,640.68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165,901,580.18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144,250,814.04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-21,650,766.14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968,856,480.47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944,800,073.65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-24,056,406.82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2,100,303,585.92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2,125,073,180.43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24,769,594.51</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38"/>
        <w:keepNext/>
        <w:keepLines/>
        <w:widowControl w:val="0"/>
        <w:numPr>
          <w:ilvl w:val="0"/>
          <w:numId w:val="99"/>
        </w:numPr>
        <w:shd w:val="clear" w:color="auto" w:fill="auto"/>
        <w:tabs>
          <w:tab w:pos="493" w:val="left"/>
        </w:tabs>
        <w:bidi w:val="0"/>
        <w:spacing w:before="0" w:line="240" w:lineRule="auto"/>
        <w:ind w:left="0" w:right="0" w:firstLine="0"/>
        <w:jc w:val="left"/>
      </w:pPr>
      <w:bookmarkStart w:id="1042" w:name="bookmark1042"/>
      <w:bookmarkStart w:id="1043" w:name="bookmark1043"/>
      <w:bookmarkStart w:id="1044" w:name="bookmark1044"/>
      <w:bookmarkStart w:id="1045" w:name="bookmark1045"/>
      <w:bookmarkEnd w:id="1044"/>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42"/>
      <w:bookmarkEnd w:id="1043"/>
      <w:bookmarkEnd w:id="1045"/>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8"/>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46"/>
      <w:bookmarkEnd w:id="1047"/>
      <w:bookmarkEnd w:id="1049"/>
    </w:p>
    <w:p>
      <w:pPr>
        <w:pStyle w:val="Style17"/>
        <w:keepNext/>
        <w:keepLines/>
        <w:widowControl w:val="0"/>
        <w:shd w:val="clear" w:color="auto" w:fill="auto"/>
        <w:bidi w:val="0"/>
        <w:spacing w:before="0" w:after="36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sz w:val="24"/>
          <w:szCs w:val="24"/>
        </w:rPr>
        <w:t>六</w:t>
      </w:r>
      <w:bookmarkEnd w:id="1052"/>
      <w:r>
        <w:rPr>
          <w:color w:val="000000"/>
          <w:spacing w:val="0"/>
          <w:w w:val="100"/>
          <w:position w:val="0"/>
          <w:sz w:val="24"/>
          <w:szCs w:val="24"/>
        </w:rPr>
        <w:t>、税项</w:t>
      </w:r>
      <w:bookmarkEnd w:id="1050"/>
      <w:bookmarkEnd w:id="1051"/>
      <w:bookmarkEnd w:id="1053"/>
    </w:p>
    <w:p>
      <w:pPr>
        <w:pStyle w:val="Style38"/>
        <w:keepNext/>
        <w:keepLines/>
        <w:widowControl w:val="0"/>
        <w:shd w:val="clear" w:color="auto" w:fill="auto"/>
        <w:bidi w:val="0"/>
        <w:spacing w:before="0" w:after="30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bookmarkEnd w:id="1056"/>
      <w:r>
        <w:rPr>
          <w:color w:val="000000"/>
          <w:spacing w:val="0"/>
          <w:w w:val="100"/>
          <w:position w:val="0"/>
        </w:rPr>
        <w:t>、主要税种及税率</w:t>
      </w:r>
      <w:bookmarkEnd w:id="1054"/>
      <w:bookmarkEnd w:id="1055"/>
      <w:bookmarkEnd w:id="105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销售货物或提供应税劳务过程中产生的 增值额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、免税</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12.5%</w:t>
            </w:r>
            <w:r>
              <w:rPr>
                <w:color w:val="000000"/>
                <w:spacing w:val="0"/>
                <w:w w:val="100"/>
                <w:position w:val="0"/>
              </w:rPr>
              <w:t>、免税</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江苏盈达信息技术有限公司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上海翕振信息技术有限公司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苏州伟达融创信息技术有限公司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北京高伟达钽云科技有限公司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上海睿民互联网科技有限公司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深圳瑞云互联科技有限公司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海南坚果创娱信息技术有限公司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Nuts Information Technology CO.,Limited</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Nuts Information Technology Limited</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霍尔果斯坚果创娱信息技术有限公司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上海魔力果信息技术有限公司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深圳市快读科技有限公司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喀什腾娱信息科技有限公司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喀什迅腾信息科技有限公司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pStyle w:val="Style38"/>
        <w:keepNext/>
        <w:keepLines/>
        <w:widowControl w:val="0"/>
        <w:shd w:val="clear" w:color="auto" w:fill="auto"/>
        <w:bidi w:val="0"/>
        <w:spacing w:before="0" w:after="280" w:line="240" w:lineRule="auto"/>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color w:val="000000"/>
          <w:spacing w:val="0"/>
          <w:w w:val="100"/>
          <w:position w:val="0"/>
        </w:rPr>
        <w:t>、税收优惠</w:t>
      </w:r>
      <w:bookmarkEnd w:id="1058"/>
      <w:bookmarkEnd w:id="1059"/>
      <w:bookmarkEnd w:id="1061"/>
    </w:p>
    <w:p>
      <w:pPr>
        <w:pStyle w:val="Style34"/>
        <w:keepNext w:val="0"/>
        <w:keepLines w:val="0"/>
        <w:widowControl w:val="0"/>
        <w:shd w:val="clear" w:color="auto" w:fill="auto"/>
        <w:bidi w:val="0"/>
        <w:spacing w:before="0" w:after="0" w:line="309"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.企业所得税</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[2016]32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的规定，本公司于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日通过了高新技术企业资格 复审，取得了</w:t>
      </w:r>
      <w:r>
        <w:rPr>
          <w:rFonts w:ascii="Times New Roman" w:eastAsia="Times New Roman" w:hAnsi="Times New Roman" w:cs="Times New Roman"/>
          <w:color w:val="000000"/>
          <w:spacing w:val="0"/>
          <w:w w:val="100"/>
          <w:position w:val="0"/>
        </w:rPr>
        <w:t>GR202011005857</w:t>
      </w:r>
      <w:r>
        <w:rPr>
          <w:color w:val="000000"/>
          <w:spacing w:val="0"/>
          <w:w w:val="100"/>
          <w:position w:val="0"/>
        </w:rPr>
        <w:t>号《高新技术企业证书》，有效期三年，</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年企业所得税的适用税率为</w:t>
      </w:r>
      <w:r>
        <w:rPr>
          <w:rFonts w:ascii="Times New Roman" w:eastAsia="Times New Roman" w:hAnsi="Times New Roman" w:cs="Times New Roman"/>
          <w:color w:val="000000"/>
          <w:spacing w:val="0"/>
          <w:w w:val="100"/>
          <w:position w:val="0"/>
        </w:rPr>
        <w:t>15.00%</w:t>
      </w:r>
      <w:r>
        <w:rPr>
          <w:color w:val="000000"/>
          <w:spacing w:val="0"/>
          <w:w w:val="100"/>
          <w:position w:val="0"/>
        </w:rPr>
        <w:t>。</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经江苏省软件行业协会评估，本公司之全资子公司江苏盈达信息技术有限公司符合《进一步鼓励软件产业和集成电路 产业发展的若干政策》和《软件企业评估标准》,取得苏</w:t>
      </w:r>
      <w:r>
        <w:rPr>
          <w:rFonts w:ascii="Times New Roman" w:eastAsia="Times New Roman" w:hAnsi="Times New Roman" w:cs="Times New Roman"/>
          <w:color w:val="000000"/>
          <w:spacing w:val="0"/>
          <w:w w:val="100"/>
          <w:position w:val="0"/>
        </w:rPr>
        <w:t>RQ-2018-A028</w:t>
      </w:r>
      <w:r>
        <w:rPr>
          <w:rFonts w:ascii="Times New Roman" w:eastAsia="Times New Roman" w:hAnsi="Times New Roman" w:cs="Times New Roman"/>
          <w:color w:val="000000"/>
          <w:spacing w:val="0"/>
          <w:w w:val="100"/>
          <w:position w:val="0"/>
        </w:rPr>
        <w:t>1</w:t>
      </w:r>
      <w:r>
        <w:rPr>
          <w:color w:val="000000"/>
          <w:spacing w:val="0"/>
          <w:w w:val="100"/>
          <w:position w:val="0"/>
        </w:rPr>
        <w:t>号《软件企业证书》,有效期一年;取得苏</w:t>
      </w:r>
      <w:r>
        <w:rPr>
          <w:rFonts w:ascii="Times New Roman" w:eastAsia="Times New Roman" w:hAnsi="Times New Roman" w:cs="Times New Roman"/>
          <w:color w:val="000000"/>
          <w:spacing w:val="0"/>
          <w:w w:val="100"/>
          <w:position w:val="0"/>
        </w:rPr>
        <w:t xml:space="preserve">RC-2018-A1926 </w:t>
      </w:r>
      <w:r>
        <w:rPr>
          <w:color w:val="000000"/>
          <w:spacing w:val="0"/>
          <w:w w:val="100"/>
          <w:position w:val="0"/>
        </w:rPr>
        <w:t>号《软件产品证书》，有效期五年。根据财税</w:t>
      </w:r>
      <w:r>
        <w:rPr>
          <w:rFonts w:ascii="Times New Roman" w:eastAsia="Times New Roman" w:hAnsi="Times New Roman" w:cs="Times New Roman"/>
          <w:color w:val="000000"/>
          <w:spacing w:val="0"/>
          <w:w w:val="100"/>
          <w:position w:val="0"/>
        </w:rPr>
        <w:t>[2012]27</w:t>
      </w:r>
      <w:r>
        <w:rPr>
          <w:color w:val="000000"/>
          <w:spacing w:val="0"/>
          <w:w w:val="100"/>
          <w:position w:val="0"/>
        </w:rPr>
        <w:t>号规定，符合我国境内新办的集成电路设计企业和符合条件的软件企 业的企业所得税优惠标准，自获利年度起，享受企业所得税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的优惠政策，</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年减半征收企业所得税，税率</w:t>
      </w:r>
      <w:r>
        <w:rPr>
          <w:rFonts w:ascii="Times New Roman" w:eastAsia="Times New Roman" w:hAnsi="Times New Roman" w:cs="Times New Roman"/>
          <w:color w:val="000000"/>
          <w:spacing w:val="0"/>
          <w:w w:val="100"/>
          <w:position w:val="0"/>
        </w:rPr>
        <w:t>12.50%</w:t>
      </w:r>
      <w:r>
        <w:rPr>
          <w:color w:val="000000"/>
          <w:spacing w:val="0"/>
          <w:w w:val="100"/>
          <w:position w:val="0"/>
        </w:rPr>
        <w:t>。</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经上海浦东软件平台有限公司评估，本公司之全资子公司上海翕振信息技术有限公司符合《进一步鼓励软件产业和集 成电路产业发展的若干政策》和《软件企业评估规范》</w:t>
      </w:r>
      <w:r>
        <w:rPr>
          <w:color w:val="000000"/>
          <w:spacing w:val="0"/>
          <w:w w:val="100"/>
          <w:position w:val="0"/>
        </w:rPr>
        <w:t>，</w:t>
      </w:r>
      <w:r>
        <w:rPr>
          <w:color w:val="000000"/>
          <w:spacing w:val="0"/>
          <w:w w:val="100"/>
          <w:position w:val="0"/>
        </w:rPr>
        <w:t>取得沪</w:t>
      </w:r>
      <w:r>
        <w:rPr>
          <w:rFonts w:ascii="Times New Roman" w:eastAsia="Times New Roman" w:hAnsi="Times New Roman" w:cs="Times New Roman"/>
          <w:color w:val="000000"/>
          <w:spacing w:val="0"/>
          <w:w w:val="100"/>
          <w:position w:val="0"/>
        </w:rPr>
        <w:t>PDRQ-2019-0013</w:t>
      </w:r>
      <w:r>
        <w:rPr>
          <w:color w:val="000000"/>
          <w:spacing w:val="0"/>
          <w:w w:val="100"/>
          <w:position w:val="0"/>
        </w:rPr>
        <w:t xml:space="preserve">号《软件企业证书》，有效期一年；取得沪 </w:t>
      </w:r>
      <w:r>
        <w:rPr>
          <w:rFonts w:ascii="Times New Roman" w:eastAsia="Times New Roman" w:hAnsi="Times New Roman" w:cs="Times New Roman"/>
          <w:color w:val="000000"/>
          <w:spacing w:val="0"/>
          <w:w w:val="100"/>
          <w:position w:val="0"/>
        </w:rPr>
        <w:t>PDRC-2019-0157</w:t>
      </w:r>
      <w:r>
        <w:rPr>
          <w:color w:val="000000"/>
          <w:spacing w:val="0"/>
          <w:w w:val="100"/>
          <w:position w:val="0"/>
        </w:rPr>
        <w:t>号《软件产品证书》，有效期五年。根据财税</w:t>
      </w:r>
      <w:r>
        <w:rPr>
          <w:rFonts w:ascii="Times New Roman" w:eastAsia="Times New Roman" w:hAnsi="Times New Roman" w:cs="Times New Roman"/>
          <w:color w:val="000000"/>
          <w:spacing w:val="0"/>
          <w:w w:val="100"/>
          <w:position w:val="0"/>
        </w:rPr>
        <w:t>[2012]27</w:t>
      </w:r>
      <w:r>
        <w:rPr>
          <w:color w:val="000000"/>
          <w:spacing w:val="0"/>
          <w:w w:val="100"/>
          <w:position w:val="0"/>
        </w:rPr>
        <w:t>号规定，符合我国境内新办的集成电路设计企业和符 合条件的软件企业的企业所得税优惠标准。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年减半征收企业所得税，税率 </w:t>
      </w:r>
      <w:r>
        <w:rPr>
          <w:rFonts w:ascii="Times New Roman" w:eastAsia="Times New Roman" w:hAnsi="Times New Roman" w:cs="Times New Roman"/>
          <w:color w:val="000000"/>
          <w:spacing w:val="0"/>
          <w:w w:val="100"/>
          <w:position w:val="0"/>
        </w:rPr>
        <w:t>12.50%</w:t>
      </w:r>
      <w:r>
        <w:rPr>
          <w:color w:val="000000"/>
          <w:spacing w:val="0"/>
          <w:w w:val="100"/>
          <w:position w:val="0"/>
        </w:rPr>
        <w:t>。</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经北京软件和信息服务业协会评估，本公司之控股子公司北京高伟达钽云科技有限公司符合《进一步鼓励软件产业和 集成电路产业发展的若干政策》和《软件企业评估标准》，取得京</w:t>
      </w:r>
      <w:r>
        <w:rPr>
          <w:rFonts w:ascii="Times New Roman" w:eastAsia="Times New Roman" w:hAnsi="Times New Roman" w:cs="Times New Roman"/>
          <w:color w:val="000000"/>
          <w:spacing w:val="0"/>
          <w:w w:val="100"/>
          <w:position w:val="0"/>
        </w:rPr>
        <w:t>RQ-2020-1337</w:t>
      </w:r>
      <w:r>
        <w:rPr>
          <w:color w:val="000000"/>
          <w:spacing w:val="0"/>
          <w:w w:val="100"/>
          <w:position w:val="0"/>
        </w:rPr>
        <w:t>号《软件企业证书》，有效期一年；取得 京</w:t>
      </w:r>
      <w:r>
        <w:rPr>
          <w:rFonts w:ascii="Times New Roman" w:eastAsia="Times New Roman" w:hAnsi="Times New Roman" w:cs="Times New Roman"/>
          <w:color w:val="000000"/>
          <w:spacing w:val="0"/>
          <w:w w:val="100"/>
          <w:position w:val="0"/>
        </w:rPr>
        <w:t>RC-2018-1058</w:t>
      </w:r>
      <w:r>
        <w:rPr>
          <w:color w:val="000000"/>
          <w:spacing w:val="0"/>
          <w:w w:val="100"/>
          <w:position w:val="0"/>
        </w:rPr>
        <w:t>号《软件产品证书》，有效期五年。根据财税</w:t>
      </w:r>
      <w:r>
        <w:rPr>
          <w:rFonts w:ascii="Times New Roman" w:eastAsia="Times New Roman" w:hAnsi="Times New Roman" w:cs="Times New Roman"/>
          <w:color w:val="000000"/>
          <w:spacing w:val="0"/>
          <w:w w:val="100"/>
          <w:position w:val="0"/>
        </w:rPr>
        <w:t>[2012]27</w:t>
      </w:r>
      <w:r>
        <w:rPr>
          <w:color w:val="000000"/>
          <w:spacing w:val="0"/>
          <w:w w:val="100"/>
          <w:position w:val="0"/>
        </w:rPr>
        <w:t>号规定，符合我国境内新办的集成电路设计企业和符 合条件的软件企业的企业所得税优惠标准，自获利年度起，享受企业所得税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的优惠政策，</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年免征 企业所得税，</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年减半征收企业所得税，税率</w:t>
      </w:r>
      <w:r>
        <w:rPr>
          <w:rFonts w:ascii="Times New Roman" w:eastAsia="Times New Roman" w:hAnsi="Times New Roman" w:cs="Times New Roman"/>
          <w:color w:val="000000"/>
          <w:spacing w:val="0"/>
          <w:w w:val="100"/>
          <w:position w:val="0"/>
        </w:rPr>
        <w:t>12.50%</w:t>
      </w:r>
      <w:r>
        <w:rPr>
          <w:color w:val="000000"/>
          <w:spacing w:val="0"/>
          <w:w w:val="100"/>
          <w:position w:val="0"/>
        </w:rPr>
        <w:t>。</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经四川省软件行业协会评估，本公司之全资子公司成都高伟达信息技术有限公司符合《进一步鼓励软件产业和集成电 路产业发展的若干政策》和《软件企业评估标准》，取得证书编号为川</w:t>
      </w:r>
      <w:r>
        <w:rPr>
          <w:rFonts w:ascii="Times New Roman" w:eastAsia="Times New Roman" w:hAnsi="Times New Roman" w:cs="Times New Roman"/>
          <w:color w:val="000000"/>
          <w:spacing w:val="0"/>
          <w:w w:val="100"/>
          <w:position w:val="0"/>
        </w:rPr>
        <w:t>RQ-2019-0201</w:t>
      </w:r>
      <w:r>
        <w:rPr>
          <w:color w:val="000000"/>
          <w:spacing w:val="0"/>
          <w:w w:val="100"/>
          <w:position w:val="0"/>
        </w:rPr>
        <w:t>号《软件企业证书》，有效期为一年 的；取得川</w:t>
      </w:r>
      <w:r>
        <w:rPr>
          <w:rFonts w:ascii="Times New Roman" w:eastAsia="Times New Roman" w:hAnsi="Times New Roman" w:cs="Times New Roman"/>
          <w:color w:val="000000"/>
          <w:spacing w:val="0"/>
          <w:w w:val="100"/>
          <w:position w:val="0"/>
        </w:rPr>
        <w:t>RC-2019-0449</w:t>
      </w:r>
      <w:r>
        <w:rPr>
          <w:color w:val="000000"/>
          <w:spacing w:val="0"/>
          <w:w w:val="100"/>
          <w:position w:val="0"/>
        </w:rPr>
        <w:t>号软件产品证书》，有效期五年。根据财税</w:t>
      </w:r>
      <w:r>
        <w:rPr>
          <w:rFonts w:ascii="Times New Roman" w:eastAsia="Times New Roman" w:hAnsi="Times New Roman" w:cs="Times New Roman"/>
          <w:color w:val="000000"/>
          <w:spacing w:val="0"/>
          <w:w w:val="100"/>
          <w:position w:val="0"/>
        </w:rPr>
        <w:t>[2012]27</w:t>
      </w:r>
      <w:r>
        <w:rPr>
          <w:color w:val="000000"/>
          <w:spacing w:val="0"/>
          <w:w w:val="100"/>
          <w:position w:val="0"/>
        </w:rPr>
        <w:t>号规定，符合我国境内新办的集成电路设计企 业和符合条件的软件企业的企业所得税优惠标准，自获利年度起，享受企业所得税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的优惠政策，截止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日，企业尚未盈利，未享受该优惠政策。</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经上海市软件行业协会评估，本公司全资子公司上海睿民互联网科技有限公司符合《进一步鼓励软件产业和集成电路 产业发展的若干政策》和《软件企业评估标准》，取得证书编号为沪</w:t>
      </w:r>
      <w:r>
        <w:rPr>
          <w:rFonts w:ascii="Times New Roman" w:eastAsia="Times New Roman" w:hAnsi="Times New Roman" w:cs="Times New Roman"/>
          <w:color w:val="000000"/>
          <w:spacing w:val="0"/>
          <w:w w:val="100"/>
          <w:position w:val="0"/>
        </w:rPr>
        <w:t>RQ-2016-0325</w:t>
      </w:r>
      <w:r>
        <w:rPr>
          <w:color w:val="000000"/>
          <w:spacing w:val="0"/>
          <w:w w:val="100"/>
          <w:position w:val="0"/>
        </w:rPr>
        <w:t>号《软件企业证书》，有效期为一年； 取得沪</w:t>
      </w:r>
      <w:r>
        <w:rPr>
          <w:rFonts w:ascii="Times New Roman" w:eastAsia="Times New Roman" w:hAnsi="Times New Roman" w:cs="Times New Roman"/>
          <w:color w:val="000000"/>
          <w:spacing w:val="0"/>
          <w:w w:val="100"/>
          <w:position w:val="0"/>
        </w:rPr>
        <w:t>RC-2018-4999</w:t>
      </w:r>
      <w:r>
        <w:rPr>
          <w:color w:val="000000"/>
          <w:spacing w:val="0"/>
          <w:w w:val="100"/>
          <w:position w:val="0"/>
        </w:rPr>
        <w:t>号《软件产品证书》，有效期五年。根据财税</w:t>
      </w:r>
      <w:r>
        <w:rPr>
          <w:rFonts w:ascii="Times New Roman" w:eastAsia="Times New Roman" w:hAnsi="Times New Roman" w:cs="Times New Roman"/>
          <w:color w:val="000000"/>
          <w:spacing w:val="0"/>
          <w:w w:val="100"/>
          <w:position w:val="0"/>
        </w:rPr>
        <w:t>[2012]27</w:t>
      </w:r>
      <w:r>
        <w:rPr>
          <w:color w:val="000000"/>
          <w:spacing w:val="0"/>
          <w:w w:val="100"/>
          <w:position w:val="0"/>
        </w:rPr>
        <w:t>号规定，符合我国境内新办的集成电路设计企业 和符合条件的软件企业的企业所得税优惠标准，自获利年度起，享受企业所得税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的优惠政策，</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年减半征收企业所得税，税率</w:t>
      </w:r>
      <w:r>
        <w:rPr>
          <w:rFonts w:ascii="Times New Roman" w:eastAsia="Times New Roman" w:hAnsi="Times New Roman" w:cs="Times New Roman"/>
          <w:color w:val="000000"/>
          <w:spacing w:val="0"/>
          <w:w w:val="100"/>
          <w:position w:val="0"/>
        </w:rPr>
        <w:t>12.50%</w:t>
      </w:r>
      <w:r>
        <w:rPr>
          <w:color w:val="000000"/>
          <w:spacing w:val="0"/>
          <w:w w:val="100"/>
          <w:position w:val="0"/>
        </w:rPr>
        <w:t>。</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依据财税</w:t>
      </w:r>
      <w:r>
        <w:rPr>
          <w:rFonts w:ascii="Times New Roman" w:eastAsia="Times New Roman" w:hAnsi="Times New Roman" w:cs="Times New Roman"/>
          <w:color w:val="000000"/>
          <w:spacing w:val="0"/>
          <w:w w:val="100"/>
          <w:position w:val="0"/>
        </w:rPr>
        <w:t>[2019]13</w:t>
      </w:r>
      <w:r>
        <w:rPr>
          <w:color w:val="000000"/>
          <w:spacing w:val="0"/>
          <w:w w:val="100"/>
          <w:position w:val="0"/>
        </w:rPr>
        <w:t>号《财政部税务总局关于实施小微企业普惠性税收减免政策的通知》，本公司全资子公司海南坚果创 娱信息技术有限公司、深圳瑞云互联科技有限公司、上海魔力果信息技术有限公司</w:t>
      </w:r>
      <w:r>
        <w:rPr>
          <w:color w:val="000000"/>
          <w:spacing w:val="0"/>
          <w:w w:val="100"/>
          <w:position w:val="0"/>
          <w:sz w:val="15"/>
          <w:szCs w:val="15"/>
        </w:rPr>
        <w:t>、苏州伟达融创信息技术有限公司</w:t>
      </w:r>
      <w:r>
        <w:rPr>
          <w:color w:val="000000"/>
          <w:spacing w:val="0"/>
          <w:w w:val="100"/>
          <w:position w:val="0"/>
        </w:rPr>
        <w:t>属于小型微 利企业，按照前述通知相关规定缴纳企业所得税：对小型微利企业年应纳税所得额不超过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 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 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68"/>
        <w:keepNext w:val="0"/>
        <w:keepLines w:val="0"/>
        <w:widowControl w:val="0"/>
        <w:shd w:val="clear" w:color="auto" w:fill="auto"/>
        <w:bidi w:val="0"/>
        <w:spacing w:before="0" w:after="0" w:line="309" w:lineRule="exact"/>
        <w:ind w:left="0" w:right="0" w:firstLine="440"/>
        <w:jc w:val="both"/>
      </w:pPr>
      <w:r>
        <w:rPr>
          <w:rFonts w:ascii="SimSun" w:eastAsia="SimSun" w:hAnsi="SimSun" w:cs="SimSun"/>
          <w:color w:val="000000"/>
          <w:spacing w:val="0"/>
          <w:w w:val="100"/>
          <w:position w:val="0"/>
        </w:rPr>
        <w:t>本公司之二级子公司</w:t>
      </w:r>
      <w:r>
        <w:rPr>
          <w:color w:val="000000"/>
          <w:spacing w:val="0"/>
          <w:w w:val="100"/>
          <w:position w:val="0"/>
        </w:rPr>
        <w:t>Nuts Information Technology CO.,Limited</w:t>
      </w:r>
      <w:r>
        <w:rPr>
          <w:rFonts w:ascii="SimSun" w:eastAsia="SimSun" w:hAnsi="SimSun" w:cs="SimSun"/>
          <w:color w:val="000000"/>
          <w:spacing w:val="0"/>
          <w:w w:val="100"/>
          <w:position w:val="0"/>
        </w:rPr>
        <w:t>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日在香港注册成立，利得税</w:t>
      </w:r>
      <w:r>
        <w:rPr>
          <w:color w:val="000000"/>
          <w:spacing w:val="0"/>
          <w:w w:val="100"/>
          <w:position w:val="0"/>
        </w:rPr>
        <w:t>16.5%</w:t>
      </w:r>
      <w:r>
        <w:rPr>
          <w:rFonts w:ascii="SimSun" w:eastAsia="SimSun" w:hAnsi="SimSun" w:cs="SimSun"/>
          <w:color w:val="000000"/>
          <w:spacing w:val="0"/>
          <w:w w:val="100"/>
          <w:position w:val="0"/>
        </w:rPr>
        <w:t>。</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依据塞舌尔共和国</w:t>
      </w:r>
      <w:r>
        <w:rPr>
          <w:rFonts w:ascii="Times New Roman" w:eastAsia="Times New Roman" w:hAnsi="Times New Roman" w:cs="Times New Roman"/>
          <w:color w:val="000000"/>
          <w:spacing w:val="0"/>
          <w:w w:val="100"/>
          <w:position w:val="0"/>
        </w:rPr>
        <w:t>1994</w:t>
      </w:r>
      <w:r>
        <w:rPr>
          <w:color w:val="000000"/>
          <w:spacing w:val="0"/>
          <w:w w:val="100"/>
          <w:position w:val="0"/>
        </w:rPr>
        <w:t>年和</w:t>
      </w:r>
      <w:r>
        <w:rPr>
          <w:rFonts w:ascii="Times New Roman" w:eastAsia="Times New Roman" w:hAnsi="Times New Roman" w:cs="Times New Roman"/>
          <w:color w:val="000000"/>
          <w:spacing w:val="0"/>
          <w:w w:val="100"/>
          <w:position w:val="0"/>
        </w:rPr>
        <w:t>2009</w:t>
      </w:r>
      <w:r>
        <w:rPr>
          <w:color w:val="000000"/>
          <w:spacing w:val="0"/>
          <w:w w:val="100"/>
          <w:position w:val="0"/>
        </w:rPr>
        <w:t>年国际商业法</w:t>
      </w:r>
      <w:r>
        <w:rPr>
          <w:rFonts w:ascii="Times New Roman" w:eastAsia="Times New Roman" w:hAnsi="Times New Roman" w:cs="Times New Roman"/>
          <w:color w:val="000000"/>
          <w:spacing w:val="0"/>
          <w:w w:val="100"/>
          <w:position w:val="0"/>
        </w:rPr>
        <w:t>109</w:t>
      </w:r>
      <w:r>
        <w:rPr>
          <w:color w:val="000000"/>
          <w:spacing w:val="0"/>
          <w:w w:val="100"/>
          <w:position w:val="0"/>
        </w:rPr>
        <w:t>条规定，在塞舌尔共和国境内设立的国际商业公司免征企业所得税， 本公司之二级子公司</w:t>
      </w:r>
      <w:r>
        <w:rPr>
          <w:rFonts w:ascii="Times New Roman" w:eastAsia="Times New Roman" w:hAnsi="Times New Roman" w:cs="Times New Roman"/>
          <w:color w:val="000000"/>
          <w:spacing w:val="0"/>
          <w:w w:val="100"/>
          <w:position w:val="0"/>
        </w:rPr>
        <w:t>Nuts Information Technology Limited</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日取得国际商业公司营业执照，享受企业所得税免税 政策。</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2016]32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的规定，本公司全资子公司深圳市快读科技有限公司于</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日通过了高新技术企业资格复审，取得了</w:t>
      </w:r>
      <w:r>
        <w:rPr>
          <w:rFonts w:ascii="Times New Roman" w:eastAsia="Times New Roman" w:hAnsi="Times New Roman" w:cs="Times New Roman"/>
          <w:color w:val="000000"/>
          <w:spacing w:val="0"/>
          <w:w w:val="100"/>
          <w:position w:val="0"/>
        </w:rPr>
        <w:t>GR201844205236</w:t>
      </w:r>
      <w:r>
        <w:rPr>
          <w:color w:val="000000"/>
          <w:spacing w:val="0"/>
          <w:w w:val="100"/>
          <w:position w:val="0"/>
        </w:rPr>
        <w:t>号《高新技术企业证书》，有效期三年，</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年企业所得税的适用税率为</w:t>
      </w:r>
      <w:r>
        <w:rPr>
          <w:rFonts w:ascii="Times New Roman" w:eastAsia="Times New Roman" w:hAnsi="Times New Roman" w:cs="Times New Roman"/>
          <w:color w:val="000000"/>
          <w:spacing w:val="0"/>
          <w:w w:val="100"/>
          <w:position w:val="0"/>
        </w:rPr>
        <w:t>15.00%</w:t>
      </w:r>
      <w:r>
        <w:rPr>
          <w:color w:val="000000"/>
          <w:spacing w:val="0"/>
          <w:w w:val="100"/>
          <w:position w:val="0"/>
        </w:rPr>
        <w:t>。</w:t>
      </w:r>
    </w:p>
    <w:p>
      <w:pPr>
        <w:pStyle w:val="Style34"/>
        <w:keepNext w:val="0"/>
        <w:keepLines w:val="0"/>
        <w:widowControl w:val="0"/>
        <w:shd w:val="clear" w:color="auto" w:fill="auto"/>
        <w:bidi w:val="0"/>
        <w:spacing w:before="0" w:after="80" w:line="309" w:lineRule="exact"/>
        <w:ind w:left="0" w:right="0" w:firstLine="440"/>
        <w:jc w:val="both"/>
      </w:pPr>
      <w:r>
        <w:rPr>
          <w:color w:val="000000"/>
          <w:spacing w:val="0"/>
          <w:w w:val="100"/>
          <w:position w:val="0"/>
        </w:rPr>
        <w:t>根据《财政部国家税务总局关于新疆喀什霍尔果斯两个特殊经济开发区企业所得税优惠政策的通知》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 xml:space="preserve">[2011]112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日，对在新疆喀什、霍尔果斯两个特殊经济开发区内新办的属于《新疆困难地区重点鼓 </w:t>
      </w:r>
      <w:r>
        <w:rPr>
          <w:color w:val="000000"/>
          <w:spacing w:val="0"/>
          <w:w w:val="100"/>
          <w:position w:val="0"/>
        </w:rPr>
        <w:t>励发展产业企业所得税优惠目录》</w:t>
      </w:r>
      <w:r>
        <w:rPr>
          <w:color w:val="000000"/>
          <w:spacing w:val="0"/>
          <w:w w:val="100"/>
          <w:position w:val="0"/>
        </w:rPr>
        <w:t>（</w:t>
      </w:r>
      <w:r>
        <w:rPr>
          <w:color w:val="000000"/>
          <w:spacing w:val="0"/>
          <w:w w:val="100"/>
          <w:position w:val="0"/>
        </w:rPr>
        <w:t>以下简称《目录》</w:t>
      </w:r>
      <w:r>
        <w:rPr>
          <w:color w:val="000000"/>
          <w:spacing w:val="0"/>
          <w:w w:val="100"/>
          <w:position w:val="0"/>
        </w:rPr>
        <w:t>）</w:t>
      </w:r>
      <w:r>
        <w:rPr>
          <w:color w:val="000000"/>
          <w:spacing w:val="0"/>
          <w:w w:val="100"/>
          <w:position w:val="0"/>
        </w:rPr>
        <w:t>范围内的企业，自取得第一笔生产经营收入所属纳税年度起，五年内 免征企业所得税。本公司符合《目录》规定的全资子公司、二级子公司以及免征企业所得税年度如下：喀什腾娱信息科技有 限公司</w:t>
      </w:r>
      <w:r>
        <w:rPr>
          <w:rFonts w:ascii="Times New Roman" w:eastAsia="Times New Roman" w:hAnsi="Times New Roman" w:cs="Times New Roman"/>
          <w:color w:val="000000"/>
          <w:spacing w:val="0"/>
          <w:w w:val="100"/>
          <w:position w:val="0"/>
        </w:rPr>
        <w:t>（</w:t>
      </w:r>
      <w:r>
        <w:rPr>
          <w:color w:val="000000"/>
          <w:spacing w:val="0"/>
          <w:w w:val="100"/>
          <w:position w:val="0"/>
        </w:rPr>
        <w:t>二级子公司</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年免征企业所得税；喀什迅腾信息科技有限公司</w:t>
      </w:r>
      <w:r>
        <w:rPr>
          <w:rFonts w:ascii="Times New Roman" w:eastAsia="Times New Roman" w:hAnsi="Times New Roman" w:cs="Times New Roman"/>
          <w:color w:val="000000"/>
          <w:spacing w:val="0"/>
          <w:w w:val="100"/>
          <w:position w:val="0"/>
        </w:rPr>
        <w:t>（</w:t>
      </w:r>
      <w:r>
        <w:rPr>
          <w:color w:val="000000"/>
          <w:spacing w:val="0"/>
          <w:w w:val="100"/>
          <w:position w:val="0"/>
        </w:rPr>
        <w:t>全资二级子公司</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年免征企业所得税；霍尔果斯坚果创娱信息技术有限公司</w:t>
      </w:r>
      <w:r>
        <w:rPr>
          <w:rFonts w:ascii="Times New Roman" w:eastAsia="Times New Roman" w:hAnsi="Times New Roman" w:cs="Times New Roman"/>
          <w:color w:val="000000"/>
          <w:spacing w:val="0"/>
          <w:w w:val="100"/>
          <w:position w:val="0"/>
        </w:rPr>
        <w:t>（</w:t>
      </w:r>
      <w:r>
        <w:rPr>
          <w:color w:val="000000"/>
          <w:spacing w:val="0"/>
          <w:w w:val="100"/>
          <w:position w:val="0"/>
        </w:rPr>
        <w:t>二级子公司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年免征企业所得税。</w:t>
      </w:r>
    </w:p>
    <w:p>
      <w:pPr>
        <w:pStyle w:val="Style3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.增值税</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根据财政部、国家税务总局《关于软件产品增值税政策的通知》</w:t>
      </w:r>
      <w:r>
        <w:rPr>
          <w:color w:val="000000"/>
          <w:spacing w:val="0"/>
          <w:w w:val="100"/>
          <w:position w:val="0"/>
        </w:rPr>
        <w:t>（</w:t>
      </w:r>
      <w:r>
        <w:rPr>
          <w:color w:val="000000"/>
          <w:spacing w:val="0"/>
          <w:w w:val="100"/>
          <w:position w:val="0"/>
        </w:rPr>
        <w:t>财税字</w:t>
      </w:r>
      <w:r>
        <w:rPr>
          <w:rFonts w:ascii="Times New Roman" w:eastAsia="Times New Roman" w:hAnsi="Times New Roman" w:cs="Times New Roman"/>
          <w:color w:val="000000"/>
          <w:spacing w:val="0"/>
          <w:w w:val="100"/>
          <w:position w:val="0"/>
        </w:rPr>
        <w:t>[2011]100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文件规定，本公司及本公司控股 子公司北京高伟达钽云科技有限公司、全资子公司上海睿民互联网科技有限公司自行开发生产的软件产品收入享受增值税 </w:t>
      </w:r>
      <w:r>
        <w:rPr>
          <w:rFonts w:ascii="Times New Roman" w:eastAsia="Times New Roman" w:hAnsi="Times New Roman" w:cs="Times New Roman"/>
          <w:color w:val="000000"/>
          <w:spacing w:val="0"/>
          <w:w w:val="100"/>
          <w:position w:val="0"/>
        </w:rPr>
        <w:t>“</w:t>
      </w:r>
      <w:r>
        <w:rPr>
          <w:color w:val="000000"/>
          <w:spacing w:val="0"/>
          <w:w w:val="100"/>
          <w:position w:val="0"/>
        </w:rPr>
        <w:t>即征即退</w:t>
      </w:r>
      <w:r>
        <w:rPr>
          <w:rFonts w:ascii="Times New Roman" w:eastAsia="Times New Roman" w:hAnsi="Times New Roman" w:cs="Times New Roman"/>
          <w:color w:val="000000"/>
          <w:spacing w:val="0"/>
          <w:w w:val="100"/>
          <w:position w:val="0"/>
        </w:rPr>
        <w:t>”</w:t>
      </w:r>
      <w:r>
        <w:rPr>
          <w:color w:val="000000"/>
          <w:spacing w:val="0"/>
          <w:w w:val="100"/>
          <w:position w:val="0"/>
        </w:rPr>
        <w:t>优惠，按</w:t>
      </w:r>
      <w:r>
        <w:rPr>
          <w:rFonts w:ascii="Times New Roman" w:eastAsia="Times New Roman" w:hAnsi="Times New Roman" w:cs="Times New Roman"/>
          <w:color w:val="000000"/>
          <w:spacing w:val="0"/>
          <w:w w:val="100"/>
          <w:position w:val="0"/>
        </w:rPr>
        <w:t>13%</w:t>
      </w:r>
      <w:r>
        <w:rPr>
          <w:color w:val="000000"/>
          <w:spacing w:val="0"/>
          <w:w w:val="100"/>
          <w:position w:val="0"/>
        </w:rPr>
        <w:t>的法定税率征收增值税后，对实际税负超过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[2016]36</w:t>
      </w:r>
      <w:r>
        <w:rPr>
          <w:color w:val="000000"/>
          <w:spacing w:val="0"/>
          <w:w w:val="100"/>
          <w:position w:val="0"/>
        </w:rPr>
        <w:t>号规定，本公司、本公司全资子公司江苏高伟达信息技术有限公司、上海高伟达计算机系统工程有限 公司及江苏盈达信息技术有限公司提供技术转让、技术开发和与之相关的技术咨询、技术服务取得的收入，免征增值税。</w:t>
      </w:r>
    </w:p>
    <w:p>
      <w:pPr>
        <w:pStyle w:val="Style34"/>
        <w:keepNext w:val="0"/>
        <w:keepLines w:val="0"/>
        <w:widowControl w:val="0"/>
        <w:shd w:val="clear" w:color="auto" w:fill="auto"/>
        <w:bidi w:val="0"/>
        <w:spacing w:before="0" w:after="360" w:line="309" w:lineRule="exact"/>
        <w:ind w:left="0" w:right="0" w:firstLine="440"/>
        <w:jc w:val="both"/>
      </w:pPr>
      <w:r>
        <w:rPr>
          <w:color w:val="000000"/>
          <w:spacing w:val="0"/>
          <w:w w:val="100"/>
          <w:position w:val="0"/>
        </w:rPr>
        <w:t>根据财政部税务总局海关总署《关于深化增值税改革有关政策的公告》</w:t>
      </w:r>
      <w:r>
        <w:rPr>
          <w:rFonts w:ascii="Times New Roman" w:eastAsia="Times New Roman" w:hAnsi="Times New Roman" w:cs="Times New Roman"/>
          <w:color w:val="000000"/>
          <w:spacing w:val="0"/>
          <w:w w:val="100"/>
          <w:position w:val="0"/>
        </w:rPr>
        <w:t>（</w:t>
      </w:r>
      <w:r>
        <w:rPr>
          <w:color w:val="000000"/>
          <w:spacing w:val="0"/>
          <w:w w:val="100"/>
          <w:position w:val="0"/>
        </w:rPr>
        <w:t>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，抵减应纳税额。</w:t>
      </w:r>
    </w:p>
    <w:p>
      <w:pPr>
        <w:pStyle w:val="Style34"/>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根据财政部、国家税务总局《关于软件产品增值税政策的通知》（财税字</w:t>
      </w:r>
      <w:r>
        <w:rPr>
          <w:color w:val="000000"/>
          <w:spacing w:val="0"/>
          <w:w w:val="100"/>
          <w:position w:val="0"/>
        </w:rPr>
        <w:t>[2011]100</w:t>
      </w:r>
      <w:r>
        <w:rPr>
          <w:color w:val="000000"/>
          <w:spacing w:val="0"/>
          <w:w w:val="100"/>
          <w:position w:val="0"/>
        </w:rPr>
        <w:t>号）文件规定，本公司及本公司控 股子公司北京高伟达钽云科技有限公司、上海睿民互联网科技有限公司自行开发生产的软件产品收入享受增值税“即征即退” 优惠，对实际税负超过</w:t>
      </w:r>
      <w:r>
        <w:rPr>
          <w:color w:val="000000"/>
          <w:spacing w:val="0"/>
          <w:w w:val="100"/>
          <w:position w:val="0"/>
        </w:rPr>
        <w:t>3%</w:t>
      </w:r>
      <w:r>
        <w:rPr>
          <w:color w:val="000000"/>
          <w:spacing w:val="0"/>
          <w:w w:val="100"/>
          <w:position w:val="0"/>
        </w:rPr>
        <w:t>的部分实行即征即退。</w:t>
      </w:r>
    </w:p>
    <w:p>
      <w:pPr>
        <w:pStyle w:val="Style34"/>
        <w:keepNext w:val="0"/>
        <w:keepLines w:val="0"/>
        <w:widowControl w:val="0"/>
        <w:shd w:val="clear" w:color="auto" w:fill="auto"/>
        <w:bidi w:val="0"/>
        <w:spacing w:before="0" w:after="400" w:line="310" w:lineRule="exact"/>
        <w:ind w:left="0" w:right="0" w:firstLine="880"/>
        <w:jc w:val="left"/>
      </w:pPr>
      <w:r>
        <w:rPr>
          <w:color w:val="000000"/>
          <w:spacing w:val="0"/>
          <w:w w:val="100"/>
          <w:position w:val="0"/>
        </w:rPr>
        <w:t>2020</w:t>
      </w:r>
      <w:r>
        <w:rPr>
          <w:color w:val="000000"/>
          <w:spacing w:val="0"/>
          <w:w w:val="100"/>
          <w:position w:val="0"/>
        </w:rPr>
        <w:t>年公司收到增值税“即征即退”退税金额</w:t>
      </w:r>
      <w:r>
        <w:rPr>
          <w:color w:val="000000"/>
          <w:spacing w:val="0"/>
          <w:w w:val="100"/>
          <w:position w:val="0"/>
        </w:rPr>
        <w:t xml:space="preserve">397, </w:t>
      </w:r>
      <w:r>
        <w:rPr>
          <w:color w:val="000000"/>
          <w:spacing w:val="0"/>
          <w:w w:val="100"/>
          <w:position w:val="0"/>
        </w:rPr>
        <w:t xml:space="preserve">446. </w:t>
      </w:r>
      <w:r>
        <w:rPr>
          <w:color w:val="000000"/>
          <w:spacing w:val="0"/>
          <w:w w:val="100"/>
          <w:position w:val="0"/>
        </w:rPr>
        <w:t>61</w:t>
      </w:r>
      <w:r>
        <w:rPr>
          <w:color w:val="000000"/>
          <w:spacing w:val="0"/>
          <w:w w:val="100"/>
          <w:position w:val="0"/>
        </w:rPr>
        <w:t>元，并计入“其他收益”科目。</w:t>
      </w:r>
    </w:p>
    <w:p>
      <w:pPr>
        <w:pStyle w:val="Style38"/>
        <w:keepNext/>
        <w:keepLines/>
        <w:widowControl w:val="0"/>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3</w:t>
      </w:r>
      <w:bookmarkEnd w:id="1064"/>
      <w:r>
        <w:rPr>
          <w:color w:val="000000"/>
          <w:spacing w:val="0"/>
          <w:w w:val="100"/>
          <w:position w:val="0"/>
        </w:rPr>
        <w:t>、其他</w:t>
      </w:r>
      <w:bookmarkEnd w:id="1062"/>
      <w:bookmarkEnd w:id="1063"/>
      <w:bookmarkEnd w:id="1065"/>
    </w:p>
    <w:p>
      <w:pPr>
        <w:pStyle w:val="Style17"/>
        <w:keepNext/>
        <w:keepLines/>
        <w:widowControl w:val="0"/>
        <w:shd w:val="clear" w:color="auto" w:fill="auto"/>
        <w:bidi w:val="0"/>
        <w:spacing w:before="0" w:after="36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sz w:val="24"/>
          <w:szCs w:val="24"/>
        </w:rPr>
        <w:t>七</w:t>
      </w:r>
      <w:bookmarkEnd w:id="1068"/>
      <w:r>
        <w:rPr>
          <w:color w:val="000000"/>
          <w:spacing w:val="0"/>
          <w:w w:val="100"/>
          <w:position w:val="0"/>
          <w:sz w:val="24"/>
          <w:szCs w:val="24"/>
        </w:rPr>
        <w:t>、合并财务报表项目注释</w:t>
      </w:r>
      <w:bookmarkEnd w:id="1066"/>
      <w:bookmarkEnd w:id="1067"/>
      <w:bookmarkEnd w:id="1069"/>
    </w:p>
    <w:p>
      <w:pPr>
        <w:pStyle w:val="Style38"/>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bookmarkEnd w:id="1072"/>
      <w:r>
        <w:rPr>
          <w:color w:val="000000"/>
          <w:spacing w:val="0"/>
          <w:w w:val="100"/>
          <w:position w:val="0"/>
        </w:rPr>
        <w:t>、货币资金</w:t>
      </w:r>
      <w:bookmarkEnd w:id="1070"/>
      <w:bookmarkEnd w:id="1071"/>
      <w:bookmarkEnd w:id="107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93,622.70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101,321.94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458,910,819.48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469,333,965.98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118,363,621.62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37,964,035.05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577,368,063.80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507,399,322.97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492,282.43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18,588,423.25</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62"/>
        <w:keepNext w:val="0"/>
        <w:keepLines w:val="0"/>
        <w:widowControl w:val="0"/>
        <w:numPr>
          <w:ilvl w:val="0"/>
          <w:numId w:val="101"/>
        </w:numPr>
        <w:shd w:val="clear" w:color="auto" w:fill="auto"/>
        <w:bidi w:val="0"/>
        <w:spacing w:before="0" w:after="0" w:line="312" w:lineRule="exact"/>
        <w:ind w:left="0" w:right="0" w:firstLine="440"/>
        <w:jc w:val="both"/>
      </w:pPr>
      <w:bookmarkStart w:id="1074" w:name="bookmark1074"/>
      <w:bookmarkEnd w:id="1074"/>
      <w:r>
        <w:rPr>
          <w:b w:val="0"/>
          <w:bCs w:val="0"/>
          <w:color w:val="000000"/>
          <w:spacing w:val="0"/>
          <w:w w:val="100"/>
          <w:position w:val="0"/>
        </w:rPr>
        <w:t>抵押、质押、冻结等对使用有限制或存放在境外、或资金汇回受到限制的款项说明</w:t>
      </w:r>
    </w:p>
    <w:p>
      <w:pPr>
        <w:pStyle w:val="Style62"/>
        <w:keepNext w:val="0"/>
        <w:keepLines w:val="0"/>
        <w:widowControl w:val="0"/>
        <w:shd w:val="clear" w:color="auto" w:fill="auto"/>
        <w:bidi w:val="0"/>
        <w:spacing w:before="0" w:after="0" w:line="312" w:lineRule="exact"/>
        <w:ind w:left="0" w:right="0" w:firstLine="440"/>
        <w:jc w:val="left"/>
      </w:pPr>
      <w:r>
        <w:rPr>
          <w:b w:val="0"/>
          <w:bCs w:val="0"/>
          <w:color w:val="000000"/>
          <w:spacing w:val="0"/>
          <w:w w:val="100"/>
          <w:position w:val="0"/>
        </w:rPr>
        <w:t>期末存放在境外的货币资金全部为二级子公司</w:t>
      </w:r>
      <w:r>
        <w:rPr>
          <w:rFonts w:ascii="Times New Roman" w:eastAsia="Times New Roman" w:hAnsi="Times New Roman" w:cs="Times New Roman"/>
          <w:b w:val="0"/>
          <w:bCs w:val="0"/>
          <w:color w:val="000000"/>
          <w:spacing w:val="0"/>
          <w:w w:val="100"/>
          <w:position w:val="0"/>
        </w:rPr>
        <w:t>Nuts Information Technology Limited</w:t>
      </w:r>
      <w:r>
        <w:rPr>
          <w:b w:val="0"/>
          <w:bCs w:val="0"/>
          <w:color w:val="000000"/>
          <w:spacing w:val="0"/>
          <w:w w:val="100"/>
          <w:position w:val="0"/>
        </w:rPr>
        <w:t xml:space="preserve">存放于平安银行 </w:t>
      </w:r>
      <w:r>
        <w:rPr>
          <w:rFonts w:ascii="Times New Roman" w:eastAsia="Times New Roman" w:hAnsi="Times New Roman" w:cs="Times New Roman"/>
          <w:b w:val="0"/>
          <w:bCs w:val="0"/>
          <w:color w:val="000000"/>
          <w:spacing w:val="0"/>
          <w:w w:val="100"/>
          <w:position w:val="0"/>
        </w:rPr>
        <w:t>OSA</w:t>
      </w:r>
      <w:r>
        <w:rPr>
          <w:b w:val="0"/>
          <w:bCs w:val="0"/>
          <w:color w:val="000000"/>
          <w:spacing w:val="0"/>
          <w:w w:val="100"/>
          <w:position w:val="0"/>
        </w:rPr>
        <w:t>账户以及宁波银行和民生银行</w:t>
      </w:r>
      <w:r>
        <w:rPr>
          <w:rFonts w:ascii="Times New Roman" w:eastAsia="Times New Roman" w:hAnsi="Times New Roman" w:cs="Times New Roman"/>
          <w:b w:val="0"/>
          <w:bCs w:val="0"/>
          <w:color w:val="000000"/>
          <w:spacing w:val="0"/>
          <w:w w:val="100"/>
          <w:position w:val="0"/>
        </w:rPr>
        <w:t>NRA</w:t>
      </w:r>
      <w:r>
        <w:rPr>
          <w:b w:val="0"/>
          <w:bCs w:val="0"/>
          <w:color w:val="000000"/>
          <w:spacing w:val="0"/>
          <w:w w:val="100"/>
          <w:position w:val="0"/>
        </w:rPr>
        <w:t>银行账户款项</w:t>
      </w:r>
      <w:r>
        <w:rPr>
          <w:rFonts w:ascii="Times New Roman" w:eastAsia="Times New Roman" w:hAnsi="Times New Roman" w:cs="Times New Roman"/>
          <w:b w:val="0"/>
          <w:bCs w:val="0"/>
          <w:color w:val="000000"/>
          <w:spacing w:val="0"/>
          <w:w w:val="100"/>
          <w:position w:val="0"/>
        </w:rPr>
        <w:t>75,446.74</w:t>
      </w:r>
      <w:r>
        <w:rPr>
          <w:b w:val="0"/>
          <w:bCs w:val="0"/>
          <w:color w:val="000000"/>
          <w:spacing w:val="0"/>
          <w:w w:val="100"/>
          <w:position w:val="0"/>
        </w:rPr>
        <w:t>美元。</w:t>
      </w:r>
    </w:p>
    <w:p>
      <w:pPr>
        <w:pStyle w:val="Style62"/>
        <w:keepNext w:val="0"/>
        <w:keepLines w:val="0"/>
        <w:widowControl w:val="0"/>
        <w:shd w:val="clear" w:color="auto" w:fill="auto"/>
        <w:bidi w:val="0"/>
        <w:spacing w:before="0" w:after="0" w:line="298" w:lineRule="exact"/>
        <w:ind w:left="0" w:right="0" w:firstLine="440"/>
        <w:jc w:val="left"/>
      </w:pPr>
      <w:r>
        <w:rPr>
          <w:b w:val="0"/>
          <w:bCs w:val="0"/>
          <w:color w:val="000000"/>
          <w:spacing w:val="0"/>
          <w:w w:val="100"/>
          <w:position w:val="0"/>
        </w:rPr>
        <w:t>期末其他货币资金主要系存放在银行用于开具银行保函以及开立银行承兑汇票之保证金</w:t>
      </w:r>
      <w:r>
        <w:rPr>
          <w:b w:val="0"/>
          <w:bCs w:val="0"/>
          <w:color w:val="000000"/>
          <w:spacing w:val="0"/>
          <w:w w:val="100"/>
          <w:position w:val="0"/>
        </w:rPr>
        <w:t>，</w:t>
      </w:r>
      <w:r>
        <w:rPr>
          <w:b w:val="0"/>
          <w:bCs w:val="0"/>
          <w:color w:val="000000"/>
          <w:spacing w:val="0"/>
          <w:w w:val="100"/>
          <w:position w:val="0"/>
        </w:rPr>
        <w:t xml:space="preserve">其中使用受 限金额 </w:t>
      </w:r>
      <w:r>
        <w:rPr>
          <w:rFonts w:ascii="Times New Roman" w:eastAsia="Times New Roman" w:hAnsi="Times New Roman" w:cs="Times New Roman"/>
          <w:b w:val="0"/>
          <w:bCs w:val="0"/>
          <w:color w:val="000000"/>
          <w:spacing w:val="0"/>
          <w:w w:val="100"/>
          <w:position w:val="0"/>
        </w:rPr>
        <w:t>118,363,621.6</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元。</w:t>
      </w:r>
    </w:p>
    <w:p>
      <w:pPr>
        <w:pStyle w:val="Style62"/>
        <w:keepNext w:val="0"/>
        <w:keepLines w:val="0"/>
        <w:widowControl w:val="0"/>
        <w:numPr>
          <w:ilvl w:val="0"/>
          <w:numId w:val="101"/>
        </w:numPr>
        <w:shd w:val="clear" w:color="auto" w:fill="auto"/>
        <w:bidi w:val="0"/>
        <w:spacing w:before="0" w:after="80" w:line="312" w:lineRule="exact"/>
        <w:ind w:left="0" w:right="0" w:firstLine="680"/>
        <w:jc w:val="both"/>
      </w:pPr>
      <w:bookmarkStart w:id="1075" w:name="bookmark1075"/>
      <w:bookmarkEnd w:id="1075"/>
      <w:r>
        <w:rPr>
          <w:b w:val="0"/>
          <w:bCs w:val="0"/>
          <w:color w:val="000000"/>
          <w:spacing w:val="0"/>
          <w:w w:val="100"/>
          <w:position w:val="0"/>
        </w:rPr>
        <w:t>夕卜币货币资金明细情况详见本附注</w:t>
      </w:r>
      <w:r>
        <w:rPr>
          <w:b w:val="0"/>
          <w:bCs w:val="0"/>
          <w:color w:val="000000"/>
          <w:spacing w:val="0"/>
          <w:w w:val="100"/>
          <w:position w:val="0"/>
          <w:sz w:val="18"/>
          <w:szCs w:val="18"/>
        </w:rPr>
        <w:t>七</w:t>
      </w:r>
      <w:r>
        <w:rPr>
          <w:rFonts w:ascii="Times New Roman" w:eastAsia="Times New Roman" w:hAnsi="Times New Roman" w:cs="Times New Roman"/>
          <w:b w:val="0"/>
          <w:bCs w:val="0"/>
          <w:color w:val="000000"/>
          <w:spacing w:val="0"/>
          <w:w w:val="100"/>
          <w:position w:val="0"/>
          <w:sz w:val="18"/>
          <w:szCs w:val="18"/>
        </w:rPr>
        <w:t>.81</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外币货币性项目''之说明。</w:t>
      </w:r>
      <w:r>
        <w:br w:type="page"/>
      </w:r>
    </w:p>
    <w:p>
      <w:pPr>
        <w:pStyle w:val="Style38"/>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bookmarkEnd w:id="1078"/>
      <w:r>
        <w:rPr>
          <w:color w:val="000000"/>
          <w:spacing w:val="0"/>
          <w:w w:val="100"/>
          <w:position w:val="0"/>
        </w:rPr>
        <w:t>、交易性金融资产</w:t>
      </w:r>
      <w:bookmarkEnd w:id="1076"/>
      <w:bookmarkEnd w:id="1077"/>
      <w:bookmarkEnd w:id="107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16,700,000.00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w:t>
      </w:r>
      <w:bookmarkEnd w:id="1082"/>
      <w:r>
        <w:rPr>
          <w:color w:val="000000"/>
          <w:spacing w:val="0"/>
          <w:w w:val="100"/>
          <w:position w:val="0"/>
        </w:rPr>
        <w:t>、衍生金融资产</w:t>
      </w:r>
      <w:bookmarkEnd w:id="1080"/>
      <w:bookmarkEnd w:id="1081"/>
      <w:bookmarkEnd w:id="108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4</w:t>
      </w:r>
      <w:bookmarkEnd w:id="1086"/>
      <w:r>
        <w:rPr>
          <w:color w:val="000000"/>
          <w:spacing w:val="0"/>
          <w:w w:val="100"/>
          <w:position w:val="0"/>
        </w:rPr>
        <w:t>、应收票据</w:t>
      </w:r>
      <w:bookmarkEnd w:id="1084"/>
      <w:bookmarkEnd w:id="1085"/>
      <w:bookmarkEnd w:id="1087"/>
    </w:p>
    <w:p>
      <w:pPr>
        <w:pStyle w:val="Style38"/>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84"/>
      <w:bookmarkEnd w:id="1085"/>
      <w:bookmarkEnd w:id="108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691,483.05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691,483.05</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691,483.0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691,483.0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691,483.0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691,483.0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line="1" w:lineRule="exact"/>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383" w:right="1081" w:bottom="1407" w:left="1046" w:header="0" w:footer="3" w:gutter="0"/>
          <w:cols w:space="720"/>
          <w:noEndnote/>
          <w:rtlGutter w:val="0"/>
          <w:docGrid w:linePitch="360"/>
        </w:sectPr>
      </w:pPr>
    </w:p>
    <w:p>
      <w:pPr>
        <w:widowControl w:val="0"/>
        <w:jc w:val="center"/>
        <w:rPr>
          <w:sz w:val="2"/>
          <w:szCs w:val="2"/>
        </w:rPr>
      </w:pPr>
      <w:r>
        <w:drawing>
          <wp:inline>
            <wp:extent cx="6126480" cy="1865630"/>
            <wp:docPr id="653" name="Picutre 653"/>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165"/>
                    <a:stretch/>
                  </pic:blipFill>
                  <pic:spPr>
                    <a:xfrm>
                      <a:ext cx="6126480" cy="1865630"/>
                    </a:xfrm>
                    <a:prstGeom prst="rect"/>
                  </pic:spPr>
                </pic:pic>
              </a:graphicData>
            </a:graphic>
          </wp:inline>
        </w:drawing>
      </w:r>
    </w:p>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numPr>
          <w:ilvl w:val="0"/>
          <w:numId w:val="61"/>
        </w:numPr>
        <w:shd w:val="clear" w:color="auto" w:fill="auto"/>
        <w:bidi w:val="0"/>
        <w:spacing w:before="0" w:after="38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本期计提、收回或转回的坏账准备情况</w:t>
      </w:r>
      <w:bookmarkEnd w:id="1090"/>
      <w:bookmarkEnd w:id="1091"/>
      <w:bookmarkEnd w:id="109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numPr>
          <w:ilvl w:val="0"/>
          <w:numId w:val="61"/>
        </w:numPr>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期末公司已质押的应收票据</w:t>
      </w:r>
      <w:bookmarkEnd w:id="1094"/>
      <w:bookmarkEnd w:id="1095"/>
      <w:bookmarkEnd w:id="109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8"/>
        <w:keepNext/>
        <w:keepLines/>
        <w:widowControl w:val="0"/>
        <w:numPr>
          <w:ilvl w:val="0"/>
          <w:numId w:val="61"/>
        </w:numPr>
        <w:shd w:val="clear" w:color="auto" w:fill="auto"/>
        <w:bidi w:val="0"/>
        <w:spacing w:before="0" w:after="38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期末公司已背书或贴现且在资产负债表日尚未到期的应收票据</w:t>
      </w:r>
      <w:bookmarkEnd w:id="1098"/>
      <w:bookmarkEnd w:id="1099"/>
      <w:bookmarkEnd w:id="110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8"/>
        <w:keepNext/>
        <w:keepLines/>
        <w:widowControl w:val="0"/>
        <w:numPr>
          <w:ilvl w:val="0"/>
          <w:numId w:val="61"/>
        </w:numPr>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期末公司因出票人未履约而将其转应收账款的票据</w:t>
      </w:r>
      <w:bookmarkEnd w:id="1102"/>
      <w:bookmarkEnd w:id="1103"/>
      <w:bookmarkEnd w:id="110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61"/>
        </w:numPr>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本期实际核销的应收票据情况</w:t>
      </w:r>
      <w:bookmarkEnd w:id="1106"/>
      <w:bookmarkEnd w:id="1107"/>
      <w:bookmarkEnd w:id="1109"/>
    </w:p>
    <w:p>
      <w:pPr>
        <w:pStyle w:val="Style34"/>
        <w:keepNext w:val="0"/>
        <w:keepLines w:val="0"/>
        <w:widowControl w:val="0"/>
        <w:shd w:val="clear" w:color="auto" w:fill="auto"/>
        <w:bidi w:val="0"/>
        <w:spacing w:before="0" w:after="2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8"/>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5</w:t>
      </w:r>
      <w:bookmarkEnd w:id="1112"/>
      <w:r>
        <w:rPr>
          <w:color w:val="000000"/>
          <w:spacing w:val="0"/>
          <w:w w:val="100"/>
          <w:position w:val="0"/>
        </w:rPr>
        <w:t>、应收账款</w:t>
      </w:r>
      <w:bookmarkEnd w:id="1110"/>
      <w:bookmarkEnd w:id="1111"/>
      <w:bookmarkEnd w:id="1113"/>
    </w:p>
    <w:p>
      <w:pPr>
        <w:pStyle w:val="Style38"/>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10"/>
      <w:bookmarkEnd w:id="1111"/>
      <w:bookmarkEnd w:id="1115"/>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441,372,</w:t>
            </w:r>
          </w:p>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714.59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77,575,7</w:t>
            </w:r>
          </w:p>
          <w:p>
            <w:pPr>
              <w:pStyle w:val="Style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363,796,9</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538,800,8</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54,953,00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483,847,84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441,372,</w:t>
            </w:r>
          </w:p>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714.59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77,575,7</w:t>
            </w:r>
          </w:p>
          <w:p>
            <w:pPr>
              <w:pStyle w:val="Style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39.13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363,796,9</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538,800,8</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54,953,00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483,847,84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77,575,739.13</w:t>
      </w:r>
    </w:p>
    <w:p>
      <w:pPr>
        <w:widowControl w:val="0"/>
        <w:spacing w:after="99" w:line="1" w:lineRule="exact"/>
      </w:pPr>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325,443,479.44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9,763,304.37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42,366,534.58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4,236,653.45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14,267,027.51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4,280,108.25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59,295,673.06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59,295,673.06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441,372,714.59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77,575,739.13</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r>
        <w:br w:type="page"/>
      </w:r>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325,443,479.44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42,366,534.58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14,267,027.51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59,295,673.06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38,548,900.53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10,957,917.73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9,788,854.80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441,372,714.59</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359" w:line="1" w:lineRule="exact"/>
      </w:pPr>
    </w:p>
    <w:p>
      <w:pPr>
        <w:pStyle w:val="Style38"/>
        <w:keepNext/>
        <w:keepLines/>
        <w:widowControl w:val="0"/>
        <w:numPr>
          <w:ilvl w:val="0"/>
          <w:numId w:val="103"/>
        </w:numPr>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本期计提、收回或转回的坏账准备情况</w:t>
      </w:r>
      <w:bookmarkEnd w:id="1116"/>
      <w:bookmarkEnd w:id="1117"/>
      <w:bookmarkEnd w:id="1119"/>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54,953,004.33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22,622,734.80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77,575,739.13</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54,953,004.33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22,622,734.80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77,575,739.13</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8"/>
        <w:keepNext/>
        <w:keepLines/>
        <w:widowControl w:val="0"/>
        <w:numPr>
          <w:ilvl w:val="0"/>
          <w:numId w:val="103"/>
        </w:numPr>
        <w:shd w:val="clear" w:color="auto" w:fill="auto"/>
        <w:bidi w:val="0"/>
        <w:spacing w:before="0" w:line="240" w:lineRule="auto"/>
        <w:ind w:left="0" w:right="0" w:firstLine="14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本期实际核销的应收账款情况</w:t>
      </w:r>
      <w:bookmarkEnd w:id="1120"/>
      <w:bookmarkEnd w:id="1121"/>
      <w:bookmarkEnd w:id="1123"/>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8"/>
        <w:keepNext/>
        <w:keepLines/>
        <w:widowControl w:val="0"/>
        <w:numPr>
          <w:ilvl w:val="0"/>
          <w:numId w:val="103"/>
        </w:numPr>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按欠款方归集的期末余额前五名的应收账款情况</w:t>
      </w:r>
      <w:bookmarkEnd w:id="1124"/>
      <w:bookmarkEnd w:id="1125"/>
      <w:bookmarkEnd w:id="1127"/>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69,605,736.86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2,425,602.30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32,713,749.80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1,045,487.05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29,000,000.00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24,141,389.72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22,244,086.37</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21,786,199.41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1,065,776.12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177,247,075.79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8"/>
        <w:keepNext/>
        <w:keepLines/>
        <w:widowControl w:val="0"/>
        <w:numPr>
          <w:ilvl w:val="0"/>
          <w:numId w:val="103"/>
        </w:numPr>
        <w:shd w:val="clear" w:color="auto" w:fill="auto"/>
        <w:tabs>
          <w:tab w:pos="493" w:val="left"/>
        </w:tabs>
        <w:bidi w:val="0"/>
        <w:spacing w:before="0" w:after="0" w:line="624" w:lineRule="exact"/>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因金融资产转移而终止确认的应收账款</w:t>
      </w:r>
      <w:bookmarkEnd w:id="1128"/>
      <w:bookmarkEnd w:id="1129"/>
      <w:bookmarkEnd w:id="1131"/>
    </w:p>
    <w:p>
      <w:pPr>
        <w:pStyle w:val="Style62"/>
        <w:keepNext w:val="0"/>
        <w:keepLines w:val="0"/>
        <w:widowControl w:val="0"/>
        <w:shd w:val="clear" w:color="auto" w:fill="auto"/>
        <w:bidi w:val="0"/>
        <w:spacing w:before="0" w:after="0" w:line="624" w:lineRule="exact"/>
        <w:ind w:left="0" w:right="0" w:firstLine="0"/>
        <w:jc w:val="left"/>
      </w:pPr>
      <w:r>
        <w:rPr>
          <w:b w:val="0"/>
          <w:bCs w:val="0"/>
          <w:color w:val="000000"/>
          <w:spacing w:val="0"/>
          <w:w w:val="100"/>
          <w:position w:val="0"/>
        </w:rPr>
        <w:t>本期无因金融资产转移而终止确认的应收账款。</w:t>
      </w:r>
    </w:p>
    <w:p>
      <w:pPr>
        <w:pStyle w:val="Style38"/>
        <w:keepNext/>
        <w:keepLines/>
        <w:widowControl w:val="0"/>
        <w:numPr>
          <w:ilvl w:val="0"/>
          <w:numId w:val="103"/>
        </w:numPr>
        <w:shd w:val="clear" w:color="auto" w:fill="auto"/>
        <w:tabs>
          <w:tab w:pos="603" w:val="left"/>
        </w:tabs>
        <w:bidi w:val="0"/>
        <w:spacing w:before="0" w:after="100" w:line="624" w:lineRule="exact"/>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 xml:space="preserve">转移应收账款且继续涉入形成的资产、负债金额 </w:t>
      </w:r>
      <w:r>
        <w:rPr>
          <w:b w:val="0"/>
          <w:bCs w:val="0"/>
          <w:color w:val="000000"/>
          <w:spacing w:val="0"/>
          <w:w w:val="100"/>
          <w:position w:val="0"/>
        </w:rPr>
        <w:t>本期无转移应收账款且继续涉入形成的资产、负债。</w:t>
      </w:r>
      <w:bookmarkEnd w:id="1132"/>
      <w:bookmarkEnd w:id="1133"/>
      <w:bookmarkEnd w:id="1135"/>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624" w:lineRule="exact"/>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6</w:t>
      </w:r>
      <w:bookmarkEnd w:id="1138"/>
      <w:r>
        <w:rPr>
          <w:color w:val="000000"/>
          <w:spacing w:val="0"/>
          <w:w w:val="100"/>
          <w:position w:val="0"/>
        </w:rPr>
        <w:t>、应收款项融资</w:t>
      </w:r>
      <w:bookmarkEnd w:id="1136"/>
      <w:bookmarkEnd w:id="1137"/>
      <w:bookmarkEnd w:id="1139"/>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7</w:t>
      </w:r>
      <w:bookmarkEnd w:id="1142"/>
      <w:r>
        <w:rPr>
          <w:color w:val="000000"/>
          <w:spacing w:val="0"/>
          <w:w w:val="100"/>
          <w:position w:val="0"/>
        </w:rPr>
        <w:t>、预付款项</w:t>
      </w:r>
      <w:bookmarkEnd w:id="1140"/>
      <w:bookmarkEnd w:id="1141"/>
      <w:bookmarkEnd w:id="1143"/>
    </w:p>
    <w:p>
      <w:pPr>
        <w:pStyle w:val="Style38"/>
        <w:keepNext/>
        <w:keepLines/>
        <w:widowControl w:val="0"/>
        <w:numPr>
          <w:ilvl w:val="0"/>
          <w:numId w:val="105"/>
        </w:numPr>
        <w:shd w:val="clear" w:color="auto" w:fill="auto"/>
        <w:bidi w:val="0"/>
        <w:spacing w:before="0" w:after="380" w:line="240" w:lineRule="auto"/>
        <w:ind w:left="0" w:right="0" w:firstLine="140"/>
        <w:jc w:val="left"/>
      </w:pPr>
      <w:bookmarkStart w:id="1140" w:name="bookmark1140"/>
      <w:bookmarkStart w:id="1141" w:name="bookmark1141"/>
      <w:bookmarkStart w:id="1144" w:name="bookmark1144"/>
      <w:bookmarkStart w:id="1145" w:name="bookmark1145"/>
      <w:bookmarkEnd w:id="1144"/>
      <w:r>
        <w:rPr>
          <w:color w:val="000000"/>
          <w:spacing w:val="0"/>
          <w:w w:val="100"/>
          <w:position w:val="0"/>
        </w:rPr>
        <w:t>预付款项按账龄列示</w:t>
      </w:r>
      <w:bookmarkEnd w:id="1140"/>
      <w:bookmarkEnd w:id="1141"/>
      <w:bookmarkEnd w:id="1145"/>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132,394,179.99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70,404,539.54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2,100,664.48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361,794.70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278,596.43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278,376.65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126,837.62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49,560.80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134,900,278.52</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71,094,271.69</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账龄超过</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年且金额重要的预付款项未及时结算原因的说明:</w:t>
      </w:r>
    </w:p>
    <w:p>
      <w:pPr>
        <w:pStyle w:val="Style62"/>
        <w:keepNext w:val="0"/>
        <w:keepLines w:val="0"/>
        <w:widowControl w:val="0"/>
        <w:shd w:val="clear" w:color="auto" w:fill="auto"/>
        <w:bidi w:val="0"/>
        <w:spacing w:before="0" w:line="365" w:lineRule="exact"/>
        <w:ind w:left="0" w:right="0" w:firstLine="0"/>
        <w:jc w:val="left"/>
      </w:pPr>
      <w:r>
        <w:rPr>
          <w:b w:val="0"/>
          <w:bCs w:val="0"/>
          <w:color w:val="000000"/>
          <w:spacing w:val="0"/>
          <w:w w:val="100"/>
          <w:position w:val="0"/>
        </w:rPr>
        <w:t>期末无账龄超过</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年且金额重大的预付款项。</w:t>
      </w:r>
    </w:p>
    <w:p>
      <w:pPr>
        <w:pStyle w:val="Style38"/>
        <w:keepNext/>
        <w:keepLines/>
        <w:widowControl w:val="0"/>
        <w:numPr>
          <w:ilvl w:val="0"/>
          <w:numId w:val="105"/>
        </w:numPr>
        <w:shd w:val="clear" w:color="auto" w:fill="auto"/>
        <w:bidi w:val="0"/>
        <w:spacing w:before="0" w:line="240" w:lineRule="auto"/>
        <w:ind w:left="0" w:right="0" w:firstLine="14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按预付对象归集的期末余额前五名的预付款情况</w:t>
      </w:r>
      <w:bookmarkEnd w:id="1146"/>
      <w:bookmarkEnd w:id="1147"/>
      <w:bookmarkEnd w:id="1149"/>
    </w:p>
    <w:p>
      <w:pPr>
        <w:pStyle w:val="Style45"/>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2482"/>
        <w:gridCol w:w="1872"/>
        <w:gridCol w:w="1085"/>
        <w:gridCol w:w="2174"/>
        <w:gridCol w:w="1800"/>
      </w:tblGrid>
      <w:tr>
        <w:trPr>
          <w:trHeight w:val="67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both"/>
            </w:pPr>
            <w:r>
              <w:rPr>
                <w:color w:val="000000"/>
                <w:spacing w:val="0"/>
                <w:w w:val="100"/>
                <w:position w:val="0"/>
              </w:rPr>
              <w:t>单位名称</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right"/>
            </w:pPr>
            <w:r>
              <w:rPr>
                <w:color w:val="000000"/>
                <w:spacing w:val="0"/>
                <w:w w:val="100"/>
                <w:position w:val="0"/>
              </w:rPr>
              <w:t>期末数</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占预付款项期末余额合计数</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91,741,332.18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预付集成采购款</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7,961,564.16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预付推广费</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7,340,657.06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预付推广费</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4,131,472.90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预付推广费</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3,574,670.12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预付推广费</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114,749,696.42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期末未发现预付款项存在明显减值迹象，故未计提减值准备。</w:t>
      </w:r>
    </w:p>
    <w:p>
      <w:pPr>
        <w:pStyle w:val="Style38"/>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8</w:t>
      </w:r>
      <w:bookmarkEnd w:id="1152"/>
      <w:r>
        <w:rPr>
          <w:color w:val="000000"/>
          <w:spacing w:val="0"/>
          <w:w w:val="100"/>
          <w:position w:val="0"/>
        </w:rPr>
        <w:t>、其他应收款</w:t>
      </w:r>
      <w:bookmarkEnd w:id="1150"/>
      <w:bookmarkEnd w:id="1151"/>
      <w:bookmarkEnd w:id="1153"/>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16,401,003.30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13,690,102.15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16,401,003.30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13,690,102.15</w:t>
            </w:r>
          </w:p>
        </w:tc>
      </w:tr>
    </w:tbl>
    <w:p>
      <w:pPr>
        <w:widowControl w:val="0"/>
        <w:spacing w:after="359" w:line="1" w:lineRule="exact"/>
      </w:pPr>
    </w:p>
    <w:p>
      <w:pPr>
        <w:pStyle w:val="Style38"/>
        <w:keepNext/>
        <w:keepLines/>
        <w:widowControl w:val="0"/>
        <w:numPr>
          <w:ilvl w:val="0"/>
          <w:numId w:val="107"/>
        </w:numPr>
        <w:shd w:val="clear" w:color="auto" w:fill="auto"/>
        <w:bidi w:val="0"/>
        <w:spacing w:before="0" w:line="240" w:lineRule="auto"/>
        <w:ind w:left="0" w:right="0" w:firstLine="0"/>
        <w:jc w:val="both"/>
      </w:pPr>
      <w:bookmarkStart w:id="1154" w:name="bookmark1154"/>
      <w:bookmarkStart w:id="1155" w:name="bookmark1155"/>
      <w:bookmarkStart w:id="1156" w:name="bookmark1156"/>
      <w:bookmarkStart w:id="1157" w:name="bookmark1157"/>
      <w:bookmarkEnd w:id="1156"/>
      <w:r>
        <w:rPr>
          <w:color w:val="000000"/>
          <w:spacing w:val="0"/>
          <w:w w:val="100"/>
          <w:position w:val="0"/>
        </w:rPr>
        <w:t>应收利息</w:t>
      </w:r>
      <w:bookmarkEnd w:id="1154"/>
      <w:bookmarkEnd w:id="1155"/>
      <w:bookmarkEnd w:id="1157"/>
    </w:p>
    <w:p>
      <w:pPr>
        <w:pStyle w:val="Style38"/>
        <w:keepNext/>
        <w:keepLines/>
        <w:widowControl w:val="0"/>
        <w:numPr>
          <w:ilvl w:val="0"/>
          <w:numId w:val="109"/>
        </w:numPr>
        <w:shd w:val="clear" w:color="auto" w:fill="auto"/>
        <w:bidi w:val="0"/>
        <w:spacing w:before="0" w:line="240" w:lineRule="auto"/>
        <w:ind w:left="0" w:right="0" w:firstLine="0"/>
        <w:jc w:val="both"/>
      </w:pPr>
      <w:bookmarkStart w:id="1154" w:name="bookmark1154"/>
      <w:bookmarkStart w:id="1155" w:name="bookmark1155"/>
      <w:bookmarkStart w:id="1158" w:name="bookmark1158"/>
      <w:bookmarkStart w:id="1159" w:name="bookmark1159"/>
      <w:bookmarkEnd w:id="1158"/>
      <w:r>
        <w:rPr>
          <w:color w:val="000000"/>
          <w:spacing w:val="0"/>
          <w:w w:val="100"/>
          <w:position w:val="0"/>
        </w:rPr>
        <w:t>应收利息分类</w:t>
      </w:r>
      <w:bookmarkEnd w:id="1154"/>
      <w:bookmarkEnd w:id="1155"/>
      <w:bookmarkEnd w:id="1159"/>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8"/>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2</w:t>
      </w:r>
      <w:bookmarkEnd w:id="1162"/>
      <w:r>
        <w:rPr>
          <w:color w:val="000000"/>
          <w:spacing w:val="0"/>
          <w:w w:val="100"/>
          <w:position w:val="0"/>
        </w:rPr>
        <w:t>）重要逾期利息</w:t>
      </w:r>
      <w:bookmarkEnd w:id="1160"/>
      <w:bookmarkEnd w:id="1161"/>
      <w:bookmarkEnd w:id="1163"/>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是否发生减值及其判断</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3</w:t>
      </w:r>
      <w:bookmarkEnd w:id="1166"/>
      <w:r>
        <w:rPr>
          <w:color w:val="000000"/>
          <w:spacing w:val="0"/>
          <w:w w:val="100"/>
          <w:position w:val="0"/>
        </w:rPr>
        <w:t>）坏账准备计提情况</w:t>
      </w:r>
      <w:bookmarkEnd w:id="1164"/>
      <w:bookmarkEnd w:id="1165"/>
      <w:bookmarkEnd w:id="1167"/>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68"/>
      <w:bookmarkEnd w:id="1169"/>
      <w:bookmarkEnd w:id="1171"/>
    </w:p>
    <w:p>
      <w:pPr>
        <w:pStyle w:val="Style38"/>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color w:val="000000"/>
          <w:spacing w:val="0"/>
          <w:w w:val="100"/>
          <w:position w:val="0"/>
        </w:rPr>
        <w:t>）应收股利分类</w:t>
      </w:r>
      <w:bookmarkEnd w:id="1168"/>
      <w:bookmarkEnd w:id="1169"/>
      <w:bookmarkEnd w:id="1173"/>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w:t>
      </w:r>
      <w:bookmarkEnd w:id="117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74"/>
      <w:bookmarkEnd w:id="1175"/>
      <w:bookmarkEnd w:id="1177"/>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是否发生减值及其判断</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color w:val="000000"/>
          <w:spacing w:val="0"/>
          <w:w w:val="100"/>
          <w:position w:val="0"/>
        </w:rPr>
        <w:t>）坏账准备计提情况</w:t>
      </w:r>
      <w:bookmarkEnd w:id="1178"/>
      <w:bookmarkEnd w:id="1179"/>
      <w:bookmarkEnd w:id="1181"/>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82"/>
      <w:bookmarkEnd w:id="1183"/>
      <w:bookmarkEnd w:id="1185"/>
    </w:p>
    <w:p>
      <w:pPr>
        <w:pStyle w:val="Style38"/>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color w:val="000000"/>
          <w:spacing w:val="0"/>
          <w:w w:val="100"/>
          <w:position w:val="0"/>
        </w:rPr>
        <w:t>）其他应收款按款项性质分类情况</w:t>
      </w:r>
      <w:bookmarkEnd w:id="1182"/>
      <w:bookmarkEnd w:id="1183"/>
      <w:bookmarkEnd w:id="1187"/>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13,518,973.92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13,677,792.69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1,164,072.21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923,025.28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代垫社保公积金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56,986.01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173,034.73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3,212,810.44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528,350.71</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17,952,842.58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15,302,203.41</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color w:val="000000"/>
          <w:spacing w:val="0"/>
          <w:w w:val="100"/>
          <w:position w:val="0"/>
        </w:rPr>
        <w:t>）坏账准备计提情况</w:t>
      </w:r>
      <w:bookmarkEnd w:id="1188"/>
      <w:bookmarkEnd w:id="1189"/>
      <w:bookmarkEnd w:id="1191"/>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1,612,101.26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1,612,101.26</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-60,261.98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-60,261.98</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1,551,839.28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1,551,839.28</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13,861,710.73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2,441,316.34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1,082,798.86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567,016.65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152,020.00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265,288.35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149,708.30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17,952,842.58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3</w:t>
      </w:r>
      <w:bookmarkEnd w:id="1194"/>
      <w:r>
        <w:rPr>
          <w:color w:val="000000"/>
          <w:spacing w:val="0"/>
          <w:w w:val="100"/>
          <w:position w:val="0"/>
        </w:rPr>
        <w:t>）本期计提、收回或转回的坏账准备情况</w:t>
      </w:r>
      <w:bookmarkEnd w:id="1192"/>
      <w:bookmarkEnd w:id="1193"/>
      <w:bookmarkEnd w:id="1195"/>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1,612,101.26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-60,261.98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1,551,839.28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1,612,101.26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-60,261.98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1,551,839.28</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62"/>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本期无收回或转回金额重要的坏账准备。</w:t>
      </w:r>
    </w:p>
    <w:p>
      <w:pPr>
        <w:pStyle w:val="Style38"/>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4</w:t>
      </w:r>
      <w:bookmarkEnd w:id="1198"/>
      <w:r>
        <w:rPr>
          <w:color w:val="000000"/>
          <w:spacing w:val="0"/>
          <w:w w:val="100"/>
          <w:position w:val="0"/>
        </w:rPr>
        <w:t>）本期实际核销的其他应收款情况</w:t>
      </w:r>
      <w:bookmarkEnd w:id="1196"/>
      <w:bookmarkEnd w:id="1197"/>
      <w:bookmarkEnd w:id="119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其他应收款核销说明：</w:t>
      </w:r>
    </w:p>
    <w:p>
      <w:pPr>
        <w:pStyle w:val="Style62"/>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本期无实际核销的其他应收款。</w:t>
      </w:r>
    </w:p>
    <w:p>
      <w:pPr>
        <w:pStyle w:val="Style38"/>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5</w:t>
      </w:r>
      <w:bookmarkEnd w:id="1202"/>
      <w:r>
        <w:rPr>
          <w:color w:val="000000"/>
          <w:spacing w:val="0"/>
          <w:w w:val="100"/>
          <w:position w:val="0"/>
        </w:rPr>
        <w:t>）按欠款方归集的期末余额前五名的其他应收款情况</w:t>
      </w:r>
      <w:bookmarkEnd w:id="1200"/>
      <w:bookmarkEnd w:id="1201"/>
      <w:bookmarkEnd w:id="120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北京市文化科技融 资租赁股份有限公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江苏常熟农村商业</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1,148,850.00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34,465.50</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华泰联合证券有限 责任公司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943,396.23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28,301.89</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福建省农村信用社 联合社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867,800.00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26,034.00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成都银行股份有限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844,000.00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93,490.00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8,804,046.23</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332,291.39</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6</w:t>
      </w:r>
      <w:bookmarkEnd w:id="1206"/>
      <w:r>
        <w:rPr>
          <w:color w:val="000000"/>
          <w:spacing w:val="0"/>
          <w:w w:val="100"/>
          <w:position w:val="0"/>
        </w:rPr>
        <w:t>）涉及政府补助的应收款项</w:t>
      </w:r>
      <w:bookmarkEnd w:id="1204"/>
      <w:bookmarkEnd w:id="1205"/>
      <w:bookmarkEnd w:id="120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预计收取的时间、金额</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7</w:t>
      </w:r>
      <w:bookmarkEnd w:id="1210"/>
      <w:r>
        <w:rPr>
          <w:color w:val="000000"/>
          <w:spacing w:val="0"/>
          <w:w w:val="100"/>
          <w:position w:val="0"/>
        </w:rPr>
        <w:t>）因金融资产转移而终止确认的其他应收款</w:t>
      </w:r>
      <w:bookmarkEnd w:id="1208"/>
      <w:bookmarkEnd w:id="1209"/>
      <w:bookmarkEnd w:id="1211"/>
    </w:p>
    <w:p>
      <w:pPr>
        <w:pStyle w:val="Style62"/>
        <w:keepNext w:val="0"/>
        <w:keepLines w:val="0"/>
        <w:widowControl w:val="0"/>
        <w:shd w:val="clear" w:color="auto" w:fill="auto"/>
        <w:bidi w:val="0"/>
        <w:spacing w:before="0" w:line="240" w:lineRule="auto"/>
        <w:ind w:left="0" w:right="0" w:firstLine="0"/>
        <w:jc w:val="left"/>
        <w:sectPr>
          <w:headerReference w:type="default" r:id="rId167"/>
          <w:footerReference w:type="default" r:id="rId168"/>
          <w:headerReference w:type="even" r:id="rId169"/>
          <w:footerReference w:type="even" r:id="rId170"/>
          <w:footnotePr>
            <w:pos w:val="pageBottom"/>
            <w:numFmt w:val="decimal"/>
            <w:numRestart w:val="continuous"/>
          </w:footnotePr>
          <w:type w:val="continuous"/>
          <w:pgSz w:w="11900" w:h="16840"/>
          <w:pgMar w:top="1383" w:right="1081" w:bottom="1407" w:left="1046" w:header="0" w:footer="3" w:gutter="0"/>
          <w:cols w:space="720"/>
          <w:noEndnote/>
          <w:rtlGutter w:val="0"/>
          <w:docGrid w:linePitch="360"/>
        </w:sectPr>
      </w:pPr>
      <w:r>
        <w:rPr>
          <w:b w:val="0"/>
          <w:bCs w:val="0"/>
          <w:color w:val="000000"/>
          <w:spacing w:val="0"/>
          <w:w w:val="100"/>
          <w:position w:val="0"/>
        </w:rPr>
        <w:t>本期无因金融资产转移而终止确认的其他应收款。</w:t>
      </w:r>
    </w:p>
    <w:p>
      <w:pPr>
        <w:pStyle w:val="Style38"/>
        <w:keepNext/>
        <w:keepLines/>
        <w:widowControl w:val="0"/>
        <w:numPr>
          <w:ilvl w:val="0"/>
          <w:numId w:val="111"/>
        </w:numPr>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转移其他应收款且继续涉入形成的资产、负债金额</w:t>
      </w:r>
      <w:bookmarkEnd w:id="1212"/>
      <w:bookmarkEnd w:id="1213"/>
      <w:bookmarkEnd w:id="1215"/>
    </w:p>
    <w:p>
      <w:pPr>
        <w:pStyle w:val="Style62"/>
        <w:keepNext w:val="0"/>
        <w:keepLines w:val="0"/>
        <w:widowControl w:val="0"/>
        <w:shd w:val="clear" w:color="auto" w:fill="auto"/>
        <w:bidi w:val="0"/>
        <w:spacing w:before="0" w:after="440" w:line="240" w:lineRule="auto"/>
        <w:ind w:left="0" w:right="0" w:firstLine="0"/>
        <w:jc w:val="left"/>
      </w:pPr>
      <w:r>
        <w:rPr>
          <w:b w:val="0"/>
          <w:bCs w:val="0"/>
          <w:color w:val="000000"/>
          <w:spacing w:val="0"/>
          <w:w w:val="100"/>
          <w:position w:val="0"/>
        </w:rPr>
        <w:t>本期无转移其他应收款且继续涉入形成的资产、负债。</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9</w:t>
      </w:r>
      <w:bookmarkEnd w:id="1218"/>
      <w:r>
        <w:rPr>
          <w:color w:val="000000"/>
          <w:spacing w:val="0"/>
          <w:w w:val="100"/>
          <w:position w:val="0"/>
        </w:rPr>
        <w:t>、存货</w:t>
      </w:r>
      <w:bookmarkEnd w:id="1216"/>
      <w:bookmarkEnd w:id="1217"/>
      <w:bookmarkEnd w:id="1219"/>
    </w:p>
    <w:p>
      <w:pPr>
        <w:pStyle w:val="Style34"/>
        <w:keepNext w:val="0"/>
        <w:keepLines w:val="0"/>
        <w:widowControl w:val="0"/>
        <w:shd w:val="clear" w:color="auto" w:fill="auto"/>
        <w:bidi w:val="0"/>
        <w:spacing w:before="0" w:after="740" w:line="240" w:lineRule="auto"/>
        <w:ind w:left="0" w:right="0" w:firstLine="0"/>
        <w:jc w:val="left"/>
      </w:pPr>
      <w:r>
        <w:rPr>
          <w:color w:val="000000"/>
          <w:spacing w:val="0"/>
          <w:w w:val="100"/>
          <w:position w:val="0"/>
        </w:rPr>
        <w:t>公司是否需要遵守房地产行业的披露要求</w:t>
      </w:r>
    </w:p>
    <w:p>
      <w:pPr>
        <w:pStyle w:val="Style38"/>
        <w:keepNext/>
        <w:keepLines/>
        <w:widowControl w:val="0"/>
        <w:numPr>
          <w:ilvl w:val="0"/>
          <w:numId w:val="113"/>
        </w:numPr>
        <w:shd w:val="clear" w:color="auto" w:fill="auto"/>
        <w:bidi w:val="0"/>
        <w:spacing w:before="0" w:line="240" w:lineRule="auto"/>
        <w:ind w:left="0" w:right="0" w:firstLine="14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存货分类</w:t>
      </w:r>
      <w:bookmarkEnd w:id="1220"/>
      <w:bookmarkEnd w:id="1221"/>
      <w:bookmarkEnd w:id="122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347,768,768.75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347,768,768.75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220,354,052.64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220,354,052.64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系统集成商品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88,845,339.23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88,845,339.23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63,060,847.26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63,060,847.26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436,614,107.98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436,614,107.98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283,414,899.90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283,414,899.90</w:t>
            </w:r>
          </w:p>
        </w:tc>
      </w:tr>
    </w:tbl>
    <w:p>
      <w:pPr>
        <w:widowControl w:val="0"/>
        <w:spacing w:after="359" w:line="1" w:lineRule="exact"/>
      </w:pPr>
    </w:p>
    <w:p>
      <w:pPr>
        <w:pStyle w:val="Style38"/>
        <w:keepNext/>
        <w:keepLines/>
        <w:widowControl w:val="0"/>
        <w:numPr>
          <w:ilvl w:val="0"/>
          <w:numId w:val="113"/>
        </w:numPr>
        <w:shd w:val="clear" w:color="auto" w:fill="auto"/>
        <w:bidi w:val="0"/>
        <w:spacing w:before="0" w:line="240" w:lineRule="auto"/>
        <w:ind w:left="0" w:right="0" w:firstLine="14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存货跌价准备和合同履约成本减值准备</w:t>
      </w:r>
      <w:bookmarkEnd w:id="1224"/>
      <w:bookmarkEnd w:id="1225"/>
      <w:bookmarkEnd w:id="122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189230" distB="182880" distL="0" distR="0" simplePos="0" relativeHeight="125829406" behindDoc="0" locked="0" layoutInCell="1" allowOverlap="1">
                <wp:simplePos x="0" y="0"/>
                <wp:positionH relativeFrom="page">
                  <wp:posOffset>1014730</wp:posOffset>
                </wp:positionH>
                <wp:positionV relativeFrom="paragraph">
                  <wp:posOffset>189230</wp:posOffset>
                </wp:positionV>
                <wp:extent cx="252730" cy="149225"/>
                <wp:wrapTopAndBottom/>
                <wp:docPr id="672" name="Shape 672"/>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4"/>
                              <w:keepNext w:val="0"/>
                              <w:keepLines w:val="0"/>
                              <w:widowControl w:val="0"/>
                              <w:pBdr>
                                <w:top w:val="single" w:sz="0" w:space="0" w:color="D3D3D3"/>
                                <w:left w:val="single" w:sz="0" w:space="16" w:color="D3D3D3"/>
                                <w:bottom w:val="single" w:sz="0" w:space="0" w:color="D3D3D3"/>
                                <w:right w:val="single" w:sz="0" w:space="16"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698" type="#_x0000_t202" style="position:absolute;margin-left:79.900000000000006pt;margin-top:14.9pt;width:19.900000000000002pt;height:11.75pt;z-index:-125829347;mso-wrap-distance-left:0;mso-wrap-distance-top:14.9pt;mso-wrap-distance-right:0;mso-wrap-distance-bottom:14.4pt;mso-position-horizontal-relative:page" filled="f" stroked="f">
                <v:textbox inset="0,0,0,0">
                  <w:txbxContent>
                    <w:p>
                      <w:pPr>
                        <w:pStyle w:val="Style34"/>
                        <w:keepNext w:val="0"/>
                        <w:keepLines w:val="0"/>
                        <w:widowControl w:val="0"/>
                        <w:pBdr>
                          <w:top w:val="single" w:sz="0" w:space="0" w:color="D3D3D3"/>
                          <w:left w:val="single" w:sz="0" w:space="16" w:color="D3D3D3"/>
                          <w:bottom w:val="single" w:sz="0" w:space="0" w:color="D3D3D3"/>
                          <w:right w:val="single" w:sz="0" w:space="16"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0" distB="0" distL="670560" distR="670560" simplePos="0" relativeHeight="125829408" behindDoc="0" locked="0" layoutInCell="1" allowOverlap="1">
                <wp:simplePos x="0" y="0"/>
                <wp:positionH relativeFrom="page">
                  <wp:posOffset>2440940</wp:posOffset>
                </wp:positionH>
                <wp:positionV relativeFrom="paragraph">
                  <wp:posOffset>0</wp:posOffset>
                </wp:positionV>
                <wp:extent cx="3481070" cy="521335"/>
                <wp:wrapTopAndBottom/>
                <wp:docPr id="674" name="Shape 674"/>
                <a:graphic xmlns:a="http://schemas.openxmlformats.org/drawingml/2006/main">
                  <a:graphicData uri="http://schemas.microsoft.com/office/word/2010/wordprocessingShape">
                    <wps:wsp>
                      <wps:cNvSpPr txBox="1"/>
                      <wps:spPr>
                        <a:xfrm>
                          <a:ext cx="3481070" cy="521335"/>
                        </a:xfrm>
                        <a:prstGeom prst="rect"/>
                        <a:noFill/>
                      </wps:spPr>
                      <wps:txbx>
                        <w:txbxContent>
                          <w:tbl>
                            <w:tblPr>
                              <w:tblOverlap w:val="never"/>
                              <w:jc w:val="left"/>
                              <w:tblLayout w:type="fixed"/>
                            </w:tblPr>
                            <w:tblGrid>
                              <w:gridCol w:w="1373"/>
                              <w:gridCol w:w="1363"/>
                              <w:gridCol w:w="1368"/>
                              <w:gridCol w:w="1378"/>
                            </w:tblGrid>
                            <w:tr>
                              <w:trPr>
                                <w:tblHeader/>
                                <w:trHeight w:val="408"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widowControl w:val="0"/>
                              <w:spacing w:line="1" w:lineRule="exact"/>
                            </w:pPr>
                          </w:p>
                        </w:txbxContent>
                      </wps:txbx>
                      <wps:bodyPr lIns="0" tIns="0" rIns="0" bIns="0">
                        <a:noAutoFit/>
                      </wps:bodyPr>
                    </wps:wsp>
                  </a:graphicData>
                </a:graphic>
              </wp:anchor>
            </w:drawing>
          </mc:Choice>
          <mc:Fallback>
            <w:pict>
              <v:shape id="_x0000_s1700" type="#_x0000_t202" style="position:absolute;margin-left:192.20000000000002pt;margin-top:0;width:274.10000000000002pt;height:41.050000000000004pt;z-index:-125829345;mso-wrap-distance-left:52.800000000000004pt;mso-wrap-distance-right:52.800000000000004pt;mso-position-horizontal-relative:page" filled="f" stroked="f">
                <v:textbox inset="0,0,0,0">
                  <w:txbxContent>
                    <w:tbl>
                      <w:tblPr>
                        <w:tblOverlap w:val="never"/>
                        <w:jc w:val="left"/>
                        <w:tblLayout w:type="fixed"/>
                      </w:tblPr>
                      <w:tblGrid>
                        <w:gridCol w:w="1373"/>
                        <w:gridCol w:w="1363"/>
                        <w:gridCol w:w="1368"/>
                        <w:gridCol w:w="1378"/>
                      </w:tblGrid>
                      <w:tr>
                        <w:trPr>
                          <w:tblHeader/>
                          <w:trHeight w:val="408"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1770380</wp:posOffset>
                </wp:positionH>
                <wp:positionV relativeFrom="paragraph">
                  <wp:posOffset>189230</wp:posOffset>
                </wp:positionV>
                <wp:extent cx="481330" cy="149225"/>
                <wp:wrapNone/>
                <wp:docPr id="676" name="Shape 67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45"/>
                              <w:keepNext w:val="0"/>
                              <w:keepLines w:val="0"/>
                              <w:widowControl w:val="0"/>
                              <w:pBdr>
                                <w:top w:val="single" w:sz="0" w:space="0" w:color="D3D3D3"/>
                                <w:left w:val="single" w:sz="0" w:space="16" w:color="D3D3D3"/>
                                <w:bottom w:val="single" w:sz="0" w:space="0" w:color="D3D3D3"/>
                                <w:right w:val="single" w:sz="0" w:space="16"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lIns="0" tIns="0" rIns="0" bIns="0">
                        <a:noAutoFit/>
                      </wps:bodyPr>
                    </wps:wsp>
                  </a:graphicData>
                </a:graphic>
              </wp:anchor>
            </w:drawing>
          </mc:Choice>
          <mc:Fallback>
            <w:pict>
              <v:shape id="_x0000_s1702" type="#_x0000_t202" style="position:absolute;margin-left:139.40000000000001pt;margin-top:14.9pt;width:37.899999999999999pt;height:11.75pt;z-index:251657729;mso-wrap-distance-left:0;mso-wrap-distance-right:0;mso-position-horizontal-relative:page" filled="f" stroked="f">
                <v:textbox inset="0,0,0,0">
                  <w:txbxContent>
                    <w:p>
                      <w:pPr>
                        <w:pStyle w:val="Style45"/>
                        <w:keepNext w:val="0"/>
                        <w:keepLines w:val="0"/>
                        <w:widowControl w:val="0"/>
                        <w:pBdr>
                          <w:top w:val="single" w:sz="0" w:space="0" w:color="D3D3D3"/>
                          <w:left w:val="single" w:sz="0" w:space="16" w:color="D3D3D3"/>
                          <w:bottom w:val="single" w:sz="0" w:space="0" w:color="D3D3D3"/>
                          <w:right w:val="single" w:sz="0" w:space="16"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6110605</wp:posOffset>
                </wp:positionH>
                <wp:positionV relativeFrom="paragraph">
                  <wp:posOffset>189230</wp:posOffset>
                </wp:positionV>
                <wp:extent cx="481330" cy="149225"/>
                <wp:wrapNone/>
                <wp:docPr id="678" name="Shape 678"/>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45"/>
                              <w:keepNext w:val="0"/>
                              <w:keepLines w:val="0"/>
                              <w:widowControl w:val="0"/>
                              <w:pBdr>
                                <w:top w:val="single" w:sz="0" w:space="0" w:color="D3D3D3"/>
                                <w:left w:val="single" w:sz="0" w:space="16" w:color="D3D3D3"/>
                                <w:bottom w:val="single" w:sz="0" w:space="0" w:color="D3D3D3"/>
                                <w:right w:val="single" w:sz="0" w:space="16"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lIns="0" tIns="0" rIns="0" bIns="0">
                        <a:noAutoFit/>
                      </wps:bodyPr>
                    </wps:wsp>
                  </a:graphicData>
                </a:graphic>
              </wp:anchor>
            </w:drawing>
          </mc:Choice>
          <mc:Fallback>
            <w:pict>
              <v:shape id="_x0000_s1704" type="#_x0000_t202" style="position:absolute;margin-left:481.15000000000003pt;margin-top:14.9pt;width:37.899999999999999pt;height:11.75pt;z-index:251657731;mso-wrap-distance-left:0;mso-wrap-distance-right:0;mso-position-horizontal-relative:page" filled="f" stroked="f">
                <v:textbox inset="0,0,0,0">
                  <w:txbxContent>
                    <w:p>
                      <w:pPr>
                        <w:pStyle w:val="Style45"/>
                        <w:keepNext w:val="0"/>
                        <w:keepLines w:val="0"/>
                        <w:widowControl w:val="0"/>
                        <w:pBdr>
                          <w:top w:val="single" w:sz="0" w:space="0" w:color="D3D3D3"/>
                          <w:left w:val="single" w:sz="0" w:space="16" w:color="D3D3D3"/>
                          <w:bottom w:val="single" w:sz="0" w:space="0" w:color="D3D3D3"/>
                          <w:right w:val="single" w:sz="0" w:space="16"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anchorx="page"/>
              </v:shape>
            </w:pict>
          </mc:Fallback>
        </mc:AlternateConten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报告期各期末未发现存货存在明显减值迹象，故未计提存货跌价准备和合同履约成本减值准备。</w:t>
      </w:r>
    </w:p>
    <w:p>
      <w:pPr>
        <w:pStyle w:val="Style38"/>
        <w:keepNext/>
        <w:keepLines/>
        <w:widowControl w:val="0"/>
        <w:numPr>
          <w:ilvl w:val="0"/>
          <w:numId w:val="113"/>
        </w:numPr>
        <w:shd w:val="clear" w:color="auto" w:fill="auto"/>
        <w:bidi w:val="0"/>
        <w:spacing w:before="0" w:line="240" w:lineRule="auto"/>
        <w:ind w:left="0" w:right="0" w:firstLine="14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存货期末余额含有借款费用资本化金额的说明</w:t>
      </w:r>
      <w:bookmarkEnd w:id="1228"/>
      <w:bookmarkEnd w:id="1229"/>
      <w:bookmarkEnd w:id="1231"/>
    </w:p>
    <w:p>
      <w:pPr>
        <w:pStyle w:val="Style62"/>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期末存货余额中无资本化利息金额。</w:t>
      </w:r>
    </w:p>
    <w:p>
      <w:pPr>
        <w:pStyle w:val="Style38"/>
        <w:keepNext/>
        <w:keepLines/>
        <w:widowControl w:val="0"/>
        <w:numPr>
          <w:ilvl w:val="0"/>
          <w:numId w:val="113"/>
        </w:numPr>
        <w:shd w:val="clear" w:color="auto" w:fill="auto"/>
        <w:bidi w:val="0"/>
        <w:spacing w:before="0" w:line="240" w:lineRule="auto"/>
        <w:ind w:left="0" w:right="0" w:firstLine="14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合同履约成本本期摊销金额的说明</w:t>
      </w:r>
      <w:bookmarkEnd w:id="1232"/>
      <w:bookmarkEnd w:id="1233"/>
      <w:bookmarkEnd w:id="1235"/>
    </w:p>
    <w:p>
      <w:pPr>
        <w:pStyle w:val="Style38"/>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32"/>
      <w:bookmarkEnd w:id="1233"/>
      <w:bookmarkEnd w:id="123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38"/>
      <w:bookmarkEnd w:id="1239"/>
      <w:bookmarkEnd w:id="124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42"/>
      <w:bookmarkEnd w:id="1243"/>
      <w:bookmarkEnd w:id="124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46"/>
      <w:bookmarkEnd w:id="1247"/>
      <w:bookmarkEnd w:id="124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待认证抵扣进项税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7,561,498.55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3,640,789.42</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预缴流转税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668,938.96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1,445,401.97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44,857.08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138,230,863.38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5,131,048.47</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期末未发现其他流动资产存在明显减值迹象，故未计提减值准备。</w:t>
      </w:r>
      <w:r>
        <w:br w:type="page"/>
      </w:r>
    </w:p>
    <w:p>
      <w:pPr>
        <w:pStyle w:val="Style38"/>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50"/>
      <w:bookmarkEnd w:id="1251"/>
      <w:bookmarkEnd w:id="125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54"/>
      <w:bookmarkEnd w:id="1255"/>
      <w:bookmarkEnd w:id="125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累计在其他 综合收益中 确认的损失</w:t>
            </w:r>
          </w:p>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58"/>
      <w:bookmarkEnd w:id="1259"/>
      <w:bookmarkEnd w:id="1261"/>
    </w:p>
    <w:p>
      <w:pPr>
        <w:pStyle w:val="Style38"/>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58"/>
      <w:bookmarkEnd w:id="1259"/>
      <w:bookmarkEnd w:id="126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64"/>
      <w:bookmarkEnd w:id="1265"/>
      <w:bookmarkEnd w:id="1267"/>
    </w:p>
    <w:p>
      <w:pPr>
        <w:pStyle w:val="Style38"/>
        <w:keepNext/>
        <w:keepLines/>
        <w:widowControl w:val="0"/>
        <w:shd w:val="clear" w:color="auto" w:fill="auto"/>
        <w:tabs>
          <w:tab w:pos="493" w:val="left"/>
        </w:tabs>
        <w:bidi w:val="0"/>
        <w:spacing w:before="0" w:after="380" w:line="240" w:lineRule="auto"/>
        <w:ind w:left="0" w:right="0" w:firstLine="0"/>
        <w:jc w:val="left"/>
      </w:pPr>
      <w:bookmarkStart w:id="1264" w:name="bookmark1264"/>
      <w:bookmarkStart w:id="1265" w:name="bookmark1265"/>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64"/>
      <w:bookmarkEnd w:id="1265"/>
      <w:bookmarkEnd w:id="126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70"/>
      <w:bookmarkEnd w:id="1271"/>
      <w:bookmarkEnd w:id="127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9"/>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9"/>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减值准备</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计提减值</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中信 科技发展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14,071,76</w:t>
            </w:r>
          </w:p>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-6,608,21</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7,463,551</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4,475,840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297,529.8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4,773,370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1"/>
          <w:footerReference w:type="default" r:id="rId172"/>
          <w:headerReference w:type="even" r:id="rId173"/>
          <w:footerReference w:type="even" r:id="rId174"/>
          <w:headerReference w:type="first" r:id="rId175"/>
          <w:footerReference w:type="first" r:id="rId176"/>
          <w:footnotePr>
            <w:pos w:val="pageBottom"/>
            <w:numFmt w:val="decimal"/>
            <w:numRestart w:val="continuous"/>
          </w:footnotePr>
          <w:pgSz w:w="11900" w:h="16840"/>
          <w:pgMar w:top="1383" w:right="1081" w:bottom="1407" w:left="1046" w:header="0" w:footer="3" w:gutter="0"/>
          <w:cols w:space="720"/>
          <w:noEndnote/>
          <w:titlePg/>
          <w:rtlGutter w:val="0"/>
          <w:docGrid w:linePitch="360"/>
        </w:sectPr>
      </w:pPr>
    </w:p>
    <w:p>
      <w:pPr>
        <w:widowControl w:val="0"/>
        <w:spacing w:line="1" w:lineRule="exact"/>
      </w:pPr>
      <w:r>
        <mc:AlternateContent>
          <mc:Choice Requires="wps">
            <w:drawing>
              <wp:anchor distT="0" distB="0" distL="0" distR="0" simplePos="0" relativeHeight="125829410" behindDoc="0" locked="0" layoutInCell="1" allowOverlap="1">
                <wp:simplePos x="0" y="0"/>
                <wp:positionH relativeFrom="page">
                  <wp:posOffset>699135</wp:posOffset>
                </wp:positionH>
                <wp:positionV relativeFrom="paragraph">
                  <wp:posOffset>0</wp:posOffset>
                </wp:positionV>
                <wp:extent cx="3048000" cy="2191385"/>
                <wp:wrapTopAndBottom/>
                <wp:docPr id="705" name="Shape 705"/>
                <a:graphic xmlns:a="http://schemas.openxmlformats.org/drawingml/2006/main">
                  <a:graphicData uri="http://schemas.microsoft.com/office/word/2010/wordprocessingShape">
                    <wps:wsp>
                      <wps:cNvSpPr txBox="1"/>
                      <wps:spPr>
                        <a:xfrm>
                          <a:ext cx="3048000" cy="2191385"/>
                        </a:xfrm>
                        <a:prstGeom prst="rect"/>
                        <a:noFill/>
                      </wps:spPr>
                      <wps:txbx>
                        <w:txbxContent>
                          <w:tbl>
                            <w:tblPr>
                              <w:tblOverlap w:val="never"/>
                              <w:jc w:val="left"/>
                              <w:tblLayout w:type="fixed"/>
                            </w:tblPr>
                            <w:tblGrid>
                              <w:gridCol w:w="806"/>
                              <w:gridCol w:w="797"/>
                              <w:gridCol w:w="797"/>
                              <w:gridCol w:w="797"/>
                              <w:gridCol w:w="797"/>
                              <w:gridCol w:w="806"/>
                            </w:tblGrid>
                            <w:tr>
                              <w:trPr>
                                <w:tblHeader/>
                                <w:trHeight w:val="98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高伟达保 科技有限 责任公司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北京 数微科技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2,476,485</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-2,137,42</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21,024,09</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-8,448,10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21,024,09</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-8,448,10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731" type="#_x0000_t202" style="position:absolute;margin-left:55.050000000000004pt;margin-top:0;width:240.pt;height:172.55000000000001pt;z-index:-125829343;mso-wrap-distance-left:0;mso-wrap-distance-right:0;mso-position-horizontal-relative:page" filled="f" stroked="f">
                <v:textbox inset="0,0,0,0">
                  <w:txbxContent>
                    <w:tbl>
                      <w:tblPr>
                        <w:tblOverlap w:val="never"/>
                        <w:jc w:val="left"/>
                        <w:tblLayout w:type="fixed"/>
                      </w:tblPr>
                      <w:tblGrid>
                        <w:gridCol w:w="806"/>
                        <w:gridCol w:w="797"/>
                        <w:gridCol w:w="797"/>
                        <w:gridCol w:w="797"/>
                        <w:gridCol w:w="797"/>
                        <w:gridCol w:w="806"/>
                      </w:tblGrid>
                      <w:tr>
                        <w:trPr>
                          <w:tblHeader/>
                          <w:trHeight w:val="98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高伟达保 科技有限 责任公司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北京 数微科技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2,476,485</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-2,137,42</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21,024,09</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-8,448,10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21,024,09</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-8,448,10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412" behindDoc="0" locked="0" layoutInCell="1" allowOverlap="1">
                <wp:simplePos x="0" y="0"/>
                <wp:positionH relativeFrom="page">
                  <wp:posOffset>3735070</wp:posOffset>
                </wp:positionH>
                <wp:positionV relativeFrom="paragraph">
                  <wp:posOffset>0</wp:posOffset>
                </wp:positionV>
                <wp:extent cx="3054350" cy="2191385"/>
                <wp:wrapTopAndBottom/>
                <wp:docPr id="707" name="Shape 707"/>
                <a:graphic xmlns:a="http://schemas.openxmlformats.org/drawingml/2006/main">
                  <a:graphicData uri="http://schemas.microsoft.com/office/word/2010/wordprocessingShape">
                    <wps:wsp>
                      <wps:cNvSpPr txBox="1"/>
                      <wps:spPr>
                        <a:xfrm>
                          <a:ext cx="3054350" cy="2191385"/>
                        </a:xfrm>
                        <a:prstGeom prst="rect"/>
                        <a:noFill/>
                      </wps:spPr>
                      <wps:txbx>
                        <w:txbxContent>
                          <w:tbl>
                            <w:tblPr>
                              <w:tblOverlap w:val="never"/>
                              <w:jc w:val="left"/>
                              <w:tblLayout w:type="fixed"/>
                            </w:tblPr>
                            <w:tblGrid>
                              <w:gridCol w:w="811"/>
                              <w:gridCol w:w="797"/>
                              <w:gridCol w:w="797"/>
                              <w:gridCol w:w="797"/>
                              <w:gridCol w:w="802"/>
                              <w:gridCol w:w="806"/>
                            </w:tblGrid>
                            <w:tr>
                              <w:trPr>
                                <w:tblHeade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339,060.2</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12,575,98</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12,575,98</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733" type="#_x0000_t202" style="position:absolute;margin-left:294.10000000000002pt;margin-top:0;width:240.5pt;height:172.55000000000001pt;z-index:-125829341;mso-wrap-distance-left:0;mso-wrap-distance-right:0;mso-position-horizontal-relative:page" filled="f" stroked="f">
                <v:textbox inset="0,0,0,0">
                  <w:txbxContent>
                    <w:tbl>
                      <w:tblPr>
                        <w:tblOverlap w:val="never"/>
                        <w:jc w:val="left"/>
                        <w:tblLayout w:type="fixed"/>
                      </w:tblPr>
                      <w:tblGrid>
                        <w:gridCol w:w="811"/>
                        <w:gridCol w:w="797"/>
                        <w:gridCol w:w="797"/>
                        <w:gridCol w:w="797"/>
                        <w:gridCol w:w="802"/>
                        <w:gridCol w:w="806"/>
                      </w:tblGrid>
                      <w:tr>
                        <w:trPr>
                          <w:tblHeade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339,060.2</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12,575,98</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12,575,98</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2"/>
        <w:keepNext w:val="0"/>
        <w:keepLines w:val="0"/>
        <w:widowControl w:val="0"/>
        <w:numPr>
          <w:ilvl w:val="0"/>
          <w:numId w:val="115"/>
        </w:numPr>
        <w:shd w:val="clear" w:color="auto" w:fill="auto"/>
        <w:tabs>
          <w:tab w:pos="794" w:val="left"/>
        </w:tabs>
        <w:bidi w:val="0"/>
        <w:spacing w:before="0" w:after="80" w:line="240" w:lineRule="auto"/>
        <w:ind w:left="0" w:right="0" w:firstLine="440"/>
        <w:jc w:val="left"/>
      </w:pPr>
      <w:bookmarkStart w:id="1274" w:name="bookmark1274"/>
      <w:bookmarkEnd w:id="1274"/>
      <w:r>
        <w:rPr>
          <w:b w:val="0"/>
          <w:bCs w:val="0"/>
          <w:color w:val="000000"/>
          <w:spacing w:val="0"/>
          <w:w w:val="100"/>
          <w:position w:val="0"/>
        </w:rPr>
        <w:t>期末未发现长期股权投资存在明显减值迹象，故未计提减值准备。</w:t>
      </w:r>
    </w:p>
    <w:p>
      <w:pPr>
        <w:pStyle w:val="Style62"/>
        <w:keepNext w:val="0"/>
        <w:keepLines w:val="0"/>
        <w:widowControl w:val="0"/>
        <w:numPr>
          <w:ilvl w:val="0"/>
          <w:numId w:val="115"/>
        </w:numPr>
        <w:shd w:val="clear" w:color="auto" w:fill="auto"/>
        <w:tabs>
          <w:tab w:pos="794" w:val="left"/>
        </w:tabs>
        <w:bidi w:val="0"/>
        <w:spacing w:before="0" w:after="80" w:line="240" w:lineRule="auto"/>
        <w:ind w:left="0" w:right="0" w:firstLine="440"/>
        <w:jc w:val="left"/>
      </w:pPr>
      <w:bookmarkStart w:id="1275" w:name="bookmark1275"/>
      <w:bookmarkEnd w:id="1275"/>
      <w:r>
        <w:rPr>
          <w:b w:val="0"/>
          <w:bCs w:val="0"/>
          <w:color w:val="000000"/>
          <w:spacing w:val="0"/>
          <w:w w:val="100"/>
          <w:position w:val="0"/>
        </w:rPr>
        <w:t>期末不存在向投资企业转移资金的能力受到限制的情况。</w:t>
      </w:r>
    </w:p>
    <w:p>
      <w:pPr>
        <w:pStyle w:val="Style62"/>
        <w:keepNext w:val="0"/>
        <w:keepLines w:val="0"/>
        <w:widowControl w:val="0"/>
        <w:numPr>
          <w:ilvl w:val="0"/>
          <w:numId w:val="115"/>
        </w:numPr>
        <w:shd w:val="clear" w:color="auto" w:fill="auto"/>
        <w:tabs>
          <w:tab w:pos="794" w:val="left"/>
        </w:tabs>
        <w:bidi w:val="0"/>
        <w:spacing w:before="0" w:after="380" w:line="240" w:lineRule="auto"/>
        <w:ind w:left="0" w:right="0" w:firstLine="440"/>
        <w:jc w:val="left"/>
      </w:pPr>
      <w:bookmarkStart w:id="1276" w:name="bookmark1276"/>
      <w:bookmarkEnd w:id="1276"/>
      <w:r>
        <w:rPr>
          <w:b w:val="0"/>
          <w:bCs w:val="0"/>
          <w:color w:val="000000"/>
          <w:spacing w:val="0"/>
          <w:w w:val="100"/>
          <w:position w:val="0"/>
        </w:rPr>
        <w:t>期末不存在有限售条件的长期股权投资。</w:t>
      </w:r>
    </w:p>
    <w:p>
      <w:pPr>
        <w:pStyle w:val="Style38"/>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77"/>
      <w:bookmarkEnd w:id="1278"/>
      <w:bookmarkEnd w:id="128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北京伟达助云企业管理中心</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北京伟达聚才企业管理中心</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南京盈源企业管理中心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南京盈创企业管理中心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盈行金融信息技术</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1,250,000.00</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其他综合收益转</w:t>
            </w:r>
          </w:p>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入留存收益的金</w:t>
            </w:r>
          </w:p>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指定为以公允价 值计量且其变动 计入其他综合收</w:t>
            </w:r>
          </w:p>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224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北京伟达助云 企业管理中心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持有目的并非是 交易性的，本公 司对此项不具有 重大影响的非交 易性权益投资指 定为以公允价值 计量且其变动计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入其他综合收益 的金融资产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xml:space="preserve">北京伟达聚才 企业管理中心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持有目的并非是 交易性的，本公 司对此项不具有 重大影响的非交 易性权益投资指 定为以公允价值 计量且其变动计 入其他综合收益 的金融资产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南京盈源企业 管理中心</w:t>
            </w:r>
            <w:r>
              <w:rPr>
                <w:rFonts w:ascii="Times New Roman" w:eastAsia="Times New Roman" w:hAnsi="Times New Roman" w:cs="Times New Roman"/>
                <w:color w:val="000000"/>
                <w:spacing w:val="0"/>
                <w:w w:val="100"/>
                <w:position w:val="0"/>
              </w:rPr>
              <w:t>(</w:t>
            </w:r>
            <w:r>
              <w:rPr>
                <w:color w:val="000000"/>
                <w:spacing w:val="0"/>
                <w:w w:val="100"/>
                <w:position w:val="0"/>
              </w:rPr>
              <w:t>有限 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持有目的并非是 交易性的，本公 司对此项不具有 重大影响的非交 易性权益投资指 定为以公允价值 计量且其变动计 入其他综合收益 的金融资产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南京盈创企业 管理中心</w:t>
            </w:r>
            <w:r>
              <w:rPr>
                <w:rFonts w:ascii="Times New Roman" w:eastAsia="Times New Roman" w:hAnsi="Times New Roman" w:cs="Times New Roman"/>
                <w:color w:val="000000"/>
                <w:spacing w:val="0"/>
                <w:w w:val="100"/>
                <w:position w:val="0"/>
              </w:rPr>
              <w:t>(</w:t>
            </w:r>
            <w:r>
              <w:rPr>
                <w:color w:val="000000"/>
                <w:spacing w:val="0"/>
                <w:w w:val="100"/>
                <w:position w:val="0"/>
              </w:rPr>
              <w:t>有限 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持有目的并非是 交易性的，本公 司对此项不具有 重大影响的非交 易性权益投资指 定为以公允价值 计量且其变动计 入其他综合收益 的金融资产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盈行金融信息 技术</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持有目的并非是 交易性的，本公 司对此项不具有 重大影响的非交 易性权益投资指 定为以公允价值 计量且其变动计 入其他综合收益 的金融资产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1</w:t>
      </w:r>
      <w:bookmarkEnd w:id="1283"/>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81"/>
      <w:bookmarkEnd w:id="1282"/>
      <w:bookmarkEnd w:id="1284"/>
    </w:p>
    <w:p>
      <w:pPr>
        <w:pStyle w:val="Style34"/>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p>
      <w:pPr>
        <w:widowControl w:val="0"/>
        <w:spacing w:line="1" w:lineRule="exact"/>
      </w:pPr>
      <w:r>
        <mc:AlternateContent>
          <mc:Choice Requires="wps">
            <w:drawing>
              <wp:anchor distT="0" distB="4054475" distL="0" distR="0" simplePos="0" relativeHeight="125829414" behindDoc="0" locked="0" layoutInCell="1" allowOverlap="1">
                <wp:simplePos x="0" y="0"/>
                <wp:positionH relativeFrom="page">
                  <wp:posOffset>1589405</wp:posOffset>
                </wp:positionH>
                <wp:positionV relativeFrom="paragraph">
                  <wp:posOffset>0</wp:posOffset>
                </wp:positionV>
                <wp:extent cx="252730" cy="149225"/>
                <wp:wrapTopAndBottom/>
                <wp:docPr id="709" name="Shape 709"/>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735" type="#_x0000_t202" style="position:absolute;margin-left:125.15000000000001pt;margin-top:0;width:19.900000000000002pt;height:11.75pt;z-index:-125829339;mso-wrap-distance-left:0;mso-wrap-distance-right:0;mso-wrap-distance-bottom:319.25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0" distB="4054475" distL="0" distR="0" simplePos="0" relativeHeight="125829416" behindDoc="0" locked="0" layoutInCell="1" allowOverlap="1">
                <wp:simplePos x="0" y="0"/>
                <wp:positionH relativeFrom="page">
                  <wp:posOffset>3500120</wp:posOffset>
                </wp:positionH>
                <wp:positionV relativeFrom="paragraph">
                  <wp:posOffset>0</wp:posOffset>
                </wp:positionV>
                <wp:extent cx="481330" cy="149225"/>
                <wp:wrapTopAndBottom/>
                <wp:docPr id="711" name="Shape 71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期末余额</w:t>
                            </w:r>
                          </w:p>
                        </w:txbxContent>
                      </wps:txbx>
                      <wps:bodyPr wrap="none" lIns="0" tIns="0" rIns="0" bIns="0">
                        <a:noAutoFit/>
                      </wps:bodyPr>
                    </wps:wsp>
                  </a:graphicData>
                </a:graphic>
              </wp:anchor>
            </w:drawing>
          </mc:Choice>
          <mc:Fallback>
            <w:pict>
              <v:shape id="_x0000_s1737" type="#_x0000_t202" style="position:absolute;margin-left:275.60000000000002pt;margin-top:0;width:37.899999999999999pt;height:11.75pt;z-index:-125829337;mso-wrap-distance-left:0;mso-wrap-distance-right:0;mso-wrap-distance-bottom:319.25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期末余额</w:t>
                      </w:r>
                    </w:p>
                  </w:txbxContent>
                </v:textbox>
                <w10:wrap type="topAndBottom" anchorx="page"/>
              </v:shape>
            </w:pict>
          </mc:Fallback>
        </mc:AlternateContent>
      </w:r>
      <w:r>
        <mc:AlternateContent>
          <mc:Choice Requires="wps">
            <w:drawing>
              <wp:anchor distT="0" distB="4054475" distL="0" distR="0" simplePos="0" relativeHeight="125829418" behindDoc="0" locked="0" layoutInCell="1" allowOverlap="1">
                <wp:simplePos x="0" y="0"/>
                <wp:positionH relativeFrom="page">
                  <wp:posOffset>5527040</wp:posOffset>
                </wp:positionH>
                <wp:positionV relativeFrom="paragraph">
                  <wp:posOffset>0</wp:posOffset>
                </wp:positionV>
                <wp:extent cx="481330" cy="149225"/>
                <wp:wrapTopAndBottom/>
                <wp:docPr id="713" name="Shape 71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739" type="#_x0000_t202" style="position:absolute;margin-left:435.19999999999999pt;margin-top:0;width:37.899999999999999pt;height:11.75pt;z-index:-125829335;mso-wrap-distance-left:0;mso-wrap-distance-right:0;mso-wrap-distance-bottom:319.25pt;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r>
        <mc:AlternateContent>
          <mc:Choice Requires="wps">
            <w:drawing>
              <wp:anchor distT="255905" distB="3795395" distL="0" distR="0" simplePos="0" relativeHeight="125829420" behindDoc="0" locked="0" layoutInCell="1" allowOverlap="1">
                <wp:simplePos x="0" y="0"/>
                <wp:positionH relativeFrom="page">
                  <wp:posOffset>690245</wp:posOffset>
                </wp:positionH>
                <wp:positionV relativeFrom="paragraph">
                  <wp:posOffset>255905</wp:posOffset>
                </wp:positionV>
                <wp:extent cx="597535" cy="152400"/>
                <wp:wrapTopAndBottom/>
                <wp:docPr id="715" name="Shape 715"/>
                <a:graphic xmlns:a="http://schemas.openxmlformats.org/drawingml/2006/main">
                  <a:graphicData uri="http://schemas.microsoft.com/office/word/2010/wordprocessingShape">
                    <wps:wsp>
                      <wps:cNvSpPr txBox="1"/>
                      <wps:spPr>
                        <a:xfrm>
                          <a:ext cx="59753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wps:txbx>
                      <wps:bodyPr wrap="none" lIns="0" tIns="0" rIns="0" bIns="0">
                        <a:noAutoFit/>
                      </wps:bodyPr>
                    </wps:wsp>
                  </a:graphicData>
                </a:graphic>
              </wp:anchor>
            </w:drawing>
          </mc:Choice>
          <mc:Fallback>
            <w:pict>
              <v:shape id="_x0000_s1741" type="#_x0000_t202" style="position:absolute;margin-left:54.350000000000001pt;margin-top:20.150000000000002pt;width:47.050000000000004pt;height:12.pt;z-index:-125829333;mso-wrap-distance-left:0;mso-wrap-distance-top:20.150000000000002pt;mso-wrap-distance-right:0;mso-wrap-distance-bottom:298.85000000000002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v:textbox>
                <w10:wrap type="topAndBottom" anchorx="page"/>
              </v:shape>
            </w:pict>
          </mc:Fallback>
        </mc:AlternateContent>
      </w:r>
      <w:r>
        <mc:AlternateContent>
          <mc:Choice Requires="wps">
            <w:drawing>
              <wp:anchor distT="633730" distB="3399155" distL="0" distR="0" simplePos="0" relativeHeight="125829422" behindDoc="0" locked="0" layoutInCell="1" allowOverlap="1">
                <wp:simplePos x="0" y="0"/>
                <wp:positionH relativeFrom="page">
                  <wp:posOffset>687070</wp:posOffset>
                </wp:positionH>
                <wp:positionV relativeFrom="paragraph">
                  <wp:posOffset>633730</wp:posOffset>
                </wp:positionV>
                <wp:extent cx="1100455" cy="170815"/>
                <wp:wrapTopAndBottom/>
                <wp:docPr id="717" name="Shape 717"/>
                <a:graphic xmlns:a="http://schemas.openxmlformats.org/drawingml/2006/main">
                  <a:graphicData uri="http://schemas.microsoft.com/office/word/2010/wordprocessingShape">
                    <wps:wsp>
                      <wps:cNvSpPr txBox="1"/>
                      <wps:spPr>
                        <a:xfrm>
                          <a:ext cx="1100455" cy="170815"/>
                        </a:xfrm>
                        <a:prstGeom prst="rect"/>
                        <a:noFill/>
                      </wps:spPr>
                      <wps:txbx>
                        <w:txbxContent>
                          <w:p>
                            <w:pPr>
                              <w:pStyle w:val="Style38"/>
                              <w:keepNext/>
                              <w:keepLines/>
                              <w:widowControl w:val="0"/>
                              <w:shd w:val="clear" w:color="auto" w:fill="auto"/>
                              <w:bidi w:val="0"/>
                              <w:spacing w:before="0" w:after="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973"/>
                            <w:bookmarkEnd w:id="974"/>
                            <w:bookmarkEnd w:id="976"/>
                          </w:p>
                        </w:txbxContent>
                      </wps:txbx>
                      <wps:bodyPr wrap="none" lIns="0" tIns="0" rIns="0" bIns="0">
                        <a:noAutoFit/>
                      </wps:bodyPr>
                    </wps:wsp>
                  </a:graphicData>
                </a:graphic>
              </wp:anchor>
            </w:drawing>
          </mc:Choice>
          <mc:Fallback>
            <w:pict>
              <v:shape id="_x0000_s1743" type="#_x0000_t202" style="position:absolute;margin-left:54.100000000000001pt;margin-top:49.899999999999999pt;width:86.650000000000006pt;height:13.450000000000001pt;z-index:-125829331;mso-wrap-distance-left:0;mso-wrap-distance-top:49.899999999999999pt;mso-wrap-distance-right:0;mso-wrap-distance-bottom:267.64999999999998pt;mso-position-horizontal-relative:page" filled="f" stroked="f">
                <v:textbox inset="0,0,0,0">
                  <w:txbxContent>
                    <w:p>
                      <w:pPr>
                        <w:pStyle w:val="Style38"/>
                        <w:keepNext/>
                        <w:keepLines/>
                        <w:widowControl w:val="0"/>
                        <w:shd w:val="clear" w:color="auto" w:fill="auto"/>
                        <w:bidi w:val="0"/>
                        <w:spacing w:before="0" w:after="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973"/>
                      <w:bookmarkEnd w:id="974"/>
                      <w:bookmarkEnd w:id="976"/>
                    </w:p>
                  </w:txbxContent>
                </v:textbox>
                <w10:wrap type="topAndBottom" anchorx="page"/>
              </v:shape>
            </w:pict>
          </mc:Fallback>
        </mc:AlternateContent>
      </w:r>
      <w:r>
        <mc:AlternateContent>
          <mc:Choice Requires="wps">
            <w:drawing>
              <wp:anchor distT="1024255" distB="2999740" distL="0" distR="0" simplePos="0" relativeHeight="125829424" behindDoc="0" locked="0" layoutInCell="1" allowOverlap="1">
                <wp:simplePos x="0" y="0"/>
                <wp:positionH relativeFrom="page">
                  <wp:posOffset>760095</wp:posOffset>
                </wp:positionH>
                <wp:positionV relativeFrom="paragraph">
                  <wp:posOffset>1024255</wp:posOffset>
                </wp:positionV>
                <wp:extent cx="2298065" cy="179705"/>
                <wp:wrapTopAndBottom/>
                <wp:docPr id="719" name="Shape 719"/>
                <a:graphic xmlns:a="http://schemas.openxmlformats.org/drawingml/2006/main">
                  <a:graphicData uri="http://schemas.microsoft.com/office/word/2010/wordprocessingShape">
                    <wps:wsp>
                      <wps:cNvSpPr txBox="1"/>
                      <wps:spPr>
                        <a:xfrm>
                          <a:ext cx="2298065" cy="179705"/>
                        </a:xfrm>
                        <a:prstGeom prst="rect"/>
                        <a:noFill/>
                      </wps:spPr>
                      <wps:txbx>
                        <w:txbxContent>
                          <w:p>
                            <w:pPr>
                              <w:pStyle w:val="Style38"/>
                              <w:keepNext/>
                              <w:keepLines/>
                              <w:widowControl w:val="0"/>
                              <w:numPr>
                                <w:ilvl w:val="0"/>
                                <w:numId w:val="75"/>
                              </w:numPr>
                              <w:shd w:val="clear" w:color="auto" w:fill="auto"/>
                              <w:bidi w:val="0"/>
                              <w:spacing w:before="0" w:after="0" w:line="240" w:lineRule="auto"/>
                              <w:ind w:left="0" w:right="0" w:firstLine="0"/>
                              <w:jc w:val="left"/>
                            </w:pPr>
                            <w:bookmarkStart w:id="973" w:name="bookmark973"/>
                            <w:bookmarkStart w:id="974" w:name="bookmark974"/>
                            <w:bookmarkStart w:id="977" w:name="bookmark977"/>
                            <w:bookmarkStart w:id="978" w:name="bookmark978"/>
                            <w:bookmarkEnd w:id="977"/>
                            <w:r>
                              <w:rPr>
                                <w:color w:val="000000"/>
                                <w:spacing w:val="0"/>
                                <w:w w:val="100"/>
                                <w:position w:val="0"/>
                              </w:rPr>
                              <w:t>采用成本计量模式的投资性房地产</w:t>
                            </w:r>
                            <w:bookmarkEnd w:id="973"/>
                            <w:bookmarkEnd w:id="974"/>
                            <w:bookmarkEnd w:id="978"/>
                          </w:p>
                        </w:txbxContent>
                      </wps:txbx>
                      <wps:bodyPr wrap="none" lIns="0" tIns="0" rIns="0" bIns="0">
                        <a:noAutoFit/>
                      </wps:bodyPr>
                    </wps:wsp>
                  </a:graphicData>
                </a:graphic>
              </wp:anchor>
            </w:drawing>
          </mc:Choice>
          <mc:Fallback>
            <w:pict>
              <v:shape id="_x0000_s1745" type="#_x0000_t202" style="position:absolute;margin-left:59.850000000000001pt;margin-top:80.650000000000006pt;width:180.95000000000002pt;height:14.15pt;z-index:-125829329;mso-wrap-distance-left:0;mso-wrap-distance-top:80.650000000000006pt;mso-wrap-distance-right:0;mso-wrap-distance-bottom:236.20000000000002pt;mso-position-horizontal-relative:page" filled="f" stroked="f">
                <v:textbox inset="0,0,0,0">
                  <w:txbxContent>
                    <w:p>
                      <w:pPr>
                        <w:pStyle w:val="Style38"/>
                        <w:keepNext/>
                        <w:keepLines/>
                        <w:widowControl w:val="0"/>
                        <w:numPr>
                          <w:ilvl w:val="0"/>
                          <w:numId w:val="75"/>
                        </w:numPr>
                        <w:shd w:val="clear" w:color="auto" w:fill="auto"/>
                        <w:bidi w:val="0"/>
                        <w:spacing w:before="0" w:after="0" w:line="240" w:lineRule="auto"/>
                        <w:ind w:left="0" w:right="0" w:firstLine="0"/>
                        <w:jc w:val="left"/>
                      </w:pPr>
                      <w:bookmarkStart w:id="973" w:name="bookmark973"/>
                      <w:bookmarkStart w:id="974" w:name="bookmark974"/>
                      <w:bookmarkStart w:id="977" w:name="bookmark977"/>
                      <w:bookmarkStart w:id="978" w:name="bookmark978"/>
                      <w:bookmarkEnd w:id="977"/>
                      <w:r>
                        <w:rPr>
                          <w:color w:val="000000"/>
                          <w:spacing w:val="0"/>
                          <w:w w:val="100"/>
                          <w:position w:val="0"/>
                        </w:rPr>
                        <w:t>采用成本计量模式的投资性房地产</w:t>
                      </w:r>
                      <w:bookmarkEnd w:id="973"/>
                      <w:bookmarkEnd w:id="974"/>
                      <w:bookmarkEnd w:id="978"/>
                    </w:p>
                  </w:txbxContent>
                </v:textbox>
                <w10:wrap type="topAndBottom" anchorx="page"/>
              </v:shape>
            </w:pict>
          </mc:Fallback>
        </mc:AlternateContent>
      </w:r>
      <w:r>
        <mc:AlternateContent>
          <mc:Choice Requires="wps">
            <w:drawing>
              <wp:anchor distT="1408430" distB="2630805" distL="0" distR="0" simplePos="0" relativeHeight="125829426" behindDoc="0" locked="0" layoutInCell="1" allowOverlap="1">
                <wp:simplePos x="0" y="0"/>
                <wp:positionH relativeFrom="page">
                  <wp:posOffset>693420</wp:posOffset>
                </wp:positionH>
                <wp:positionV relativeFrom="paragraph">
                  <wp:posOffset>1408430</wp:posOffset>
                </wp:positionV>
                <wp:extent cx="892810" cy="164465"/>
                <wp:wrapTopAndBottom/>
                <wp:docPr id="721" name="Shape 721"/>
                <a:graphic xmlns:a="http://schemas.openxmlformats.org/drawingml/2006/main">
                  <a:graphicData uri="http://schemas.microsoft.com/office/word/2010/wordprocessingShape">
                    <wps:wsp>
                      <wps:cNvSpPr txBox="1"/>
                      <wps:spPr>
                        <a:xfrm>
                          <a:ext cx="892810" cy="1644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txbxContent>
                      </wps:txbx>
                      <wps:bodyPr wrap="none" lIns="0" tIns="0" rIns="0" bIns="0">
                        <a:noAutoFit/>
                      </wps:bodyPr>
                    </wps:wsp>
                  </a:graphicData>
                </a:graphic>
              </wp:anchor>
            </w:drawing>
          </mc:Choice>
          <mc:Fallback>
            <w:pict>
              <v:shape id="_x0000_s1747" type="#_x0000_t202" style="position:absolute;margin-left:54.600000000000001pt;margin-top:110.90000000000001pt;width:70.299999999999997pt;height:12.950000000000001pt;z-index:-125829327;mso-wrap-distance-left:0;mso-wrap-distance-top:110.90000000000001pt;mso-wrap-distance-right:0;mso-wrap-distance-bottom:207.15000000000001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txbxContent>
                </v:textbox>
                <w10:wrap type="topAndBottom" anchorx="page"/>
              </v:shape>
            </w:pict>
          </mc:Fallback>
        </mc:AlternateContent>
      </w:r>
      <w:r>
        <mc:AlternateContent>
          <mc:Choice Requires="wps">
            <w:drawing>
              <wp:anchor distT="1801495" distB="2231390" distL="0" distR="0" simplePos="0" relativeHeight="125829428" behindDoc="0" locked="0" layoutInCell="1" allowOverlap="1">
                <wp:simplePos x="0" y="0"/>
                <wp:positionH relativeFrom="page">
                  <wp:posOffset>760095</wp:posOffset>
                </wp:positionH>
                <wp:positionV relativeFrom="paragraph">
                  <wp:posOffset>1801495</wp:posOffset>
                </wp:positionV>
                <wp:extent cx="2566670" cy="170815"/>
                <wp:wrapTopAndBottom/>
                <wp:docPr id="723" name="Shape 723"/>
                <a:graphic xmlns:a="http://schemas.openxmlformats.org/drawingml/2006/main">
                  <a:graphicData uri="http://schemas.microsoft.com/office/word/2010/wordprocessingShape">
                    <wps:wsp>
                      <wps:cNvSpPr txBox="1"/>
                      <wps:spPr>
                        <a:xfrm>
                          <a:ext cx="2566670" cy="170815"/>
                        </a:xfrm>
                        <a:prstGeom prst="rect"/>
                        <a:noFill/>
                      </wps:spPr>
                      <wps:txbx>
                        <w:txbxContent>
                          <w:p>
                            <w:pPr>
                              <w:pStyle w:val="Style38"/>
                              <w:keepNext/>
                              <w:keepLines/>
                              <w:widowControl w:val="0"/>
                              <w:numPr>
                                <w:ilvl w:val="0"/>
                                <w:numId w:val="77"/>
                              </w:numPr>
                              <w:shd w:val="clear" w:color="auto" w:fill="auto"/>
                              <w:bidi w:val="0"/>
                              <w:spacing w:before="0" w:after="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采用公允价值计量模式的投资性房地产</w:t>
                            </w:r>
                            <w:bookmarkEnd w:id="979"/>
                            <w:bookmarkEnd w:id="980"/>
                            <w:bookmarkEnd w:id="982"/>
                          </w:p>
                        </w:txbxContent>
                      </wps:txbx>
                      <wps:bodyPr wrap="none" lIns="0" tIns="0" rIns="0" bIns="0">
                        <a:noAutoFit/>
                      </wps:bodyPr>
                    </wps:wsp>
                  </a:graphicData>
                </a:graphic>
              </wp:anchor>
            </w:drawing>
          </mc:Choice>
          <mc:Fallback>
            <w:pict>
              <v:shape id="_x0000_s1749" type="#_x0000_t202" style="position:absolute;margin-left:59.850000000000001pt;margin-top:141.84999999999999pt;width:202.09999999999999pt;height:13.450000000000001pt;z-index:-125829325;mso-wrap-distance-left:0;mso-wrap-distance-top:141.84999999999999pt;mso-wrap-distance-right:0;mso-wrap-distance-bottom:175.70000000000002pt;mso-position-horizontal-relative:page" filled="f" stroked="f">
                <v:textbox inset="0,0,0,0">
                  <w:txbxContent>
                    <w:p>
                      <w:pPr>
                        <w:pStyle w:val="Style38"/>
                        <w:keepNext/>
                        <w:keepLines/>
                        <w:widowControl w:val="0"/>
                        <w:numPr>
                          <w:ilvl w:val="0"/>
                          <w:numId w:val="77"/>
                        </w:numPr>
                        <w:shd w:val="clear" w:color="auto" w:fill="auto"/>
                        <w:bidi w:val="0"/>
                        <w:spacing w:before="0" w:after="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采用公允价值计量模式的投资性房地产</w:t>
                      </w:r>
                      <w:bookmarkEnd w:id="979"/>
                      <w:bookmarkEnd w:id="980"/>
                      <w:bookmarkEnd w:id="982"/>
                    </w:p>
                  </w:txbxContent>
                </v:textbox>
                <w10:wrap type="topAndBottom" anchorx="page"/>
              </v:shape>
            </w:pict>
          </mc:Fallback>
        </mc:AlternateContent>
      </w:r>
      <w:r>
        <mc:AlternateContent>
          <mc:Choice Requires="wps">
            <w:drawing>
              <wp:anchor distT="2188210" distB="1851025" distL="0" distR="0" simplePos="0" relativeHeight="125829430" behindDoc="0" locked="0" layoutInCell="1" allowOverlap="1">
                <wp:simplePos x="0" y="0"/>
                <wp:positionH relativeFrom="page">
                  <wp:posOffset>693420</wp:posOffset>
                </wp:positionH>
                <wp:positionV relativeFrom="paragraph">
                  <wp:posOffset>2188210</wp:posOffset>
                </wp:positionV>
                <wp:extent cx="892810" cy="164465"/>
                <wp:wrapTopAndBottom/>
                <wp:docPr id="725" name="Shape 725"/>
                <a:graphic xmlns:a="http://schemas.openxmlformats.org/drawingml/2006/main">
                  <a:graphicData uri="http://schemas.microsoft.com/office/word/2010/wordprocessingShape">
                    <wps:wsp>
                      <wps:cNvSpPr txBox="1"/>
                      <wps:spPr>
                        <a:xfrm>
                          <a:ext cx="892810" cy="1644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txbxContent>
                      </wps:txbx>
                      <wps:bodyPr wrap="none" lIns="0" tIns="0" rIns="0" bIns="0">
                        <a:noAutoFit/>
                      </wps:bodyPr>
                    </wps:wsp>
                  </a:graphicData>
                </a:graphic>
              </wp:anchor>
            </w:drawing>
          </mc:Choice>
          <mc:Fallback>
            <w:pict>
              <v:shape id="_x0000_s1751" type="#_x0000_t202" style="position:absolute;margin-left:54.600000000000001pt;margin-top:172.30000000000001pt;width:70.299999999999997pt;height:12.950000000000001pt;z-index:-125829323;mso-wrap-distance-left:0;mso-wrap-distance-top:172.30000000000001pt;mso-wrap-distance-right:0;mso-wrap-distance-bottom:145.7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txbxContent>
                </v:textbox>
                <w10:wrap type="topAndBottom" anchorx="page"/>
              </v:shape>
            </w:pict>
          </mc:Fallback>
        </mc:AlternateContent>
      </w:r>
      <w:r>
        <mc:AlternateContent>
          <mc:Choice Requires="wps">
            <w:drawing>
              <wp:anchor distT="2578735" distB="1454150" distL="0" distR="0" simplePos="0" relativeHeight="125829432" behindDoc="0" locked="0" layoutInCell="1" allowOverlap="1">
                <wp:simplePos x="0" y="0"/>
                <wp:positionH relativeFrom="page">
                  <wp:posOffset>760095</wp:posOffset>
                </wp:positionH>
                <wp:positionV relativeFrom="paragraph">
                  <wp:posOffset>2578735</wp:posOffset>
                </wp:positionV>
                <wp:extent cx="2435225" cy="170815"/>
                <wp:wrapTopAndBottom/>
                <wp:docPr id="727" name="Shape 727"/>
                <a:graphic xmlns:a="http://schemas.openxmlformats.org/drawingml/2006/main">
                  <a:graphicData uri="http://schemas.microsoft.com/office/word/2010/wordprocessingShape">
                    <wps:wsp>
                      <wps:cNvSpPr txBox="1"/>
                      <wps:spPr>
                        <a:xfrm>
                          <a:ext cx="2435225" cy="170815"/>
                        </a:xfrm>
                        <a:prstGeom prst="rect"/>
                        <a:noFill/>
                      </wps:spPr>
                      <wps:txbx>
                        <w:txbxContent>
                          <w:p>
                            <w:pPr>
                              <w:pStyle w:val="Style38"/>
                              <w:keepNext/>
                              <w:keepLines/>
                              <w:widowControl w:val="0"/>
                              <w:numPr>
                                <w:ilvl w:val="0"/>
                                <w:numId w:val="79"/>
                              </w:numPr>
                              <w:shd w:val="clear" w:color="auto" w:fill="auto"/>
                              <w:bidi w:val="0"/>
                              <w:spacing w:before="0" w:after="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未办妥产权证书的投资性房地产情况</w:t>
                            </w:r>
                            <w:bookmarkEnd w:id="983"/>
                            <w:bookmarkEnd w:id="984"/>
                            <w:bookmarkEnd w:id="986"/>
                          </w:p>
                        </w:txbxContent>
                      </wps:txbx>
                      <wps:bodyPr wrap="none" lIns="0" tIns="0" rIns="0" bIns="0">
                        <a:noAutoFit/>
                      </wps:bodyPr>
                    </wps:wsp>
                  </a:graphicData>
                </a:graphic>
              </wp:anchor>
            </w:drawing>
          </mc:Choice>
          <mc:Fallback>
            <w:pict>
              <v:shape id="_x0000_s1753" type="#_x0000_t202" style="position:absolute;margin-left:59.850000000000001pt;margin-top:203.05000000000001pt;width:191.75pt;height:13.450000000000001pt;z-index:-125829321;mso-wrap-distance-left:0;mso-wrap-distance-top:203.05000000000001pt;mso-wrap-distance-right:0;mso-wrap-distance-bottom:114.5pt;mso-position-horizontal-relative:page" filled="f" stroked="f">
                <v:textbox inset="0,0,0,0">
                  <w:txbxContent>
                    <w:p>
                      <w:pPr>
                        <w:pStyle w:val="Style38"/>
                        <w:keepNext/>
                        <w:keepLines/>
                        <w:widowControl w:val="0"/>
                        <w:numPr>
                          <w:ilvl w:val="0"/>
                          <w:numId w:val="79"/>
                        </w:numPr>
                        <w:shd w:val="clear" w:color="auto" w:fill="auto"/>
                        <w:bidi w:val="0"/>
                        <w:spacing w:before="0" w:after="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未办妥产权证书的投资性房地产情况</w:t>
                      </w:r>
                      <w:bookmarkEnd w:id="983"/>
                      <w:bookmarkEnd w:id="984"/>
                      <w:bookmarkEnd w:id="986"/>
                    </w:p>
                  </w:txbxContent>
                </v:textbox>
                <w10:wrap type="topAndBottom" anchorx="page"/>
              </v:shape>
            </w:pict>
          </mc:Fallback>
        </mc:AlternateContent>
      </w:r>
      <w:r>
        <mc:AlternateContent>
          <mc:Choice Requires="wps">
            <w:drawing>
              <wp:anchor distT="2978150" distB="1073150" distL="0" distR="0" simplePos="0" relativeHeight="125829434" behindDoc="0" locked="0" layoutInCell="1" allowOverlap="1">
                <wp:simplePos x="0" y="0"/>
                <wp:positionH relativeFrom="page">
                  <wp:posOffset>6353175</wp:posOffset>
                </wp:positionH>
                <wp:positionV relativeFrom="paragraph">
                  <wp:posOffset>2978150</wp:posOffset>
                </wp:positionV>
                <wp:extent cx="484505" cy="152400"/>
                <wp:wrapTopAndBottom/>
                <wp:docPr id="729" name="Shape 729"/>
                <a:graphic xmlns:a="http://schemas.openxmlformats.org/drawingml/2006/main">
                  <a:graphicData uri="http://schemas.microsoft.com/office/word/2010/wordprocessingShape">
                    <wps:wsp>
                      <wps:cNvSpPr txBox="1"/>
                      <wps:spPr>
                        <a:xfrm>
                          <a:ext cx="48450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755" type="#_x0000_t202" style="position:absolute;margin-left:500.25pt;margin-top:234.5pt;width:38.149999999999999pt;height:12.pt;z-index:-125829319;mso-wrap-distance-left:0;mso-wrap-distance-top:234.5pt;mso-wrap-distance-right:0;mso-wrap-distance-bottom:84.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3486785" distB="570865" distL="0" distR="0" simplePos="0" relativeHeight="125829436" behindDoc="0" locked="0" layoutInCell="1" allowOverlap="1">
                <wp:simplePos x="0" y="0"/>
                <wp:positionH relativeFrom="page">
                  <wp:posOffset>690245</wp:posOffset>
                </wp:positionH>
                <wp:positionV relativeFrom="paragraph">
                  <wp:posOffset>3486785</wp:posOffset>
                </wp:positionV>
                <wp:extent cx="481330" cy="146050"/>
                <wp:wrapTopAndBottom/>
                <wp:docPr id="731" name="Shape 731"/>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wps:txbx>
                      <wps:bodyPr wrap="none" lIns="0" tIns="0" rIns="0" bIns="0">
                        <a:noAutoFit/>
                      </wps:bodyPr>
                    </wps:wsp>
                  </a:graphicData>
                </a:graphic>
              </wp:anchor>
            </w:drawing>
          </mc:Choice>
          <mc:Fallback>
            <w:pict>
              <v:shape id="_x0000_s1757" type="#_x0000_t202" style="position:absolute;margin-left:54.350000000000001pt;margin-top:274.55000000000001pt;width:37.899999999999999pt;height:11.5pt;z-index:-125829317;mso-wrap-distance-left:0;mso-wrap-distance-top:274.55000000000001pt;mso-wrap-distance-right:0;mso-wrap-distance-bottom:44.950000000000003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v:textbox>
                <w10:wrap type="topAndBottom" anchorx="page"/>
              </v:shape>
            </w:pict>
          </mc:Fallback>
        </mc:AlternateContent>
      </w:r>
      <w:r>
        <mc:AlternateContent>
          <mc:Choice Requires="wps">
            <w:drawing>
              <wp:anchor distT="3867785" distB="165100" distL="0" distR="0" simplePos="0" relativeHeight="125829438" behindDoc="0" locked="0" layoutInCell="1" allowOverlap="1">
                <wp:simplePos x="0" y="0"/>
                <wp:positionH relativeFrom="page">
                  <wp:posOffset>687070</wp:posOffset>
                </wp:positionH>
                <wp:positionV relativeFrom="paragraph">
                  <wp:posOffset>3867785</wp:posOffset>
                </wp:positionV>
                <wp:extent cx="831850" cy="170815"/>
                <wp:wrapTopAndBottom/>
                <wp:docPr id="733" name="Shape 733"/>
                <a:graphic xmlns:a="http://schemas.openxmlformats.org/drawingml/2006/main">
                  <a:graphicData uri="http://schemas.microsoft.com/office/word/2010/wordprocessingShape">
                    <wps:wsp>
                      <wps:cNvSpPr txBox="1"/>
                      <wps:spPr>
                        <a:xfrm>
                          <a:ext cx="831850" cy="170815"/>
                        </a:xfrm>
                        <a:prstGeom prst="rect"/>
                        <a:noFill/>
                      </wps:spPr>
                      <wps:txbx>
                        <w:txbxContent>
                          <w:p>
                            <w:pPr>
                              <w:pStyle w:val="Style38"/>
                              <w:keepNext/>
                              <w:keepLines/>
                              <w:widowControl w:val="0"/>
                              <w:shd w:val="clear" w:color="auto" w:fill="auto"/>
                              <w:bidi w:val="0"/>
                              <w:spacing w:before="0" w:after="0" w:line="240" w:lineRule="auto"/>
                              <w:ind w:left="0" w:right="0" w:firstLine="0"/>
                              <w:jc w:val="left"/>
                            </w:pPr>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21</w:t>
                            </w:r>
                            <w:r>
                              <w:rPr>
                                <w:color w:val="000000"/>
                                <w:spacing w:val="0"/>
                                <w:w w:val="100"/>
                                <w:position w:val="0"/>
                              </w:rPr>
                              <w:t>、固定资产</w:t>
                            </w:r>
                            <w:bookmarkEnd w:id="987"/>
                            <w:bookmarkEnd w:id="988"/>
                            <w:bookmarkEnd w:id="989"/>
                          </w:p>
                        </w:txbxContent>
                      </wps:txbx>
                      <wps:bodyPr wrap="none" lIns="0" tIns="0" rIns="0" bIns="0">
                        <a:noAutoFit/>
                      </wps:bodyPr>
                    </wps:wsp>
                  </a:graphicData>
                </a:graphic>
              </wp:anchor>
            </w:drawing>
          </mc:Choice>
          <mc:Fallback>
            <w:pict>
              <v:shape id="_x0000_s1759" type="#_x0000_t202" style="position:absolute;margin-left:54.100000000000001pt;margin-top:304.55000000000001pt;width:65.5pt;height:13.450000000000001pt;z-index:-125829315;mso-wrap-distance-left:0;mso-wrap-distance-top:304.55000000000001pt;mso-wrap-distance-right:0;mso-wrap-distance-bottom:13.pt;mso-position-horizontal-relative:page" filled="f" stroked="f">
                <v:textbox inset="0,0,0,0">
                  <w:txbxContent>
                    <w:p>
                      <w:pPr>
                        <w:pStyle w:val="Style38"/>
                        <w:keepNext/>
                        <w:keepLines/>
                        <w:widowControl w:val="0"/>
                        <w:shd w:val="clear" w:color="auto" w:fill="auto"/>
                        <w:bidi w:val="0"/>
                        <w:spacing w:before="0" w:after="0" w:line="240" w:lineRule="auto"/>
                        <w:ind w:left="0" w:right="0" w:firstLine="0"/>
                        <w:jc w:val="left"/>
                      </w:pPr>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21</w:t>
                      </w:r>
                      <w:r>
                        <w:rPr>
                          <w:color w:val="000000"/>
                          <w:spacing w:val="0"/>
                          <w:w w:val="100"/>
                          <w:position w:val="0"/>
                        </w:rPr>
                        <w:t>、固定资产</w:t>
                      </w:r>
                      <w:bookmarkEnd w:id="987"/>
                      <w:bookmarkEnd w:id="988"/>
                      <w:bookmarkEnd w:id="989"/>
                    </w:p>
                  </w:txbxContent>
                </v:textbox>
                <w10:wrap type="topAndBottom" anchorx="page"/>
              </v:shape>
            </w:pict>
          </mc:Fallback>
        </mc:AlternateContent>
      </w:r>
      <w:r>
        <mc:AlternateContent>
          <mc:Choice Requires="wps">
            <w:drawing>
              <wp:anchor distT="3234055" distB="820420" distL="0" distR="0" simplePos="0" relativeHeight="125829440" behindDoc="0" locked="0" layoutInCell="1" allowOverlap="1">
                <wp:simplePos x="0" y="0"/>
                <wp:positionH relativeFrom="page">
                  <wp:posOffset>1589405</wp:posOffset>
                </wp:positionH>
                <wp:positionV relativeFrom="paragraph">
                  <wp:posOffset>3234055</wp:posOffset>
                </wp:positionV>
                <wp:extent cx="252730" cy="149225"/>
                <wp:wrapTopAndBottom/>
                <wp:docPr id="735" name="Shape 735"/>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761" type="#_x0000_t202" style="position:absolute;margin-left:125.15000000000001pt;margin-top:254.65000000000001pt;width:19.900000000000002pt;height:11.75pt;z-index:-125829313;mso-wrap-distance-left:0;mso-wrap-distance-top:254.65000000000001pt;mso-wrap-distance-right:0;mso-wrap-distance-bottom:64.599999999999994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234055" distB="820420" distL="0" distR="0" simplePos="0" relativeHeight="125829442" behindDoc="0" locked="0" layoutInCell="1" allowOverlap="1">
                <wp:simplePos x="0" y="0"/>
                <wp:positionH relativeFrom="page">
                  <wp:posOffset>3500120</wp:posOffset>
                </wp:positionH>
                <wp:positionV relativeFrom="paragraph">
                  <wp:posOffset>3234055</wp:posOffset>
                </wp:positionV>
                <wp:extent cx="481330" cy="149225"/>
                <wp:wrapTopAndBottom/>
                <wp:docPr id="737" name="Shape 73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账面价值</w:t>
                            </w:r>
                          </w:p>
                        </w:txbxContent>
                      </wps:txbx>
                      <wps:bodyPr wrap="none" lIns="0" tIns="0" rIns="0" bIns="0">
                        <a:noAutoFit/>
                      </wps:bodyPr>
                    </wps:wsp>
                  </a:graphicData>
                </a:graphic>
              </wp:anchor>
            </w:drawing>
          </mc:Choice>
          <mc:Fallback>
            <w:pict>
              <v:shape id="_x0000_s1763" type="#_x0000_t202" style="position:absolute;margin-left:275.60000000000002pt;margin-top:254.65000000000001pt;width:37.899999999999999pt;height:11.75pt;z-index:-125829311;mso-wrap-distance-left:0;mso-wrap-distance-top:254.65000000000001pt;mso-wrap-distance-right:0;mso-wrap-distance-bottom:64.599999999999994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账面价值</w:t>
                      </w:r>
                    </w:p>
                  </w:txbxContent>
                </v:textbox>
                <w10:wrap type="topAndBottom" anchorx="page"/>
              </v:shape>
            </w:pict>
          </mc:Fallback>
        </mc:AlternateContent>
      </w:r>
      <w:r>
        <mc:AlternateContent>
          <mc:Choice Requires="wps">
            <w:drawing>
              <wp:anchor distT="3234055" distB="817245" distL="0" distR="0" simplePos="0" relativeHeight="125829444" behindDoc="0" locked="0" layoutInCell="1" allowOverlap="1">
                <wp:simplePos x="0" y="0"/>
                <wp:positionH relativeFrom="page">
                  <wp:posOffset>5240655</wp:posOffset>
                </wp:positionH>
                <wp:positionV relativeFrom="paragraph">
                  <wp:posOffset>3234055</wp:posOffset>
                </wp:positionV>
                <wp:extent cx="1051560" cy="152400"/>
                <wp:wrapTopAndBottom/>
                <wp:docPr id="739" name="Shape 739"/>
                <a:graphic xmlns:a="http://schemas.openxmlformats.org/drawingml/2006/main">
                  <a:graphicData uri="http://schemas.microsoft.com/office/word/2010/wordprocessingShape">
                    <wps:wsp>
                      <wps:cNvSpPr txBox="1"/>
                      <wps:spPr>
                        <a:xfrm>
                          <a:ext cx="1051560" cy="152400"/>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未办妥产权证书原因</w:t>
                            </w:r>
                          </w:p>
                        </w:txbxContent>
                      </wps:txbx>
                      <wps:bodyPr wrap="none" lIns="0" tIns="0" rIns="0" bIns="0">
                        <a:noAutoFit/>
                      </wps:bodyPr>
                    </wps:wsp>
                  </a:graphicData>
                </a:graphic>
              </wp:anchor>
            </w:drawing>
          </mc:Choice>
          <mc:Fallback>
            <w:pict>
              <v:shape id="_x0000_s1765" type="#_x0000_t202" style="position:absolute;margin-left:412.65000000000003pt;margin-top:254.65000000000001pt;width:82.799999999999997pt;height:12.pt;z-index:-125829309;mso-wrap-distance-left:0;mso-wrap-distance-top:254.65000000000001pt;mso-wrap-distance-right:0;mso-wrap-distance-bottom:64.349999999999994pt;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未办妥产权证书原因</w:t>
                      </w:r>
                    </w:p>
                  </w:txbxContent>
                </v:textbox>
                <w10:wrap type="topAndBottom" anchorx="page"/>
              </v:shape>
            </w:pict>
          </mc:Fallback>
        </mc:AlternateConten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64,356,403.06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62,656,890.64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64,356,403.06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62,656,890.64</w:t>
            </w:r>
          </w:p>
        </w:tc>
      </w:tr>
    </w:tbl>
    <w:p>
      <w:pPr>
        <w:widowControl w:val="0"/>
        <w:spacing w:after="359" w:line="1" w:lineRule="exact"/>
      </w:pPr>
    </w:p>
    <w:p>
      <w:pPr>
        <w:pStyle w:val="Style38"/>
        <w:keepNext/>
        <w:keepLines/>
        <w:widowControl w:val="0"/>
        <w:numPr>
          <w:ilvl w:val="0"/>
          <w:numId w:val="117"/>
        </w:numPr>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固定资产情况</w:t>
      </w:r>
      <w:bookmarkEnd w:id="1285"/>
      <w:bookmarkEnd w:id="1286"/>
      <w:bookmarkEnd w:id="1288"/>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61,990,268.66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12,677,487.27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6,856,067.05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1,229,633.28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82,753,456.26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4,002,149.58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1,164,531.91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105,089.24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5,271,770.73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4,002,149.58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1,164,531.91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105,089.24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5,271,770.73</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1,590,339.55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1,538,683.00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33,779.69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3,162,802.24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1,590,339.55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1,538,683.00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33,779.69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3,162,802.24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61,990,268.66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15,089,297.30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6,481,915.96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1,300,942.83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84,862,424.75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3,855,838.26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9,247,183.99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6,005,377.79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988,165.58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20,096,565.62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1,154,301.84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1,705,481.78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230,181.62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114,599.13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3,204,564.37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1,154,301.84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1,705,481.78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230,181.62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114,599.13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3,204,564.37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1,381,089.21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1,384,814.70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29,204.39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2,795,108.30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1,381,089.21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1,384,814.70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29,204.39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2,795,108.30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5,010,140.10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9,571,576.56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4,850,744.71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1,073,560.32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20,506,021.69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56,980,128.56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5,517,720.74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1,631,171.25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227,382.51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64,356,403.06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58,134,430.40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3,430,303.28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850,689.26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241,467.70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62,656,890.64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w:t>
      </w:r>
      <w:bookmarkEnd w:id="129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89"/>
      <w:bookmarkEnd w:id="1290"/>
      <w:bookmarkEnd w:id="129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w:t>
      </w:r>
      <w:bookmarkEnd w:id="1295"/>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93"/>
      <w:bookmarkEnd w:id="1294"/>
      <w:bookmarkEnd w:id="129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ectPr>
          <w:headerReference w:type="default" r:id="rId177"/>
          <w:footerReference w:type="default" r:id="rId178"/>
          <w:headerReference w:type="even" r:id="rId179"/>
          <w:footerReference w:type="even" r:id="rId180"/>
          <w:headerReference w:type="first" r:id="rId181"/>
          <w:footerReference w:type="first" r:id="rId182"/>
          <w:footnotePr>
            <w:pos w:val="pageBottom"/>
            <w:numFmt w:val="decimal"/>
            <w:numRestart w:val="continuous"/>
          </w:footnotePr>
          <w:pgSz w:w="11900" w:h="16840"/>
          <w:pgMar w:top="1383" w:right="1081" w:bottom="1407" w:left="1046" w:header="0" w:footer="3" w:gutter="0"/>
          <w:cols w:space="720"/>
          <w:noEndnote/>
          <w:titlePg/>
          <w:rtlGutter w:val="0"/>
          <w:docGrid w:linePitch="360"/>
        </w:sectPr>
      </w:pPr>
    </w:p>
    <w:p>
      <w:pPr>
        <w:pStyle w:val="Style38"/>
        <w:keepNext/>
        <w:keepLines/>
        <w:widowControl w:val="0"/>
        <w:numPr>
          <w:ilvl w:val="0"/>
          <w:numId w:val="119"/>
        </w:numPr>
        <w:shd w:val="clear" w:color="auto" w:fill="auto"/>
        <w:bidi w:val="0"/>
        <w:spacing w:before="0" w:after="40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通过经营租赁租出的固定资产</w:t>
      </w:r>
      <w:bookmarkEnd w:id="1297"/>
      <w:bookmarkEnd w:id="1298"/>
      <w:bookmarkEnd w:id="130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38"/>
        <w:keepNext/>
        <w:keepLines/>
        <w:widowControl w:val="0"/>
        <w:numPr>
          <w:ilvl w:val="0"/>
          <w:numId w:val="119"/>
        </w:numPr>
        <w:shd w:val="clear" w:color="auto" w:fill="auto"/>
        <w:bidi w:val="0"/>
        <w:spacing w:before="0" w:after="40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未办妥产权证书的固定资产情况</w:t>
      </w:r>
      <w:bookmarkEnd w:id="1301"/>
      <w:bookmarkEnd w:id="1302"/>
      <w:bookmarkEnd w:id="130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8"/>
        <w:keepNext/>
        <w:keepLines/>
        <w:widowControl w:val="0"/>
        <w:numPr>
          <w:ilvl w:val="0"/>
          <w:numId w:val="119"/>
        </w:numPr>
        <w:shd w:val="clear" w:color="auto" w:fill="auto"/>
        <w:bidi w:val="0"/>
        <w:spacing w:before="0" w:after="40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固定资产清理</w:t>
      </w:r>
      <w:bookmarkEnd w:id="1305"/>
      <w:bookmarkEnd w:id="1306"/>
      <w:bookmarkEnd w:id="130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62"/>
        <w:keepNext w:val="0"/>
        <w:keepLines w:val="0"/>
        <w:widowControl w:val="0"/>
        <w:shd w:val="clear" w:color="auto" w:fill="auto"/>
        <w:bidi w:val="0"/>
        <w:spacing w:before="0" w:after="60" w:line="240" w:lineRule="auto"/>
        <w:ind w:left="0" w:right="0" w:firstLine="440"/>
        <w:jc w:val="left"/>
      </w:pPr>
      <w:r>
        <w:rPr>
          <w:b w:val="0"/>
          <w:bCs w:val="0"/>
          <w:color w:val="000000"/>
          <w:spacing w:val="0"/>
          <w:w w:val="100"/>
          <w:position w:val="0"/>
        </w:rPr>
        <w:t>期末已提足折旧仍继续使用的固定资产原值</w:t>
      </w:r>
      <w:r>
        <w:rPr>
          <w:rFonts w:ascii="Times New Roman" w:eastAsia="Times New Roman" w:hAnsi="Times New Roman" w:cs="Times New Roman"/>
          <w:b w:val="0"/>
          <w:bCs w:val="0"/>
          <w:color w:val="000000"/>
          <w:spacing w:val="0"/>
          <w:w w:val="100"/>
          <w:position w:val="0"/>
        </w:rPr>
        <w:t>13,641,920.51</w:t>
      </w:r>
      <w:r>
        <w:rPr>
          <w:b w:val="0"/>
          <w:bCs w:val="0"/>
          <w:color w:val="000000"/>
          <w:spacing w:val="0"/>
          <w:w w:val="100"/>
          <w:position w:val="0"/>
        </w:rPr>
        <w:t>元</w:t>
      </w:r>
    </w:p>
    <w:p>
      <w:pPr>
        <w:pStyle w:val="Style62"/>
        <w:keepNext w:val="0"/>
        <w:keepLines w:val="0"/>
        <w:widowControl w:val="0"/>
        <w:numPr>
          <w:ilvl w:val="0"/>
          <w:numId w:val="121"/>
        </w:numPr>
        <w:shd w:val="clear" w:color="auto" w:fill="auto"/>
        <w:tabs>
          <w:tab w:pos="762" w:val="left"/>
        </w:tabs>
        <w:bidi w:val="0"/>
        <w:spacing w:before="0" w:after="60" w:line="240" w:lineRule="auto"/>
        <w:ind w:left="0" w:right="0" w:firstLine="440"/>
        <w:jc w:val="left"/>
      </w:pPr>
      <w:bookmarkStart w:id="1309" w:name="bookmark1309"/>
      <w:bookmarkEnd w:id="1309"/>
      <w:r>
        <w:rPr>
          <w:b w:val="0"/>
          <w:bCs w:val="0"/>
          <w:color w:val="000000"/>
          <w:spacing w:val="0"/>
          <w:w w:val="100"/>
          <w:position w:val="0"/>
        </w:rPr>
        <w:t>期末未发现固定资产存在明显减值迹象，故未计提减值准备。</w:t>
      </w:r>
    </w:p>
    <w:p>
      <w:pPr>
        <w:pStyle w:val="Style62"/>
        <w:keepNext w:val="0"/>
        <w:keepLines w:val="0"/>
        <w:widowControl w:val="0"/>
        <w:numPr>
          <w:ilvl w:val="0"/>
          <w:numId w:val="121"/>
        </w:numPr>
        <w:shd w:val="clear" w:color="auto" w:fill="auto"/>
        <w:tabs>
          <w:tab w:pos="774" w:val="left"/>
        </w:tabs>
        <w:bidi w:val="0"/>
        <w:spacing w:before="0" w:after="60" w:line="240" w:lineRule="auto"/>
        <w:ind w:left="0" w:right="0" w:firstLine="440"/>
        <w:jc w:val="left"/>
      </w:pPr>
      <w:bookmarkStart w:id="1310" w:name="bookmark1310"/>
      <w:bookmarkEnd w:id="1310"/>
      <w:r>
        <w:rPr>
          <w:b w:val="0"/>
          <w:bCs w:val="0"/>
          <w:color w:val="000000"/>
          <w:spacing w:val="0"/>
          <w:w w:val="100"/>
          <w:position w:val="0"/>
        </w:rPr>
        <w:t>期末不存在暂时闲置的固定资产。</w:t>
      </w:r>
    </w:p>
    <w:p>
      <w:pPr>
        <w:pStyle w:val="Style62"/>
        <w:keepNext w:val="0"/>
        <w:keepLines w:val="0"/>
        <w:widowControl w:val="0"/>
        <w:numPr>
          <w:ilvl w:val="0"/>
          <w:numId w:val="121"/>
        </w:numPr>
        <w:shd w:val="clear" w:color="auto" w:fill="auto"/>
        <w:tabs>
          <w:tab w:pos="774" w:val="left"/>
        </w:tabs>
        <w:bidi w:val="0"/>
        <w:spacing w:before="0" w:after="60" w:line="240" w:lineRule="auto"/>
        <w:ind w:left="0" w:right="0" w:firstLine="440"/>
        <w:jc w:val="left"/>
      </w:pPr>
      <w:bookmarkStart w:id="1311" w:name="bookmark1311"/>
      <w:bookmarkEnd w:id="1311"/>
      <w:r>
        <w:rPr>
          <w:b w:val="0"/>
          <w:bCs w:val="0"/>
          <w:color w:val="000000"/>
          <w:spacing w:val="0"/>
          <w:w w:val="100"/>
          <w:position w:val="0"/>
        </w:rPr>
        <w:t>期末无融资租赁租入的固定资产。</w:t>
      </w:r>
    </w:p>
    <w:p>
      <w:pPr>
        <w:pStyle w:val="Style62"/>
        <w:keepNext w:val="0"/>
        <w:keepLines w:val="0"/>
        <w:widowControl w:val="0"/>
        <w:numPr>
          <w:ilvl w:val="0"/>
          <w:numId w:val="121"/>
        </w:numPr>
        <w:shd w:val="clear" w:color="auto" w:fill="auto"/>
        <w:tabs>
          <w:tab w:pos="774" w:val="left"/>
        </w:tabs>
        <w:bidi w:val="0"/>
        <w:spacing w:before="0" w:after="60" w:line="240" w:lineRule="auto"/>
        <w:ind w:left="0" w:right="0" w:firstLine="440"/>
        <w:jc w:val="left"/>
      </w:pPr>
      <w:bookmarkStart w:id="1312" w:name="bookmark1312"/>
      <w:bookmarkEnd w:id="1312"/>
      <w:r>
        <w:rPr>
          <w:b w:val="0"/>
          <w:bCs w:val="0"/>
          <w:color w:val="000000"/>
          <w:spacing w:val="0"/>
          <w:w w:val="100"/>
          <w:position w:val="0"/>
        </w:rPr>
        <w:t>期末无经营租赁租出的固定资产。</w:t>
      </w:r>
    </w:p>
    <w:p>
      <w:pPr>
        <w:pStyle w:val="Style62"/>
        <w:keepNext w:val="0"/>
        <w:keepLines w:val="0"/>
        <w:widowControl w:val="0"/>
        <w:numPr>
          <w:ilvl w:val="0"/>
          <w:numId w:val="121"/>
        </w:numPr>
        <w:shd w:val="clear" w:color="auto" w:fill="auto"/>
        <w:tabs>
          <w:tab w:pos="774" w:val="left"/>
        </w:tabs>
        <w:bidi w:val="0"/>
        <w:spacing w:before="0" w:after="60" w:line="240" w:lineRule="auto"/>
        <w:ind w:left="0" w:right="0" w:firstLine="440"/>
        <w:jc w:val="left"/>
      </w:pPr>
      <w:bookmarkStart w:id="1313" w:name="bookmark1313"/>
      <w:bookmarkEnd w:id="1313"/>
      <w:r>
        <w:rPr>
          <w:b w:val="0"/>
          <w:bCs w:val="0"/>
          <w:color w:val="000000"/>
          <w:spacing w:val="0"/>
          <w:w w:val="100"/>
          <w:position w:val="0"/>
        </w:rPr>
        <w:t>期末不存在未办妥产权证书的固定资产情况。</w:t>
      </w:r>
    </w:p>
    <w:p>
      <w:pPr>
        <w:pStyle w:val="Style62"/>
        <w:keepNext w:val="0"/>
        <w:keepLines w:val="0"/>
        <w:widowControl w:val="0"/>
        <w:numPr>
          <w:ilvl w:val="0"/>
          <w:numId w:val="121"/>
        </w:numPr>
        <w:shd w:val="clear" w:color="auto" w:fill="auto"/>
        <w:tabs>
          <w:tab w:pos="774" w:val="left"/>
        </w:tabs>
        <w:bidi w:val="0"/>
        <w:spacing w:before="0" w:after="980" w:line="240" w:lineRule="auto"/>
        <w:ind w:left="0" w:right="0" w:firstLine="440"/>
        <w:jc w:val="left"/>
      </w:pPr>
      <w:bookmarkStart w:id="1314" w:name="bookmark1314"/>
      <w:bookmarkEnd w:id="1314"/>
      <w:r>
        <w:rPr>
          <w:b w:val="0"/>
          <w:bCs w:val="0"/>
          <w:color w:val="000000"/>
          <w:spacing w:val="0"/>
          <w:w w:val="100"/>
          <w:position w:val="0"/>
        </w:rPr>
        <w:t>期末用于借款抵押的固定资产，详见七</w:t>
      </w:r>
      <w:r>
        <w:rPr>
          <w:rFonts w:ascii="Times New Roman" w:eastAsia="Times New Roman" w:hAnsi="Times New Roman" w:cs="Times New Roman"/>
          <w:b w:val="0"/>
          <w:bCs w:val="0"/>
          <w:color w:val="000000"/>
          <w:spacing w:val="0"/>
          <w:w w:val="100"/>
          <w:position w:val="0"/>
        </w:rPr>
        <w:t>81</w:t>
      </w:r>
      <w:r>
        <w:rPr>
          <w:b w:val="0"/>
          <w:bCs w:val="0"/>
          <w:color w:val="000000"/>
          <w:spacing w:val="0"/>
          <w:w w:val="100"/>
          <w:position w:val="0"/>
        </w:rPr>
        <w:t>之说明。</w:t>
      </w:r>
    </w:p>
    <w:p>
      <w:pPr>
        <w:pStyle w:val="Style62"/>
        <w:keepNext w:val="0"/>
        <w:keepLines w:val="0"/>
        <w:widowControl w:val="0"/>
        <w:shd w:val="clear" w:color="auto" w:fill="auto"/>
        <w:bidi w:val="0"/>
        <w:spacing w:before="0" w:after="340" w:line="240" w:lineRule="auto"/>
        <w:ind w:left="0" w:right="0" w:firstLine="0"/>
        <w:jc w:val="both"/>
      </w:pPr>
      <w:bookmarkStart w:id="1315" w:name="bookmark1315"/>
      <w:r>
        <w:rPr>
          <w:rFonts w:ascii="Times New Roman" w:eastAsia="Times New Roman" w:hAnsi="Times New Roman" w:cs="Times New Roman"/>
          <w:color w:val="000000"/>
          <w:spacing w:val="0"/>
          <w:w w:val="100"/>
          <w:position w:val="0"/>
        </w:rPr>
        <w:t>2</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、在建工程</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45"/>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)在建工程情况</w:t>
      </w:r>
    </w:p>
    <w:p>
      <w:pPr>
        <w:widowControl w:val="0"/>
        <w:spacing w:after="33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45"/>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)重要在建工程项目本期变动情况</w:t>
      </w:r>
    </w:p>
    <w:p>
      <w:pPr>
        <w:widowControl w:val="0"/>
        <w:spacing w:after="33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本期其</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工程累</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工程进</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利息资</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其中：本</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本期利</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w:t>
            </w:r>
          </w:p>
        </w:tc>
      </w:tr>
    </w:tbl>
    <w:p>
      <w:pPr>
        <w:widowControl w:val="0"/>
        <w:spacing w:line="1" w:lineRule="exact"/>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98" w:hRule="exact"/>
        </w:trPr>
        <w:tc>
          <w:tcPr>
            <w:tcBorders>
              <w:top w:val="single" w:sz="4"/>
              <w:left w:val="single" w:sz="4"/>
              <w:bottom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top"/>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他减少</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计投入 占预算 比例</w:t>
            </w:r>
          </w:p>
        </w:tc>
        <w:tc>
          <w:tcPr>
            <w:tcBorders>
              <w:top w:val="single" w:sz="4"/>
              <w:left w:val="single" w:sz="4"/>
              <w:bottom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c>
        <w:tc>
          <w:tcPr>
            <w:tcBorders>
              <w:top w:val="single" w:sz="4"/>
              <w:left w:val="single" w:sz="4"/>
              <w:bottom w:val="single" w:sz="4"/>
            </w:tcBorders>
            <w:shd w:val="clear" w:color="auto" w:fill="D3D3D3"/>
            <w:vAlign w:val="top"/>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本化累 计金额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期利息 资本化 金额</w:t>
            </w:r>
          </w:p>
        </w:tc>
        <w:tc>
          <w:tcPr>
            <w:tcBorders>
              <w:top w:val="single" w:sz="4"/>
              <w:left w:val="single" w:sz="4"/>
              <w:bottom w:val="single" w:sz="4"/>
            </w:tcBorders>
            <w:shd w:val="clear" w:color="auto" w:fill="D3D3D3"/>
            <w:vAlign w:val="top"/>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息资本 化率</w:t>
            </w:r>
          </w:p>
        </w:tc>
        <w:tc>
          <w:tcPr>
            <w:tcBorders>
              <w:top w:val="single" w:sz="4"/>
              <w:left w:val="single" w:sz="4"/>
              <w:bottom w:val="single" w:sz="4"/>
              <w:righ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r>
    </w:tbl>
    <w:p>
      <w:pPr>
        <w:widowControl w:val="0"/>
        <w:spacing w:after="379" w:line="1" w:lineRule="exact"/>
      </w:pPr>
    </w:p>
    <w:p>
      <w:pPr>
        <w:pStyle w:val="Style38"/>
        <w:keepNext/>
        <w:keepLines/>
        <w:widowControl w:val="0"/>
        <w:shd w:val="clear" w:color="auto" w:fill="auto"/>
        <w:bidi w:val="0"/>
        <w:spacing w:before="0" w:after="380" w:line="240" w:lineRule="auto"/>
        <w:ind w:left="0" w:right="0" w:firstLine="14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16"/>
      <w:bookmarkEnd w:id="1317"/>
      <w:bookmarkEnd w:id="131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20"/>
      <w:bookmarkEnd w:id="1321"/>
      <w:bookmarkEnd w:id="132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24"/>
      <w:bookmarkEnd w:id="1325"/>
      <w:bookmarkEnd w:id="1327"/>
    </w:p>
    <w:p>
      <w:pPr>
        <w:pStyle w:val="Style38"/>
        <w:keepNext/>
        <w:keepLines/>
        <w:widowControl w:val="0"/>
        <w:shd w:val="clear" w:color="auto" w:fill="auto"/>
        <w:tabs>
          <w:tab w:pos="493" w:val="left"/>
        </w:tabs>
        <w:bidi w:val="0"/>
        <w:spacing w:before="0" w:after="380" w:line="240" w:lineRule="auto"/>
        <w:ind w:left="0" w:right="0" w:firstLine="0"/>
        <w:jc w:val="left"/>
      </w:pPr>
      <w:bookmarkStart w:id="1324" w:name="bookmark1324"/>
      <w:bookmarkStart w:id="1325" w:name="bookmark1325"/>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24"/>
      <w:bookmarkEnd w:id="1325"/>
      <w:bookmarkEnd w:id="1329"/>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30"/>
      <w:bookmarkEnd w:id="1331"/>
      <w:bookmarkEnd w:id="1333"/>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34"/>
      <w:bookmarkEnd w:id="1335"/>
      <w:bookmarkEnd w:id="1337"/>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38"/>
      <w:bookmarkEnd w:id="1339"/>
      <w:bookmarkEnd w:id="134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42"/>
      <w:bookmarkEnd w:id="1343"/>
      <w:bookmarkEnd w:id="1345"/>
    </w:p>
    <w:p>
      <w:pPr>
        <w:pStyle w:val="Style38"/>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42"/>
      <w:bookmarkEnd w:id="1343"/>
      <w:bookmarkEnd w:id="1347"/>
    </w:p>
    <w:p>
      <w:pPr>
        <w:pStyle w:val="Style34"/>
        <w:keepNext w:val="0"/>
        <w:keepLines w:val="0"/>
        <w:widowControl w:val="0"/>
        <w:shd w:val="clear" w:color="auto" w:fill="auto"/>
        <w:bidi w:val="0"/>
        <w:spacing w:before="0" w:after="380" w:line="240" w:lineRule="auto"/>
        <w:ind w:left="8940" w:right="0" w:firstLine="0"/>
        <w:jc w:val="left"/>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383" w:right="1081" w:bottom="1407" w:left="1046"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专用软件</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软件著作权</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6,327,475.46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99,992,416.81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106,319,892.30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1,244,968.00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1,244,968.00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1,244,968.00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1,244,968.00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7,572,443.46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99,992,416.81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107,564,860.30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5,029,466.10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56,814,269.89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61,843,735.99</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736,603.01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19,241,658.28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19,978,261.29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736,603.01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19,241,658.28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19,978,261.29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5,766,069.11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76,055,928.17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81,821,997.28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1,806,374.35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23,936,488.64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25,742,862.99</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1,298,009.36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43,178,146.92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44,476,156.28</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76.63%</w:t>
      </w:r>
      <w:r>
        <w:rPr>
          <w:color w:val="000000"/>
          <w:spacing w:val="0"/>
          <w:w w:val="100"/>
          <w:position w:val="0"/>
        </w:rPr>
        <w:t>。</w:t>
      </w:r>
    </w:p>
    <w:p>
      <w:pPr>
        <w:widowControl w:val="0"/>
        <w:spacing w:after="359" w:line="1" w:lineRule="exact"/>
      </w:pPr>
    </w:p>
    <w:p>
      <w:pPr>
        <w:pStyle w:val="Style38"/>
        <w:keepNext/>
        <w:keepLines/>
        <w:widowControl w:val="0"/>
        <w:numPr>
          <w:ilvl w:val="0"/>
          <w:numId w:val="117"/>
        </w:numPr>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未办妥产权证书的土地使用权情况</w:t>
      </w:r>
      <w:bookmarkEnd w:id="1348"/>
      <w:bookmarkEnd w:id="1349"/>
      <w:bookmarkEnd w:id="1351"/>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4"/>
        <w:keepNext w:val="0"/>
        <w:keepLines w:val="0"/>
        <w:widowControl w:val="0"/>
        <w:numPr>
          <w:ilvl w:val="0"/>
          <w:numId w:val="123"/>
        </w:numPr>
        <w:shd w:val="clear" w:color="auto" w:fill="auto"/>
        <w:tabs>
          <w:tab w:pos="797" w:val="left"/>
        </w:tabs>
        <w:bidi w:val="0"/>
        <w:spacing w:before="0" w:line="240" w:lineRule="auto"/>
        <w:ind w:left="0" w:right="0" w:firstLine="440"/>
        <w:jc w:val="left"/>
      </w:pPr>
      <w:bookmarkStart w:id="1352" w:name="bookmark1352"/>
      <w:bookmarkEnd w:id="1352"/>
      <w:r>
        <w:rPr>
          <w:color w:val="000000"/>
          <w:spacing w:val="0"/>
          <w:w w:val="100"/>
          <w:position w:val="0"/>
        </w:rPr>
        <w:t>期末未发现无形资产存在明显减值迹象，故未计提减值准备。</w:t>
      </w:r>
    </w:p>
    <w:p>
      <w:pPr>
        <w:pStyle w:val="Style34"/>
        <w:keepNext w:val="0"/>
        <w:keepLines w:val="0"/>
        <w:widowControl w:val="0"/>
        <w:numPr>
          <w:ilvl w:val="0"/>
          <w:numId w:val="123"/>
        </w:numPr>
        <w:shd w:val="clear" w:color="auto" w:fill="auto"/>
        <w:tabs>
          <w:tab w:pos="797" w:val="left"/>
        </w:tabs>
        <w:bidi w:val="0"/>
        <w:spacing w:before="0" w:line="240" w:lineRule="auto"/>
        <w:ind w:left="0" w:right="0" w:firstLine="440"/>
        <w:jc w:val="left"/>
      </w:pPr>
      <w:bookmarkStart w:id="1353" w:name="bookmark1353"/>
      <w:bookmarkEnd w:id="1353"/>
      <w:r>
        <w:rPr>
          <w:color w:val="000000"/>
          <w:spacing w:val="0"/>
          <w:w w:val="100"/>
          <w:position w:val="0"/>
        </w:rPr>
        <w:t>期末无用于抵押或担保的无形资产。</w:t>
      </w:r>
    </w:p>
    <w:p>
      <w:pPr>
        <w:pStyle w:val="Style34"/>
        <w:keepNext w:val="0"/>
        <w:keepLines w:val="0"/>
        <w:widowControl w:val="0"/>
        <w:numPr>
          <w:ilvl w:val="0"/>
          <w:numId w:val="123"/>
        </w:numPr>
        <w:shd w:val="clear" w:color="auto" w:fill="auto"/>
        <w:tabs>
          <w:tab w:pos="797" w:val="left"/>
        </w:tabs>
        <w:bidi w:val="0"/>
        <w:spacing w:before="0" w:after="360" w:line="240" w:lineRule="auto"/>
        <w:ind w:left="0" w:right="0" w:firstLine="440"/>
        <w:jc w:val="left"/>
      </w:pPr>
      <w:bookmarkStart w:id="1354" w:name="bookmark1354"/>
      <w:bookmarkEnd w:id="1354"/>
      <w:r>
        <w:rPr>
          <w:color w:val="000000"/>
          <w:spacing w:val="0"/>
          <w:w w:val="100"/>
          <w:position w:val="0"/>
        </w:rPr>
        <w:t>期末无未办妥权证的无形资产。</w:t>
      </w:r>
    </w:p>
    <w:p>
      <w:pPr>
        <w:pStyle w:val="Style38"/>
        <w:keepNext/>
        <w:keepLines/>
        <w:widowControl w:val="0"/>
        <w:shd w:val="clear" w:color="auto" w:fill="auto"/>
        <w:bidi w:val="0"/>
        <w:spacing w:before="0" w:line="240" w:lineRule="auto"/>
        <w:ind w:left="0" w:right="0" w:firstLine="0"/>
        <w:jc w:val="both"/>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55"/>
      <w:bookmarkEnd w:id="1356"/>
      <w:bookmarkEnd w:id="1358"/>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内部开发支</w:t>
            </w:r>
          </w:p>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转入当期损</w:t>
            </w:r>
          </w:p>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研发支出</w:t>
            </w:r>
            <w:r>
              <w:rPr>
                <w:rFonts w:ascii="Times New Roman" w:eastAsia="Times New Roman" w:hAnsi="Times New Roman" w:cs="Times New Roman"/>
                <w:color w:val="000000"/>
                <w:spacing w:val="0"/>
                <w:w w:val="100"/>
                <w:position w:val="0"/>
              </w:rPr>
              <w:t>-</w:t>
            </w:r>
            <w:r>
              <w:rPr>
                <w:color w:val="000000"/>
                <w:spacing w:val="0"/>
                <w:w w:val="100"/>
                <w:position w:val="0"/>
              </w:rPr>
              <w:t>费</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63,133,646.4</w:t>
            </w:r>
          </w:p>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63,133,646.4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63,133,646.4</w:t>
            </w:r>
          </w:p>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63,133,646.4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359"/>
      <w:bookmarkEnd w:id="1360"/>
      <w:bookmarkEnd w:id="1362"/>
    </w:p>
    <w:p>
      <w:pPr>
        <w:pStyle w:val="Style38"/>
        <w:keepNext/>
        <w:keepLines/>
        <w:widowControl w:val="0"/>
        <w:numPr>
          <w:ilvl w:val="0"/>
          <w:numId w:val="125"/>
        </w:numPr>
        <w:shd w:val="clear" w:color="auto" w:fill="auto"/>
        <w:bidi w:val="0"/>
        <w:spacing w:before="0" w:line="240" w:lineRule="auto"/>
        <w:ind w:left="0" w:right="0" w:firstLine="0"/>
        <w:jc w:val="both"/>
      </w:pPr>
      <w:bookmarkStart w:id="1359" w:name="bookmark1359"/>
      <w:bookmarkStart w:id="1360" w:name="bookmark1360"/>
      <w:bookmarkStart w:id="1363" w:name="bookmark1363"/>
      <w:bookmarkStart w:id="1364" w:name="bookmark1364"/>
      <w:bookmarkEnd w:id="1363"/>
      <w:r>
        <w:rPr>
          <w:color w:val="000000"/>
          <w:spacing w:val="0"/>
          <w:w w:val="100"/>
          <w:position w:val="0"/>
        </w:rPr>
        <w:t>商誉账面原值</w:t>
      </w:r>
      <w:bookmarkEnd w:id="1359"/>
      <w:bookmarkEnd w:id="1360"/>
      <w:bookmarkEnd w:id="1364"/>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被投资单位名称</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或形成商誉的事</w:t>
            </w:r>
          </w:p>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深圳市快读科技</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有限公司资产组</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332,736,593.30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107,475,857.58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440,212,450.88</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海南坚果创娱信 息技术有限公司 资产组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243,380,576.73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243,380,576.73</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5" w:lineRule="exact"/>
              <w:ind w:left="0" w:right="0" w:firstLine="0"/>
              <w:jc w:val="both"/>
            </w:pPr>
            <w:r>
              <w:rPr>
                <w:color w:val="000000"/>
                <w:spacing w:val="0"/>
                <w:w w:val="100"/>
                <w:position w:val="0"/>
              </w:rPr>
              <w:t>上海睿民互联网 科技有限公司资 产组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235,429,130.86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235,429,130.86</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5" w:lineRule="exact"/>
              <w:ind w:left="0" w:right="0" w:firstLine="0"/>
              <w:jc w:val="both"/>
            </w:pPr>
            <w:r>
              <w:rPr>
                <w:color w:val="000000"/>
                <w:spacing w:val="0"/>
                <w:w w:val="100"/>
                <w:position w:val="0"/>
              </w:rPr>
              <w:t>喀什尚河信息科 技有限公司资产 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107,475,857.58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107,475,857.58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919,022,158.47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107,475,857.58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107,475,857.58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919,022,158.47</w:t>
            </w:r>
          </w:p>
        </w:tc>
      </w:tr>
    </w:tbl>
    <w:p>
      <w:pPr>
        <w:widowControl w:val="0"/>
        <w:spacing w:after="319" w:line="1" w:lineRule="exact"/>
      </w:pPr>
    </w:p>
    <w:p>
      <w:pPr>
        <w:pStyle w:val="Style38"/>
        <w:keepNext/>
        <w:keepLines/>
        <w:widowControl w:val="0"/>
        <w:numPr>
          <w:ilvl w:val="0"/>
          <w:numId w:val="125"/>
        </w:numPr>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商誉减值准备</w:t>
      </w:r>
      <w:bookmarkEnd w:id="1365"/>
      <w:bookmarkEnd w:id="1366"/>
      <w:bookmarkEnd w:id="1368"/>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深圳市快读科技</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有限公司资产组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388,730,933.94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388,730,933.94</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海南坚果创娱信 息技术有限公司 资产组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233,544,190.84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233,544,190.84</w:t>
            </w: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上海睿民互联网 科技有限公司资 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155,553,277.15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155,553,277.15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777,828,401.93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777,828,401.93</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99" w:line="1" w:lineRule="exact"/>
      </w:pPr>
    </w:p>
    <w:p>
      <w:pPr>
        <w:pStyle w:val="Style62"/>
        <w:keepNext w:val="0"/>
        <w:keepLines w:val="0"/>
        <w:widowControl w:val="0"/>
        <w:numPr>
          <w:ilvl w:val="0"/>
          <w:numId w:val="127"/>
        </w:numPr>
        <w:shd w:val="clear" w:color="auto" w:fill="auto"/>
        <w:bidi w:val="0"/>
        <w:spacing w:before="0" w:after="0" w:line="240" w:lineRule="auto"/>
        <w:ind w:left="0" w:right="0" w:firstLine="440"/>
        <w:jc w:val="left"/>
        <w:rPr>
          <w:sz w:val="18"/>
          <w:szCs w:val="18"/>
        </w:rPr>
      </w:pPr>
      <w:bookmarkStart w:id="1369" w:name="bookmark1369"/>
      <w:bookmarkEnd w:id="1369"/>
      <w:r>
        <w:rPr>
          <w:b w:val="0"/>
          <w:bCs w:val="0"/>
          <w:color w:val="000000"/>
          <w:spacing w:val="0"/>
          <w:w w:val="100"/>
          <w:position w:val="0"/>
          <w:sz w:val="20"/>
          <w:szCs w:val="20"/>
        </w:rPr>
        <w:t>深圳市快读科技有限公司</w:t>
      </w:r>
      <w:r>
        <w:rPr>
          <w:b w:val="0"/>
          <w:bCs w:val="0"/>
          <w:color w:val="000000"/>
          <w:spacing w:val="0"/>
          <w:w w:val="100"/>
          <w:position w:val="0"/>
          <w:sz w:val="18"/>
          <w:szCs w:val="18"/>
        </w:rPr>
        <w:t>资产组</w:t>
      </w:r>
    </w:p>
    <w:tbl>
      <w:tblPr>
        <w:tblOverlap w:val="never"/>
        <w:jc w:val="left"/>
        <w:tblLayout w:type="fixed"/>
      </w:tblPr>
      <w:tblGrid>
        <w:gridCol w:w="3394"/>
        <w:gridCol w:w="4944"/>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深圳市快读科技有限公司资产组</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深圳市快读科技有限公司长期资产</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1,342,220.48</w:t>
            </w:r>
            <w:r>
              <w:rPr>
                <w:color w:val="000000"/>
                <w:spacing w:val="0"/>
                <w:w w:val="100"/>
                <w:position w:val="0"/>
              </w:rPr>
              <w:t>元</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资产组或资产组组合的确定方法</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深圳市快读科技有限公司业务存在活跃市场，可以带来独立的 现金流，可将其认定为一个单独的资产组。</w:t>
            </w:r>
          </w:p>
        </w:tc>
      </w:tr>
      <w:tr>
        <w:trPr>
          <w:trHeight w:val="9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资产组或资产组组合是否与购买日、以前年 度商誉减值测试时所确定的资产组或资产 组组合一致</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上一会计期间资产组或资产组组合构成</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原深圳市快读科技有限公司长期资产</w:t>
            </w:r>
          </w:p>
        </w:tc>
      </w:tr>
      <w:tr>
        <w:trPr>
          <w:trHeight w:val="979"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前后会计期间资产组或资产组组合构成变 化的主要事实与依据</w:t>
            </w:r>
          </w:p>
        </w:tc>
        <w:tc>
          <w:tcPr>
            <w:tcBorders>
              <w:top w:val="single" w:sz="4"/>
              <w:left w:val="single" w:sz="4"/>
              <w:bottom w:val="single" w:sz="4"/>
              <w:right w:val="single" w:sz="4"/>
            </w:tcBorders>
            <w:shd w:val="clear" w:color="auto" w:fill="FFFFFF"/>
            <w:vAlign w:val="center"/>
          </w:tcPr>
          <w:p>
            <w:pPr>
              <w:pStyle w:val="Style9"/>
              <w:keepNext w:val="0"/>
              <w:keepLines w:val="0"/>
              <w:widowControl w:val="0"/>
              <w:numPr>
                <w:ilvl w:val="0"/>
                <w:numId w:val="129"/>
              </w:numPr>
              <w:shd w:val="clear" w:color="auto" w:fill="auto"/>
              <w:tabs>
                <w:tab w:pos="139" w:val="left"/>
              </w:tabs>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年度喀什尚河信息科技有限公司将全部业务平行划转至 喀什迅腾信息科技有限公司；</w:t>
            </w:r>
          </w:p>
          <w:p>
            <w:pPr>
              <w:pStyle w:val="Style9"/>
              <w:keepNext w:val="0"/>
              <w:keepLines w:val="0"/>
              <w:widowControl w:val="0"/>
              <w:numPr>
                <w:ilvl w:val="0"/>
                <w:numId w:val="129"/>
              </w:numPr>
              <w:shd w:val="clear" w:color="auto" w:fill="auto"/>
              <w:tabs>
                <w:tab w:pos="158" w:val="left"/>
              </w:tabs>
              <w:bidi w:val="0"/>
              <w:spacing w:before="0" w:after="0" w:line="331" w:lineRule="exact"/>
              <w:ind w:left="0" w:right="0" w:firstLine="0"/>
              <w:jc w:val="left"/>
            </w:pPr>
            <w:r>
              <w:rPr>
                <w:color w:val="000000"/>
                <w:spacing w:val="0"/>
                <w:w w:val="100"/>
                <w:position w:val="0"/>
              </w:rPr>
              <w:t>本年度喀什尚河信息科技有限公司注销，喀什迅腾信息科技</w:t>
            </w:r>
          </w:p>
        </w:tc>
      </w:tr>
    </w:tbl>
    <w:p>
      <w:pPr>
        <w:widowControl w:val="0"/>
        <w:spacing w:line="1" w:lineRule="exact"/>
      </w:pPr>
      <w:r>
        <w:br w:type="page"/>
      </w:r>
    </w:p>
    <w:tbl>
      <w:tblPr>
        <w:tblOverlap w:val="never"/>
        <w:jc w:val="left"/>
        <w:tblLayout w:type="fixed"/>
      </w:tblPr>
      <w:tblGrid>
        <w:gridCol w:w="3394"/>
        <w:gridCol w:w="4944"/>
      </w:tblGrid>
      <w:tr>
        <w:trPr>
          <w:trHeight w:val="67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有限公司由高伟达软件股份有限公司全资子公司变更为深圳市 快读科技有限公司全资子公司。</w:t>
            </w:r>
          </w:p>
        </w:tc>
      </w:tr>
    </w:tbl>
    <w:p>
      <w:pPr>
        <w:pStyle w:val="Style62"/>
        <w:keepNext w:val="0"/>
        <w:keepLines w:val="0"/>
        <w:widowControl w:val="0"/>
        <w:numPr>
          <w:ilvl w:val="0"/>
          <w:numId w:val="127"/>
        </w:numPr>
        <w:shd w:val="clear" w:color="auto" w:fill="auto"/>
        <w:bidi w:val="0"/>
        <w:spacing w:before="0" w:after="0" w:line="240" w:lineRule="auto"/>
        <w:ind w:left="0" w:right="0" w:firstLine="440"/>
        <w:jc w:val="left"/>
        <w:rPr>
          <w:sz w:val="18"/>
          <w:szCs w:val="18"/>
        </w:rPr>
      </w:pPr>
      <w:bookmarkStart w:id="1370" w:name="bookmark1370"/>
      <w:bookmarkEnd w:id="1370"/>
      <w:r>
        <w:rPr>
          <w:b w:val="0"/>
          <w:bCs w:val="0"/>
          <w:color w:val="000000"/>
          <w:spacing w:val="0"/>
          <w:w w:val="100"/>
          <w:position w:val="0"/>
          <w:sz w:val="20"/>
          <w:szCs w:val="20"/>
        </w:rPr>
        <w:t>海南坚果创娱信息技术有限公司</w:t>
      </w:r>
      <w:r>
        <w:rPr>
          <w:b w:val="0"/>
          <w:bCs w:val="0"/>
          <w:color w:val="000000"/>
          <w:spacing w:val="0"/>
          <w:w w:val="100"/>
          <w:position w:val="0"/>
          <w:sz w:val="18"/>
          <w:szCs w:val="18"/>
        </w:rPr>
        <w:t>资产组</w:t>
      </w:r>
    </w:p>
    <w:tbl>
      <w:tblPr>
        <w:tblOverlap w:val="never"/>
        <w:jc w:val="left"/>
        <w:tblLayout w:type="fixed"/>
      </w:tblPr>
      <w:tblGrid>
        <w:gridCol w:w="3394"/>
        <w:gridCol w:w="2309"/>
        <w:gridCol w:w="2664"/>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海南坚果创娱信息技术有限公司资产组</w:t>
            </w:r>
          </w:p>
        </w:tc>
      </w:tr>
      <w:tr>
        <w:trPr>
          <w:trHeight w:val="66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海南坚果创娱信息技术有限 公司长期资产</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上海魔力果信息技术有限公司长 期资产</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926,608.11 </w:t>
            </w:r>
            <w:r>
              <w:rPr>
                <w:color w:val="000000"/>
                <w:spacing w:val="0"/>
                <w:w w:val="100"/>
                <w:position w:val="0"/>
              </w:rPr>
              <w:t>元</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资产组或资产组组合的确定方法</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商誉所在的资产组业务存在活跃市场，可以带来独立的现金流, 可将其认定为一个单独的资产组。</w:t>
            </w:r>
          </w:p>
        </w:tc>
      </w:tr>
      <w:tr>
        <w:trPr>
          <w:trHeight w:val="97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资产组或资产组组合是否与购买日、以前年 度商誉减值测试时所确定的资产组或资产 组组合一致</w:t>
            </w:r>
          </w:p>
        </w:tc>
        <w:tc>
          <w:tcPr>
            <w:gridSpan w:val="2"/>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上一会计期间资产组或资产组组合构成</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海南坚果创娱信息技术有限公司长期资产</w:t>
            </w:r>
            <w:r>
              <w:rPr>
                <w:rFonts w:ascii="Times New Roman" w:eastAsia="Times New Roman" w:hAnsi="Times New Roman" w:cs="Times New Roman"/>
                <w:color w:val="000000"/>
                <w:spacing w:val="0"/>
                <w:w w:val="100"/>
                <w:position w:val="0"/>
              </w:rPr>
              <w:t>（</w:t>
            </w:r>
            <w:r>
              <w:rPr>
                <w:color w:val="000000"/>
                <w:spacing w:val="0"/>
                <w:w w:val="100"/>
                <w:position w:val="0"/>
              </w:rPr>
              <w:t>含上海魔力果信息技 术有限公司长期资产</w:t>
            </w:r>
            <w:r>
              <w:rPr>
                <w:color w:val="000000"/>
                <w:spacing w:val="0"/>
                <w:w w:val="100"/>
                <w:position w:val="0"/>
              </w:rPr>
              <w:t>）</w:t>
            </w:r>
          </w:p>
        </w:tc>
      </w:tr>
      <w:tr>
        <w:trPr>
          <w:trHeight w:val="979"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前后会计期间资产组或资产组组合构成变 化的主要事实与依据</w:t>
            </w:r>
          </w:p>
        </w:tc>
        <w:tc>
          <w:tcPr>
            <w:gridSpan w:val="2"/>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05" w:lineRule="exact"/>
              <w:ind w:left="0" w:right="0" w:firstLine="0"/>
              <w:jc w:val="both"/>
            </w:pPr>
            <w:r>
              <w:rPr>
                <w:color w:val="000000"/>
                <w:spacing w:val="0"/>
                <w:w w:val="100"/>
                <w:position w:val="0"/>
              </w:rPr>
              <w:t>本年度上海魔力果信息技术有限公司由海南坚果创娱信息技术 有限公司全资子公司变更为高伟达软件股份有限公司全资子公 司。</w:t>
            </w:r>
          </w:p>
        </w:tc>
      </w:tr>
    </w:tbl>
    <w:p>
      <w:pPr>
        <w:pStyle w:val="Style62"/>
        <w:keepNext w:val="0"/>
        <w:keepLines w:val="0"/>
        <w:widowControl w:val="0"/>
        <w:numPr>
          <w:ilvl w:val="0"/>
          <w:numId w:val="127"/>
        </w:numPr>
        <w:shd w:val="clear" w:color="auto" w:fill="auto"/>
        <w:bidi w:val="0"/>
        <w:spacing w:before="0" w:after="0" w:line="240" w:lineRule="auto"/>
        <w:ind w:left="0" w:right="0" w:firstLine="440"/>
        <w:jc w:val="left"/>
        <w:rPr>
          <w:sz w:val="18"/>
          <w:szCs w:val="18"/>
        </w:rPr>
      </w:pPr>
      <w:bookmarkStart w:id="1371" w:name="bookmark1371"/>
      <w:bookmarkEnd w:id="1371"/>
      <w:r>
        <w:rPr>
          <w:b w:val="0"/>
          <w:bCs w:val="0"/>
          <w:color w:val="000000"/>
          <w:spacing w:val="0"/>
          <w:w w:val="100"/>
          <w:position w:val="0"/>
          <w:sz w:val="20"/>
          <w:szCs w:val="20"/>
        </w:rPr>
        <w:t>上海睿民互联网科技有限公司</w:t>
      </w:r>
      <w:r>
        <w:rPr>
          <w:b w:val="0"/>
          <w:bCs w:val="0"/>
          <w:color w:val="000000"/>
          <w:spacing w:val="0"/>
          <w:w w:val="100"/>
          <w:position w:val="0"/>
          <w:sz w:val="18"/>
          <w:szCs w:val="18"/>
        </w:rPr>
        <w:t>资产组</w:t>
      </w:r>
    </w:p>
    <w:tbl>
      <w:tblPr>
        <w:tblOverlap w:val="never"/>
        <w:jc w:val="left"/>
        <w:tblLayout w:type="fixed"/>
      </w:tblPr>
      <w:tblGrid>
        <w:gridCol w:w="3398"/>
        <w:gridCol w:w="1358"/>
        <w:gridCol w:w="1224"/>
        <w:gridCol w:w="1133"/>
        <w:gridCol w:w="1253"/>
      </w:tblGrid>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上海睿民互联网科技有限公司资产组</w:t>
            </w:r>
          </w:p>
        </w:tc>
      </w:tr>
      <w:tr>
        <w:trPr>
          <w:trHeight w:val="97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上海睿民互联网 科技有限公司长 期资产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深圳瑞云互联 科技有限公司 长期资产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上海瑞车信息 科技有限公司 长期资产</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5" w:lineRule="exact"/>
              <w:ind w:left="0" w:right="0" w:firstLine="0"/>
              <w:jc w:val="left"/>
            </w:pPr>
            <w:r>
              <w:rPr>
                <w:color w:val="000000"/>
                <w:spacing w:val="0"/>
                <w:w w:val="100"/>
                <w:position w:val="0"/>
              </w:rPr>
              <w:t>高伟达软件股 份有限公司集 成</w:t>
            </w:r>
            <w:r>
              <w:rPr>
                <w:rFonts w:ascii="Times New Roman" w:eastAsia="Times New Roman" w:hAnsi="Times New Roman" w:cs="Times New Roman"/>
                <w:color w:val="000000"/>
                <w:spacing w:val="0"/>
                <w:w w:val="100"/>
                <w:position w:val="0"/>
              </w:rPr>
              <w:t>B</w:t>
            </w:r>
            <w:r>
              <w:rPr>
                <w:color w:val="000000"/>
                <w:spacing w:val="0"/>
                <w:w w:val="100"/>
                <w:position w:val="0"/>
              </w:rPr>
              <w:t>组长期资产</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gridSpan w:val="4"/>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2,239,281.01 </w:t>
            </w:r>
            <w:r>
              <w:rPr>
                <w:color w:val="000000"/>
                <w:spacing w:val="0"/>
                <w:w w:val="100"/>
                <w:position w:val="0"/>
              </w:rPr>
              <w:t>元</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资产组或资产组组合的确定方法</w:t>
            </w:r>
          </w:p>
        </w:tc>
        <w:tc>
          <w:tcPr>
            <w:gridSpan w:val="4"/>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商誉所在的资产组业务存在活跃市场，可以带来独立的现金流, 可将其认定为一个单独的资产组。</w:t>
            </w:r>
          </w:p>
        </w:tc>
      </w:tr>
      <w:tr>
        <w:trPr>
          <w:trHeight w:val="97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资产组或资产组组合是否与购买日、以前年 度商誉减值测试时所确定的资产组或资产 组组合一致</w:t>
            </w:r>
          </w:p>
        </w:tc>
        <w:tc>
          <w:tcPr>
            <w:gridSpan w:val="4"/>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上一会计期间资产组或资产组组合构成</w:t>
            </w:r>
          </w:p>
        </w:tc>
        <w:tc>
          <w:tcPr>
            <w:gridSpan w:val="4"/>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上海睿民互联网科技有限公司长期资产</w:t>
            </w:r>
            <w:r>
              <w:rPr>
                <w:rFonts w:ascii="Times New Roman" w:eastAsia="Times New Roman" w:hAnsi="Times New Roman" w:cs="Times New Roman"/>
                <w:color w:val="000000"/>
                <w:spacing w:val="0"/>
                <w:w w:val="100"/>
                <w:position w:val="0"/>
              </w:rPr>
              <w:t>（</w:t>
            </w:r>
            <w:r>
              <w:rPr>
                <w:color w:val="000000"/>
                <w:spacing w:val="0"/>
                <w:w w:val="100"/>
                <w:position w:val="0"/>
              </w:rPr>
              <w:t>含深圳瑞云互联科技有 限公司长期资产、高伟达软件股份有限公司集成</w:t>
            </w:r>
            <w:r>
              <w:rPr>
                <w:rFonts w:ascii="Times New Roman" w:eastAsia="Times New Roman" w:hAnsi="Times New Roman" w:cs="Times New Roman"/>
                <w:color w:val="000000"/>
                <w:spacing w:val="0"/>
                <w:w w:val="100"/>
                <w:position w:val="0"/>
              </w:rPr>
              <w:t>B</w:t>
            </w:r>
            <w:r>
              <w:rPr>
                <w:color w:val="000000"/>
                <w:spacing w:val="0"/>
                <w:w w:val="100"/>
                <w:position w:val="0"/>
              </w:rPr>
              <w:t>组长期资产</w:t>
            </w:r>
            <w:r>
              <w:rPr>
                <w:color w:val="000000"/>
                <w:spacing w:val="0"/>
                <w:w w:val="100"/>
                <w:position w:val="0"/>
              </w:rPr>
              <w:t>）</w:t>
            </w:r>
          </w:p>
        </w:tc>
      </w:tr>
      <w:tr>
        <w:trPr>
          <w:trHeight w:val="1915"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前后会计期间资产组或资产组组合构成变 化的主要事实与依据</w:t>
            </w:r>
          </w:p>
        </w:tc>
        <w:tc>
          <w:tcPr>
            <w:gridSpan w:val="4"/>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1）2019</w:t>
            </w:r>
            <w:r>
              <w:rPr>
                <w:color w:val="000000"/>
                <w:spacing w:val="0"/>
                <w:w w:val="100"/>
                <w:position w:val="0"/>
              </w:rPr>
              <w:t>年深圳瑞云互联科技有限公司由上海睿民互联网科技有 限公司全资子公司变更为高伟达软件股份有限公司全资子公 司，并将部分业务转移至高伟达软件股份有限公司集成</w:t>
            </w:r>
            <w:r>
              <w:rPr>
                <w:rFonts w:ascii="Times New Roman" w:eastAsia="Times New Roman" w:hAnsi="Times New Roman" w:cs="Times New Roman"/>
                <w:color w:val="000000"/>
                <w:spacing w:val="0"/>
                <w:w w:val="100"/>
                <w:position w:val="0"/>
              </w:rPr>
              <w:t>B</w:t>
            </w:r>
            <w:r>
              <w:rPr>
                <w:color w:val="000000"/>
                <w:spacing w:val="0"/>
                <w:w w:val="100"/>
                <w:position w:val="0"/>
              </w:rPr>
              <w:t>组实 施。</w:t>
            </w:r>
            <w:r>
              <w:rPr>
                <w:rFonts w:ascii="Times New Roman" w:eastAsia="Times New Roman" w:hAnsi="Times New Roman" w:cs="Times New Roman"/>
                <w:color w:val="000000"/>
                <w:spacing w:val="0"/>
                <w:w w:val="100"/>
                <w:position w:val="0"/>
              </w:rPr>
              <w:t>2）</w:t>
            </w:r>
            <w:r>
              <w:rPr>
                <w:color w:val="000000"/>
                <w:spacing w:val="0"/>
                <w:w w:val="100"/>
                <w:position w:val="0"/>
              </w:rPr>
              <w:t>本年度上海睿民互联网科技有限公司将其汽车金融业务转 移至高伟达软件股份有限公司新设子公司上海瑞车信息科技有 限公司实施。</w:t>
            </w:r>
          </w:p>
        </w:tc>
      </w:tr>
    </w:tbl>
    <w:p>
      <w:pPr>
        <w:widowControl w:val="0"/>
        <w:spacing w:after="279" w:line="1" w:lineRule="exact"/>
      </w:pPr>
    </w:p>
    <w:p>
      <w:pPr>
        <w:pStyle w:val="Style34"/>
        <w:keepNext w:val="0"/>
        <w:keepLines w:val="0"/>
        <w:widowControl w:val="0"/>
        <w:shd w:val="clear" w:color="auto" w:fill="auto"/>
        <w:bidi w:val="0"/>
        <w:spacing w:before="0" w:after="6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62"/>
        <w:keepNext w:val="0"/>
        <w:keepLines w:val="0"/>
        <w:widowControl w:val="0"/>
        <w:numPr>
          <w:ilvl w:val="0"/>
          <w:numId w:val="131"/>
        </w:numPr>
        <w:shd w:val="clear" w:color="auto" w:fill="auto"/>
        <w:bidi w:val="0"/>
        <w:spacing w:before="0" w:after="0" w:line="302" w:lineRule="exact"/>
        <w:ind w:left="0" w:right="0" w:firstLine="440"/>
        <w:jc w:val="left"/>
      </w:pPr>
      <w:bookmarkStart w:id="1372" w:name="bookmark1372"/>
      <w:bookmarkEnd w:id="1372"/>
      <w:r>
        <w:rPr>
          <w:b w:val="0"/>
          <w:bCs w:val="0"/>
          <w:color w:val="000000"/>
          <w:spacing w:val="0"/>
          <w:w w:val="100"/>
          <w:position w:val="0"/>
        </w:rPr>
        <w:t>商誉减值测试及减值准备计提方法</w:t>
      </w:r>
    </w:p>
    <w:p>
      <w:pPr>
        <w:pStyle w:val="Style62"/>
        <w:keepNext w:val="0"/>
        <w:keepLines w:val="0"/>
        <w:widowControl w:val="0"/>
        <w:shd w:val="clear" w:color="auto" w:fill="auto"/>
        <w:bidi w:val="0"/>
        <w:spacing w:before="0" w:after="0" w:line="302" w:lineRule="exact"/>
        <w:ind w:left="0" w:right="0" w:firstLine="440"/>
        <w:jc w:val="both"/>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1383" w:right="1081" w:bottom="1407" w:left="1046" w:header="0" w:footer="3" w:gutter="0"/>
          <w:cols w:space="720"/>
          <w:noEndnote/>
          <w:rtlGutter w:val="0"/>
          <w:docGrid w:linePitch="360"/>
        </w:sectPr>
      </w:pPr>
      <w:r>
        <w:rPr>
          <w:b w:val="0"/>
          <w:bCs w:val="0"/>
          <w:color w:val="000000"/>
          <w:spacing w:val="0"/>
          <w:w w:val="100"/>
          <w:position w:val="0"/>
        </w:rPr>
        <w:t>本公司采用预计未来现金流现值的方法计算资产组的可收回金额。本公司根据管理层批准的财务预算 并预计未来</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年的现金流量，并假设其后年度保持预测期第</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 xml:space="preserve">年的现金流量水平。管理层根据过往表现及其 </w:t>
      </w:r>
    </w:p>
    <w:p>
      <w:pPr>
        <w:pStyle w:val="Style62"/>
        <w:keepNext w:val="0"/>
        <w:keepLines w:val="0"/>
        <w:widowControl w:val="0"/>
        <w:shd w:val="clear" w:color="auto" w:fill="auto"/>
        <w:bidi w:val="0"/>
        <w:spacing w:before="0" w:after="0" w:line="302" w:lineRule="exact"/>
        <w:ind w:left="0" w:right="0" w:firstLine="0"/>
        <w:jc w:val="both"/>
      </w:pPr>
      <w:r>
        <w:rPr>
          <w:b w:val="0"/>
          <w:bCs w:val="0"/>
          <w:color w:val="000000"/>
          <w:spacing w:val="0"/>
          <w:w w:val="100"/>
          <w:position w:val="0"/>
        </w:rPr>
        <w:t>对市场发展的预期编制上述财务预算。本年度，管理层委聘外部估值专家基于管理层编制的现金流量预测 采用预计未来现金流量折现的模型计算各相关资产及资产组的预计未来现金流量现值。</w:t>
      </w:r>
    </w:p>
    <w:p>
      <w:pPr>
        <w:pStyle w:val="Style62"/>
        <w:keepNext w:val="0"/>
        <w:keepLines w:val="0"/>
        <w:widowControl w:val="0"/>
        <w:shd w:val="clear" w:color="auto" w:fill="auto"/>
        <w:bidi w:val="0"/>
        <w:spacing w:before="0" w:after="0" w:line="312" w:lineRule="exact"/>
        <w:ind w:left="0" w:right="0" w:firstLine="420"/>
        <w:jc w:val="both"/>
      </w:pPr>
      <w:r>
        <w:rPr>
          <w:b w:val="0"/>
          <w:bCs w:val="0"/>
          <w:color w:val="000000"/>
          <w:spacing w:val="0"/>
          <w:w w:val="100"/>
          <w:position w:val="0"/>
        </w:rPr>
        <w:t>预计未来现金流量现值时的关键参数：预测期增长率、稳定期增长率、利润率、折现率、预测期；减 值测试中采用的其他关键数据包括：预期收入、营业成本及其他相关费用。公司根据历史经验及对市场发 展的预测确定上述关键数据。</w:t>
      </w:r>
    </w:p>
    <w:p>
      <w:pPr>
        <w:pStyle w:val="Style62"/>
        <w:keepNext w:val="0"/>
        <w:keepLines w:val="0"/>
        <w:widowControl w:val="0"/>
        <w:shd w:val="clear" w:color="auto" w:fill="auto"/>
        <w:bidi w:val="0"/>
        <w:spacing w:before="0" w:after="60" w:line="312" w:lineRule="exact"/>
        <w:ind w:left="0" w:right="0" w:firstLine="420"/>
        <w:jc w:val="both"/>
      </w:pPr>
      <w:r>
        <w:rPr>
          <w:b w:val="0"/>
          <w:bCs w:val="0"/>
          <w:color w:val="000000"/>
          <w:spacing w:val="0"/>
          <w:w w:val="100"/>
          <w:position w:val="0"/>
        </w:rPr>
        <w:t>计算未来现金流现值所采用的税前折现率考虑了本公司的普通权益资本成本、债务资本成本、权益和 债务在资本结构中的占比等因素，已反映了各资产组的风险。</w:t>
      </w:r>
    </w:p>
    <w:p>
      <w:pPr>
        <w:pStyle w:val="Style45"/>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2.</w:t>
      </w:r>
      <w:r>
        <w:rPr>
          <w:color w:val="000000"/>
          <w:spacing w:val="0"/>
          <w:w w:val="100"/>
          <w:position w:val="0"/>
          <w:sz w:val="20"/>
          <w:szCs w:val="20"/>
        </w:rPr>
        <w:t>商誉减值测试情况:</w:t>
      </w:r>
    </w:p>
    <w:tbl>
      <w:tblPr>
        <w:tblOverlap w:val="never"/>
        <w:jc w:val="left"/>
        <w:tblLayout w:type="fixed"/>
      </w:tblPr>
      <w:tblGrid>
        <w:gridCol w:w="2563"/>
        <w:gridCol w:w="1944"/>
        <w:gridCol w:w="1949"/>
        <w:gridCol w:w="1958"/>
      </w:tblGrid>
      <w:tr>
        <w:trPr>
          <w:trHeight w:val="66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深圳市快读科技有限公</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司资产组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海南坚果创娱信息技术</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有限公司资产组</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上海睿民互联网科技有</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限公司资产组</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商誉账面余额①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440,212,450.88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243,380,576.73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235,429,130.86</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商誉减值准备余额②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商誉的账面价值③=①</w:t>
            </w:r>
            <w:r>
              <w:rPr>
                <w:rFonts w:ascii="Times New Roman" w:eastAsia="Times New Roman" w:hAnsi="Times New Roman" w:cs="Times New Roman"/>
                <w:color w:val="000000"/>
                <w:spacing w:val="0"/>
                <w:w w:val="100"/>
                <w:position w:val="0"/>
              </w:rPr>
              <w:t>-</w:t>
            </w:r>
            <w:r>
              <w:rPr>
                <w:color w:val="000000"/>
                <w:spacing w:val="0"/>
                <w:w w:val="100"/>
                <w:position w:val="0"/>
              </w:rPr>
              <w:t>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440,212,450.88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243,380,576.73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235,429,130.86</w:t>
            </w: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未确认归属于少数股东权益的商 誉价值④</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包含未确认归属于少数股东权益 的商誉价值⑤</w:t>
            </w:r>
            <w:r>
              <w:rPr>
                <w:rFonts w:ascii="Times New Roman" w:eastAsia="Times New Roman" w:hAnsi="Times New Roman" w:cs="Times New Roman"/>
                <w:color w:val="000000"/>
                <w:spacing w:val="0"/>
                <w:w w:val="100"/>
                <w:position w:val="0"/>
              </w:rPr>
              <w:t>=</w:t>
            </w:r>
            <w:r>
              <w:rPr>
                <w:color w:val="000000"/>
                <w:spacing w:val="0"/>
                <w:w w:val="100"/>
                <w:position w:val="0"/>
              </w:rPr>
              <w:t>9</w:t>
            </w:r>
            <w:r>
              <w:rPr>
                <w:rFonts w:ascii="Times New Roman" w:eastAsia="Times New Roman" w:hAnsi="Times New Roman" w:cs="Times New Roman"/>
                <w:color w:val="000000"/>
                <w:spacing w:val="0"/>
                <w:w w:val="100"/>
                <w:position w:val="0"/>
              </w:rPr>
              <w:t>+</w:t>
            </w:r>
            <w:r>
              <w:rPr>
                <w:color w:val="000000"/>
                <w:spacing w:val="0"/>
                <w:w w:val="100"/>
                <w:position w:val="0"/>
              </w:rPr>
              <w:t>③</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440,212,450.88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243,380,576.73</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235,429,130.86</w:t>
            </w:r>
          </w:p>
        </w:tc>
      </w:tr>
      <w:tr>
        <w:trPr>
          <w:trHeight w:val="97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拆分后分摊至各资产组的包含未 确认归属于少数股东权益的商誉 价值⑥</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440,212,450.88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243,380,576.73</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235,429,130.86</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资产组的账面价值⑦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1,342,220.48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926,608.11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2,239,281.01</w:t>
            </w: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包含整体商誉的资产组的账面价 值⑧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⑦</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441,554,671.36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244,307,184.84</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237,668,411.87</w:t>
            </w:r>
          </w:p>
        </w:tc>
      </w:tr>
      <w:tr>
        <w:trPr>
          <w:trHeight w:val="66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资产组或资产组组合可收回金额</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⑨</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52,823,737.42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10,762,994.00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82,115,134.72</w:t>
            </w: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商誉减值损失</w:t>
            </w:r>
            <w:r>
              <w:rPr>
                <w:rFonts w:ascii="Times New Roman" w:eastAsia="Times New Roman" w:hAnsi="Times New Roman" w:cs="Times New Roman"/>
                <w:color w:val="000000"/>
                <w:spacing w:val="0"/>
                <w:w w:val="100"/>
                <w:position w:val="0"/>
              </w:rPr>
              <w:t>（</w:t>
            </w:r>
            <w:r>
              <w:rPr>
                <w:color w:val="000000"/>
                <w:spacing w:val="0"/>
                <w:w w:val="100"/>
                <w:position w:val="0"/>
              </w:rPr>
              <w:t>⑩大于</w:t>
            </w:r>
            <w:r>
              <w:rPr>
                <w:rFonts w:ascii="Times New Roman" w:eastAsia="Times New Roman" w:hAnsi="Times New Roman" w:cs="Times New Roman"/>
                <w:color w:val="000000"/>
                <w:spacing w:val="0"/>
                <w:w w:val="100"/>
                <w:position w:val="0"/>
              </w:rPr>
              <w:t>0</w:t>
            </w:r>
            <w:r>
              <w:rPr>
                <w:color w:val="000000"/>
                <w:spacing w:val="0"/>
                <w:w w:val="100"/>
                <w:position w:val="0"/>
              </w:rPr>
              <w:t>时</w:t>
            </w:r>
            <w:r>
              <w:rPr>
                <w:rFonts w:ascii="Times New Roman" w:eastAsia="Times New Roman" w:hAnsi="Times New Roman" w:cs="Times New Roman"/>
                <w:color w:val="000000"/>
                <w:spacing w:val="0"/>
                <w:w w:val="100"/>
                <w:position w:val="0"/>
              </w:rPr>
              <w:t>）</w:t>
            </w:r>
            <w:r>
              <w:rPr>
                <w:color w:val="000000"/>
                <w:spacing w:val="0"/>
                <w:w w:val="100"/>
                <w:position w:val="0"/>
              </w:rPr>
              <w:t>⑩</w:t>
            </w:r>
            <w:r>
              <w:rPr>
                <w:color w:val="000000"/>
                <w:spacing w:val="0"/>
                <w:w w:val="100"/>
                <w:position w:val="0"/>
              </w:rPr>
              <w:t>二</w:t>
            </w:r>
            <w:r>
              <w:rPr>
                <w:color w:val="000000"/>
                <w:spacing w:val="0"/>
                <w:w w:val="100"/>
                <w:position w:val="0"/>
              </w:rPr>
              <w:t>⑧</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⑨</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388,730,933.94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233,544,190.84</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155,553,277.15</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归属于本公司的商誉减值损失</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388,730,933.94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233,544,190.84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155,553,277.15</w:t>
            </w:r>
          </w:p>
        </w:tc>
      </w:tr>
    </w:tbl>
    <w:p>
      <w:pPr>
        <w:pStyle w:val="Style45"/>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3.</w:t>
      </w:r>
      <w:r>
        <w:rPr>
          <w:color w:val="000000"/>
          <w:spacing w:val="0"/>
          <w:w w:val="100"/>
          <w:position w:val="0"/>
          <w:sz w:val="20"/>
          <w:szCs w:val="20"/>
        </w:rPr>
        <w:t>可收回金额的确定方法及依据</w:t>
      </w:r>
    </w:p>
    <w:p>
      <w:pPr>
        <w:pStyle w:val="Style62"/>
        <w:keepNext w:val="0"/>
        <w:keepLines w:val="0"/>
        <w:widowControl w:val="0"/>
        <w:shd w:val="clear" w:color="auto" w:fill="auto"/>
        <w:bidi w:val="0"/>
        <w:spacing w:before="0" w:after="0" w:line="311" w:lineRule="exact"/>
        <w:ind w:left="0" w:right="0" w:firstLine="420"/>
        <w:jc w:val="both"/>
      </w:pPr>
      <w:r>
        <w:rPr>
          <w:b w:val="0"/>
          <w:bCs w:val="0"/>
          <w:color w:val="000000"/>
          <w:spacing w:val="0"/>
          <w:w w:val="100"/>
          <w:position w:val="0"/>
        </w:rPr>
        <w:t>深圳市快读科技有限公司</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以下简称</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快读科技公司</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资产组的可收回金额参考利用北京中林资产评估 有限公司于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23</w:t>
      </w:r>
      <w:r>
        <w:rPr>
          <w:b w:val="0"/>
          <w:bCs w:val="0"/>
          <w:color w:val="000000"/>
          <w:spacing w:val="0"/>
          <w:w w:val="100"/>
          <w:position w:val="0"/>
        </w:rPr>
        <w:t>日出具的中林评字</w:t>
      </w:r>
      <w:r>
        <w:rPr>
          <w:rFonts w:ascii="Times New Roman" w:eastAsia="Times New Roman" w:hAnsi="Times New Roman" w:cs="Times New Roman"/>
          <w:b w:val="0"/>
          <w:bCs w:val="0"/>
          <w:color w:val="000000"/>
          <w:spacing w:val="0"/>
          <w:w w:val="100"/>
          <w:position w:val="0"/>
        </w:rPr>
        <w:t>［2021］79</w:t>
      </w:r>
      <w:r>
        <w:rPr>
          <w:b w:val="0"/>
          <w:bCs w:val="0"/>
          <w:color w:val="000000"/>
          <w:spacing w:val="0"/>
          <w:w w:val="100"/>
          <w:position w:val="0"/>
        </w:rPr>
        <w:t>号《高伟达软件股份有限公司拟对合并深圳市快读科技 有限公司股权形成的包含商誉相关资产组可收回金额资产评估报告》，按其预计未来现金流量的现值确定。</w:t>
      </w:r>
    </w:p>
    <w:p>
      <w:pPr>
        <w:pStyle w:val="Style62"/>
        <w:keepNext w:val="0"/>
        <w:keepLines w:val="0"/>
        <w:widowControl w:val="0"/>
        <w:shd w:val="clear" w:color="auto" w:fill="auto"/>
        <w:bidi w:val="0"/>
        <w:spacing w:before="0" w:after="0" w:line="311" w:lineRule="exact"/>
        <w:ind w:left="0" w:right="0" w:firstLine="420"/>
        <w:jc w:val="both"/>
      </w:pPr>
      <w:r>
        <w:rPr>
          <w:b w:val="0"/>
          <w:bCs w:val="0"/>
          <w:color w:val="000000"/>
          <w:spacing w:val="0"/>
          <w:w w:val="100"/>
          <w:position w:val="0"/>
        </w:rPr>
        <w:t>海南坚果创娱信息技术有限公司</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以下简称</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海南坚果公司</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资产组的可收回金额参考利用北京中林资 产评估有限公司于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23</w:t>
      </w:r>
      <w:r>
        <w:rPr>
          <w:b w:val="0"/>
          <w:bCs w:val="0"/>
          <w:color w:val="000000"/>
          <w:spacing w:val="0"/>
          <w:w w:val="100"/>
          <w:position w:val="0"/>
        </w:rPr>
        <w:t>日出具的中林评字</w:t>
      </w:r>
      <w:r>
        <w:rPr>
          <w:rFonts w:ascii="Times New Roman" w:eastAsia="Times New Roman" w:hAnsi="Times New Roman" w:cs="Times New Roman"/>
          <w:b w:val="0"/>
          <w:bCs w:val="0"/>
          <w:color w:val="000000"/>
          <w:spacing w:val="0"/>
          <w:w w:val="100"/>
          <w:position w:val="0"/>
        </w:rPr>
        <w:t>［2021］80</w:t>
      </w:r>
      <w:r>
        <w:rPr>
          <w:b w:val="0"/>
          <w:bCs w:val="0"/>
          <w:color w:val="000000"/>
          <w:spacing w:val="0"/>
          <w:w w:val="100"/>
          <w:position w:val="0"/>
        </w:rPr>
        <w:t>号《高伟达软件股份有限公司拟对合并海南坚果 创娱信息技术有限公司股权形成的包含商誉资产组可收回金额资产评估报告》，按其预计未来现金流量的 现值确定。</w:t>
      </w:r>
    </w:p>
    <w:p>
      <w:pPr>
        <w:pStyle w:val="Style62"/>
        <w:keepNext w:val="0"/>
        <w:keepLines w:val="0"/>
        <w:widowControl w:val="0"/>
        <w:shd w:val="clear" w:color="auto" w:fill="auto"/>
        <w:bidi w:val="0"/>
        <w:spacing w:before="0" w:after="0" w:line="311" w:lineRule="exact"/>
        <w:ind w:left="0" w:right="0" w:firstLine="420"/>
        <w:jc w:val="both"/>
      </w:pPr>
      <w:r>
        <w:rPr>
          <w:b w:val="0"/>
          <w:bCs w:val="0"/>
          <w:color w:val="000000"/>
          <w:spacing w:val="0"/>
          <w:w w:val="100"/>
          <w:position w:val="0"/>
        </w:rPr>
        <w:t>上海睿民互联网科技有限公司</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以下简称</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上海睿民公司</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资产组的可收回金额参考利用北京中林资产 评估有限公司于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23</w:t>
      </w:r>
      <w:r>
        <w:rPr>
          <w:b w:val="0"/>
          <w:bCs w:val="0"/>
          <w:color w:val="000000"/>
          <w:spacing w:val="0"/>
          <w:w w:val="100"/>
          <w:position w:val="0"/>
        </w:rPr>
        <w:t>日出具的中林评字</w:t>
      </w:r>
      <w:r>
        <w:rPr>
          <w:rFonts w:ascii="Times New Roman" w:eastAsia="Times New Roman" w:hAnsi="Times New Roman" w:cs="Times New Roman"/>
          <w:b w:val="0"/>
          <w:bCs w:val="0"/>
          <w:color w:val="000000"/>
          <w:spacing w:val="0"/>
          <w:w w:val="100"/>
          <w:position w:val="0"/>
        </w:rPr>
        <w:t>［2021］78</w:t>
      </w:r>
      <w:r>
        <w:rPr>
          <w:b w:val="0"/>
          <w:bCs w:val="0"/>
          <w:color w:val="000000"/>
          <w:spacing w:val="0"/>
          <w:w w:val="100"/>
          <w:position w:val="0"/>
        </w:rPr>
        <w:t>号《高伟达软件股份有限公司拟对合并上海睿民互 联网科技有限公司股权形成的包含商誉资产组可收回金额资产评估报告》，按其预计未来现金流量的现值 确定。</w:t>
      </w:r>
    </w:p>
    <w:p>
      <w:pPr>
        <w:pStyle w:val="Style62"/>
        <w:keepNext w:val="0"/>
        <w:keepLines w:val="0"/>
        <w:widowControl w:val="0"/>
        <w:numPr>
          <w:ilvl w:val="0"/>
          <w:numId w:val="127"/>
        </w:numPr>
        <w:shd w:val="clear" w:color="auto" w:fill="auto"/>
        <w:bidi w:val="0"/>
        <w:spacing w:before="0" w:after="0" w:line="311" w:lineRule="exact"/>
        <w:ind w:left="0" w:right="0" w:firstLine="360"/>
        <w:jc w:val="left"/>
      </w:pPr>
      <w:bookmarkStart w:id="1373" w:name="bookmark1373"/>
      <w:bookmarkEnd w:id="1373"/>
      <w:r>
        <w:rPr>
          <w:b w:val="0"/>
          <w:bCs w:val="0"/>
          <w:color w:val="000000"/>
          <w:spacing w:val="0"/>
          <w:w w:val="100"/>
          <w:position w:val="0"/>
        </w:rPr>
        <w:t>重要假设及依据</w:t>
      </w:r>
    </w:p>
    <w:p>
      <w:pPr>
        <w:pStyle w:val="Style62"/>
        <w:keepNext w:val="0"/>
        <w:keepLines w:val="0"/>
        <w:widowControl w:val="0"/>
        <w:numPr>
          <w:ilvl w:val="0"/>
          <w:numId w:val="133"/>
        </w:numPr>
        <w:shd w:val="clear" w:color="auto" w:fill="auto"/>
        <w:bidi w:val="0"/>
        <w:spacing w:before="0" w:after="0" w:line="311" w:lineRule="exact"/>
        <w:ind w:left="360" w:right="0" w:firstLine="440"/>
        <w:jc w:val="both"/>
      </w:pPr>
      <w:bookmarkStart w:id="1374" w:name="bookmark1374"/>
      <w:bookmarkEnd w:id="1374"/>
      <w:r>
        <w:rPr>
          <w:b w:val="0"/>
          <w:bCs w:val="0"/>
          <w:color w:val="000000"/>
          <w:spacing w:val="0"/>
          <w:w w:val="100"/>
          <w:position w:val="0"/>
        </w:rPr>
        <w:t>持续经营假设：假设上述资产组作为经营主体，在所处的外部环境下，按照经营目标，持续经 营下去。经营者负责并有能力担当责任；资产组合法经营，并能够获取适当利润，以维持持续经营能</w:t>
      </w:r>
    </w:p>
    <w:p>
      <w:pPr>
        <w:pStyle w:val="Style62"/>
        <w:keepNext w:val="0"/>
        <w:keepLines w:val="0"/>
        <w:widowControl w:val="0"/>
        <w:shd w:val="clear" w:color="auto" w:fill="auto"/>
        <w:bidi w:val="0"/>
        <w:spacing w:before="0" w:after="0" w:line="312" w:lineRule="exact"/>
        <w:ind w:left="0" w:right="0" w:firstLine="360"/>
        <w:jc w:val="left"/>
      </w:pPr>
      <w:r>
        <w:rPr>
          <w:b w:val="0"/>
          <w:bCs w:val="0"/>
          <w:color w:val="000000"/>
          <w:spacing w:val="0"/>
          <w:w w:val="100"/>
          <w:position w:val="0"/>
        </w:rPr>
        <w:t>力。</w:t>
      </w:r>
    </w:p>
    <w:p>
      <w:pPr>
        <w:pStyle w:val="Style62"/>
        <w:keepNext w:val="0"/>
        <w:keepLines w:val="0"/>
        <w:widowControl w:val="0"/>
        <w:numPr>
          <w:ilvl w:val="0"/>
          <w:numId w:val="133"/>
        </w:numPr>
        <w:shd w:val="clear" w:color="auto" w:fill="auto"/>
        <w:tabs>
          <w:tab w:pos="1161" w:val="left"/>
        </w:tabs>
        <w:bidi w:val="0"/>
        <w:spacing w:before="0" w:after="0" w:line="312" w:lineRule="exact"/>
        <w:ind w:left="360" w:right="0" w:firstLine="440"/>
        <w:jc w:val="both"/>
      </w:pPr>
      <w:bookmarkStart w:id="1375" w:name="bookmark1375"/>
      <w:bookmarkEnd w:id="1375"/>
      <w:r>
        <w:rPr>
          <w:b w:val="0"/>
          <w:bCs w:val="0"/>
          <w:color w:val="000000"/>
          <w:spacing w:val="0"/>
          <w:w w:val="100"/>
          <w:position w:val="0"/>
        </w:rPr>
        <w:t>国家现行的有关法律、法规及政策，国家宏观经济形势无重大变化；本次交易各方所处地区的 政治、经济和社会环境无重大变化；无其他不可预测和不可抗力因素造成的重大不利影响。</w:t>
      </w:r>
    </w:p>
    <w:p>
      <w:pPr>
        <w:pStyle w:val="Style62"/>
        <w:keepNext w:val="0"/>
        <w:keepLines w:val="0"/>
        <w:widowControl w:val="0"/>
        <w:numPr>
          <w:ilvl w:val="0"/>
          <w:numId w:val="133"/>
        </w:numPr>
        <w:shd w:val="clear" w:color="auto" w:fill="auto"/>
        <w:tabs>
          <w:tab w:pos="1156" w:val="left"/>
        </w:tabs>
        <w:bidi w:val="0"/>
        <w:spacing w:before="0" w:after="0" w:line="312" w:lineRule="exact"/>
        <w:ind w:left="360" w:right="0" w:firstLine="440"/>
        <w:jc w:val="both"/>
      </w:pPr>
      <w:bookmarkStart w:id="1376" w:name="bookmark1376"/>
      <w:bookmarkEnd w:id="1376"/>
      <w:r>
        <w:rPr>
          <w:b w:val="0"/>
          <w:bCs w:val="0"/>
          <w:color w:val="000000"/>
          <w:spacing w:val="0"/>
          <w:w w:val="100"/>
          <w:position w:val="0"/>
        </w:rPr>
        <w:t>假设上述资产组经营者是负责的，且管理层有能力担当其职务；管理团队在预测期内能保持稳 定。</w:t>
      </w:r>
    </w:p>
    <w:p>
      <w:pPr>
        <w:pStyle w:val="Style62"/>
        <w:keepNext w:val="0"/>
        <w:keepLines w:val="0"/>
        <w:widowControl w:val="0"/>
        <w:numPr>
          <w:ilvl w:val="0"/>
          <w:numId w:val="133"/>
        </w:numPr>
        <w:shd w:val="clear" w:color="auto" w:fill="auto"/>
        <w:tabs>
          <w:tab w:pos="1183" w:val="left"/>
        </w:tabs>
        <w:bidi w:val="0"/>
        <w:spacing w:before="0" w:after="0" w:line="312" w:lineRule="exact"/>
        <w:ind w:left="0" w:right="0" w:firstLine="800"/>
        <w:jc w:val="left"/>
      </w:pPr>
      <w:bookmarkStart w:id="1377" w:name="bookmark1377"/>
      <w:bookmarkEnd w:id="1377"/>
      <w:r>
        <w:rPr>
          <w:b w:val="0"/>
          <w:bCs w:val="0"/>
          <w:color w:val="000000"/>
          <w:spacing w:val="0"/>
          <w:w w:val="100"/>
          <w:position w:val="0"/>
        </w:rPr>
        <w:t>假设有关利率、汇率、赋税基准及税率，政策性征收费用等不发生重大变化。</w:t>
      </w:r>
    </w:p>
    <w:p>
      <w:pPr>
        <w:pStyle w:val="Style62"/>
        <w:keepNext w:val="0"/>
        <w:keepLines w:val="0"/>
        <w:widowControl w:val="0"/>
        <w:numPr>
          <w:ilvl w:val="0"/>
          <w:numId w:val="133"/>
        </w:numPr>
        <w:shd w:val="clear" w:color="auto" w:fill="auto"/>
        <w:tabs>
          <w:tab w:pos="1161" w:val="left"/>
        </w:tabs>
        <w:bidi w:val="0"/>
        <w:spacing w:before="0" w:after="0" w:line="312" w:lineRule="exact"/>
        <w:ind w:left="360" w:right="0" w:firstLine="440"/>
        <w:jc w:val="both"/>
      </w:pPr>
      <w:bookmarkStart w:id="1378" w:name="bookmark1378"/>
      <w:bookmarkEnd w:id="1378"/>
      <w:r>
        <w:rPr>
          <w:b w:val="0"/>
          <w:bCs w:val="0"/>
          <w:color w:val="000000"/>
          <w:spacing w:val="0"/>
          <w:w w:val="100"/>
          <w:position w:val="0"/>
        </w:rPr>
        <w:t>假设企业在现有的管理方式和管理水平的基础上，经营范围、经营模式及经营规模不发生重大 变化。</w:t>
      </w:r>
    </w:p>
    <w:p>
      <w:pPr>
        <w:pStyle w:val="Style62"/>
        <w:keepNext w:val="0"/>
        <w:keepLines w:val="0"/>
        <w:widowControl w:val="0"/>
        <w:numPr>
          <w:ilvl w:val="0"/>
          <w:numId w:val="127"/>
        </w:numPr>
        <w:shd w:val="clear" w:color="auto" w:fill="auto"/>
        <w:bidi w:val="0"/>
        <w:spacing w:before="0" w:after="0" w:line="312" w:lineRule="exact"/>
        <w:ind w:left="0" w:right="0" w:firstLine="440"/>
        <w:jc w:val="both"/>
      </w:pPr>
      <w:bookmarkStart w:id="1379" w:name="bookmark1379"/>
      <w:bookmarkEnd w:id="1379"/>
      <w:r>
        <w:rPr>
          <w:b w:val="0"/>
          <w:bCs w:val="0"/>
          <w:color w:val="000000"/>
          <w:spacing w:val="0"/>
          <w:w w:val="100"/>
          <w:position w:val="0"/>
        </w:rPr>
        <w:t>关键参数</w:t>
      </w:r>
    </w:p>
    <w:tbl>
      <w:tblPr>
        <w:tblOverlap w:val="never"/>
        <w:jc w:val="left"/>
        <w:tblLayout w:type="fixed"/>
      </w:tblPr>
      <w:tblGrid>
        <w:gridCol w:w="1435"/>
        <w:gridCol w:w="1421"/>
        <w:gridCol w:w="1421"/>
        <w:gridCol w:w="1421"/>
        <w:gridCol w:w="1421"/>
        <w:gridCol w:w="1435"/>
      </w:tblGrid>
      <w:tr>
        <w:trPr>
          <w:trHeight w:val="355" w:hRule="exact"/>
        </w:trPr>
        <w:tc>
          <w:tcPr>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gridSpan w:val="5"/>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预测期增长率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稳定期增长率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w:t>
            </w:r>
          </w:p>
        </w:tc>
      </w:tr>
      <w:tr>
        <w:trPr>
          <w:trHeight w:val="66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深圳市快读科技</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有限公司资产组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025 </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后 续为稳定期</w:t>
            </w:r>
            <w:r>
              <w:rPr>
                <w:color w:val="000000"/>
                <w:spacing w:val="0"/>
                <w:w w:val="100"/>
                <w:position w:val="0"/>
              </w:rPr>
              <w:t>）</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w:t>
            </w:r>
          </w:p>
        </w:tc>
      </w:tr>
      <w:tr>
        <w:trPr>
          <w:trHeight w:val="9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海南坚果创娱信 息技术有限公司 资产组</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后</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续为稳定期</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w:t>
            </w:r>
          </w:p>
        </w:tc>
      </w:tr>
      <w:tr>
        <w:trPr>
          <w:trHeight w:val="97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上海睿民互联网 科技有限公司资 产组</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后</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续为稳定期</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w:t>
            </w:r>
          </w:p>
        </w:tc>
      </w:tr>
    </w:tbl>
    <w:p>
      <w:pPr>
        <w:pStyle w:val="Style3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快读科技公司资产组主要业务为专有品牌推广、自有平台广告、电商推广、第三方平台业务、小说代理业务，根 据公司已签订的合同、协议、发展规划、历年经营趋势、行业发展趋势、市场竞争情况等因素的综合分析，对评估基准日未 来五年的主营业务收入及其相关的成本、费用、利润忽略经营的波动性进行预测，快读科技公司资产组</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年预计 销售收入增长率为</w:t>
      </w:r>
      <w:r>
        <w:rPr>
          <w:rFonts w:ascii="Times New Roman" w:eastAsia="Times New Roman" w:hAnsi="Times New Roman" w:cs="Times New Roman"/>
          <w:color w:val="000000"/>
          <w:spacing w:val="0"/>
          <w:w w:val="100"/>
          <w:position w:val="0"/>
        </w:rPr>
        <w:t>-65.15%-10.00%</w:t>
      </w:r>
      <w:r>
        <w:rPr>
          <w:color w:val="000000"/>
          <w:spacing w:val="0"/>
          <w:w w:val="100"/>
          <w:position w:val="0"/>
        </w:rPr>
        <w:t>。采用的折现率是反映当前市场货币时间价值和相关资产组特定风险的税前利率。</w:t>
      </w:r>
    </w:p>
    <w:p>
      <w:pPr>
        <w:pStyle w:val="Style3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海南坚果公司资产组主要业务为移动数据推广，根据公司已签订的合同、协议、发展规划、历年经营趋势、行业 发展趋势、市场竞争情况等因素的综合分析，对评估基准日未来五年的主营业务收入及其相关的成本、费用、利润忽略经营 的波动性进行预测，海南坚果公司资产组</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年预计销售收入增长率为</w:t>
      </w:r>
      <w:r>
        <w:rPr>
          <w:rFonts w:ascii="Times New Roman" w:eastAsia="Times New Roman" w:hAnsi="Times New Roman" w:cs="Times New Roman"/>
          <w:color w:val="000000"/>
          <w:spacing w:val="0"/>
          <w:w w:val="100"/>
          <w:position w:val="0"/>
        </w:rPr>
        <w:t>6.00%-9.98%</w:t>
      </w:r>
      <w:r>
        <w:rPr>
          <w:color w:val="000000"/>
          <w:spacing w:val="0"/>
          <w:w w:val="100"/>
          <w:position w:val="0"/>
        </w:rPr>
        <w:t>。采用的折现率是反映当前市 场货币时间价值和相关资产组特定风险的税前利率。</w:t>
      </w:r>
    </w:p>
    <w:p>
      <w:pPr>
        <w:pStyle w:val="Style34"/>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上海睿民公司资产组主要业务为软件开发及服务</w:t>
      </w:r>
      <w:r>
        <w:rPr>
          <w:color w:val="000000"/>
          <w:spacing w:val="0"/>
          <w:w w:val="100"/>
          <w:position w:val="0"/>
          <w:sz w:val="15"/>
          <w:szCs w:val="15"/>
        </w:rPr>
        <w:t>和系统集成及服务</w:t>
      </w:r>
      <w:r>
        <w:rPr>
          <w:color w:val="000000"/>
          <w:spacing w:val="0"/>
          <w:w w:val="100"/>
          <w:position w:val="0"/>
        </w:rPr>
        <w:t>，根据公司已签订的合同、协议、发展规划、历 年经营趋势、行业发展趋势、市场竞争情况等因素的综合分析，对评估基准日未来五年的主营业务收入及其相关的成本、费 用、利润忽略经营的波动性进行预测，上海睿民公司资产组</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年预计销售收入增长率为</w:t>
      </w:r>
      <w:r>
        <w:rPr>
          <w:rFonts w:ascii="Times New Roman" w:eastAsia="Times New Roman" w:hAnsi="Times New Roman" w:cs="Times New Roman"/>
          <w:color w:val="000000"/>
          <w:spacing w:val="0"/>
          <w:w w:val="100"/>
          <w:position w:val="0"/>
          <w:sz w:val="15"/>
          <w:szCs w:val="15"/>
        </w:rPr>
        <w:t>5.65%-12.66%</w:t>
      </w:r>
      <w:r>
        <w:rPr>
          <w:color w:val="000000"/>
          <w:spacing w:val="0"/>
          <w:w w:val="100"/>
          <w:position w:val="0"/>
        </w:rPr>
        <w:t>。采用的折现 率是反映当前市场货币时间价值和相关资产组特定风险的税前利率。</w:t>
      </w:r>
    </w:p>
    <w:p>
      <w:pPr>
        <w:pStyle w:val="Style34"/>
        <w:keepNext w:val="0"/>
        <w:keepLines w:val="0"/>
        <w:widowControl w:val="0"/>
        <w:shd w:val="clear" w:color="auto" w:fill="auto"/>
        <w:bidi w:val="0"/>
        <w:spacing w:before="0" w:after="760" w:line="3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预测期利润率系根据各期预测的营业收入、营业成本、各项税费等相关组成部分计算的结果。</w:t>
      </w:r>
    </w:p>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商誉减值测试的影响</w:t>
      </w:r>
    </w:p>
    <w:p>
      <w:pPr>
        <w:pStyle w:val="Style4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r>
        <w:rPr>
          <w:color w:val="000000"/>
          <w:spacing w:val="0"/>
          <w:w w:val="100"/>
          <w:position w:val="0"/>
        </w:rPr>
        <w:t>深圳市快读科技有限公司</w:t>
      </w:r>
    </w:p>
    <w:tbl>
      <w:tblPr>
        <w:tblOverlap w:val="never"/>
        <w:jc w:val="left"/>
        <w:tblLayout w:type="fixed"/>
      </w:tblPr>
      <w:tblGrid>
        <w:gridCol w:w="1718"/>
        <w:gridCol w:w="1709"/>
        <w:gridCol w:w="1704"/>
        <w:gridCol w:w="1704"/>
        <w:gridCol w:w="1718"/>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年度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w:t>
            </w:r>
            <w:r>
              <w:rPr>
                <w:color w:val="000000"/>
                <w:spacing w:val="0"/>
                <w:w w:val="100"/>
                <w:position w:val="0"/>
              </w:rPr>
              <w:t>年度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w:t>
            </w:r>
            <w:r>
              <w:rPr>
                <w:color w:val="000000"/>
                <w:spacing w:val="0"/>
                <w:w w:val="100"/>
                <w:position w:val="0"/>
              </w:rPr>
              <w:t>年度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5,470.00［</w:t>
            </w:r>
            <w:r>
              <w:rPr>
                <w:color w:val="000000"/>
                <w:spacing w:val="0"/>
                <w:w w:val="100"/>
                <w:position w:val="0"/>
              </w:rPr>
              <w:t>注</w:t>
            </w: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实际完成情况</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3,628.63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3,981.56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5,083.74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4,681.56</w:t>
            </w:r>
          </w:p>
        </w:tc>
      </w:tr>
    </w:tbl>
    <w:p>
      <w:pPr>
        <w:pStyle w:val="Style3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快读科技公司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年实际税后净利润未能实现承诺税后净利润的，则根据利润实现情况，按以下</w:t>
      </w:r>
      <w:r>
        <w:rPr>
          <w:color w:val="000000"/>
          <w:spacing w:val="0"/>
          <w:w w:val="100"/>
          <w:position w:val="0"/>
          <w:sz w:val="20"/>
          <w:szCs w:val="20"/>
        </w:rPr>
        <w:t>约定分别执行：</w:t>
      </w:r>
    </w:p>
    <w:p>
      <w:pPr>
        <w:pStyle w:val="Style34"/>
        <w:keepNext w:val="0"/>
        <w:keepLines w:val="0"/>
        <w:widowControl w:val="0"/>
        <w:shd w:val="clear" w:color="auto" w:fill="auto"/>
        <w:tabs>
          <w:tab w:pos="733" w:val="left"/>
        </w:tabs>
        <w:bidi w:val="0"/>
        <w:spacing w:before="0" w:after="60" w:line="331" w:lineRule="exact"/>
        <w:ind w:left="0" w:right="0" w:firstLine="440"/>
        <w:jc w:val="both"/>
      </w:pPr>
      <w:bookmarkStart w:id="1380" w:name="bookmark1380"/>
      <w:r>
        <w:rPr>
          <w:rFonts w:ascii="Times New Roman" w:eastAsia="Times New Roman" w:hAnsi="Times New Roman" w:cs="Times New Roman"/>
          <w:color w:val="000000"/>
          <w:spacing w:val="0"/>
          <w:w w:val="100"/>
          <w:position w:val="0"/>
        </w:rPr>
        <w:t>a</w:t>
      </w:r>
      <w:bookmarkEnd w:id="1380"/>
      <w:r>
        <w:rPr>
          <w:rFonts w:ascii="Times New Roman" w:eastAsia="Times New Roman" w:hAnsi="Times New Roman" w:cs="Times New Roman"/>
          <w:color w:val="000000"/>
          <w:spacing w:val="0"/>
          <w:w w:val="100"/>
          <w:position w:val="0"/>
        </w:rPr>
        <w:t>）</w:t>
        <w:tab/>
      </w:r>
      <w:r>
        <w:rPr>
          <w:color w:val="000000"/>
          <w:spacing w:val="0"/>
          <w:w w:val="100"/>
          <w:position w:val="0"/>
        </w:rPr>
        <w:t>如实际税后净利润超过</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承诺税后净利润的</w:t>
      </w:r>
      <w:r>
        <w:rPr>
          <w:rFonts w:ascii="Times New Roman" w:eastAsia="Times New Roman" w:hAnsi="Times New Roman" w:cs="Times New Roman"/>
          <w:color w:val="000000"/>
          <w:spacing w:val="0"/>
          <w:w w:val="100"/>
          <w:position w:val="0"/>
        </w:rPr>
        <w:t>80%</w:t>
      </w:r>
      <w:r>
        <w:rPr>
          <w:color w:val="000000"/>
          <w:spacing w:val="0"/>
          <w:w w:val="100"/>
          <w:position w:val="0"/>
        </w:rPr>
        <w:t>，则按约定按照如下公式支付转让款：实际支付转让款</w:t>
      </w:r>
      <w:r>
        <w:rPr>
          <w:rFonts w:ascii="Times New Roman" w:eastAsia="Times New Roman" w:hAnsi="Times New Roman" w:cs="Times New Roman"/>
          <w:color w:val="000000"/>
          <w:spacing w:val="0"/>
          <w:w w:val="100"/>
          <w:position w:val="0"/>
        </w:rPr>
        <w:t>=</w:t>
      </w:r>
      <w:r>
        <w:rPr>
          <w:color w:val="000000"/>
          <w:spacing w:val="0"/>
          <w:w w:val="100"/>
          <w:position w:val="0"/>
        </w:rPr>
        <w:t>全部第五 期转让款</w:t>
      </w:r>
      <w:r>
        <w:rPr>
          <w:rFonts w:ascii="Times New Roman" w:eastAsia="Times New Roman" w:hAnsi="Times New Roman" w:cs="Times New Roman"/>
          <w:color w:val="000000"/>
          <w:spacing w:val="0"/>
          <w:w w:val="100"/>
          <w:position w:val="0"/>
        </w:rPr>
        <w:t>X</w:t>
      </w:r>
      <w:r>
        <w:rPr>
          <w:color w:val="000000"/>
          <w:spacing w:val="0"/>
          <w:w w:val="100"/>
          <w:position w:val="0"/>
        </w:rPr>
        <w:t>（</w:t>
      </w:r>
      <w:r>
        <w:rPr>
          <w:color w:val="000000"/>
          <w:spacing w:val="0"/>
          <w:w w:val="100"/>
          <w:position w:val="0"/>
        </w:rPr>
        <w:t>实际税后净利润</w:t>
      </w:r>
      <w:r>
        <w:rPr>
          <w:rFonts w:ascii="Times New Roman" w:eastAsia="Times New Roman" w:hAnsi="Times New Roman" w:cs="Times New Roman"/>
          <w:color w:val="000000"/>
          <w:spacing w:val="0"/>
          <w:w w:val="100"/>
          <w:position w:val="0"/>
        </w:rPr>
        <w:t>/</w:t>
      </w:r>
      <w:r>
        <w:rPr>
          <w:color w:val="000000"/>
          <w:spacing w:val="0"/>
          <w:w w:val="100"/>
          <w:position w:val="0"/>
        </w:rPr>
        <w:t>承诺税后净利润</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tabs>
          <w:tab w:pos="335" w:val="left"/>
        </w:tabs>
        <w:bidi w:val="0"/>
        <w:spacing w:before="0" w:after="80" w:line="240" w:lineRule="auto"/>
        <w:ind w:left="0" w:right="0" w:firstLine="440"/>
        <w:jc w:val="both"/>
      </w:pPr>
      <w:bookmarkStart w:id="1381" w:name="bookmark1381"/>
      <w:r>
        <w:rPr>
          <w:rFonts w:ascii="Times New Roman" w:eastAsia="Times New Roman" w:hAnsi="Times New Roman" w:cs="Times New Roman"/>
          <w:color w:val="000000"/>
          <w:spacing w:val="0"/>
          <w:w w:val="100"/>
          <w:position w:val="0"/>
        </w:rPr>
        <w:t>b</w:t>
      </w:r>
      <w:bookmarkEnd w:id="1381"/>
      <w:r>
        <w:rPr>
          <w:rFonts w:ascii="Times New Roman" w:eastAsia="Times New Roman" w:hAnsi="Times New Roman" w:cs="Times New Roman"/>
          <w:color w:val="000000"/>
          <w:spacing w:val="0"/>
          <w:w w:val="100"/>
          <w:position w:val="0"/>
        </w:rPr>
        <w:t>）</w:t>
        <w:tab/>
      </w:r>
      <w:r>
        <w:rPr>
          <w:color w:val="000000"/>
          <w:spacing w:val="0"/>
          <w:w w:val="100"/>
          <w:position w:val="0"/>
        </w:rPr>
        <w:t>如实际税后净利润低于</w:t>
      </w:r>
      <w:r>
        <w:rPr>
          <w:rFonts w:ascii="Times New Roman" w:eastAsia="Times New Roman" w:hAnsi="Times New Roman" w:cs="Times New Roman"/>
          <w:color w:val="000000"/>
          <w:spacing w:val="0"/>
          <w:w w:val="100"/>
          <w:position w:val="0"/>
        </w:rPr>
        <w:t>（</w:t>
      </w:r>
      <w:r>
        <w:rPr>
          <w:color w:val="000000"/>
          <w:spacing w:val="0"/>
          <w:w w:val="100"/>
          <w:position w:val="0"/>
        </w:rPr>
        <w:t>不含</w:t>
      </w:r>
      <w:r>
        <w:rPr>
          <w:rFonts w:ascii="Times New Roman" w:eastAsia="Times New Roman" w:hAnsi="Times New Roman" w:cs="Times New Roman"/>
          <w:color w:val="000000"/>
          <w:spacing w:val="0"/>
          <w:w w:val="100"/>
          <w:position w:val="0"/>
        </w:rPr>
        <w:t>）</w:t>
      </w:r>
      <w:r>
        <w:rPr>
          <w:color w:val="000000"/>
          <w:spacing w:val="0"/>
          <w:w w:val="100"/>
          <w:position w:val="0"/>
        </w:rPr>
        <w:t>承诺税后净利润的</w:t>
      </w:r>
      <w:r>
        <w:rPr>
          <w:rFonts w:ascii="Times New Roman" w:eastAsia="Times New Roman" w:hAnsi="Times New Roman" w:cs="Times New Roman"/>
          <w:color w:val="000000"/>
          <w:spacing w:val="0"/>
          <w:w w:val="100"/>
          <w:position w:val="0"/>
        </w:rPr>
        <w:t>80%</w:t>
      </w:r>
      <w:r>
        <w:rPr>
          <w:color w:val="000000"/>
          <w:spacing w:val="0"/>
          <w:w w:val="100"/>
          <w:position w:val="0"/>
        </w:rPr>
        <w:t>但超过</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承诺税后净利润的</w:t>
      </w:r>
      <w:r>
        <w:rPr>
          <w:rFonts w:ascii="Times New Roman" w:eastAsia="Times New Roman" w:hAnsi="Times New Roman" w:cs="Times New Roman"/>
          <w:color w:val="000000"/>
          <w:spacing w:val="0"/>
          <w:w w:val="100"/>
          <w:position w:val="0"/>
        </w:rPr>
        <w:t>50%</w:t>
      </w:r>
      <w:r>
        <w:rPr>
          <w:color w:val="000000"/>
          <w:spacing w:val="0"/>
          <w:w w:val="100"/>
          <w:position w:val="0"/>
        </w:rPr>
        <w:t>，则收购方根据约定支付</w:t>
      </w:r>
      <w:r>
        <w:rPr>
          <w:rFonts w:ascii="Times New Roman" w:eastAsia="Times New Roman" w:hAnsi="Times New Roman" w:cs="Times New Roman"/>
          <w:color w:val="000000"/>
          <w:spacing w:val="0"/>
          <w:w w:val="100"/>
          <w:position w:val="0"/>
        </w:rPr>
        <w:t>5,000</w:t>
        <w:br w:type="page"/>
      </w:r>
      <w:r>
        <w:rPr>
          <w:color w:val="000000"/>
          <w:spacing w:val="0"/>
          <w:w w:val="100"/>
          <w:position w:val="0"/>
        </w:rPr>
        <w:t>万元；</w:t>
      </w:r>
    </w:p>
    <w:p>
      <w:pPr>
        <w:pStyle w:val="Style34"/>
        <w:keepNext w:val="0"/>
        <w:keepLines w:val="0"/>
        <w:widowControl w:val="0"/>
        <w:shd w:val="clear" w:color="auto" w:fill="auto"/>
        <w:bidi w:val="0"/>
        <w:spacing w:before="0" w:after="80" w:line="240" w:lineRule="auto"/>
        <w:ind w:left="0" w:right="0" w:firstLine="440"/>
        <w:jc w:val="left"/>
      </w:pPr>
      <w:bookmarkStart w:id="1382" w:name="bookmark1382"/>
      <w:r>
        <w:rPr>
          <w:rFonts w:ascii="Times New Roman" w:eastAsia="Times New Roman" w:hAnsi="Times New Roman" w:cs="Times New Roman"/>
          <w:color w:val="000000"/>
          <w:spacing w:val="0"/>
          <w:w w:val="100"/>
          <w:position w:val="0"/>
        </w:rPr>
        <w:t>c</w:t>
      </w:r>
      <w:bookmarkEnd w:id="1382"/>
      <w:r>
        <w:rPr>
          <w:rFonts w:ascii="Times New Roman" w:eastAsia="Times New Roman" w:hAnsi="Times New Roman" w:cs="Times New Roman"/>
          <w:color w:val="000000"/>
          <w:spacing w:val="0"/>
          <w:w w:val="100"/>
          <w:position w:val="0"/>
        </w:rPr>
        <w:t>）</w:t>
      </w:r>
      <w:r>
        <w:rPr>
          <w:color w:val="000000"/>
          <w:spacing w:val="0"/>
          <w:w w:val="100"/>
          <w:position w:val="0"/>
        </w:rPr>
        <w:t>如实际税后净利润低于</w:t>
      </w:r>
      <w:r>
        <w:rPr>
          <w:rFonts w:ascii="Times New Roman" w:eastAsia="Times New Roman" w:hAnsi="Times New Roman" w:cs="Times New Roman"/>
          <w:color w:val="000000"/>
          <w:spacing w:val="0"/>
          <w:w w:val="100"/>
          <w:position w:val="0"/>
        </w:rPr>
        <w:t>（</w:t>
      </w:r>
      <w:r>
        <w:rPr>
          <w:color w:val="000000"/>
          <w:spacing w:val="0"/>
          <w:w w:val="100"/>
          <w:position w:val="0"/>
        </w:rPr>
        <w:t>不含</w:t>
      </w:r>
      <w:r>
        <w:rPr>
          <w:rFonts w:ascii="Times New Roman" w:eastAsia="Times New Roman" w:hAnsi="Times New Roman" w:cs="Times New Roman"/>
          <w:color w:val="000000"/>
          <w:spacing w:val="0"/>
          <w:w w:val="100"/>
          <w:position w:val="0"/>
        </w:rPr>
        <w:t>）</w:t>
      </w:r>
      <w:r>
        <w:rPr>
          <w:color w:val="000000"/>
          <w:spacing w:val="0"/>
          <w:w w:val="100"/>
          <w:position w:val="0"/>
        </w:rPr>
        <w:t>承诺税后净利润的</w:t>
      </w:r>
      <w:r>
        <w:rPr>
          <w:rFonts w:ascii="Times New Roman" w:eastAsia="Times New Roman" w:hAnsi="Times New Roman" w:cs="Times New Roman"/>
          <w:color w:val="000000"/>
          <w:spacing w:val="0"/>
          <w:w w:val="100"/>
          <w:position w:val="0"/>
        </w:rPr>
        <w:t>50%</w:t>
      </w:r>
      <w:r>
        <w:rPr>
          <w:color w:val="000000"/>
          <w:spacing w:val="0"/>
          <w:w w:val="100"/>
          <w:position w:val="0"/>
        </w:rPr>
        <w:t>但超过</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承诺税后净利润的</w:t>
      </w:r>
      <w:r>
        <w:rPr>
          <w:rFonts w:ascii="Times New Roman" w:eastAsia="Times New Roman" w:hAnsi="Times New Roman" w:cs="Times New Roman"/>
          <w:color w:val="000000"/>
          <w:spacing w:val="0"/>
          <w:w w:val="100"/>
          <w:position w:val="0"/>
        </w:rPr>
        <w:t>40%</w:t>
      </w:r>
      <w:r>
        <w:rPr>
          <w:color w:val="000000"/>
          <w:spacing w:val="0"/>
          <w:w w:val="100"/>
          <w:position w:val="0"/>
        </w:rPr>
        <w:t>,则收购方根据约定支付</w:t>
      </w:r>
      <w:r>
        <w:rPr>
          <w:rFonts w:ascii="Times New Roman" w:eastAsia="Times New Roman" w:hAnsi="Times New Roman" w:cs="Times New Roman"/>
          <w:color w:val="000000"/>
          <w:spacing w:val="0"/>
          <w:w w:val="100"/>
          <w:position w:val="0"/>
        </w:rPr>
        <w:t>3,000</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万元；</w:t>
      </w:r>
    </w:p>
    <w:p>
      <w:pPr>
        <w:pStyle w:val="Style45"/>
        <w:keepNext w:val="0"/>
        <w:keepLines w:val="0"/>
        <w:widowControl w:val="0"/>
        <w:shd w:val="clear" w:color="auto" w:fill="auto"/>
        <w:bidi w:val="0"/>
        <w:spacing w:before="0" w:after="80" w:line="240" w:lineRule="auto"/>
        <w:ind w:left="408"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如实际税后净利润低于</w:t>
      </w:r>
      <w:r>
        <w:rPr>
          <w:rFonts w:ascii="Times New Roman" w:eastAsia="Times New Roman" w:hAnsi="Times New Roman" w:cs="Times New Roman"/>
          <w:color w:val="000000"/>
          <w:spacing w:val="0"/>
          <w:w w:val="100"/>
          <w:position w:val="0"/>
        </w:rPr>
        <w:t>（</w:t>
      </w:r>
      <w:r>
        <w:rPr>
          <w:color w:val="000000"/>
          <w:spacing w:val="0"/>
          <w:w w:val="100"/>
          <w:position w:val="0"/>
        </w:rPr>
        <w:t>不含</w:t>
      </w:r>
      <w:r>
        <w:rPr>
          <w:rFonts w:ascii="Times New Roman" w:eastAsia="Times New Roman" w:hAnsi="Times New Roman" w:cs="Times New Roman"/>
          <w:color w:val="000000"/>
          <w:spacing w:val="0"/>
          <w:w w:val="100"/>
          <w:position w:val="0"/>
        </w:rPr>
        <w:t>）</w:t>
      </w:r>
      <w:r>
        <w:rPr>
          <w:color w:val="000000"/>
          <w:spacing w:val="0"/>
          <w:w w:val="100"/>
          <w:position w:val="0"/>
        </w:rPr>
        <w:t>承诺税后净利润的</w:t>
      </w:r>
      <w:r>
        <w:rPr>
          <w:rFonts w:ascii="Times New Roman" w:eastAsia="Times New Roman" w:hAnsi="Times New Roman" w:cs="Times New Roman"/>
          <w:color w:val="000000"/>
          <w:spacing w:val="0"/>
          <w:w w:val="100"/>
          <w:position w:val="0"/>
        </w:rPr>
        <w:t>40%</w:t>
      </w:r>
      <w:r>
        <w:rPr>
          <w:color w:val="000000"/>
          <w:spacing w:val="0"/>
          <w:w w:val="100"/>
          <w:position w:val="0"/>
        </w:rPr>
        <w:t>,则收购方将不支付第五期转让款。</w:t>
      </w:r>
    </w:p>
    <w:p>
      <w:pPr>
        <w:pStyle w:val="Style45"/>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海南坚果创娱信息技术有限公司</w:t>
      </w:r>
    </w:p>
    <w:tbl>
      <w:tblPr>
        <w:tblOverlap w:val="never"/>
        <w:jc w:val="left"/>
        <w:tblLayout w:type="fixed"/>
      </w:tblPr>
      <w:tblGrid>
        <w:gridCol w:w="1718"/>
        <w:gridCol w:w="1709"/>
        <w:gridCol w:w="1704"/>
        <w:gridCol w:w="1704"/>
        <w:gridCol w:w="1718"/>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年度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w:t>
            </w:r>
            <w:r>
              <w:rPr>
                <w:color w:val="000000"/>
                <w:spacing w:val="0"/>
                <w:w w:val="100"/>
                <w:position w:val="0"/>
              </w:rPr>
              <w:t>年第四季度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w:t>
            </w:r>
            <w:r>
              <w:rPr>
                <w:color w:val="000000"/>
                <w:spacing w:val="0"/>
                <w:w w:val="100"/>
                <w:position w:val="0"/>
              </w:rPr>
              <w:t>年度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3,042.00</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实际完成情况</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1,138.75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1,821.37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2,380.77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3,070.25</w:t>
            </w:r>
          </w:p>
        </w:tc>
      </w:tr>
    </w:tbl>
    <w:p>
      <w:pPr>
        <w:widowControl w:val="0"/>
        <w:spacing w:after="7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上海睿民互联网科技有限公司</w:t>
      </w:r>
    </w:p>
    <w:tbl>
      <w:tblPr>
        <w:tblOverlap w:val="never"/>
        <w:jc w:val="left"/>
        <w:tblLayout w:type="fixed"/>
      </w:tblPr>
      <w:tblGrid>
        <w:gridCol w:w="2146"/>
        <w:gridCol w:w="2131"/>
        <w:gridCol w:w="2131"/>
        <w:gridCol w:w="2146"/>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年度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w:t>
            </w:r>
            <w:r>
              <w:rPr>
                <w:color w:val="000000"/>
                <w:spacing w:val="0"/>
                <w:w w:val="100"/>
                <w:position w:val="0"/>
              </w:rPr>
              <w:t>年度</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3,380.00</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实际完成情况</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2,083.83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2,718.35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3,494.03</w:t>
            </w:r>
          </w:p>
        </w:tc>
      </w:tr>
    </w:tbl>
    <w:p>
      <w:pPr>
        <w:widowControl w:val="0"/>
        <w:spacing w:after="3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bookmarkEnd w:id="138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83"/>
      <w:bookmarkEnd w:id="1384"/>
      <w:bookmarkEnd w:id="138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1,927,057.51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3,014,663.80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2,419,934.97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2,521,786.34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邮箱服务费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300,212.69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38,915.09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252,213.80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融资租赁服务费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2,222,222.21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3,222,222.21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4,449,492.41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7,553,578.89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5,729,071.16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6,274,000.14</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87"/>
      <w:bookmarkEnd w:id="1388"/>
      <w:bookmarkEnd w:id="1390"/>
    </w:p>
    <w:p>
      <w:pPr>
        <w:pStyle w:val="Style38"/>
        <w:keepNext/>
        <w:keepLines/>
        <w:widowControl w:val="0"/>
        <w:shd w:val="clear" w:color="auto" w:fill="auto"/>
        <w:bidi w:val="0"/>
        <w:spacing w:before="0" w:after="380" w:line="240" w:lineRule="auto"/>
        <w:ind w:left="0" w:right="0" w:firstLine="140"/>
        <w:jc w:val="left"/>
      </w:pPr>
      <w:bookmarkStart w:id="1387" w:name="bookmark1387"/>
      <w:bookmarkStart w:id="1388" w:name="bookmark1388"/>
      <w:bookmarkStart w:id="1391" w:name="bookmark1391"/>
      <w:bookmarkStart w:id="1392" w:name="bookmark1392"/>
      <w:r>
        <w:rPr>
          <w:rFonts w:ascii="Times New Roman" w:eastAsia="Times New Roman" w:hAnsi="Times New Roman" w:cs="Times New Roman"/>
          <w:color w:val="000000"/>
          <w:spacing w:val="0"/>
          <w:w w:val="100"/>
          <w:position w:val="0"/>
        </w:rPr>
        <w:t>（</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87"/>
      <w:bookmarkEnd w:id="1388"/>
      <w:bookmarkEnd w:id="139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79,127,578.41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10,967,487.59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56,555,551.94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7,774,137.04</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计入其他综合收益的公 允价值变动</w:t>
            </w:r>
            <w:r>
              <w:rPr>
                <w:rFonts w:ascii="Times New Roman" w:eastAsia="Times New Roman" w:hAnsi="Times New Roman" w:cs="Times New Roman"/>
                <w:color w:val="000000"/>
                <w:spacing w:val="0"/>
                <w:w w:val="100"/>
                <w:position w:val="0"/>
              </w:rPr>
              <w:t>（</w:t>
            </w:r>
            <w:r>
              <w:rPr>
                <w:color w:val="000000"/>
                <w:spacing w:val="0"/>
                <w:w w:val="100"/>
                <w:position w:val="0"/>
              </w:rPr>
              <w:t>减少</w:t>
            </w: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19,500,000.00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19,500,000.00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2,925,000.00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计入当期损益的公允价</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r>
              <w:rPr>
                <w:rFonts w:ascii="Times New Roman" w:eastAsia="Times New Roman" w:hAnsi="Times New Roman" w:cs="Times New Roman"/>
                <w:color w:val="000000"/>
                <w:spacing w:val="0"/>
                <w:w w:val="100"/>
                <w:position w:val="0"/>
              </w:rPr>
              <w:t>（</w:t>
            </w:r>
            <w:r>
              <w:rPr>
                <w:color w:val="000000"/>
                <w:spacing w:val="0"/>
                <w:w w:val="100"/>
                <w:position w:val="0"/>
              </w:rPr>
              <w:t>减少</w:t>
            </w: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3,759,931.96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563,989.79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3,759,931.96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563,989.79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44,635,700.08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6,695,355.02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36,413,176.88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5,461,976.54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147,023,210.45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21,151,832.40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116,228,660.78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16,725,103.37</w:t>
            </w:r>
          </w:p>
        </w:tc>
      </w:tr>
    </w:tbl>
    <w:p>
      <w:pPr>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1383" w:right="1081" w:bottom="1407" w:left="1046" w:header="0" w:footer="3" w:gutter="0"/>
          <w:cols w:space="720"/>
          <w:noEndnote/>
          <w:rtlGutter w:val="0"/>
          <w:docGrid w:linePitch="360"/>
        </w:sectPr>
      </w:pPr>
    </w:p>
    <w:p>
      <w:pPr>
        <w:pStyle w:val="Style38"/>
        <w:keepNext/>
        <w:keepLines/>
        <w:widowControl w:val="0"/>
        <w:numPr>
          <w:ilvl w:val="0"/>
          <w:numId w:val="135"/>
        </w:numPr>
        <w:shd w:val="clear" w:color="auto" w:fill="auto"/>
        <w:bidi w:val="0"/>
        <w:spacing w:before="0" w:after="34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未经抵销的递延所得税负债</w:t>
      </w:r>
      <w:bookmarkEnd w:id="1393"/>
      <w:bookmarkEnd w:id="1394"/>
      <w:bookmarkEnd w:id="139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计入当期损益的公允价</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r>
              <w:rPr>
                <w:rFonts w:ascii="Times New Roman" w:eastAsia="Times New Roman" w:hAnsi="Times New Roman" w:cs="Times New Roman"/>
                <w:color w:val="000000"/>
                <w:spacing w:val="0"/>
                <w:w w:val="100"/>
                <w:position w:val="0"/>
              </w:rPr>
              <w:t>(</w:t>
            </w:r>
            <w:r>
              <w:rPr>
                <w:color w:val="000000"/>
                <w:spacing w:val="0"/>
                <w:w w:val="100"/>
                <w:position w:val="0"/>
              </w:rPr>
              <w:t>增加</w:t>
            </w: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24,412,084.10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3,661,812.61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3,872,475.00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580,871.25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7,815,775.00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1,172,366.25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28,284,559.10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4,242,683.86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7,815,775.00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1,172,366.25</w:t>
            </w:r>
          </w:p>
        </w:tc>
      </w:tr>
    </w:tbl>
    <w:p>
      <w:pPr>
        <w:widowControl w:val="0"/>
        <w:spacing w:after="339" w:line="1" w:lineRule="exact"/>
      </w:pPr>
    </w:p>
    <w:p>
      <w:pPr>
        <w:pStyle w:val="Style38"/>
        <w:keepNext/>
        <w:keepLines/>
        <w:widowControl w:val="0"/>
        <w:numPr>
          <w:ilvl w:val="0"/>
          <w:numId w:val="135"/>
        </w:numPr>
        <w:shd w:val="clear" w:color="auto" w:fill="auto"/>
        <w:bidi w:val="0"/>
        <w:spacing w:before="0" w:after="340" w:line="240" w:lineRule="auto"/>
        <w:ind w:left="0" w:right="0" w:firstLine="0"/>
        <w:jc w:val="left"/>
      </w:pPr>
      <w:bookmarkStart w:id="1397" w:name="bookmark1397"/>
      <w:bookmarkStart w:id="1398" w:name="bookmark1398"/>
      <w:bookmarkStart w:id="1399" w:name="bookmark1399"/>
      <w:bookmarkStart w:id="1400" w:name="bookmark1400"/>
      <w:bookmarkEnd w:id="1399"/>
      <w:r>
        <w:rPr>
          <w:color w:val="000000"/>
          <w:spacing w:val="0"/>
          <w:w w:val="100"/>
          <w:position w:val="0"/>
        </w:rPr>
        <w:t>以抵销后净额列示的递延所得税资产或负债</w:t>
      </w:r>
      <w:bookmarkEnd w:id="1397"/>
      <w:bookmarkEnd w:id="1398"/>
      <w:bookmarkEnd w:id="140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21,151,832.40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16,725,103.37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4,242,683.86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1,172,366.25</w:t>
            </w:r>
          </w:p>
        </w:tc>
      </w:tr>
    </w:tbl>
    <w:p>
      <w:pPr>
        <w:widowControl w:val="0"/>
        <w:spacing w:after="339" w:line="1" w:lineRule="exact"/>
      </w:pPr>
    </w:p>
    <w:p>
      <w:pPr>
        <w:pStyle w:val="Style38"/>
        <w:keepNext/>
        <w:keepLines/>
        <w:widowControl w:val="0"/>
        <w:numPr>
          <w:ilvl w:val="0"/>
          <w:numId w:val="135"/>
        </w:numPr>
        <w:shd w:val="clear" w:color="auto" w:fill="auto"/>
        <w:bidi w:val="0"/>
        <w:spacing w:before="0" w:after="340" w:line="240" w:lineRule="auto"/>
        <w:ind w:left="0" w:right="0" w:firstLine="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未确认递延所得税资产明细</w:t>
      </w:r>
      <w:bookmarkEnd w:id="1401"/>
      <w:bookmarkEnd w:id="1402"/>
      <w:bookmarkEnd w:id="1404"/>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9,553.65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34,422,923.05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25,641,847.65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34,422,923.05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25,651,401.30</w:t>
            </w:r>
          </w:p>
        </w:tc>
      </w:tr>
    </w:tbl>
    <w:p>
      <w:pPr>
        <w:widowControl w:val="0"/>
        <w:spacing w:after="339" w:line="1" w:lineRule="exact"/>
      </w:pPr>
    </w:p>
    <w:p>
      <w:pPr>
        <w:pStyle w:val="Style38"/>
        <w:keepNext/>
        <w:keepLines/>
        <w:widowControl w:val="0"/>
        <w:numPr>
          <w:ilvl w:val="0"/>
          <w:numId w:val="135"/>
        </w:numPr>
        <w:shd w:val="clear" w:color="auto" w:fill="auto"/>
        <w:bidi w:val="0"/>
        <w:spacing w:before="0" w:after="34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未确认递延所得税资产的可抵扣亏损将于以下年度到期</w:t>
      </w:r>
      <w:bookmarkEnd w:id="1405"/>
      <w:bookmarkEnd w:id="1406"/>
      <w:bookmarkEnd w:id="1408"/>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3,196,776.71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8,455,750.03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12,917,404.27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611,659.37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1,083,117.21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2,159,983.74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3,193,447.94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3,390,530.76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1,974,418.35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2,851,493.06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2,713,455.07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2,399,608.46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15,117,125.73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34,422,923.05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25,641,847.65</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09"/>
      <w:bookmarkEnd w:id="1410"/>
      <w:bookmarkEnd w:id="141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13"/>
      <w:bookmarkEnd w:id="1414"/>
      <w:bookmarkEnd w:id="1416"/>
    </w:p>
    <w:p>
      <w:pPr>
        <w:pStyle w:val="Style38"/>
        <w:keepNext/>
        <w:keepLines/>
        <w:widowControl w:val="0"/>
        <w:shd w:val="clear" w:color="auto" w:fill="auto"/>
        <w:bidi w:val="0"/>
        <w:spacing w:before="0" w:after="380" w:line="240" w:lineRule="auto"/>
        <w:ind w:left="0" w:right="0" w:firstLine="0"/>
        <w:jc w:val="both"/>
      </w:pPr>
      <w:bookmarkStart w:id="1413" w:name="bookmark1413"/>
      <w:bookmarkStart w:id="1414" w:name="bookmark1414"/>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13"/>
      <w:bookmarkEnd w:id="1414"/>
      <w:bookmarkEnd w:id="141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6,587,200.00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261,013,670.00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220,848,064.06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8,470,000.00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5,000,000.00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269,483,670.00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232,435,264.06</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6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关联方为公司短期借款提供担保情况详见附注十</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二</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关联担保情况</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之说明。</w:t>
      </w:r>
    </w:p>
    <w:p>
      <w:pPr>
        <w:pStyle w:val="Style38"/>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19"/>
      <w:bookmarkEnd w:id="1420"/>
      <w:bookmarkEnd w:id="142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680" w:line="240" w:lineRule="auto"/>
        <w:ind w:left="0" w:right="0" w:firstLine="0"/>
        <w:jc w:val="left"/>
      </w:pPr>
      <w:r>
        <w:rPr>
          <w:b w:val="0"/>
          <w:bCs w:val="0"/>
          <w:color w:val="000000"/>
          <w:spacing w:val="0"/>
          <w:w w:val="100"/>
          <w:position w:val="0"/>
        </w:rPr>
        <w:t>期末无已逾期未偿还的短期借款。</w:t>
      </w:r>
    </w:p>
    <w:p>
      <w:pPr>
        <w:pStyle w:val="Style38"/>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23"/>
      <w:bookmarkEnd w:id="1424"/>
      <w:bookmarkEnd w:id="142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指定为以公允价值计量且其变动计入当</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2,467,543.25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2,467,543.25</w:t>
            </w:r>
          </w:p>
        </w:tc>
      </w:tr>
    </w:tbl>
    <w:p>
      <w:pPr>
        <w:widowControl w:val="0"/>
        <w:spacing w:line="1" w:lineRule="exact"/>
        <w:sectPr>
          <w:headerReference w:type="default" r:id="rId195"/>
          <w:footerReference w:type="default" r:id="rId196"/>
          <w:headerReference w:type="even" r:id="rId197"/>
          <w:footerReference w:type="even" r:id="rId198"/>
          <w:headerReference w:type="first" r:id="rId199"/>
          <w:footerReference w:type="first" r:id="rId200"/>
          <w:footnotePr>
            <w:pos w:val="pageBottom"/>
            <w:numFmt w:val="decimal"/>
            <w:numRestart w:val="continuous"/>
          </w:footnotePr>
          <w:pgSz w:w="11900" w:h="16840"/>
          <w:pgMar w:top="1383" w:right="1081" w:bottom="1407" w:left="1046" w:header="0" w:footer="3" w:gutter="0"/>
          <w:cols w:space="720"/>
          <w:noEndnote/>
          <w:titlePg/>
          <w:rtlGutter w:val="0"/>
          <w:docGrid w:linePitch="360"/>
        </w:sectPr>
      </w:pP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超额业绩对价款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62"/>
        <w:keepNext w:val="0"/>
        <w:keepLines w:val="0"/>
        <w:widowControl w:val="0"/>
        <w:shd w:val="clear" w:color="auto" w:fill="auto"/>
        <w:bidi w:val="0"/>
        <w:spacing w:before="0" w:after="680" w:line="310" w:lineRule="exact"/>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期末指定为以公允价值计量且其变动计入当期损益的金融负债系本公司需支付给被投资单位原股东的 超额业绩对价款，指定为以公允价值计量且其变动计入当期损益的金融负债的公允价值按照协议约定确 定。</w:t>
      </w:r>
    </w:p>
    <w:p>
      <w:pPr>
        <w:pStyle w:val="Style38"/>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27"/>
      <w:bookmarkEnd w:id="1428"/>
      <w:bookmarkEnd w:id="143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sectPr>
          <w:headerReference w:type="default" r:id="rId201"/>
          <w:footerReference w:type="default" r:id="rId202"/>
          <w:headerReference w:type="even" r:id="rId203"/>
          <w:footerReference w:type="even" r:id="rId204"/>
          <w:footnotePr>
            <w:pos w:val="pageBottom"/>
            <w:numFmt w:val="decimal"/>
            <w:numRestart w:val="continuous"/>
          </w:footnotePr>
          <w:pgSz w:w="11900" w:h="16840"/>
          <w:pgMar w:top="1383" w:right="1081" w:bottom="1407" w:left="1046" w:header="0" w:footer="3" w:gutter="0"/>
          <w:cols w:space="720"/>
          <w:noEndnote/>
          <w:rtlGutter w:val="0"/>
          <w:docGrid w:linePitch="360"/>
        </w:sectPr>
      </w:pPr>
      <w:r>
        <mc:AlternateContent>
          <mc:Choice Requires="wps">
            <w:drawing>
              <wp:anchor distT="38100" distB="0" distL="0" distR="0" simplePos="0" relativeHeight="125829446" behindDoc="0" locked="0" layoutInCell="1" allowOverlap="1">
                <wp:simplePos x="0" y="0"/>
                <wp:positionH relativeFrom="page">
                  <wp:posOffset>1593850</wp:posOffset>
                </wp:positionH>
                <wp:positionV relativeFrom="paragraph">
                  <wp:posOffset>38100</wp:posOffset>
                </wp:positionV>
                <wp:extent cx="252730" cy="149225"/>
                <wp:wrapTopAndBottom/>
                <wp:docPr id="861" name="Shape 861"/>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887" type="#_x0000_t202" style="position:absolute;margin-left:125.5pt;margin-top:3.pt;width:19.900000000000002pt;height:11.75pt;z-index:-125829307;mso-wrap-distance-left:0;mso-wrap-distance-top:3.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48" behindDoc="0" locked="0" layoutInCell="1" allowOverlap="1">
                <wp:simplePos x="0" y="0"/>
                <wp:positionH relativeFrom="page">
                  <wp:posOffset>3505200</wp:posOffset>
                </wp:positionH>
                <wp:positionV relativeFrom="paragraph">
                  <wp:posOffset>38100</wp:posOffset>
                </wp:positionV>
                <wp:extent cx="481330" cy="149225"/>
                <wp:wrapTopAndBottom/>
                <wp:docPr id="863" name="Shape 86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期末余额</w:t>
                            </w:r>
                          </w:p>
                        </w:txbxContent>
                      </wps:txbx>
                      <wps:bodyPr wrap="none" lIns="0" tIns="0" rIns="0" bIns="0">
                        <a:noAutoFit/>
                      </wps:bodyPr>
                    </wps:wsp>
                  </a:graphicData>
                </a:graphic>
              </wp:anchor>
            </w:drawing>
          </mc:Choice>
          <mc:Fallback>
            <w:pict>
              <v:shape id="_x0000_s1889" type="#_x0000_t202" style="position:absolute;margin-left:276.pt;margin-top:3.pt;width:37.899999999999999pt;height:11.75pt;z-index:-125829305;mso-wrap-distance-left:0;mso-wrap-distance-top:3.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0" distL="0" distR="0" simplePos="0" relativeHeight="125829450" behindDoc="0" locked="0" layoutInCell="1" allowOverlap="1">
                <wp:simplePos x="0" y="0"/>
                <wp:positionH relativeFrom="page">
                  <wp:posOffset>5528945</wp:posOffset>
                </wp:positionH>
                <wp:positionV relativeFrom="paragraph">
                  <wp:posOffset>38100</wp:posOffset>
                </wp:positionV>
                <wp:extent cx="484505" cy="149225"/>
                <wp:wrapTopAndBottom/>
                <wp:docPr id="865" name="Shape 865"/>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891" type="#_x0000_t202" style="position:absolute;margin-left:435.35000000000002pt;margin-top:3.pt;width:38.149999999999999pt;height:11.75pt;z-index:-125829303;mso-wrap-distance-left:0;mso-wrap-distance-top:3.pt;mso-wrap-distance-right:0;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widowControl w:val="0"/>
        <w:spacing w:line="62" w:lineRule="exact"/>
        <w:rPr>
          <w:sz w:val="5"/>
          <w:szCs w:val="5"/>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31"/>
      <w:bookmarkEnd w:id="1432"/>
      <w:bookmarkEnd w:id="1434"/>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214,987,261.00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16,213,688.00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214,987,261.00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16,213,688.00</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35"/>
      <w:bookmarkEnd w:id="1436"/>
      <w:bookmarkEnd w:id="1438"/>
    </w:p>
    <w:p>
      <w:pPr>
        <w:pStyle w:val="Style38"/>
        <w:keepNext/>
        <w:keepLines/>
        <w:widowControl w:val="0"/>
        <w:numPr>
          <w:ilvl w:val="0"/>
          <w:numId w:val="137"/>
        </w:numPr>
        <w:shd w:val="clear" w:color="auto" w:fill="auto"/>
        <w:bidi w:val="0"/>
        <w:spacing w:before="0" w:line="240" w:lineRule="auto"/>
        <w:ind w:left="0" w:right="0" w:firstLine="140"/>
        <w:jc w:val="left"/>
      </w:pPr>
      <w:bookmarkStart w:id="1435" w:name="bookmark1435"/>
      <w:bookmarkStart w:id="1436" w:name="bookmark1436"/>
      <w:bookmarkStart w:id="1439" w:name="bookmark1439"/>
      <w:bookmarkStart w:id="1440" w:name="bookmark1440"/>
      <w:bookmarkEnd w:id="1439"/>
      <w:r>
        <w:rPr>
          <w:color w:val="000000"/>
          <w:spacing w:val="0"/>
          <w:w w:val="100"/>
          <w:position w:val="0"/>
        </w:rPr>
        <w:t>应付账款列示</w:t>
      </w:r>
      <w:bookmarkEnd w:id="1435"/>
      <w:bookmarkEnd w:id="1436"/>
      <w:bookmarkEnd w:id="1440"/>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309,368,632.43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205,231,086.47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21,052,983.25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40,918,403.14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330,421,615.68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246,149,489.61</w:t>
            </w:r>
          </w:p>
        </w:tc>
      </w:tr>
    </w:tbl>
    <w:p>
      <w:pPr>
        <w:widowControl w:val="0"/>
        <w:spacing w:after="359" w:line="1" w:lineRule="exact"/>
      </w:pPr>
    </w:p>
    <w:p>
      <w:pPr>
        <w:pStyle w:val="Style38"/>
        <w:keepNext/>
        <w:keepLines/>
        <w:widowControl w:val="0"/>
        <w:numPr>
          <w:ilvl w:val="0"/>
          <w:numId w:val="137"/>
        </w:numPr>
        <w:shd w:val="clear" w:color="auto" w:fill="auto"/>
        <w:bidi w:val="0"/>
        <w:spacing w:before="0" w:line="240" w:lineRule="auto"/>
        <w:ind w:left="0" w:right="0" w:firstLine="14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41"/>
      <w:bookmarkEnd w:id="1442"/>
      <w:bookmarkEnd w:id="1444"/>
    </w:p>
    <w:p>
      <w:pPr>
        <w:pStyle w:val="Style34"/>
        <w:keepNext w:val="0"/>
        <w:keepLines w:val="0"/>
        <w:widowControl w:val="0"/>
        <w:shd w:val="clear" w:color="auto" w:fill="auto"/>
        <w:bidi w:val="0"/>
        <w:spacing w:before="0" w:after="0" w:line="240" w:lineRule="auto"/>
        <w:ind w:left="8940" w:right="0" w:firstLine="0"/>
        <w:jc w:val="left"/>
      </w:pPr>
      <w:r>
        <w:rPr>
          <w:color w:val="000000"/>
          <w:spacing w:val="0"/>
          <w:w w:val="100"/>
          <w:position w:val="0"/>
        </w:rPr>
        <w:t>单位：元</w:t>
      </w:r>
    </w:p>
    <w:p>
      <w:pPr>
        <w:widowControl w:val="0"/>
        <w:spacing w:line="1" w:lineRule="exact"/>
        <w:sectPr>
          <w:footnotePr>
            <w:pos w:val="pageBottom"/>
            <w:numFmt w:val="decimal"/>
            <w:numRestart w:val="continuous"/>
          </w:footnotePr>
          <w:type w:val="continuous"/>
          <w:pgSz w:w="11900" w:h="16840"/>
          <w:pgMar w:top="1441" w:right="1113" w:bottom="1441" w:left="1100" w:header="0" w:footer="3" w:gutter="0"/>
          <w:cols w:space="720"/>
          <w:noEndnote/>
          <w:rtlGutter w:val="0"/>
          <w:docGrid w:linePitch="360"/>
        </w:sectPr>
      </w:pPr>
      <w:r>
        <mc:AlternateContent>
          <mc:Choice Requires="wps">
            <w:drawing>
              <wp:anchor distT="38100" distB="0" distL="0" distR="0" simplePos="0" relativeHeight="125829452" behindDoc="0" locked="0" layoutInCell="1" allowOverlap="1">
                <wp:simplePos x="0" y="0"/>
                <wp:positionH relativeFrom="page">
                  <wp:posOffset>1593850</wp:posOffset>
                </wp:positionH>
                <wp:positionV relativeFrom="paragraph">
                  <wp:posOffset>38100</wp:posOffset>
                </wp:positionV>
                <wp:extent cx="252730" cy="149225"/>
                <wp:wrapTopAndBottom/>
                <wp:docPr id="867" name="Shape 867"/>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893" type="#_x0000_t202" style="position:absolute;margin-left:125.5pt;margin-top:3.pt;width:19.900000000000002pt;height:11.75pt;z-index:-125829301;mso-wrap-distance-left:0;mso-wrap-distance-top:3.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54" behindDoc="0" locked="0" layoutInCell="1" allowOverlap="1">
                <wp:simplePos x="0" y="0"/>
                <wp:positionH relativeFrom="page">
                  <wp:posOffset>3505200</wp:posOffset>
                </wp:positionH>
                <wp:positionV relativeFrom="paragraph">
                  <wp:posOffset>38100</wp:posOffset>
                </wp:positionV>
                <wp:extent cx="481330" cy="149225"/>
                <wp:wrapTopAndBottom/>
                <wp:docPr id="869" name="Shape 86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895" type="#_x0000_t202" style="position:absolute;margin-left:276.pt;margin-top:3.pt;width:37.899999999999999pt;height:11.75pt;z-index:-125829299;mso-wrap-distance-left:0;mso-wrap-distance-top:3.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3175" distL="0" distR="0" simplePos="0" relativeHeight="125829456" behindDoc="0" locked="0" layoutInCell="1" allowOverlap="1">
                <wp:simplePos x="0" y="0"/>
                <wp:positionH relativeFrom="page">
                  <wp:posOffset>5245100</wp:posOffset>
                </wp:positionH>
                <wp:positionV relativeFrom="paragraph">
                  <wp:posOffset>38100</wp:posOffset>
                </wp:positionV>
                <wp:extent cx="1051560" cy="146050"/>
                <wp:wrapTopAndBottom/>
                <wp:docPr id="871" name="Shape 871"/>
                <a:graphic xmlns:a="http://schemas.openxmlformats.org/drawingml/2006/main">
                  <a:graphicData uri="http://schemas.microsoft.com/office/word/2010/wordprocessingShape">
                    <wps:wsp>
                      <wps:cNvSpPr txBox="1"/>
                      <wps:spPr>
                        <a:xfrm>
                          <a:ext cx="1051560" cy="146050"/>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未偿还或结转的原因</w:t>
                            </w:r>
                          </w:p>
                        </w:txbxContent>
                      </wps:txbx>
                      <wps:bodyPr wrap="none" lIns="0" tIns="0" rIns="0" bIns="0">
                        <a:noAutoFit/>
                      </wps:bodyPr>
                    </wps:wsp>
                  </a:graphicData>
                </a:graphic>
              </wp:anchor>
            </w:drawing>
          </mc:Choice>
          <mc:Fallback>
            <w:pict>
              <v:shape id="_x0000_s1897" type="#_x0000_t202" style="position:absolute;margin-left:413.pt;margin-top:3.pt;width:82.799999999999997pt;height:11.5pt;z-index:-125829297;mso-wrap-distance-left:0;mso-wrap-distance-top:3.pt;mso-wrap-distance-right:0;mso-wrap-distance-bottom:0.25pt;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未偿还或结转的原因</w:t>
                      </w:r>
                    </w:p>
                  </w:txbxContent>
                </v:textbox>
                <w10:wrap type="topAndBottom" anchorx="page"/>
              </v:shape>
            </w:pict>
          </mc:Fallback>
        </mc:AlternateContent>
      </w:r>
    </w:p>
    <w:p>
      <w:pPr>
        <w:widowControl w:val="0"/>
        <w:spacing w:line="81" w:lineRule="exact"/>
        <w:rPr>
          <w:sz w:val="7"/>
          <w:szCs w:val="7"/>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type w:val="continuous"/>
          <w:pgSz w:w="11900" w:h="16840"/>
          <w:pgMar w:top="1441" w:right="1113" w:bottom="1441" w:left="1100" w:header="0" w:footer="3" w:gutter="0"/>
          <w:cols w:space="720"/>
          <w:noEndnote/>
          <w:rtlGutter w:val="0"/>
          <w:docGrid w:linePitch="360"/>
        </w:sectPr>
      </w:pPr>
      <w:r>
        <w:rPr>
          <w:b w:val="0"/>
          <w:bCs w:val="0"/>
          <w:color w:val="000000"/>
          <w:spacing w:val="0"/>
          <w:w w:val="100"/>
          <w:position w:val="0"/>
        </w:rPr>
        <w:t>1.</w:t>
      </w:r>
      <w:r>
        <w:rPr>
          <w:b w:val="0"/>
          <w:bCs w:val="0"/>
          <w:color w:val="000000"/>
          <w:spacing w:val="0"/>
          <w:w w:val="100"/>
          <w:position w:val="0"/>
        </w:rPr>
        <w:t>期末无账龄超过</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年的大额应付账款。</w:t>
      </w:r>
    </w:p>
    <w:p>
      <w:pPr>
        <w:pStyle w:val="Style62"/>
        <w:keepNext w:val="0"/>
        <w:keepLines w:val="0"/>
        <w:widowControl w:val="0"/>
        <w:numPr>
          <w:ilvl w:val="0"/>
          <w:numId w:val="131"/>
        </w:numPr>
        <w:shd w:val="clear" w:color="auto" w:fill="auto"/>
        <w:bidi w:val="0"/>
        <w:spacing w:before="0" w:line="240" w:lineRule="auto"/>
        <w:ind w:left="0" w:right="0" w:firstLine="440"/>
        <w:jc w:val="left"/>
      </w:pPr>
      <w:bookmarkStart w:id="1452" w:name="bookmark1452"/>
      <w:bookmarkEnd w:id="1452"/>
      <w:r>
        <w:rPr>
          <w:b w:val="0"/>
          <w:bCs w:val="0"/>
          <w:color w:val="000000"/>
          <w:spacing w:val="0"/>
          <w:w w:val="100"/>
          <w:position w:val="0"/>
        </w:rPr>
        <w:t>夕卜币应付账款情况详见附注五</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五十四广外币货币性项目</w:t>
      </w:r>
      <w:r>
        <w:rPr>
          <w:b w:val="0"/>
          <w:bCs w:val="0"/>
          <w:color w:val="000000"/>
          <w:spacing w:val="0"/>
          <w:w w:val="100"/>
          <w:position w:val="0"/>
        </w:rPr>
        <w:t>''</w:t>
      </w:r>
      <w:r>
        <w:rPr>
          <w:b w:val="0"/>
          <w:bCs w:val="0"/>
          <w:color w:val="000000"/>
          <w:spacing w:val="0"/>
          <w:w w:val="100"/>
          <w:position w:val="0"/>
        </w:rPr>
        <w:t>之说明。</w:t>
      </w:r>
    </w:p>
    <w:p>
      <w:pPr>
        <w:pStyle w:val="Style38"/>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53"/>
      <w:bookmarkEnd w:id="1454"/>
      <w:bookmarkEnd w:id="1456"/>
    </w:p>
    <w:p>
      <w:pPr>
        <w:pStyle w:val="Style38"/>
        <w:keepNext/>
        <w:keepLines/>
        <w:widowControl w:val="0"/>
        <w:numPr>
          <w:ilvl w:val="0"/>
          <w:numId w:val="141"/>
        </w:numPr>
        <w:shd w:val="clear" w:color="auto" w:fill="auto"/>
        <w:bidi w:val="0"/>
        <w:spacing w:before="0" w:after="0" w:line="240" w:lineRule="auto"/>
        <w:ind w:left="0" w:right="0" w:firstLine="140"/>
        <w:jc w:val="left"/>
      </w:pPr>
      <w:bookmarkStart w:id="1453" w:name="bookmark1453"/>
      <w:bookmarkStart w:id="1454" w:name="bookmark1454"/>
      <w:bookmarkStart w:id="1457" w:name="bookmark1457"/>
      <w:bookmarkStart w:id="1458" w:name="bookmark1458"/>
      <w:bookmarkEnd w:id="1457"/>
      <w:r>
        <w:rPr>
          <w:color w:val="000000"/>
          <w:spacing w:val="0"/>
          <w:w w:val="100"/>
          <w:position w:val="0"/>
        </w:rPr>
        <w:t>预收款项列示</w:t>
      </w:r>
      <w:bookmarkEnd w:id="1453"/>
      <w:bookmarkEnd w:id="1454"/>
      <w:bookmarkEnd w:id="1458"/>
    </w:p>
    <w:p>
      <w:pPr>
        <w:widowControl w:val="0"/>
        <w:spacing w:line="1" w:lineRule="exact"/>
      </w:pPr>
      <w:r>
        <mc:AlternateContent>
          <mc:Choice Requires="wps">
            <w:drawing>
              <wp:anchor distT="408305" distB="0" distL="0" distR="0" simplePos="0" relativeHeight="125829458" behindDoc="0" locked="0" layoutInCell="1" allowOverlap="1">
                <wp:simplePos x="0" y="0"/>
                <wp:positionH relativeFrom="page">
                  <wp:posOffset>1593850</wp:posOffset>
                </wp:positionH>
                <wp:positionV relativeFrom="paragraph">
                  <wp:posOffset>408305</wp:posOffset>
                </wp:positionV>
                <wp:extent cx="252730" cy="149225"/>
                <wp:wrapTopAndBottom/>
                <wp:docPr id="873" name="Shape 873"/>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899" type="#_x0000_t202" style="position:absolute;margin-left:125.5pt;margin-top:32.149999999999999pt;width:19.900000000000002pt;height:11.75pt;z-index:-125829295;mso-wrap-distance-left:0;mso-wrap-distance-top:32.149999999999999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408305" distB="0" distL="0" distR="0" simplePos="0" relativeHeight="125829460" behindDoc="0" locked="0" layoutInCell="1" allowOverlap="1">
                <wp:simplePos x="0" y="0"/>
                <wp:positionH relativeFrom="page">
                  <wp:posOffset>3505200</wp:posOffset>
                </wp:positionH>
                <wp:positionV relativeFrom="paragraph">
                  <wp:posOffset>408305</wp:posOffset>
                </wp:positionV>
                <wp:extent cx="481330" cy="149225"/>
                <wp:wrapTopAndBottom/>
                <wp:docPr id="875" name="Shape 87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901" type="#_x0000_t202" style="position:absolute;margin-left:276.pt;margin-top:32.149999999999999pt;width:37.899999999999999pt;height:11.75pt;z-index:-125829293;mso-wrap-distance-left:0;mso-wrap-distance-top:32.149999999999999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408305" distB="0" distL="0" distR="0" simplePos="0" relativeHeight="125829462" behindDoc="0" locked="0" layoutInCell="1" allowOverlap="1">
                <wp:simplePos x="0" y="0"/>
                <wp:positionH relativeFrom="page">
                  <wp:posOffset>5528945</wp:posOffset>
                </wp:positionH>
                <wp:positionV relativeFrom="paragraph">
                  <wp:posOffset>408305</wp:posOffset>
                </wp:positionV>
                <wp:extent cx="484505" cy="149225"/>
                <wp:wrapTopAndBottom/>
                <wp:docPr id="877" name="Shape 87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903" type="#_x0000_t202" style="position:absolute;margin-left:435.35000000000002pt;margin-top:32.149999999999999pt;width:38.149999999999999pt;height:11.75pt;z-index:-125829291;mso-wrap-distance-left:0;mso-wrap-distance-top:32.149999999999999pt;mso-wrap-distance-right:0;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r>
        <mc:AlternateContent>
          <mc:Choice Requires="wps">
            <w:drawing>
              <wp:anchor distT="152400" distB="252730" distL="0" distR="0" simplePos="0" relativeHeight="125829464" behindDoc="0" locked="0" layoutInCell="1" allowOverlap="1">
                <wp:simplePos x="0" y="0"/>
                <wp:positionH relativeFrom="page">
                  <wp:posOffset>6357620</wp:posOffset>
                </wp:positionH>
                <wp:positionV relativeFrom="paragraph">
                  <wp:posOffset>152400</wp:posOffset>
                </wp:positionV>
                <wp:extent cx="484505" cy="152400"/>
                <wp:wrapTopAndBottom/>
                <wp:docPr id="879" name="Shape 879"/>
                <a:graphic xmlns:a="http://schemas.openxmlformats.org/drawingml/2006/main">
                  <a:graphicData uri="http://schemas.microsoft.com/office/word/2010/wordprocessingShape">
                    <wps:wsp>
                      <wps:cNvSpPr txBox="1"/>
                      <wps:spPr>
                        <a:xfrm>
                          <a:ext cx="48450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905" type="#_x0000_t202" style="position:absolute;margin-left:500.60000000000002pt;margin-top:12.pt;width:38.149999999999999pt;height:12.pt;z-index:-125829289;mso-wrap-distance-left:0;mso-wrap-distance-top:12.pt;mso-wrap-distance-right:0;mso-wrap-distance-bottom:19.900000000000002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p>
    <w:p>
      <w:pPr>
        <w:widowControl w:val="0"/>
        <w:spacing w:line="1" w:lineRule="exact"/>
      </w:pPr>
      <w:r>
        <mc:AlternateContent>
          <mc:Choice Requires="wps">
            <w:drawing>
              <wp:anchor distT="254000" distB="0" distL="0" distR="0" simplePos="0" relativeHeight="125829466" behindDoc="0" locked="0" layoutInCell="1" allowOverlap="1">
                <wp:simplePos x="0" y="0"/>
                <wp:positionH relativeFrom="page">
                  <wp:posOffset>764540</wp:posOffset>
                </wp:positionH>
                <wp:positionV relativeFrom="paragraph">
                  <wp:posOffset>254000</wp:posOffset>
                </wp:positionV>
                <wp:extent cx="2030095" cy="170815"/>
                <wp:wrapTopAndBottom/>
                <wp:docPr id="881" name="Shape 881"/>
                <a:graphic xmlns:a="http://schemas.openxmlformats.org/drawingml/2006/main">
                  <a:graphicData uri="http://schemas.microsoft.com/office/word/2010/wordprocessingShape">
                    <wps:wsp>
                      <wps:cNvSpPr txBox="1"/>
                      <wps:spPr>
                        <a:xfrm>
                          <a:ext cx="2030095" cy="170815"/>
                        </a:xfrm>
                        <a:prstGeom prst="rect"/>
                        <a:noFill/>
                      </wps:spPr>
                      <wps:txbx>
                        <w:txbxContent>
                          <w:p>
                            <w:pPr>
                              <w:pStyle w:val="Style38"/>
                              <w:keepNext/>
                              <w:keepLines/>
                              <w:widowControl w:val="0"/>
                              <w:numPr>
                                <w:ilvl w:val="0"/>
                                <w:numId w:val="139"/>
                              </w:numPr>
                              <w:shd w:val="clear" w:color="auto" w:fill="auto"/>
                              <w:bidi w:val="0"/>
                              <w:spacing w:before="0" w:after="0" w:line="240" w:lineRule="auto"/>
                              <w:ind w:left="0" w:right="0" w:firstLine="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45"/>
                            <w:bookmarkEnd w:id="1446"/>
                            <w:bookmarkEnd w:id="1448"/>
                          </w:p>
                        </w:txbxContent>
                      </wps:txbx>
                      <wps:bodyPr wrap="none" lIns="0" tIns="0" rIns="0" bIns="0">
                        <a:noAutoFit/>
                      </wps:bodyPr>
                    </wps:wsp>
                  </a:graphicData>
                </a:graphic>
              </wp:anchor>
            </w:drawing>
          </mc:Choice>
          <mc:Fallback>
            <w:pict>
              <v:shape id="_x0000_s1907" type="#_x0000_t202" style="position:absolute;margin-left:60.200000000000003pt;margin-top:20.pt;width:159.84999999999999pt;height:13.450000000000001pt;z-index:-125829287;mso-wrap-distance-left:0;mso-wrap-distance-top:20.pt;mso-wrap-distance-right:0;mso-position-horizontal-relative:page" filled="f" stroked="f">
                <v:textbox inset="0,0,0,0">
                  <w:txbxContent>
                    <w:p>
                      <w:pPr>
                        <w:pStyle w:val="Style38"/>
                        <w:keepNext/>
                        <w:keepLines/>
                        <w:widowControl w:val="0"/>
                        <w:numPr>
                          <w:ilvl w:val="0"/>
                          <w:numId w:val="139"/>
                        </w:numPr>
                        <w:shd w:val="clear" w:color="auto" w:fill="auto"/>
                        <w:bidi w:val="0"/>
                        <w:spacing w:before="0" w:after="0" w:line="240" w:lineRule="auto"/>
                        <w:ind w:left="0" w:right="0" w:firstLine="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45"/>
                      <w:bookmarkEnd w:id="1446"/>
                      <w:bookmarkEnd w:id="1448"/>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1474" w:right="1113" w:bottom="1671" w:left="1100" w:header="0" w:footer="3" w:gutter="0"/>
          <w:cols w:space="720"/>
          <w:noEndnote/>
          <w:rtlGutter w:val="0"/>
          <w:docGrid w:linePitch="360"/>
        </w:sectPr>
      </w:pPr>
      <w:r>
        <mc:AlternateContent>
          <mc:Choice Requires="wps">
            <w:drawing>
              <wp:anchor distT="484505" distB="429895" distL="0" distR="0" simplePos="0" relativeHeight="125829468" behindDoc="0" locked="0" layoutInCell="1" allowOverlap="1">
                <wp:simplePos x="0" y="0"/>
                <wp:positionH relativeFrom="page">
                  <wp:posOffset>1593850</wp:posOffset>
                </wp:positionH>
                <wp:positionV relativeFrom="paragraph">
                  <wp:posOffset>484505</wp:posOffset>
                </wp:positionV>
                <wp:extent cx="252730" cy="149225"/>
                <wp:wrapTopAndBottom/>
                <wp:docPr id="883" name="Shape 883"/>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909" type="#_x0000_t202" style="position:absolute;margin-left:125.5pt;margin-top:38.149999999999999pt;width:19.900000000000002pt;height:11.75pt;z-index:-125829285;mso-wrap-distance-left:0;mso-wrap-distance-top:38.149999999999999pt;mso-wrap-distance-right:0;mso-wrap-distance-bottom:33.850000000000001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484505" distB="429895" distL="0" distR="0" simplePos="0" relativeHeight="125829470" behindDoc="0" locked="0" layoutInCell="1" allowOverlap="1">
                <wp:simplePos x="0" y="0"/>
                <wp:positionH relativeFrom="page">
                  <wp:posOffset>3504565</wp:posOffset>
                </wp:positionH>
                <wp:positionV relativeFrom="paragraph">
                  <wp:posOffset>484505</wp:posOffset>
                </wp:positionV>
                <wp:extent cx="481330" cy="149225"/>
                <wp:wrapTopAndBottom/>
                <wp:docPr id="885" name="Shape 88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期末余额</w:t>
                            </w:r>
                          </w:p>
                        </w:txbxContent>
                      </wps:txbx>
                      <wps:bodyPr wrap="none" lIns="0" tIns="0" rIns="0" bIns="0">
                        <a:noAutoFit/>
                      </wps:bodyPr>
                    </wps:wsp>
                  </a:graphicData>
                </a:graphic>
              </wp:anchor>
            </w:drawing>
          </mc:Choice>
          <mc:Fallback>
            <w:pict>
              <v:shape id="_x0000_s1911" type="#_x0000_t202" style="position:absolute;margin-left:275.94999999999999pt;margin-top:38.149999999999999pt;width:37.899999999999999pt;height:11.75pt;z-index:-125829283;mso-wrap-distance-left:0;mso-wrap-distance-top:38.149999999999999pt;mso-wrap-distance-right:0;mso-wrap-distance-bottom:33.850000000000001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期末余额</w:t>
                      </w:r>
                    </w:p>
                  </w:txbxContent>
                </v:textbox>
                <w10:wrap type="topAndBottom" anchorx="page"/>
              </v:shape>
            </w:pict>
          </mc:Fallback>
        </mc:AlternateContent>
      </w:r>
      <w:r>
        <mc:AlternateContent>
          <mc:Choice Requires="wps">
            <w:drawing>
              <wp:anchor distT="484505" distB="433070" distL="0" distR="0" simplePos="0" relativeHeight="125829472" behindDoc="0" locked="0" layoutInCell="1" allowOverlap="1">
                <wp:simplePos x="0" y="0"/>
                <wp:positionH relativeFrom="page">
                  <wp:posOffset>5245100</wp:posOffset>
                </wp:positionH>
                <wp:positionV relativeFrom="paragraph">
                  <wp:posOffset>484505</wp:posOffset>
                </wp:positionV>
                <wp:extent cx="1051560" cy="146050"/>
                <wp:wrapTopAndBottom/>
                <wp:docPr id="887" name="Shape 887"/>
                <a:graphic xmlns:a="http://schemas.openxmlformats.org/drawingml/2006/main">
                  <a:graphicData uri="http://schemas.microsoft.com/office/word/2010/wordprocessingShape">
                    <wps:wsp>
                      <wps:cNvSpPr txBox="1"/>
                      <wps:spPr>
                        <a:xfrm>
                          <a:ext cx="1051560" cy="146050"/>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未偿还或结转的原因</w:t>
                            </w:r>
                          </w:p>
                        </w:txbxContent>
                      </wps:txbx>
                      <wps:bodyPr wrap="none" lIns="0" tIns="0" rIns="0" bIns="0">
                        <a:noAutoFit/>
                      </wps:bodyPr>
                    </wps:wsp>
                  </a:graphicData>
                </a:graphic>
              </wp:anchor>
            </w:drawing>
          </mc:Choice>
          <mc:Fallback>
            <w:pict>
              <v:shape id="_x0000_s1913" type="#_x0000_t202" style="position:absolute;margin-left:413.pt;margin-top:38.149999999999999pt;width:82.799999999999997pt;height:11.5pt;z-index:-125829281;mso-wrap-distance-left:0;mso-wrap-distance-top:38.149999999999999pt;mso-wrap-distance-right:0;mso-wrap-distance-bottom:34.100000000000001pt;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未偿还或结转的原因</w:t>
                      </w:r>
                    </w:p>
                  </w:txbxContent>
                </v:textbox>
                <w10:wrap type="topAndBottom" anchorx="page"/>
              </v:shape>
            </w:pict>
          </mc:Fallback>
        </mc:AlternateContent>
      </w:r>
      <w:r>
        <mc:AlternateContent>
          <mc:Choice Requires="wps">
            <w:drawing>
              <wp:anchor distT="228600" distB="682625" distL="0" distR="0" simplePos="0" relativeHeight="125829474" behindDoc="0" locked="0" layoutInCell="1" allowOverlap="1">
                <wp:simplePos x="0" y="0"/>
                <wp:positionH relativeFrom="page">
                  <wp:posOffset>6357620</wp:posOffset>
                </wp:positionH>
                <wp:positionV relativeFrom="paragraph">
                  <wp:posOffset>228600</wp:posOffset>
                </wp:positionV>
                <wp:extent cx="484505" cy="152400"/>
                <wp:wrapTopAndBottom/>
                <wp:docPr id="889" name="Shape 889"/>
                <a:graphic xmlns:a="http://schemas.openxmlformats.org/drawingml/2006/main">
                  <a:graphicData uri="http://schemas.microsoft.com/office/word/2010/wordprocessingShape">
                    <wps:wsp>
                      <wps:cNvSpPr txBox="1"/>
                      <wps:spPr>
                        <a:xfrm>
                          <a:ext cx="48450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915" type="#_x0000_t202" style="position:absolute;margin-left:500.60000000000002pt;margin-top:18.pt;width:38.149999999999999pt;height:12.pt;z-index:-125829279;mso-wrap-distance-left:0;mso-wrap-distance-top:18.pt;mso-wrap-distance-right:0;mso-wrap-distance-bottom:53.7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892810" distB="0" distL="0" distR="0" simplePos="0" relativeHeight="125829476" behindDoc="0" locked="0" layoutInCell="1" allowOverlap="1">
                <wp:simplePos x="0" y="0"/>
                <wp:positionH relativeFrom="page">
                  <wp:posOffset>691515</wp:posOffset>
                </wp:positionH>
                <wp:positionV relativeFrom="paragraph">
                  <wp:posOffset>892810</wp:posOffset>
                </wp:positionV>
                <wp:extent cx="831850" cy="170815"/>
                <wp:wrapTopAndBottom/>
                <wp:docPr id="891" name="Shape 891"/>
                <a:graphic xmlns:a="http://schemas.openxmlformats.org/drawingml/2006/main">
                  <a:graphicData uri="http://schemas.microsoft.com/office/word/2010/wordprocessingShape">
                    <wps:wsp>
                      <wps:cNvSpPr txBox="1"/>
                      <wps:spPr>
                        <a:xfrm>
                          <a:ext cx="831850" cy="170815"/>
                        </a:xfrm>
                        <a:prstGeom prst="rect"/>
                        <a:noFill/>
                      </wps:spPr>
                      <wps:txbx>
                        <w:txbxContent>
                          <w:p>
                            <w:pPr>
                              <w:pStyle w:val="Style38"/>
                              <w:keepNext/>
                              <w:keepLines/>
                              <w:widowControl w:val="0"/>
                              <w:shd w:val="clear" w:color="auto" w:fill="auto"/>
                              <w:bidi w:val="0"/>
                              <w:spacing w:before="0" w:after="0" w:line="240" w:lineRule="auto"/>
                              <w:ind w:left="0" w:right="0" w:firstLine="0"/>
                              <w:jc w:val="left"/>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38</w:t>
                            </w:r>
                            <w:r>
                              <w:rPr>
                                <w:color w:val="000000"/>
                                <w:spacing w:val="0"/>
                                <w:w w:val="100"/>
                                <w:position w:val="0"/>
                              </w:rPr>
                              <w:t>、合同负债</w:t>
                            </w:r>
                            <w:bookmarkEnd w:id="1449"/>
                            <w:bookmarkEnd w:id="1450"/>
                            <w:bookmarkEnd w:id="1451"/>
                          </w:p>
                        </w:txbxContent>
                      </wps:txbx>
                      <wps:bodyPr wrap="none" lIns="0" tIns="0" rIns="0" bIns="0">
                        <a:noAutoFit/>
                      </wps:bodyPr>
                    </wps:wsp>
                  </a:graphicData>
                </a:graphic>
              </wp:anchor>
            </w:drawing>
          </mc:Choice>
          <mc:Fallback>
            <w:pict>
              <v:shape id="_x0000_s1917" type="#_x0000_t202" style="position:absolute;margin-left:54.450000000000003pt;margin-top:70.299999999999997pt;width:65.5pt;height:13.450000000000001pt;z-index:-125829277;mso-wrap-distance-left:0;mso-wrap-distance-top:70.299999999999997pt;mso-wrap-distance-right:0;mso-position-horizontal-relative:page" filled="f" stroked="f">
                <v:textbox inset="0,0,0,0">
                  <w:txbxContent>
                    <w:p>
                      <w:pPr>
                        <w:pStyle w:val="Style38"/>
                        <w:keepNext/>
                        <w:keepLines/>
                        <w:widowControl w:val="0"/>
                        <w:shd w:val="clear" w:color="auto" w:fill="auto"/>
                        <w:bidi w:val="0"/>
                        <w:spacing w:before="0" w:after="0" w:line="240" w:lineRule="auto"/>
                        <w:ind w:left="0" w:right="0" w:firstLine="0"/>
                        <w:jc w:val="left"/>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38</w:t>
                      </w:r>
                      <w:r>
                        <w:rPr>
                          <w:color w:val="000000"/>
                          <w:spacing w:val="0"/>
                          <w:w w:val="100"/>
                          <w:position w:val="0"/>
                        </w:rPr>
                        <w:t>、合同负债</w:t>
                      </w:r>
                      <w:bookmarkEnd w:id="1449"/>
                      <w:bookmarkEnd w:id="1450"/>
                      <w:bookmarkEnd w:id="1451"/>
                    </w:p>
                  </w:txbxContent>
                </v:textbox>
                <w10:wrap type="topAndBottom" anchorx="page"/>
              </v:shape>
            </w:pict>
          </mc:Fallback>
        </mc:AlternateConten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93" w:right="0" w:bottom="1470" w:left="0" w:header="0" w:footer="3" w:gutter="0"/>
          <w:cols w:space="720"/>
          <w:noEndnote/>
          <w:rtlGutter w:val="0"/>
          <w:docGrid w:linePitch="360"/>
        </w:sectPr>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138,139,604.12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157,134,341.62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50,684,490.34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38,964,309.08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188,824,094.46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196,098,650.70</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4"/>
        <w:keepNext w:val="0"/>
        <w:keepLines w:val="0"/>
        <w:widowControl w:val="0"/>
        <w:shd w:val="clear" w:color="auto" w:fill="auto"/>
        <w:bidi w:val="0"/>
        <w:spacing w:before="0" w:after="0" w:line="240" w:lineRule="auto"/>
        <w:ind w:left="8940" w:right="0" w:firstLine="0"/>
        <w:jc w:val="left"/>
      </w:pPr>
      <w:r>
        <w:rPr>
          <w:color w:val="000000"/>
          <w:spacing w:val="0"/>
          <w:w w:val="100"/>
          <w:position w:val="0"/>
        </w:rPr>
        <w:t>单位：元</w:t>
      </w:r>
    </w:p>
    <w:p>
      <w:pPr>
        <w:widowControl w:val="0"/>
        <w:spacing w:line="1" w:lineRule="exact"/>
      </w:pPr>
      <w:r>
        <mc:AlternateContent>
          <mc:Choice Requires="wps">
            <w:drawing>
              <wp:anchor distT="38100" distB="0" distL="0" distR="0" simplePos="0" relativeHeight="125829478" behindDoc="0" locked="0" layoutInCell="1" allowOverlap="1">
                <wp:simplePos x="0" y="0"/>
                <wp:positionH relativeFrom="page">
                  <wp:posOffset>1279525</wp:posOffset>
                </wp:positionH>
                <wp:positionV relativeFrom="paragraph">
                  <wp:posOffset>38100</wp:posOffset>
                </wp:positionV>
                <wp:extent cx="252730" cy="149225"/>
                <wp:wrapTopAndBottom/>
                <wp:docPr id="893" name="Shape 893"/>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919" type="#_x0000_t202" style="position:absolute;margin-left:100.75pt;margin-top:3.pt;width:19.900000000000002pt;height:11.75pt;z-index:-125829275;mso-wrap-distance-left:0;mso-wrap-distance-top:3.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80" behindDoc="0" locked="0" layoutInCell="1" allowOverlap="1">
                <wp:simplePos x="0" y="0"/>
                <wp:positionH relativeFrom="page">
                  <wp:posOffset>2635885</wp:posOffset>
                </wp:positionH>
                <wp:positionV relativeFrom="paragraph">
                  <wp:posOffset>38100</wp:posOffset>
                </wp:positionV>
                <wp:extent cx="481330" cy="149225"/>
                <wp:wrapTopAndBottom/>
                <wp:docPr id="895" name="Shape 89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变动金额</w:t>
                            </w:r>
                          </w:p>
                        </w:txbxContent>
                      </wps:txbx>
                      <wps:bodyPr wrap="none" lIns="0" tIns="0" rIns="0" bIns="0">
                        <a:noAutoFit/>
                      </wps:bodyPr>
                    </wps:wsp>
                  </a:graphicData>
                </a:graphic>
              </wp:anchor>
            </w:drawing>
          </mc:Choice>
          <mc:Fallback>
            <w:pict>
              <v:shape id="_x0000_s1921" type="#_x0000_t202" style="position:absolute;margin-left:207.55000000000001pt;margin-top:3.pt;width:37.899999999999999pt;height:11.75pt;z-index:-125829273;mso-wrap-distance-left:0;mso-wrap-distance-top:3.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变动金额</w:t>
                      </w:r>
                    </w:p>
                  </w:txbxContent>
                </v:textbox>
                <w10:wrap type="topAndBottom" anchorx="page"/>
              </v:shape>
            </w:pict>
          </mc:Fallback>
        </mc:AlternateContent>
      </w:r>
      <w:r>
        <mc:AlternateContent>
          <mc:Choice Requires="wps">
            <w:drawing>
              <wp:anchor distT="38100" distB="0" distL="0" distR="0" simplePos="0" relativeHeight="125829482" behindDoc="0" locked="0" layoutInCell="1" allowOverlap="1">
                <wp:simplePos x="0" y="0"/>
                <wp:positionH relativeFrom="page">
                  <wp:posOffset>4973955</wp:posOffset>
                </wp:positionH>
                <wp:positionV relativeFrom="paragraph">
                  <wp:posOffset>38100</wp:posOffset>
                </wp:positionV>
                <wp:extent cx="481330" cy="149225"/>
                <wp:wrapTopAndBottom/>
                <wp:docPr id="897" name="Shape 89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变动原因</w:t>
                            </w:r>
                          </w:p>
                        </w:txbxContent>
                      </wps:txbx>
                      <wps:bodyPr wrap="none" lIns="0" tIns="0" rIns="0" bIns="0">
                        <a:noAutoFit/>
                      </wps:bodyPr>
                    </wps:wsp>
                  </a:graphicData>
                </a:graphic>
              </wp:anchor>
            </w:drawing>
          </mc:Choice>
          <mc:Fallback>
            <w:pict>
              <v:shape id="_x0000_s1923" type="#_x0000_t202" style="position:absolute;margin-left:391.65000000000003pt;margin-top:3.pt;width:37.899999999999999pt;height:11.75pt;z-index:-125829271;mso-wrap-distance-left:0;mso-wrap-distance-top:3.pt;mso-wrap-distance-right:0;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变动原因</w:t>
                      </w:r>
                    </w:p>
                  </w:txbxContent>
                </v:textbox>
                <w10:wrap type="topAndBottom" anchorx="page"/>
              </v:shape>
            </w:pict>
          </mc:Fallback>
        </mc:AlternateContent>
      </w:r>
    </w:p>
    <w:p>
      <w:pPr>
        <w:pStyle w:val="Style38"/>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39</w:t>
      </w:r>
      <w:r>
        <w:rPr>
          <w:color w:val="000000"/>
          <w:spacing w:val="0"/>
          <w:w w:val="100"/>
          <w:position w:val="0"/>
        </w:rPr>
        <w:t>、应付职工薪酬</w:t>
      </w:r>
      <w:bookmarkEnd w:id="1459"/>
      <w:bookmarkEnd w:id="1460"/>
      <w:bookmarkEnd w:id="1461"/>
    </w:p>
    <w:p>
      <w:pPr>
        <w:pStyle w:val="Style38"/>
        <w:keepNext/>
        <w:keepLines/>
        <w:widowControl w:val="0"/>
        <w:numPr>
          <w:ilvl w:val="0"/>
          <w:numId w:val="143"/>
        </w:numPr>
        <w:shd w:val="clear" w:color="auto" w:fill="auto"/>
        <w:bidi w:val="0"/>
        <w:spacing w:before="0" w:line="240" w:lineRule="auto"/>
        <w:ind w:left="0" w:right="0" w:firstLine="140"/>
        <w:jc w:val="left"/>
      </w:pPr>
      <w:bookmarkStart w:id="1459" w:name="bookmark1459"/>
      <w:bookmarkStart w:id="1460" w:name="bookmark1460"/>
      <w:bookmarkStart w:id="1462" w:name="bookmark1462"/>
      <w:bookmarkStart w:id="1463" w:name="bookmark1463"/>
      <w:bookmarkEnd w:id="1462"/>
      <w:r>
        <w:rPr>
          <w:color w:val="000000"/>
          <w:spacing w:val="0"/>
          <w:w w:val="100"/>
          <w:position w:val="0"/>
        </w:rPr>
        <w:t>应付职工薪酬列示</w:t>
      </w:r>
      <w:bookmarkEnd w:id="1459"/>
      <w:bookmarkEnd w:id="1460"/>
      <w:bookmarkEnd w:id="146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34,161,139.12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592,736,908.16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588,971,282.20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37,926,765.08</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2,268,563.48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12,275,381.08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13,534,700.90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1,009,243.66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50,406.24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833,259.00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883,665.24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36,480,108.84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605,845,548.24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603,389,648.34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38,936,008.74</w:t>
            </w:r>
          </w:p>
        </w:tc>
      </w:tr>
    </w:tbl>
    <w:p>
      <w:pPr>
        <w:widowControl w:val="0"/>
        <w:spacing w:after="359" w:line="1" w:lineRule="exact"/>
      </w:pPr>
    </w:p>
    <w:p>
      <w:pPr>
        <w:pStyle w:val="Style38"/>
        <w:keepNext/>
        <w:keepLines/>
        <w:widowControl w:val="0"/>
        <w:numPr>
          <w:ilvl w:val="0"/>
          <w:numId w:val="143"/>
        </w:numPr>
        <w:shd w:val="clear" w:color="auto" w:fill="auto"/>
        <w:bidi w:val="0"/>
        <w:spacing w:before="0" w:line="240" w:lineRule="auto"/>
        <w:ind w:left="0" w:right="0" w:firstLine="14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短期薪酬列示</w:t>
      </w:r>
      <w:bookmarkEnd w:id="1464"/>
      <w:bookmarkEnd w:id="1465"/>
      <w:bookmarkEnd w:id="1467"/>
    </w:p>
    <w:p>
      <w:pPr>
        <w:pStyle w:val="Style34"/>
        <w:keepNext w:val="0"/>
        <w:keepLines w:val="0"/>
        <w:widowControl w:val="0"/>
        <w:shd w:val="clear" w:color="auto" w:fill="auto"/>
        <w:bidi w:val="0"/>
        <w:spacing w:before="0" w:after="360" w:line="240" w:lineRule="auto"/>
        <w:ind w:left="0" w:right="0" w:firstLine="0"/>
        <w:jc w:val="right"/>
        <w:sectPr>
          <w:footnotePr>
            <w:pos w:val="pageBottom"/>
            <w:numFmt w:val="decimal"/>
            <w:numRestart w:val="continuous"/>
          </w:footnotePr>
          <w:type w:val="continuous"/>
          <w:pgSz w:w="11900" w:h="16840"/>
          <w:pgMar w:top="1393" w:right="580" w:bottom="1470" w:left="544"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30,866,609.79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540,001,127.51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536,039,819.83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34,827,917.47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1,541,970.62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1,541,970.62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1,512,424.98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21,281,627.43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21,156,386.51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1,637,665.90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1,349,753.64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19,829,247.64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19,608,000.84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1,571,000.44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43,417.73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210,259.29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235,552.59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18,124.43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119,253.61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1,242,120.50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1,312,833.08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48,541.03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1,677,070.38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28,057,286.63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28,452,010.62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1,282,346.39</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2,784.31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447.76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、其他短期薪酬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104,302.00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1,852,395.87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1,778,310.31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178,387.56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34,161,139.12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592,736,908.16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588,971,282.20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37,926,765.08</w:t>
            </w:r>
          </w:p>
        </w:tc>
      </w:tr>
    </w:tbl>
    <w:p>
      <w:pPr>
        <w:widowControl w:val="0"/>
        <w:spacing w:after="319" w:line="1" w:lineRule="exact"/>
      </w:pPr>
    </w:p>
    <w:p>
      <w:pPr>
        <w:pStyle w:val="Style38"/>
        <w:keepNext/>
        <w:keepLines/>
        <w:widowControl w:val="0"/>
        <w:numPr>
          <w:ilvl w:val="0"/>
          <w:numId w:val="143"/>
        </w:numPr>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设定提存计划列示</w:t>
      </w:r>
      <w:bookmarkEnd w:id="1468"/>
      <w:bookmarkEnd w:id="1469"/>
      <w:bookmarkEnd w:id="147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2,177,001.88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11,764,534.94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12,977,224.14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964,312.68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91,561.60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510,846.14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557,476.76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44,930.98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2,268,563.48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12,275,381.08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13,534,700.90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1,009,243.66</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2"/>
        <w:keepNext w:val="0"/>
        <w:keepLines w:val="0"/>
        <w:widowControl w:val="0"/>
        <w:numPr>
          <w:ilvl w:val="0"/>
          <w:numId w:val="145"/>
        </w:numPr>
        <w:shd w:val="clear" w:color="auto" w:fill="auto"/>
        <w:tabs>
          <w:tab w:pos="798" w:val="left"/>
        </w:tabs>
        <w:bidi w:val="0"/>
        <w:spacing w:before="0" w:after="100" w:line="240" w:lineRule="auto"/>
        <w:ind w:left="0" w:right="0" w:firstLine="440"/>
        <w:jc w:val="left"/>
      </w:pPr>
      <w:bookmarkStart w:id="1472" w:name="bookmark1472"/>
      <w:bookmarkEnd w:id="1472"/>
      <w:r>
        <w:rPr>
          <w:b w:val="0"/>
          <w:bCs w:val="0"/>
          <w:color w:val="000000"/>
          <w:spacing w:val="0"/>
          <w:w w:val="100"/>
          <w:position w:val="0"/>
        </w:rPr>
        <w:t>应付职工薪酬期末数中无拖欠性质的职工薪酬。</w:t>
      </w:r>
    </w:p>
    <w:p>
      <w:pPr>
        <w:pStyle w:val="Style62"/>
        <w:keepNext w:val="0"/>
        <w:keepLines w:val="0"/>
        <w:widowControl w:val="0"/>
        <w:numPr>
          <w:ilvl w:val="0"/>
          <w:numId w:val="145"/>
        </w:numPr>
        <w:shd w:val="clear" w:color="auto" w:fill="auto"/>
        <w:tabs>
          <w:tab w:pos="798" w:val="left"/>
        </w:tabs>
        <w:bidi w:val="0"/>
        <w:spacing w:before="0" w:after="680" w:line="240" w:lineRule="auto"/>
        <w:ind w:left="0" w:right="0" w:firstLine="440"/>
        <w:jc w:val="left"/>
      </w:pPr>
      <w:bookmarkStart w:id="1473" w:name="bookmark1473"/>
      <w:bookmarkEnd w:id="1473"/>
      <w:r>
        <w:rPr>
          <w:b w:val="0"/>
          <w:bCs w:val="0"/>
          <w:color w:val="000000"/>
          <w:spacing w:val="0"/>
          <w:w w:val="100"/>
          <w:position w:val="0"/>
        </w:rPr>
        <w:t>公司参与的设定提存计划为基本养老保险和失业保险，按照当地规定比例进行缴纳。</w:t>
      </w:r>
    </w:p>
    <w:p>
      <w:pPr>
        <w:pStyle w:val="Style38"/>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74"/>
      <w:bookmarkEnd w:id="1475"/>
      <w:bookmarkEnd w:id="1477"/>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23,301,025.24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13,993,461.22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1,345,486.38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5,347,520.50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2,455,577.86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2,261,374.98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468,608.02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479,075.16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366,778.09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44,830.53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213,666.11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213,673.35</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142,444.08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142,448.89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28,293,585.78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22,482,409.67</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62"/>
        <w:keepNext w:val="0"/>
        <w:keepLines w:val="0"/>
        <w:widowControl w:val="0"/>
        <w:shd w:val="clear" w:color="auto" w:fill="auto"/>
        <w:bidi w:val="0"/>
        <w:spacing w:before="0" w:line="240" w:lineRule="auto"/>
        <w:ind w:left="0" w:right="0" w:firstLine="0"/>
        <w:jc w:val="both"/>
      </w:pPr>
      <w:r>
        <w:rPr>
          <w:b w:val="0"/>
          <w:bCs w:val="0"/>
          <w:color w:val="000000"/>
          <w:spacing w:val="0"/>
          <w:w w:val="100"/>
          <w:position w:val="0"/>
        </w:rPr>
        <w:t>外币应交税费情况详见附注五</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五十四</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外币货币性项目''之说明。</w:t>
      </w:r>
    </w:p>
    <w:p>
      <w:pPr>
        <w:pStyle w:val="Style38"/>
        <w:keepNext/>
        <w:keepLines/>
        <w:widowControl w:val="0"/>
        <w:shd w:val="clear" w:color="auto" w:fill="auto"/>
        <w:bidi w:val="0"/>
        <w:spacing w:before="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4</w:t>
      </w:r>
      <w:bookmarkEnd w:id="148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78"/>
      <w:bookmarkEnd w:id="1479"/>
      <w:bookmarkEnd w:id="148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3,174,111.72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35,223,416.95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3,174,111.72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35,223,416.95</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14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w:t>
      </w:r>
      <w:bookmarkEnd w:id="1484"/>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82"/>
      <w:bookmarkEnd w:id="1483"/>
      <w:bookmarkEnd w:id="148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86"/>
      <w:bookmarkEnd w:id="1487"/>
      <w:bookmarkEnd w:id="148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8"/>
        <w:keepNext/>
        <w:keepLines/>
        <w:widowControl w:val="0"/>
        <w:shd w:val="clear" w:color="auto" w:fill="auto"/>
        <w:bidi w:val="0"/>
        <w:spacing w:before="0" w:line="240" w:lineRule="auto"/>
        <w:ind w:left="0" w:right="0" w:firstLine="0"/>
        <w:jc w:val="both"/>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90"/>
      <w:bookmarkEnd w:id="1491"/>
      <w:bookmarkEnd w:id="1493"/>
    </w:p>
    <w:p>
      <w:pPr>
        <w:pStyle w:val="Style38"/>
        <w:keepNext/>
        <w:keepLines/>
        <w:widowControl w:val="0"/>
        <w:shd w:val="clear" w:color="auto" w:fill="auto"/>
        <w:bidi w:val="0"/>
        <w:spacing w:before="0" w:line="240" w:lineRule="auto"/>
        <w:ind w:left="0" w:right="0" w:firstLine="0"/>
        <w:jc w:val="both"/>
      </w:pPr>
      <w:bookmarkStart w:id="1490" w:name="bookmark1490"/>
      <w:bookmarkStart w:id="1491" w:name="bookmark1491"/>
      <w:bookmarkStart w:id="1494" w:name="bookmark1494"/>
      <w:bookmarkStart w:id="1495" w:name="bookmark1495"/>
      <w:r>
        <w:rPr>
          <w:rFonts w:ascii="Times New Roman" w:eastAsia="Times New Roman" w:hAnsi="Times New Roman" w:cs="Times New Roman"/>
          <w:color w:val="000000"/>
          <w:spacing w:val="0"/>
          <w:w w:val="100"/>
          <w:position w:val="0"/>
        </w:rPr>
        <w:t>1</w:t>
      </w:r>
      <w:bookmarkEnd w:id="1494"/>
      <w:r>
        <w:rPr>
          <w:color w:val="000000"/>
          <w:spacing w:val="0"/>
          <w:w w:val="100"/>
          <w:position w:val="0"/>
        </w:rPr>
        <w:t>）按款项性质列示其他应付款</w:t>
      </w:r>
      <w:bookmarkEnd w:id="1490"/>
      <w:bookmarkEnd w:id="1491"/>
      <w:bookmarkEnd w:id="149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社保公积金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2,491,580.60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2,475,613.56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253,450.00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32,097,396.18</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679,131.12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396,957.21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3,174,111.72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35,223,416.95</w:t>
            </w:r>
          </w:p>
        </w:tc>
      </w:tr>
    </w:tbl>
    <w:p>
      <w:pPr>
        <w:pStyle w:val="Style38"/>
        <w:keepNext/>
        <w:keepLines/>
        <w:widowControl w:val="0"/>
        <w:numPr>
          <w:ilvl w:val="0"/>
          <w:numId w:val="147"/>
        </w:numPr>
        <w:shd w:val="clear" w:color="auto" w:fill="auto"/>
        <w:bidi w:val="0"/>
        <w:spacing w:before="0" w:line="240" w:lineRule="auto"/>
        <w:ind w:left="0" w:right="0" w:firstLine="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96"/>
      <w:bookmarkEnd w:id="1497"/>
      <w:bookmarkEnd w:id="1499"/>
    </w:p>
    <w:p>
      <w:pPr>
        <w:pStyle w:val="Style34"/>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5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680" w:line="240" w:lineRule="auto"/>
        <w:ind w:left="0" w:right="0" w:firstLine="0"/>
        <w:jc w:val="left"/>
      </w:pPr>
      <w:r>
        <w:rPr>
          <w:b w:val="0"/>
          <w:bCs w:val="0"/>
          <w:color w:val="000000"/>
          <w:spacing w:val="0"/>
          <w:w w:val="100"/>
          <w:position w:val="0"/>
        </w:rPr>
        <w:t>期末无账龄超过</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年的大额其他应付款。</w:t>
      </w:r>
    </w:p>
    <w:p>
      <w:pPr>
        <w:pStyle w:val="Style38"/>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00"/>
      <w:bookmarkEnd w:id="1501"/>
      <w:bookmarkEnd w:id="1503"/>
    </w:p>
    <w:p>
      <w:pPr>
        <w:pStyle w:val="Style34"/>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5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04"/>
      <w:bookmarkEnd w:id="1505"/>
      <w:bookmarkEnd w:id="1507"/>
    </w:p>
    <w:p>
      <w:pPr>
        <w:pStyle w:val="Style34"/>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15,666,800.00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179,143,615.66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150,069,344.17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187,943,615.66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165,736,144.17</w:t>
            </w:r>
          </w:p>
        </w:tc>
      </w:tr>
    </w:tbl>
    <w:p>
      <w:pPr>
        <w:widowControl w:val="0"/>
        <w:spacing w:after="5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2"/>
        <w:keepNext w:val="0"/>
        <w:keepLines w:val="0"/>
        <w:widowControl w:val="0"/>
        <w:numPr>
          <w:ilvl w:val="0"/>
          <w:numId w:val="149"/>
        </w:numPr>
        <w:shd w:val="clear" w:color="auto" w:fill="auto"/>
        <w:tabs>
          <w:tab w:pos="766" w:val="left"/>
        </w:tabs>
        <w:bidi w:val="0"/>
        <w:spacing w:before="0" w:after="60" w:line="240" w:lineRule="auto"/>
        <w:ind w:left="0" w:right="0" w:firstLine="440"/>
        <w:jc w:val="left"/>
      </w:pPr>
      <w:bookmarkStart w:id="1508" w:name="bookmark1508"/>
      <w:bookmarkEnd w:id="1508"/>
      <w:r>
        <w:rPr>
          <w:b w:val="0"/>
          <w:bCs w:val="0"/>
          <w:color w:val="000000"/>
          <w:spacing w:val="0"/>
          <w:w w:val="100"/>
          <w:position w:val="0"/>
        </w:rPr>
        <w:t>一年内到期的长期借款</w:t>
      </w:r>
    </w:p>
    <w:p>
      <w:pPr>
        <w:pStyle w:val="Style62"/>
        <w:keepNext w:val="0"/>
        <w:keepLines w:val="0"/>
        <w:widowControl w:val="0"/>
        <w:numPr>
          <w:ilvl w:val="0"/>
          <w:numId w:val="151"/>
        </w:numPr>
        <w:shd w:val="clear" w:color="auto" w:fill="auto"/>
        <w:bidi w:val="0"/>
        <w:spacing w:before="0" w:after="60" w:line="240" w:lineRule="auto"/>
        <w:ind w:left="0" w:right="0" w:firstLine="360"/>
        <w:jc w:val="left"/>
      </w:pPr>
      <w:bookmarkStart w:id="1509" w:name="bookmark1509"/>
      <w:bookmarkEnd w:id="1509"/>
      <w:r>
        <w:rPr>
          <w:b w:val="0"/>
          <w:bCs w:val="0"/>
          <w:color w:val="000000"/>
          <w:spacing w:val="0"/>
          <w:w w:val="100"/>
          <w:position w:val="0"/>
        </w:rPr>
        <w:t>明细情况</w:t>
      </w:r>
    </w:p>
    <w:p>
      <w:pPr>
        <w:pStyle w:val="Style62"/>
        <w:keepNext w:val="0"/>
        <w:keepLines w:val="0"/>
        <w:widowControl w:val="0"/>
        <w:shd w:val="clear" w:color="auto" w:fill="auto"/>
        <w:bidi w:val="0"/>
        <w:spacing w:before="0" w:after="60" w:line="240" w:lineRule="auto"/>
        <w:ind w:left="8600" w:right="0" w:firstLine="0"/>
        <w:jc w:val="lef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借款类别</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期初数</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15,666,800.00</w:t>
            </w:r>
          </w:p>
        </w:tc>
      </w:tr>
    </w:tbl>
    <w:p>
      <w:pPr>
        <w:widowControl w:val="0"/>
        <w:spacing w:after="359" w:line="1" w:lineRule="exact"/>
      </w:pPr>
    </w:p>
    <w:p>
      <w:pPr>
        <w:pStyle w:val="Style62"/>
        <w:keepNext w:val="0"/>
        <w:keepLines w:val="0"/>
        <w:widowControl w:val="0"/>
        <w:numPr>
          <w:ilvl w:val="0"/>
          <w:numId w:val="151"/>
        </w:numPr>
        <w:shd w:val="clear" w:color="auto" w:fill="auto"/>
        <w:bidi w:val="0"/>
        <w:spacing w:before="0" w:after="60" w:line="240" w:lineRule="auto"/>
        <w:ind w:left="0" w:right="0" w:firstLine="440"/>
        <w:jc w:val="left"/>
      </w:pPr>
      <w:bookmarkStart w:id="1510" w:name="bookmark1510"/>
      <w:bookmarkEnd w:id="1510"/>
      <w:r>
        <w:rPr>
          <w:b w:val="0"/>
          <w:bCs w:val="0"/>
          <w:color w:val="000000"/>
          <w:spacing w:val="0"/>
          <w:w w:val="100"/>
          <w:position w:val="0"/>
        </w:rPr>
        <w:t>金额前</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名的一年内到期的长期借款</w:t>
      </w:r>
    </w:p>
    <w:p>
      <w:pPr>
        <w:pStyle w:val="Style62"/>
        <w:keepNext w:val="0"/>
        <w:keepLines w:val="0"/>
        <w:widowControl w:val="0"/>
        <w:shd w:val="clear" w:color="auto" w:fill="auto"/>
        <w:bidi w:val="0"/>
        <w:spacing w:before="0" w:after="60" w:line="240" w:lineRule="auto"/>
        <w:ind w:left="8600" w:right="0" w:firstLine="0"/>
        <w:jc w:val="left"/>
      </w:pPr>
      <w:r>
        <w:rPr>
          <w:b w:val="0"/>
          <w:bCs w:val="0"/>
          <w:color w:val="000000"/>
          <w:spacing w:val="0"/>
          <w:w w:val="100"/>
          <w:position w:val="0"/>
        </w:rPr>
        <w:t>单位：元</w:t>
      </w:r>
    </w:p>
    <w:tbl>
      <w:tblPr>
        <w:tblOverlap w:val="never"/>
        <w:jc w:val="center"/>
        <w:tblLayout w:type="fixed"/>
      </w:tblPr>
      <w:tblGrid>
        <w:gridCol w:w="1253"/>
        <w:gridCol w:w="1162"/>
        <w:gridCol w:w="1157"/>
        <w:gridCol w:w="600"/>
        <w:gridCol w:w="653"/>
        <w:gridCol w:w="1022"/>
        <w:gridCol w:w="1498"/>
        <w:gridCol w:w="1114"/>
        <w:gridCol w:w="1118"/>
      </w:tblGrid>
      <w:tr>
        <w:trPr>
          <w:trHeight w:val="355" w:hRule="exact"/>
        </w:trPr>
        <w:tc>
          <w:tcPr>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贷款单位</w:t>
            </w:r>
          </w:p>
        </w:tc>
        <w:tc>
          <w:tcPr>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借款到期日</w:t>
            </w:r>
          </w:p>
        </w:tc>
        <w:tc>
          <w:tcPr>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both"/>
            </w:pPr>
            <w:r>
              <w:rPr>
                <w:color w:val="000000"/>
                <w:spacing w:val="0"/>
                <w:w w:val="100"/>
                <w:position w:val="0"/>
              </w:rPr>
              <w:t>币种</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年利率</w:t>
            </w:r>
          </w:p>
          <w:p>
            <w:pPr>
              <w:pStyle w:val="Style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原币金额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原币金额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人民币金额</w:t>
            </w:r>
          </w:p>
        </w:tc>
      </w:tr>
      <w:tr>
        <w:trPr>
          <w:trHeight w:val="66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南洋商业银行</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2020-6-30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2023-6-30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8,800,000.00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62"/>
        <w:keepNext w:val="0"/>
        <w:keepLines w:val="0"/>
        <w:widowControl w:val="0"/>
        <w:numPr>
          <w:ilvl w:val="0"/>
          <w:numId w:val="151"/>
        </w:numPr>
        <w:shd w:val="clear" w:color="auto" w:fill="auto"/>
        <w:bidi w:val="0"/>
        <w:spacing w:before="0" w:after="60" w:line="240" w:lineRule="auto"/>
        <w:ind w:left="0" w:right="0" w:firstLine="260"/>
        <w:jc w:val="left"/>
      </w:pPr>
      <w:bookmarkStart w:id="1511" w:name="bookmark1511"/>
      <w:bookmarkEnd w:id="1511"/>
      <w:r>
        <w:rPr>
          <w:b w:val="0"/>
          <w:bCs w:val="0"/>
          <w:color w:val="000000"/>
          <w:spacing w:val="0"/>
          <w:w w:val="100"/>
          <w:position w:val="0"/>
        </w:rPr>
        <w:t>期末无逾期的一年内到期的长期借款。</w:t>
      </w:r>
    </w:p>
    <w:p>
      <w:pPr>
        <w:pStyle w:val="Style62"/>
        <w:keepNext w:val="0"/>
        <w:keepLines w:val="0"/>
        <w:widowControl w:val="0"/>
        <w:shd w:val="clear" w:color="auto" w:fill="auto"/>
        <w:bidi w:val="0"/>
        <w:spacing w:before="0" w:line="240" w:lineRule="auto"/>
        <w:ind w:left="0" w:right="0" w:firstLine="18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一年内到期的长期应付款</w:t>
      </w:r>
    </w:p>
    <w:p>
      <w:pPr>
        <w:pStyle w:val="Style62"/>
        <w:keepNext w:val="0"/>
        <w:keepLines w:val="0"/>
        <w:widowControl w:val="0"/>
        <w:shd w:val="clear" w:color="auto" w:fill="auto"/>
        <w:bidi w:val="0"/>
        <w:spacing w:before="0" w:after="60" w:line="240" w:lineRule="auto"/>
        <w:ind w:left="8600" w:right="0" w:firstLine="0"/>
        <w:jc w:val="left"/>
      </w:pPr>
      <w:r>
        <w:rPr>
          <w:b w:val="0"/>
          <w:bCs w:val="0"/>
          <w:color w:val="000000"/>
          <w:spacing w:val="0"/>
          <w:w w:val="100"/>
          <w:position w:val="0"/>
        </w:rPr>
        <w:t>单位：元</w:t>
      </w:r>
    </w:p>
    <w:tbl>
      <w:tblPr>
        <w:tblOverlap w:val="never"/>
        <w:jc w:val="center"/>
        <w:tblLayout w:type="fixed"/>
      </w:tblPr>
      <w:tblGrid>
        <w:gridCol w:w="1282"/>
        <w:gridCol w:w="1238"/>
        <w:gridCol w:w="1627"/>
        <w:gridCol w:w="960"/>
        <w:gridCol w:w="1714"/>
        <w:gridCol w:w="1709"/>
        <w:gridCol w:w="941"/>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应付单位名称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付款期限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初始金额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未确认融资费用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借款条件</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五莲恒力智信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出具</w:t>
            </w: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145,058,292.39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1,573,847.88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143,484,444.51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r>
    </w:tbl>
    <w:p>
      <w:pPr>
        <w:widowControl w:val="0"/>
        <w:spacing w:line="1" w:lineRule="exact"/>
        <w:sectPr>
          <w:headerReference w:type="default" r:id="rId205"/>
          <w:footerReference w:type="default" r:id="rId206"/>
          <w:headerReference w:type="even" r:id="rId207"/>
          <w:footerReference w:type="even" r:id="rId208"/>
          <w:footnotePr>
            <w:pos w:val="pageBottom"/>
            <w:numFmt w:val="decimal"/>
            <w:numRestart w:val="continuous"/>
          </w:footnotePr>
          <w:pgSz w:w="11900" w:h="16840"/>
          <w:pgMar w:top="1393" w:right="580" w:bottom="1470" w:left="544" w:header="0" w:footer="3" w:gutter="0"/>
          <w:cols w:space="720"/>
          <w:noEndnote/>
          <w:rtlGutter w:val="0"/>
          <w:docGrid w:linePitch="360"/>
        </w:sectPr>
      </w:pPr>
    </w:p>
    <w:tbl>
      <w:tblPr>
        <w:tblOverlap w:val="never"/>
        <w:jc w:val="center"/>
        <w:tblLayout w:type="fixed"/>
      </w:tblPr>
      <w:tblGrid>
        <w:gridCol w:w="1282"/>
        <w:gridCol w:w="1238"/>
        <w:gridCol w:w="1627"/>
        <w:gridCol w:w="965"/>
        <w:gridCol w:w="1709"/>
        <w:gridCol w:w="1709"/>
        <w:gridCol w:w="941"/>
      </w:tblGrid>
      <w:tr>
        <w:trPr>
          <w:trHeight w:val="66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股权投资合伙 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审计报告后十 个工作日</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color w:val="000000"/>
                <w:spacing w:val="0"/>
                <w:w w:val="100"/>
                <w:position w:val="0"/>
              </w:rPr>
              <w:t>出具</w:t>
            </w:r>
            <w:r>
              <w:rPr>
                <w:rFonts w:ascii="Times New Roman" w:eastAsia="Times New Roman" w:hAnsi="Times New Roman" w:cs="Times New Roman"/>
                <w:color w:val="000000"/>
                <w:spacing w:val="0"/>
                <w:w w:val="100"/>
                <w:position w:val="0"/>
              </w:rPr>
              <w:t>2020</w:t>
            </w:r>
            <w:r>
              <w:rPr>
                <w:color w:val="000000"/>
                <w:spacing w:val="0"/>
                <w:w w:val="100"/>
                <w:position w:val="0"/>
              </w:rPr>
              <w:t>年度 审计报告后十 个工作日</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1,465,235.28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15,897.45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1,449,337.83</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r>
      <w:tr>
        <w:trPr>
          <w:trHeight w:val="97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海南欢乐坚果 信息咨询中心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867,735.00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100" w:after="0" w:line="240" w:lineRule="auto"/>
              <w:ind w:left="16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867,735.00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r>
      <w:tr>
        <w:trPr>
          <w:trHeight w:val="9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北京文化科技 融资租赁股份 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2021-3-15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8,333,333.33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8,333,333.33</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r>
      <w:tr>
        <w:trPr>
          <w:trHeight w:val="9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北京文化科技 融资租赁股份 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2021-6-15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8,333,333.33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8,333,333.33</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r>
      <w:tr>
        <w:trPr>
          <w:trHeight w:val="97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北京文化科技 融资租赁股份 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2021-9-15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8,333,333.33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8,333,333.33</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r>
      <w:tr>
        <w:trPr>
          <w:trHeight w:val="9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北京文化科技 融资租赁股份 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2021-12-15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8,333,333.33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8,333,333.33</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180,733,360.99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179,143,615.66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8"/>
        <w:keepNext/>
        <w:keepLines/>
        <w:widowControl w:val="0"/>
        <w:shd w:val="clear" w:color="auto" w:fill="auto"/>
        <w:bidi w:val="0"/>
        <w:spacing w:before="0" w:after="380" w:line="240" w:lineRule="auto"/>
        <w:ind w:left="0" w:right="0" w:firstLine="0"/>
        <w:jc w:val="both"/>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12"/>
      <w:bookmarkEnd w:id="1513"/>
      <w:bookmarkEnd w:id="1515"/>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15,752,899.51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34,372,911.83</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15,752,899.51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34,372,911.83</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16"/>
      <w:bookmarkEnd w:id="1517"/>
      <w:bookmarkEnd w:id="1519"/>
    </w:p>
    <w:p>
      <w:pPr>
        <w:pStyle w:val="Style38"/>
        <w:keepNext/>
        <w:keepLines/>
        <w:widowControl w:val="0"/>
        <w:shd w:val="clear" w:color="auto" w:fill="auto"/>
        <w:bidi w:val="0"/>
        <w:spacing w:before="0" w:after="380" w:line="240" w:lineRule="auto"/>
        <w:ind w:left="0" w:right="0" w:firstLine="0"/>
        <w:jc w:val="both"/>
      </w:pPr>
      <w:bookmarkStart w:id="1516" w:name="bookmark1516"/>
      <w:bookmarkStart w:id="1517" w:name="bookmark1517"/>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16"/>
      <w:bookmarkEnd w:id="1517"/>
      <w:bookmarkEnd w:id="1521"/>
    </w:p>
    <w:p>
      <w:pPr>
        <w:pStyle w:val="Style34"/>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39,600,000.00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15,666,800.00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15,666,800.00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30,800,000.00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39" w:line="1" w:lineRule="exact"/>
      </w:pPr>
    </w:p>
    <w:p>
      <w:pPr>
        <w:pStyle w:val="Style62"/>
        <w:keepNext w:val="0"/>
        <w:keepLines w:val="0"/>
        <w:widowControl w:val="0"/>
        <w:shd w:val="clear" w:color="auto" w:fill="auto"/>
        <w:bidi w:val="0"/>
        <w:spacing w:before="0" w:after="440" w:line="310" w:lineRule="exact"/>
        <w:ind w:left="0" w:right="0" w:firstLine="440"/>
        <w:jc w:val="both"/>
      </w:pPr>
      <w:r>
        <w:rPr>
          <w:b w:val="0"/>
          <w:bCs w:val="0"/>
          <w:color w:val="000000"/>
          <w:spacing w:val="0"/>
          <w:w w:val="100"/>
          <w:position w:val="0"/>
        </w:rPr>
        <w:t>期末质押借款系本公司从南洋商业银行</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中国</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有限公司借入人民币</w:t>
      </w:r>
      <w:r>
        <w:rPr>
          <w:rFonts w:ascii="Times New Roman" w:eastAsia="Times New Roman" w:hAnsi="Times New Roman" w:cs="Times New Roman"/>
          <w:b w:val="0"/>
          <w:bCs w:val="0"/>
          <w:color w:val="000000"/>
          <w:spacing w:val="0"/>
          <w:w w:val="100"/>
          <w:position w:val="0"/>
        </w:rPr>
        <w:t>44,000,000.00</w:t>
      </w:r>
      <w:r>
        <w:rPr>
          <w:b w:val="0"/>
          <w:bCs w:val="0"/>
          <w:color w:val="000000"/>
          <w:spacing w:val="0"/>
          <w:w w:val="100"/>
          <w:position w:val="0"/>
        </w:rPr>
        <w:t>元，利率为</w:t>
      </w:r>
      <w:r>
        <w:rPr>
          <w:rFonts w:ascii="Times New Roman" w:eastAsia="Times New Roman" w:hAnsi="Times New Roman" w:cs="Times New Roman"/>
          <w:b w:val="0"/>
          <w:bCs w:val="0"/>
          <w:color w:val="000000"/>
          <w:spacing w:val="0"/>
          <w:w w:val="100"/>
          <w:position w:val="0"/>
        </w:rPr>
        <w:t>6.15%</w:t>
      </w:r>
      <w:r>
        <w:rPr>
          <w:b w:val="0"/>
          <w:bCs w:val="0"/>
          <w:color w:val="000000"/>
          <w:spacing w:val="0"/>
          <w:w w:val="100"/>
          <w:position w:val="0"/>
        </w:rPr>
        <w:t>，借 款期限为</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30</w:t>
      </w:r>
      <w:r>
        <w:rPr>
          <w:b w:val="0"/>
          <w:bCs w:val="0"/>
          <w:color w:val="000000"/>
          <w:spacing w:val="0"/>
          <w:w w:val="100"/>
          <w:position w:val="0"/>
        </w:rPr>
        <w:t>日至</w:t>
      </w:r>
      <w:r>
        <w:rPr>
          <w:rFonts w:ascii="Times New Roman" w:eastAsia="Times New Roman" w:hAnsi="Times New Roman" w:cs="Times New Roman"/>
          <w:b w:val="0"/>
          <w:bCs w:val="0"/>
          <w:color w:val="000000"/>
          <w:spacing w:val="0"/>
          <w:w w:val="100"/>
          <w:position w:val="0"/>
        </w:rPr>
        <w:t>2023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30</w:t>
      </w:r>
      <w:r>
        <w:rPr>
          <w:b w:val="0"/>
          <w:bCs w:val="0"/>
          <w:color w:val="000000"/>
          <w:spacing w:val="0"/>
          <w:w w:val="100"/>
          <w:position w:val="0"/>
        </w:rPr>
        <w:t>日。截止</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日，该笔借款已偿还</w:t>
      </w:r>
      <w:r>
        <w:rPr>
          <w:rFonts w:ascii="Times New Roman" w:eastAsia="Times New Roman" w:hAnsi="Times New Roman" w:cs="Times New Roman"/>
          <w:b w:val="0"/>
          <w:bCs w:val="0"/>
          <w:color w:val="000000"/>
          <w:spacing w:val="0"/>
          <w:w w:val="100"/>
          <w:position w:val="0"/>
        </w:rPr>
        <w:t>4,400,000.00</w:t>
      </w:r>
      <w:r>
        <w:rPr>
          <w:b w:val="0"/>
          <w:bCs w:val="0"/>
          <w:color w:val="000000"/>
          <w:spacing w:val="0"/>
          <w:w w:val="100"/>
          <w:position w:val="0"/>
        </w:rPr>
        <w:t xml:space="preserve">元，剩余 </w:t>
      </w:r>
      <w:r>
        <w:rPr>
          <w:rFonts w:ascii="Times New Roman" w:eastAsia="Times New Roman" w:hAnsi="Times New Roman" w:cs="Times New Roman"/>
          <w:b w:val="0"/>
          <w:bCs w:val="0"/>
          <w:color w:val="000000"/>
          <w:spacing w:val="0"/>
          <w:w w:val="100"/>
          <w:position w:val="0"/>
        </w:rPr>
        <w:t>39,600,000.00</w:t>
      </w:r>
      <w:r>
        <w:rPr>
          <w:b w:val="0"/>
          <w:bCs w:val="0"/>
          <w:color w:val="000000"/>
          <w:spacing w:val="0"/>
          <w:w w:val="100"/>
          <w:position w:val="0"/>
        </w:rPr>
        <w:t>元尚未还款，其中</w:t>
      </w:r>
      <w:r>
        <w:rPr>
          <w:rFonts w:ascii="Times New Roman" w:eastAsia="Times New Roman" w:hAnsi="Times New Roman" w:cs="Times New Roman"/>
          <w:b w:val="0"/>
          <w:bCs w:val="0"/>
          <w:color w:val="000000"/>
          <w:spacing w:val="0"/>
          <w:w w:val="100"/>
          <w:position w:val="0"/>
        </w:rPr>
        <w:t>8,800,000.00</w:t>
      </w:r>
      <w:r>
        <w:rPr>
          <w:b w:val="0"/>
          <w:bCs w:val="0"/>
          <w:color w:val="000000"/>
          <w:spacing w:val="0"/>
          <w:w w:val="100"/>
          <w:position w:val="0"/>
        </w:rPr>
        <w:t>元将于一年内到期。该笔借款系用于公司一般流动资金用途。 担保情况：</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本公司签订《最高额抵押合同》，将本公司不动产抵押给南洋商业银行</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中国</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有限公司并为 本公司提供</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亿元担保；</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本公司的母公司鹰潭市鹰高投资咨询有限公司将本公司</w:t>
      </w:r>
      <w:r>
        <w:rPr>
          <w:rFonts w:ascii="Times New Roman" w:eastAsia="Times New Roman" w:hAnsi="Times New Roman" w:cs="Times New Roman"/>
          <w:b w:val="0"/>
          <w:bCs w:val="0"/>
          <w:color w:val="000000"/>
          <w:spacing w:val="0"/>
          <w:w w:val="100"/>
          <w:position w:val="0"/>
        </w:rPr>
        <w:t>500.00</w:t>
      </w:r>
      <w:r>
        <w:rPr>
          <w:b w:val="0"/>
          <w:bCs w:val="0"/>
          <w:color w:val="000000"/>
          <w:spacing w:val="0"/>
          <w:w w:val="100"/>
          <w:position w:val="0"/>
        </w:rPr>
        <w:t>万股股票质押给 南洋商业银行</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中国</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有限公司并为本公司提供</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亿元担保；</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本公司法定代表人于伟提供连带责任保证担 保。本公司已于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18</w:t>
      </w:r>
      <w:r>
        <w:rPr>
          <w:b w:val="0"/>
          <w:bCs w:val="0"/>
          <w:color w:val="000000"/>
          <w:spacing w:val="0"/>
          <w:w w:val="100"/>
          <w:position w:val="0"/>
        </w:rPr>
        <w:t>日偿还该笔借款</w:t>
      </w:r>
      <w:r>
        <w:rPr>
          <w:rFonts w:ascii="Times New Roman" w:eastAsia="Times New Roman" w:hAnsi="Times New Roman" w:cs="Times New Roman"/>
          <w:b w:val="0"/>
          <w:bCs w:val="0"/>
          <w:color w:val="000000"/>
          <w:spacing w:val="0"/>
          <w:w w:val="100"/>
          <w:position w:val="0"/>
        </w:rPr>
        <w:t>39,600,000.00</w:t>
      </w:r>
      <w:r>
        <w:rPr>
          <w:b w:val="0"/>
          <w:bCs w:val="0"/>
          <w:color w:val="000000"/>
          <w:spacing w:val="0"/>
          <w:w w:val="100"/>
          <w:position w:val="0"/>
        </w:rPr>
        <w:t>元，涉及担保及质押已全部解除。</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其他说明，包括利率区间：</w:t>
      </w:r>
    </w:p>
    <w:p>
      <w:pPr>
        <w:pStyle w:val="Style38"/>
        <w:keepNext/>
        <w:keepLines/>
        <w:widowControl w:val="0"/>
        <w:shd w:val="clear" w:color="auto" w:fill="auto"/>
        <w:bidi w:val="0"/>
        <w:spacing w:before="0" w:after="220" w:line="324"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22"/>
      <w:bookmarkEnd w:id="1523"/>
      <w:bookmarkEnd w:id="1525"/>
    </w:p>
    <w:p>
      <w:pPr>
        <w:pStyle w:val="Style38"/>
        <w:keepNext/>
        <w:keepLines/>
        <w:widowControl w:val="0"/>
        <w:shd w:val="clear" w:color="auto" w:fill="auto"/>
        <w:bidi w:val="0"/>
        <w:spacing w:before="0" w:after="400" w:line="310" w:lineRule="exact"/>
        <w:ind w:left="0" w:right="0" w:firstLine="0"/>
        <w:jc w:val="left"/>
      </w:pPr>
      <w:bookmarkStart w:id="1522" w:name="bookmark1522"/>
      <w:bookmarkStart w:id="1523" w:name="bookmark1523"/>
      <w:bookmarkStart w:id="1526" w:name="bookmark1526"/>
      <w:bookmarkStart w:id="1527" w:name="bookmark1527"/>
      <w:r>
        <w:rPr>
          <w:color w:val="000000"/>
          <w:spacing w:val="0"/>
          <w:w w:val="100"/>
          <w:position w:val="0"/>
        </w:rPr>
        <w:t>（</w:t>
      </w:r>
      <w:bookmarkEnd w:id="1526"/>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22"/>
      <w:bookmarkEnd w:id="1523"/>
      <w:bookmarkEnd w:id="152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45"/>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）应付债券的增减变动（不包括划分为金融负债的优先股、永续债等其他金融工具）</w:t>
      </w:r>
    </w:p>
    <w:p>
      <w:pPr>
        <w:widowControl w:val="0"/>
        <w:spacing w:after="33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tabs>
          <w:tab w:pos="475" w:val="left"/>
        </w:tabs>
        <w:bidi w:val="0"/>
        <w:spacing w:before="0" w:after="34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28"/>
      <w:bookmarkEnd w:id="1529"/>
      <w:bookmarkEnd w:id="1531"/>
    </w:p>
    <w:p>
      <w:pPr>
        <w:pStyle w:val="Style38"/>
        <w:keepNext/>
        <w:keepLines/>
        <w:widowControl w:val="0"/>
        <w:shd w:val="clear" w:color="auto" w:fill="auto"/>
        <w:tabs>
          <w:tab w:pos="475" w:val="left"/>
        </w:tabs>
        <w:bidi w:val="0"/>
        <w:spacing w:before="0" w:after="400" w:line="240" w:lineRule="auto"/>
        <w:ind w:left="0" w:right="0" w:firstLine="0"/>
        <w:jc w:val="left"/>
      </w:pPr>
      <w:bookmarkStart w:id="1528" w:name="bookmark1528"/>
      <w:bookmarkStart w:id="1529" w:name="bookmark1529"/>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28"/>
      <w:bookmarkEnd w:id="1529"/>
      <w:bookmarkEnd w:id="1533"/>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期末发行在外的优先股、永续债等金融工具变动情况表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其他金融工具划分为金融负债的依据说明</w:t>
      </w:r>
      <w:r>
        <w:br w:type="page"/>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34"/>
      <w:bookmarkEnd w:id="1535"/>
      <w:bookmarkEnd w:id="1537"/>
    </w:p>
    <w:p>
      <w:pPr>
        <w:pStyle w:val="Style34"/>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4</w:t>
      </w:r>
      <w:bookmarkEnd w:id="1540"/>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38"/>
      <w:bookmarkEnd w:id="1539"/>
      <w:bookmarkEnd w:id="1541"/>
    </w:p>
    <w:p>
      <w:pPr>
        <w:pStyle w:val="Style34"/>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41,666,666.69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178,595,998.79</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41,666,666.69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178,595,998.79</w:t>
            </w:r>
          </w:p>
        </w:tc>
      </w:tr>
    </w:tbl>
    <w:p>
      <w:pPr>
        <w:widowControl w:val="0"/>
        <w:spacing w:after="259" w:line="1" w:lineRule="exact"/>
      </w:pPr>
    </w:p>
    <w:p>
      <w:pPr>
        <w:pStyle w:val="Style38"/>
        <w:keepNext/>
        <w:keepLines/>
        <w:widowControl w:val="0"/>
        <w:numPr>
          <w:ilvl w:val="0"/>
          <w:numId w:val="153"/>
        </w:numPr>
        <w:shd w:val="clear" w:color="auto" w:fill="auto"/>
        <w:bidi w:val="0"/>
        <w:spacing w:before="0" w:after="160" w:line="240" w:lineRule="auto"/>
        <w:ind w:left="0" w:right="0" w:firstLine="14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按款项性质列示长期应付款</w:t>
      </w:r>
      <w:bookmarkEnd w:id="1542"/>
      <w:bookmarkEnd w:id="1543"/>
      <w:bookmarkEnd w:id="1545"/>
    </w:p>
    <w:p>
      <w:pPr>
        <w:pStyle w:val="Style34"/>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41,666,666.69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16,666,666.65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161,929,332.14</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41,666,666.69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178,595,998.79</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80" w:line="240" w:lineRule="auto"/>
        <w:ind w:left="0" w:right="0" w:firstLine="440"/>
        <w:jc w:val="left"/>
      </w:pPr>
      <w:r>
        <w:rPr>
          <w:color w:val="000000"/>
          <w:spacing w:val="0"/>
          <w:w w:val="100"/>
          <w:position w:val="0"/>
        </w:rPr>
        <w:t>1.</w:t>
      </w:r>
      <w:r>
        <w:rPr>
          <w:color w:val="000000"/>
          <w:spacing w:val="0"/>
          <w:w w:val="100"/>
          <w:position w:val="0"/>
        </w:rPr>
        <w:t>融资租赁借款</w:t>
      </w:r>
    </w:p>
    <w:tbl>
      <w:tblPr>
        <w:tblOverlap w:val="never"/>
        <w:jc w:val="center"/>
        <w:tblLayout w:type="fixed"/>
      </w:tblPr>
      <w:tblGrid>
        <w:gridCol w:w="3298"/>
        <w:gridCol w:w="3288"/>
        <w:gridCol w:w="3298"/>
      </w:tblGrid>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期初数</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75,000,000.01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49,999,999.99</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33,333,333.32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33,333,333.34</w:t>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41,666,666.69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16,666,666.65</w:t>
            </w:r>
          </w:p>
        </w:tc>
      </w:tr>
    </w:tbl>
    <w:p>
      <w:pPr>
        <w:widowControl w:val="0"/>
        <w:spacing w:after="259" w:line="1" w:lineRule="exact"/>
      </w:pPr>
    </w:p>
    <w:p>
      <w:pPr>
        <w:pStyle w:val="Style62"/>
        <w:keepNext w:val="0"/>
        <w:keepLines w:val="0"/>
        <w:widowControl w:val="0"/>
        <w:shd w:val="clear" w:color="auto" w:fill="auto"/>
        <w:bidi w:val="0"/>
        <w:spacing w:before="0" w:after="80" w:line="312" w:lineRule="exact"/>
        <w:ind w:left="0" w:right="0" w:firstLine="44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14</w:t>
      </w:r>
      <w:r>
        <w:rPr>
          <w:b w:val="0"/>
          <w:bCs w:val="0"/>
          <w:color w:val="000000"/>
          <w:spacing w:val="0"/>
          <w:w w:val="100"/>
          <w:position w:val="0"/>
        </w:rPr>
        <w:t>日，本公司与北京市文化科技融资租赁股份有限公司</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以下简称文科租赁</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签订融资租赁合 同</w:t>
      </w:r>
      <w:r>
        <w:rPr>
          <w:b w:val="0"/>
          <w:bCs w:val="0"/>
          <w:color w:val="000000"/>
          <w:spacing w:val="0"/>
          <w:w w:val="100"/>
          <w:position w:val="0"/>
        </w:rPr>
        <w:t>，</w:t>
      </w:r>
      <w:r>
        <w:rPr>
          <w:b w:val="0"/>
          <w:bCs w:val="0"/>
          <w:color w:val="000000"/>
          <w:spacing w:val="0"/>
          <w:w w:val="100"/>
          <w:position w:val="0"/>
        </w:rPr>
        <w:t>以本公司持有的</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项已费用化的软件产品著作权作为融资租赁标的，向文科租赁融资借款金额总计人民 币</w:t>
      </w:r>
      <w:r>
        <w:rPr>
          <w:rFonts w:ascii="Times New Roman" w:eastAsia="Times New Roman" w:hAnsi="Times New Roman" w:cs="Times New Roman"/>
          <w:b w:val="0"/>
          <w:bCs w:val="0"/>
          <w:color w:val="000000"/>
          <w:spacing w:val="0"/>
          <w:w w:val="100"/>
          <w:position w:val="0"/>
        </w:rPr>
        <w:t>100,000,000.00</w:t>
      </w:r>
      <w:r>
        <w:rPr>
          <w:b w:val="0"/>
          <w:bCs w:val="0"/>
          <w:color w:val="000000"/>
          <w:spacing w:val="0"/>
          <w:w w:val="100"/>
          <w:position w:val="0"/>
        </w:rPr>
        <w:t>元。根据合同约定，借款期限</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14</w:t>
      </w:r>
      <w:r>
        <w:rPr>
          <w:b w:val="0"/>
          <w:bCs w:val="0"/>
          <w:color w:val="000000"/>
          <w:spacing w:val="0"/>
          <w:w w:val="100"/>
          <w:position w:val="0"/>
        </w:rPr>
        <w:t>日至</w:t>
      </w:r>
      <w:r>
        <w:rPr>
          <w:rFonts w:ascii="Times New Roman" w:eastAsia="Times New Roman" w:hAnsi="Times New Roman" w:cs="Times New Roman"/>
          <w:b w:val="0"/>
          <w:bCs w:val="0"/>
          <w:color w:val="000000"/>
          <w:spacing w:val="0"/>
          <w:w w:val="100"/>
          <w:position w:val="0"/>
        </w:rPr>
        <w:t>2023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日，本公司分</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期支付融资借 款本金及利息，截止</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日，融资借款本金余额为</w:t>
      </w:r>
      <w:r>
        <w:rPr>
          <w:rFonts w:ascii="Times New Roman" w:eastAsia="Times New Roman" w:hAnsi="Times New Roman" w:cs="Times New Roman"/>
          <w:b w:val="0"/>
          <w:bCs w:val="0"/>
          <w:color w:val="000000"/>
          <w:spacing w:val="0"/>
          <w:w w:val="100"/>
          <w:position w:val="0"/>
        </w:rPr>
        <w:t>75,000,000.01</w:t>
      </w:r>
      <w:r>
        <w:rPr>
          <w:b w:val="0"/>
          <w:bCs w:val="0"/>
          <w:color w:val="000000"/>
          <w:spacing w:val="0"/>
          <w:w w:val="100"/>
          <w:position w:val="0"/>
        </w:rPr>
        <w:t xml:space="preserve">元，其中一年内到期的金额为 </w:t>
      </w:r>
      <w:r>
        <w:rPr>
          <w:rFonts w:ascii="Times New Roman" w:eastAsia="Times New Roman" w:hAnsi="Times New Roman" w:cs="Times New Roman"/>
          <w:b w:val="0"/>
          <w:bCs w:val="0"/>
          <w:color w:val="000000"/>
          <w:spacing w:val="0"/>
          <w:w w:val="100"/>
          <w:position w:val="0"/>
        </w:rPr>
        <w:t>33,333,333.32</w:t>
      </w:r>
      <w:r>
        <w:rPr>
          <w:b w:val="0"/>
          <w:bCs w:val="0"/>
          <w:color w:val="000000"/>
          <w:spacing w:val="0"/>
          <w:w w:val="100"/>
          <w:position w:val="0"/>
        </w:rPr>
        <w:t>元。</w:t>
      </w:r>
    </w:p>
    <w:p>
      <w:pPr>
        <w:pStyle w:val="Style45"/>
        <w:keepNext w:val="0"/>
        <w:keepLines w:val="0"/>
        <w:widowControl w:val="0"/>
        <w:shd w:val="clear" w:color="auto" w:fill="auto"/>
        <w:bidi w:val="0"/>
        <w:spacing w:before="0" w:after="0" w:line="240" w:lineRule="auto"/>
        <w:ind w:left="418" w:right="0" w:firstLine="0"/>
        <w:jc w:val="left"/>
      </w:pPr>
      <w:r>
        <w:rPr>
          <w:color w:val="000000"/>
          <w:spacing w:val="0"/>
          <w:w w:val="100"/>
          <w:position w:val="0"/>
        </w:rPr>
        <w:t>2.</w:t>
      </w:r>
      <w:r>
        <w:rPr>
          <w:color w:val="000000"/>
          <w:spacing w:val="0"/>
          <w:w w:val="100"/>
          <w:position w:val="0"/>
        </w:rPr>
        <w:t>应付股权转让款</w:t>
      </w:r>
    </w:p>
    <w:tbl>
      <w:tblPr>
        <w:tblOverlap w:val="never"/>
        <w:jc w:val="center"/>
        <w:tblLayout w:type="fixed"/>
      </w:tblPr>
      <w:tblGrid>
        <w:gridCol w:w="3331"/>
        <w:gridCol w:w="3163"/>
        <w:gridCol w:w="3178"/>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应付股权转让款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147,400,027.67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288,742,000.00</w:t>
            </w:r>
          </w:p>
        </w:tc>
      </w:tr>
      <w:tr>
        <w:trPr>
          <w:trHeight w:val="24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1,589,745.33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10,076,657.03</w:t>
            </w:r>
          </w:p>
        </w:tc>
      </w:tr>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145,810,282.34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116,736,010.83</w:t>
            </w:r>
          </w:p>
        </w:tc>
      </w:tr>
      <w:tr>
        <w:trPr>
          <w:trHeight w:val="250" w:hRule="exact"/>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161,929,332.14</w:t>
            </w:r>
          </w:p>
        </w:tc>
      </w:tr>
    </w:tbl>
    <w:p>
      <w:pPr>
        <w:spacing w:lineRule="exact" w:line="1"/>
        <w:rPr>
          <w:sz w:val="2"/>
          <w:szCs w:val="2"/>
        </w:rPr>
      </w:pPr>
      <w:r>
        <w:br w:type="page"/>
      </w:r>
    </w:p>
    <w:p>
      <w:pPr>
        <w:pStyle w:val="Style38"/>
        <w:keepNext/>
        <w:keepLines/>
        <w:widowControl w:val="0"/>
        <w:numPr>
          <w:ilvl w:val="0"/>
          <w:numId w:val="153"/>
        </w:numPr>
        <w:shd w:val="clear" w:color="auto" w:fill="auto"/>
        <w:bidi w:val="0"/>
        <w:spacing w:before="0" w:line="240" w:lineRule="auto"/>
        <w:ind w:left="0" w:right="0" w:firstLine="140"/>
        <w:jc w:val="both"/>
      </w:pPr>
      <w:bookmarkStart w:id="1546" w:name="bookmark1546"/>
      <w:bookmarkStart w:id="1547" w:name="bookmark1547"/>
      <w:bookmarkStart w:id="1548" w:name="bookmark1548"/>
      <w:bookmarkStart w:id="1549" w:name="bookmark1549"/>
      <w:bookmarkEnd w:id="1548"/>
      <w:r>
        <w:rPr>
          <w:color w:val="000000"/>
          <w:spacing w:val="0"/>
          <w:w w:val="100"/>
          <w:position w:val="0"/>
        </w:rPr>
        <w:t>专项应付款</w:t>
      </w:r>
      <w:bookmarkEnd w:id="1546"/>
      <w:bookmarkEnd w:id="1547"/>
      <w:bookmarkEnd w:id="154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2237" w:hRule="exact"/>
        </w:trPr>
        <w:tc>
          <w:tcPr>
            <w:gridSpan w:val="2"/>
            <w:tcBorders>
              <w:top w:val="single" w:sz="4"/>
            </w:tcBorders>
            <w:shd w:val="clear" w:color="auto" w:fill="FFFFFF"/>
            <w:vAlign w:val="top"/>
          </w:tcPr>
          <w:p>
            <w:pPr>
              <w:pStyle w:val="Style9"/>
              <w:keepNext w:val="0"/>
              <w:keepLines w:val="0"/>
              <w:widowControl w:val="0"/>
              <w:shd w:val="clear" w:color="auto" w:fill="auto"/>
              <w:bidi w:val="0"/>
              <w:spacing w:before="100" w:after="36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49</w:t>
            </w:r>
            <w:r>
              <w:rPr>
                <w:b/>
                <w:bCs/>
                <w:color w:val="000000"/>
                <w:spacing w:val="0"/>
                <w:w w:val="100"/>
                <w:position w:val="0"/>
                <w:sz w:val="20"/>
                <w:szCs w:val="20"/>
              </w:rPr>
              <w:t>、长期应付职工薪酬</w:t>
            </w:r>
          </w:p>
          <w:p>
            <w:pPr>
              <w:pStyle w:val="Style9"/>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)长期应付职工薪酬表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2"/>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8"/>
        <w:keepNext/>
        <w:keepLines/>
        <w:widowControl w:val="0"/>
        <w:numPr>
          <w:ilvl w:val="0"/>
          <w:numId w:val="155"/>
        </w:numPr>
        <w:shd w:val="clear" w:color="auto" w:fill="auto"/>
        <w:bidi w:val="0"/>
        <w:spacing w:before="0" w:line="240" w:lineRule="auto"/>
        <w:ind w:left="0" w:right="0" w:firstLine="0"/>
        <w:jc w:val="both"/>
      </w:pPr>
      <w:bookmarkStart w:id="1550" w:name="bookmark1550"/>
      <w:bookmarkStart w:id="1551" w:name="bookmark1551"/>
      <w:bookmarkStart w:id="1552" w:name="bookmark1552"/>
      <w:bookmarkStart w:id="1553" w:name="bookmark1553"/>
      <w:bookmarkEnd w:id="1552"/>
      <w:r>
        <w:rPr>
          <w:color w:val="000000"/>
          <w:spacing w:val="0"/>
          <w:w w:val="100"/>
          <w:position w:val="0"/>
        </w:rPr>
        <w:t>设定受益计划变动情况</w:t>
      </w:r>
      <w:bookmarkEnd w:id="1550"/>
      <w:bookmarkEnd w:id="1551"/>
      <w:bookmarkEnd w:id="1553"/>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设定受益计划义务现值：</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设定受益计划重大精算假设及敏感性分析结果说明：</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54"/>
      <w:bookmarkEnd w:id="1555"/>
      <w:bookmarkEnd w:id="1557"/>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5</w:t>
      </w:r>
      <w:bookmarkEnd w:id="156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58"/>
      <w:bookmarkEnd w:id="1559"/>
      <w:bookmarkEnd w:id="1561"/>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财政专项扶持款</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headerReference w:type="default" r:id="rId209"/>
          <w:footerReference w:type="default" r:id="rId210"/>
          <w:headerReference w:type="even" r:id="rId211"/>
          <w:footerReference w:type="even" r:id="rId212"/>
          <w:footnotePr>
            <w:pos w:val="pageBottom"/>
            <w:numFmt w:val="decimal"/>
            <w:numRestart w:val="continuous"/>
          </w:footnotePr>
          <w:pgSz w:w="11900" w:h="16840"/>
          <w:pgMar w:top="1393" w:right="580" w:bottom="1470" w:left="544" w:header="0" w:footer="3" w:gutter="0"/>
          <w:cols w:space="720"/>
          <w:noEndnote/>
          <w:rtlGutter w:val="0"/>
          <w:docGrid w:linePitch="360"/>
        </w:sectPr>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本期计入其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本期冲减成</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面向汽车 零售的互联 网融资租赁 平台</w:t>
            </w:r>
            <w:r>
              <w:rPr>
                <w:rFonts w:ascii="Times New Roman" w:eastAsia="Times New Roman" w:hAnsi="Times New Roman" w:cs="Times New Roman"/>
                <w:color w:val="000000"/>
                <w:spacing w:val="0"/>
                <w:w w:val="100"/>
                <w:position w:val="0"/>
              </w:rPr>
              <w:t>"</w:t>
            </w:r>
            <w:r>
              <w:rPr>
                <w:color w:val="000000"/>
                <w:spacing w:val="0"/>
                <w:w w:val="100"/>
                <w:position w:val="0"/>
              </w:rPr>
              <w:t>财政 专项扶持</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62"/>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涉及政府补助的项目的具体情况及分摊方法详见附注七</w:t>
      </w:r>
      <w:r>
        <w:rPr>
          <w:rFonts w:ascii="Times New Roman" w:eastAsia="Times New Roman" w:hAnsi="Times New Roman" w:cs="Times New Roman"/>
          <w:b w:val="0"/>
          <w:bCs w:val="0"/>
          <w:color w:val="000000"/>
          <w:spacing w:val="0"/>
          <w:w w:val="100"/>
          <w:position w:val="0"/>
        </w:rPr>
        <w:t>84“</w:t>
      </w:r>
      <w:r>
        <w:rPr>
          <w:b w:val="0"/>
          <w:bCs w:val="0"/>
          <w:color w:val="000000"/>
          <w:spacing w:val="0"/>
          <w:w w:val="100"/>
          <w:position w:val="0"/>
        </w:rPr>
        <w:t>政府补助''之说明。</w:t>
      </w:r>
    </w:p>
    <w:p>
      <w:pPr>
        <w:pStyle w:val="Style38"/>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5</w:t>
      </w:r>
      <w:bookmarkEnd w:id="156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62"/>
      <w:bookmarkEnd w:id="1563"/>
      <w:bookmarkEnd w:id="156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5</w:t>
      </w:r>
      <w:bookmarkEnd w:id="1568"/>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566"/>
      <w:bookmarkEnd w:id="1567"/>
      <w:bookmarkEnd w:id="156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446,762,257.00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446,762,257.00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5</w:t>
      </w:r>
      <w:bookmarkEnd w:id="1572"/>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70"/>
      <w:bookmarkEnd w:id="1571"/>
      <w:bookmarkEnd w:id="1573"/>
    </w:p>
    <w:p>
      <w:pPr>
        <w:pStyle w:val="Style38"/>
        <w:keepNext/>
        <w:keepLines/>
        <w:widowControl w:val="0"/>
        <w:shd w:val="clear" w:color="auto" w:fill="auto"/>
        <w:tabs>
          <w:tab w:pos="493" w:val="left"/>
        </w:tabs>
        <w:bidi w:val="0"/>
        <w:spacing w:before="0" w:after="380" w:line="240" w:lineRule="auto"/>
        <w:ind w:left="0" w:right="0" w:firstLine="0"/>
        <w:jc w:val="left"/>
      </w:pPr>
      <w:bookmarkStart w:id="1570" w:name="bookmark1570"/>
      <w:bookmarkStart w:id="1571" w:name="bookmark1571"/>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70"/>
      <w:bookmarkEnd w:id="1571"/>
      <w:bookmarkEnd w:id="1575"/>
    </w:p>
    <w:p>
      <w:pPr>
        <w:pStyle w:val="Style38"/>
        <w:keepNext/>
        <w:keepLines/>
        <w:widowControl w:val="0"/>
        <w:shd w:val="clear" w:color="auto" w:fill="auto"/>
        <w:tabs>
          <w:tab w:pos="493" w:val="left"/>
        </w:tabs>
        <w:bidi w:val="0"/>
        <w:spacing w:before="0" w:after="380" w:line="240" w:lineRule="auto"/>
        <w:ind w:left="0" w:right="0" w:firstLine="0"/>
        <w:jc w:val="left"/>
      </w:pPr>
      <w:bookmarkStart w:id="1570" w:name="bookmark1570"/>
      <w:bookmarkStart w:id="1571" w:name="bookmark1571"/>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70"/>
      <w:bookmarkEnd w:id="1571"/>
      <w:bookmarkEnd w:id="157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after="380" w:line="240" w:lineRule="auto"/>
        <w:ind w:left="0" w:right="0" w:firstLine="0"/>
        <w:jc w:val="both"/>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78"/>
      <w:bookmarkEnd w:id="1579"/>
      <w:bookmarkEnd w:id="158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320,878,685.57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7,782,155.91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328,660,841.48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338,878,685.57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7,782,155.91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346,660,841.48</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4"/>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本期资本公积变动系收购子公司江苏盈达信息技术有限公司和上海翕振信息技术有限公司少数股东股权支付的收购对 价低于少数股东占净资产份额的差额所致。</w:t>
      </w:r>
    </w:p>
    <w:p>
      <w:pPr>
        <w:pStyle w:val="Style38"/>
        <w:keepNext/>
        <w:keepLines/>
        <w:widowControl w:val="0"/>
        <w:shd w:val="clear" w:color="auto" w:fill="auto"/>
        <w:bidi w:val="0"/>
        <w:spacing w:before="0" w:after="380" w:line="240" w:lineRule="auto"/>
        <w:ind w:left="0" w:right="0" w:firstLine="0"/>
        <w:jc w:val="both"/>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82"/>
      <w:bookmarkEnd w:id="1583"/>
      <w:bookmarkEnd w:id="1585"/>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8"/>
        <w:keepNext/>
        <w:keepLines/>
        <w:widowControl w:val="0"/>
        <w:shd w:val="clear" w:color="auto" w:fill="auto"/>
        <w:bidi w:val="0"/>
        <w:spacing w:before="0" w:after="380" w:line="240" w:lineRule="auto"/>
        <w:ind w:left="0" w:right="0" w:firstLine="0"/>
        <w:jc w:val="both"/>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86"/>
      <w:bookmarkEnd w:id="1587"/>
      <w:bookmarkEnd w:id="1589"/>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本期所得</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税前发生</w:t>
            </w:r>
          </w:p>
          <w:p>
            <w:pPr>
              <w:pStyle w:val="Style9"/>
              <w:keepNext w:val="0"/>
              <w:keepLines w:val="0"/>
              <w:widowControl w:val="0"/>
              <w:shd w:val="clear" w:color="auto" w:fill="auto"/>
              <w:bidi w:val="0"/>
              <w:spacing w:before="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-7,654,194.7</w:t>
            </w:r>
          </w:p>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-7,654,1</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-7,654,194.7</w:t>
            </w:r>
          </w:p>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-7,654,1</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94,711.63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167,748.0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167,748.0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262,459.</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94,711.63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167,748.0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167,748.0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262,459.</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-7,559,483.1</w:t>
            </w:r>
          </w:p>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167,748.0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167,748.0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-7,391,7</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8"/>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5</w:t>
      </w:r>
      <w:bookmarkEnd w:id="159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90"/>
      <w:bookmarkEnd w:id="1591"/>
      <w:bookmarkEnd w:id="1593"/>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8"/>
        <w:keepNext/>
        <w:keepLines/>
        <w:widowControl w:val="0"/>
        <w:shd w:val="clear" w:color="auto" w:fill="auto"/>
        <w:bidi w:val="0"/>
        <w:spacing w:before="0" w:after="380" w:line="240" w:lineRule="auto"/>
        <w:ind w:left="0" w:right="0" w:firstLine="0"/>
        <w:jc w:val="both"/>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5</w:t>
      </w:r>
      <w:bookmarkEnd w:id="159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94"/>
      <w:bookmarkEnd w:id="1595"/>
      <w:bookmarkEnd w:id="159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23,063,061.79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23,063,061.79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23,896,061.79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23,896,061.79</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38"/>
        <w:keepNext/>
        <w:keepLines/>
        <w:widowControl w:val="0"/>
        <w:shd w:val="clear" w:color="auto" w:fill="auto"/>
        <w:bidi w:val="0"/>
        <w:spacing w:before="0" w:after="380" w:line="240" w:lineRule="auto"/>
        <w:ind w:left="0" w:right="0" w:firstLine="0"/>
        <w:jc w:val="both"/>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6</w:t>
      </w:r>
      <w:bookmarkEnd w:id="160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98"/>
      <w:bookmarkEnd w:id="1599"/>
      <w:bookmarkEnd w:id="1601"/>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509,237,335.70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386,223,628.44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-57,989,027.49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451,248,308.21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386,223,628.44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-671,247,584.07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133,741,533.27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2,146,131.96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20,104,301.56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16,078,694.05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7,497,000.00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-240,103,577.42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509,237,335.70</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4"/>
        <w:keepNext w:val="0"/>
        <w:keepLines w:val="0"/>
        <w:widowControl w:val="0"/>
        <w:shd w:val="clear" w:color="auto" w:fill="auto"/>
        <w:tabs>
          <w:tab w:pos="330" w:val="left"/>
        </w:tabs>
        <w:bidi w:val="0"/>
        <w:spacing w:before="0" w:line="240" w:lineRule="auto"/>
        <w:ind w:left="0" w:right="0" w:firstLine="0"/>
        <w:jc w:val="left"/>
      </w:pPr>
      <w:bookmarkStart w:id="1602" w:name="bookmark1602"/>
      <w:r>
        <w:rPr>
          <w:rFonts w:ascii="Times New Roman" w:eastAsia="Times New Roman" w:hAnsi="Times New Roman" w:cs="Times New Roman"/>
          <w:color w:val="000000"/>
          <w:spacing w:val="0"/>
          <w:w w:val="100"/>
          <w:position w:val="0"/>
        </w:rPr>
        <w:t>1</w:t>
      </w:r>
      <w:bookmarkEnd w:id="160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line="240" w:lineRule="auto"/>
        <w:ind w:left="0" w:right="0" w:firstLine="0"/>
        <w:jc w:val="left"/>
      </w:pPr>
      <w:bookmarkStart w:id="1603" w:name="bookmark1603"/>
      <w:r>
        <w:rPr>
          <w:rFonts w:ascii="Times New Roman" w:eastAsia="Times New Roman" w:hAnsi="Times New Roman" w:cs="Times New Roman"/>
          <w:color w:val="000000"/>
          <w:spacing w:val="0"/>
          <w:w w:val="100"/>
          <w:position w:val="0"/>
        </w:rPr>
        <w:t>2</w:t>
      </w:r>
      <w:bookmarkEnd w:id="160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-57,989,027.49</w:t>
      </w:r>
      <w:r>
        <w:rPr>
          <w:color w:val="000000"/>
          <w:spacing w:val="0"/>
          <w:w w:val="100"/>
          <w:position w:val="0"/>
        </w:rPr>
        <w:t>元。</w:t>
      </w:r>
    </w:p>
    <w:p>
      <w:pPr>
        <w:pStyle w:val="Style34"/>
        <w:keepNext w:val="0"/>
        <w:keepLines w:val="0"/>
        <w:widowControl w:val="0"/>
        <w:shd w:val="clear" w:color="auto" w:fill="auto"/>
        <w:tabs>
          <w:tab w:pos="349" w:val="left"/>
        </w:tabs>
        <w:bidi w:val="0"/>
        <w:spacing w:before="0" w:line="240" w:lineRule="auto"/>
        <w:ind w:left="0" w:right="0" w:firstLine="0"/>
        <w:jc w:val="left"/>
      </w:pPr>
      <w:bookmarkStart w:id="1604" w:name="bookmark1604"/>
      <w:r>
        <w:rPr>
          <w:rFonts w:ascii="Times New Roman" w:eastAsia="Times New Roman" w:hAnsi="Times New Roman" w:cs="Times New Roman"/>
          <w:color w:val="000000"/>
          <w:spacing w:val="0"/>
          <w:w w:val="100"/>
          <w:position w:val="0"/>
        </w:rPr>
        <w:t>3</w:t>
      </w:r>
      <w:bookmarkEnd w:id="160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line="240" w:lineRule="auto"/>
        <w:ind w:left="0" w:right="0" w:firstLine="0"/>
        <w:jc w:val="left"/>
      </w:pPr>
      <w:bookmarkStart w:id="1605" w:name="bookmark1605"/>
      <w:r>
        <w:rPr>
          <w:rFonts w:ascii="Times New Roman" w:eastAsia="Times New Roman" w:hAnsi="Times New Roman" w:cs="Times New Roman"/>
          <w:color w:val="000000"/>
          <w:spacing w:val="0"/>
          <w:w w:val="100"/>
          <w:position w:val="0"/>
        </w:rPr>
        <w:t>4</w:t>
      </w:r>
      <w:bookmarkEnd w:id="160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380" w:line="240" w:lineRule="auto"/>
        <w:ind w:left="0" w:right="0" w:firstLine="0"/>
        <w:jc w:val="left"/>
      </w:pPr>
      <w:bookmarkStart w:id="1606" w:name="bookmark1606"/>
      <w:r>
        <w:rPr>
          <w:rFonts w:ascii="Times New Roman" w:eastAsia="Times New Roman" w:hAnsi="Times New Roman" w:cs="Times New Roman"/>
          <w:color w:val="000000"/>
          <w:spacing w:val="0"/>
          <w:w w:val="100"/>
          <w:position w:val="0"/>
        </w:rPr>
        <w:t>5</w:t>
      </w:r>
      <w:bookmarkEnd w:id="160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6</w:t>
      </w:r>
      <w:bookmarkEnd w:id="160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07"/>
      <w:bookmarkEnd w:id="1608"/>
      <w:bookmarkEnd w:id="1610"/>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3830"/>
        <w:gridCol w:w="3840"/>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1,893,658,496.29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1,532,269,208.80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1,758,318,368.99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1,366,769,906.87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1,893,658,496.29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1,532,269,208.80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1,758,318,368.99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1,366,769,906.87</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1,893,658,496.29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1,758,318,368.99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公司不存在与主营业务无 关的收入</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公司不存在与主营业务无 关的收入</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740"/>
              <w:jc w:val="left"/>
            </w:pPr>
            <w:r>
              <w:rPr>
                <w:color w:val="000000"/>
                <w:spacing w:val="0"/>
                <w:w w:val="100"/>
                <w:position w:val="0"/>
              </w:rPr>
              <w:t>与主营业务无关</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公司不存在与主营业务无 关的收入</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740"/>
              <w:jc w:val="left"/>
            </w:pPr>
            <w:r>
              <w:rPr>
                <w:color w:val="000000"/>
                <w:spacing w:val="0"/>
                <w:w w:val="100"/>
                <w:position w:val="0"/>
              </w:rPr>
              <w:t>不具备商业实质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公司不存在与主营业务无 关的收入</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1,893,658,496.29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1,758,318,368.99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公司不存在与主营业务无 关的收入</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7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3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6</w:t>
      </w:r>
      <w:bookmarkEnd w:id="161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1"/>
      <w:bookmarkEnd w:id="1612"/>
      <w:bookmarkEnd w:id="161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1,981,790.83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2,673,524.60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897,782.99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1,194,662.15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520,718.26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520,718.26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1,850.40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1,242,797.68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1,001,736.19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598,521.94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740,718.24</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29,840.64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143,419.84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5,288,952.74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6,295,079.68</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62"/>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计缴标准详见本附注四</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税项</w:t>
      </w:r>
      <w:r>
        <w:rPr>
          <w:b w:val="0"/>
          <w:bCs w:val="0"/>
          <w:color w:val="000000"/>
          <w:spacing w:val="0"/>
          <w:w w:val="100"/>
          <w:position w:val="0"/>
        </w:rPr>
        <w:t>''</w:t>
      </w:r>
      <w:r>
        <w:rPr>
          <w:b w:val="0"/>
          <w:bCs w:val="0"/>
          <w:color w:val="000000"/>
          <w:spacing w:val="0"/>
          <w:w w:val="100"/>
          <w:position w:val="0"/>
        </w:rPr>
        <w:t>之说明。</w:t>
      </w:r>
    </w:p>
    <w:p>
      <w:pPr>
        <w:pStyle w:val="Style38"/>
        <w:keepNext/>
        <w:keepLines/>
        <w:widowControl w:val="0"/>
        <w:shd w:val="clear" w:color="auto" w:fill="auto"/>
        <w:bidi w:val="0"/>
        <w:spacing w:before="0" w:after="380" w:line="240" w:lineRule="auto"/>
        <w:ind w:left="0" w:right="0" w:firstLine="0"/>
        <w:jc w:val="both"/>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6</w:t>
      </w:r>
      <w:bookmarkEnd w:id="161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15"/>
      <w:bookmarkEnd w:id="1616"/>
      <w:bookmarkEnd w:id="161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44,227,812.60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43,077,723.26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8,624,236.82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8,419,030.06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3,729,168.85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5,561,195.97</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1,812,626.63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1,767,629.97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场租费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2,076,615.42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2,043,323.56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1,041,120.35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99,436.55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4,501,745.67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4,479,416.08</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66,013,326.34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65,447,755.45</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6</w:t>
      </w:r>
      <w:bookmarkEnd w:id="162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19"/>
      <w:bookmarkEnd w:id="1620"/>
      <w:bookmarkEnd w:id="162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40,393,775.17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46,678,105.08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8,444,494.90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8,708,999.95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7,284,730.26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7,490,209.01</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场租费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5,940,450.33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6,443,823.16</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2,903,536.79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3,376,918.04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1,700,966.17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1,908,188.93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-37,031.73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5,604,592.97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4,704,452.53</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72,272,546.59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79,273,664.97</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6</w:t>
      </w:r>
      <w:bookmarkEnd w:id="1625"/>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23"/>
      <w:bookmarkEnd w:id="1624"/>
      <w:bookmarkEnd w:id="162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62,321,708.82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55,778,393.06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15,364,132.64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15,408,531.57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场租费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330,234.60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266,816.50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214,886.53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944,618.23</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78,497,779.09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72,131,542.86</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6</w:t>
      </w:r>
      <w:bookmarkEnd w:id="1629"/>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27"/>
      <w:bookmarkEnd w:id="1628"/>
      <w:bookmarkEnd w:id="1630"/>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23,050,737.86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18,625,201.75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1,596,796.31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1,636,102.35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减：财政贴息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626,000.00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835,200.00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1,141,589.62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1,650,178.46</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8,222,523.47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10,680,025.65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1,161,828.05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1,606,562.72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6,467.36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31,353,882.69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26,796,776.67</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本期计入财务费用的政府补助情况详见附注五</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五十五</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政府补助</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之说明。</w:t>
      </w:r>
    </w:p>
    <w:p>
      <w:pPr>
        <w:pStyle w:val="Style38"/>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6</w:t>
      </w:r>
      <w:bookmarkEnd w:id="1633"/>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31"/>
      <w:bookmarkEnd w:id="1632"/>
      <w:bookmarkEnd w:id="1634"/>
    </w:p>
    <w:p>
      <w:pPr>
        <w:pStyle w:val="Style34"/>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397,446.61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887,525.92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571,201.56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94,171.36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7,742,553.70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6,319,852.99</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8,711,201.87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7,301,550.27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6</w:t>
      </w:r>
      <w:bookmarkEnd w:id="163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35"/>
      <w:bookmarkEnd w:id="1636"/>
      <w:bookmarkEnd w:id="163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-8,448,108.99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-1,446,083.11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1,768,910.64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1,341,867.70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理财产品持有期间的投资收益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315,514.03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-6,363,684.32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-104,215.41</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62"/>
        <w:keepNext w:val="0"/>
        <w:keepLines w:val="0"/>
        <w:widowControl w:val="0"/>
        <w:numPr>
          <w:ilvl w:val="0"/>
          <w:numId w:val="157"/>
        </w:numPr>
        <w:shd w:val="clear" w:color="auto" w:fill="auto"/>
        <w:bidi w:val="0"/>
        <w:spacing w:before="0" w:after="0" w:line="240" w:lineRule="auto"/>
        <w:ind w:left="0" w:right="0" w:firstLine="440"/>
        <w:jc w:val="left"/>
      </w:pPr>
      <w:bookmarkStart w:id="1639" w:name="bookmark1639"/>
      <w:bookmarkEnd w:id="1639"/>
      <w:r>
        <w:rPr>
          <w:b w:val="0"/>
          <w:bCs w:val="0"/>
          <w:color w:val="000000"/>
          <w:spacing w:val="0"/>
          <w:w w:val="100"/>
          <w:position w:val="0"/>
        </w:rPr>
        <w:t>按权益法核算的长期股权投资收益重要项目</w:t>
      </w:r>
    </w:p>
    <w:tbl>
      <w:tblPr>
        <w:tblOverlap w:val="never"/>
        <w:jc w:val="left"/>
        <w:tblLayout w:type="fixed"/>
      </w:tblPr>
      <w:tblGrid>
        <w:gridCol w:w="2146"/>
        <w:gridCol w:w="1949"/>
        <w:gridCol w:w="1982"/>
        <w:gridCol w:w="2506"/>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上年数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本期比上年增减变动的原因</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中信科技发展有限公司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-6,608,213.47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-941,472.32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系当期净利润影响所致</w:t>
            </w:r>
          </w:p>
        </w:tc>
      </w:tr>
      <w:tr>
        <w:trPr>
          <w:trHeight w:val="66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北京高伟达保科技有限责 任公司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297,529.83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18,903.64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系当期净利润影响所致</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北京数微科技有限公司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-2,137,425.35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-523,514.43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系当期净利润影响所致</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-8,448,108.99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-1,446,083.11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62"/>
        <w:keepNext w:val="0"/>
        <w:keepLines w:val="0"/>
        <w:widowControl w:val="0"/>
        <w:numPr>
          <w:ilvl w:val="0"/>
          <w:numId w:val="157"/>
        </w:numPr>
        <w:shd w:val="clear" w:color="auto" w:fill="auto"/>
        <w:bidi w:val="0"/>
        <w:spacing w:before="0" w:after="380" w:line="240" w:lineRule="auto"/>
        <w:ind w:left="0" w:right="0" w:firstLine="440"/>
        <w:jc w:val="left"/>
      </w:pPr>
      <w:bookmarkStart w:id="1640" w:name="bookmark1640"/>
      <w:bookmarkEnd w:id="1640"/>
      <w:r>
        <w:rPr>
          <w:b w:val="0"/>
          <w:bCs w:val="0"/>
          <w:color w:val="000000"/>
          <w:spacing w:val="0"/>
          <w:w w:val="100"/>
          <w:position w:val="0"/>
        </w:rPr>
        <w:t>本公司不存在投资收益汇回的重大限制。</w:t>
      </w:r>
    </w:p>
    <w:p>
      <w:pPr>
        <w:pStyle w:val="Style38"/>
        <w:keepNext/>
        <w:keepLines/>
        <w:widowControl w:val="0"/>
        <w:shd w:val="clear" w:color="auto" w:fill="auto"/>
        <w:bidi w:val="0"/>
        <w:spacing w:before="0" w:after="38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41"/>
      <w:bookmarkEnd w:id="1642"/>
      <w:bookmarkEnd w:id="1644"/>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7</w:t>
      </w:r>
      <w:bookmarkEnd w:id="164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45"/>
      <w:bookmarkEnd w:id="1646"/>
      <w:bookmarkEnd w:id="1648"/>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-895,564.05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r>
              <w:rPr>
                <w:rFonts w:ascii="Times New Roman" w:eastAsia="Times New Roman" w:hAnsi="Times New Roman" w:cs="Times New Roman"/>
                <w:color w:val="000000"/>
                <w:spacing w:val="0"/>
                <w:w w:val="100"/>
                <w:position w:val="0"/>
              </w:rPr>
              <w:t>-</w:t>
            </w:r>
            <w:r>
              <w:rPr>
                <w:color w:val="000000"/>
                <w:spacing w:val="0"/>
                <w:w w:val="100"/>
                <w:position w:val="0"/>
              </w:rPr>
              <w:t>股权转让款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24,412,084.10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24,412,084.10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-895,564.05</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62"/>
        <w:keepNext w:val="0"/>
        <w:keepLines w:val="0"/>
        <w:widowControl w:val="0"/>
        <w:shd w:val="clear" w:color="auto" w:fill="auto"/>
        <w:bidi w:val="0"/>
        <w:spacing w:before="0" w:after="680" w:line="322" w:lineRule="exact"/>
        <w:ind w:left="0" w:right="0" w:firstLine="440"/>
        <w:jc w:val="both"/>
      </w:pPr>
      <w:r>
        <w:rPr>
          <w:b w:val="0"/>
          <w:bCs w:val="0"/>
          <w:color w:val="000000"/>
          <w:spacing w:val="0"/>
          <w:w w:val="100"/>
          <w:position w:val="0"/>
        </w:rPr>
        <w:t>长期应付款</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股权转让款变动收益</w:t>
      </w:r>
      <w:r>
        <w:rPr>
          <w:rFonts w:ascii="Times New Roman" w:eastAsia="Times New Roman" w:hAnsi="Times New Roman" w:cs="Times New Roman"/>
          <w:b w:val="0"/>
          <w:bCs w:val="0"/>
          <w:color w:val="000000"/>
          <w:spacing w:val="0"/>
          <w:w w:val="100"/>
          <w:position w:val="0"/>
        </w:rPr>
        <w:t>24,412,084.10</w:t>
      </w:r>
      <w:r>
        <w:rPr>
          <w:b w:val="0"/>
          <w:bCs w:val="0"/>
          <w:color w:val="000000"/>
          <w:spacing w:val="0"/>
          <w:w w:val="100"/>
          <w:position w:val="0"/>
        </w:rPr>
        <w:t>元系本公司根据子公司深圳市快读科技有限公司</w:t>
      </w:r>
      <w:r>
        <w:rPr>
          <w:rFonts w:ascii="Times New Roman" w:eastAsia="Times New Roman" w:hAnsi="Times New Roman" w:cs="Times New Roman"/>
          <w:b w:val="0"/>
          <w:bCs w:val="0"/>
          <w:color w:val="000000"/>
          <w:spacing w:val="0"/>
          <w:w w:val="100"/>
          <w:position w:val="0"/>
        </w:rPr>
        <w:t xml:space="preserve">2020 </w:t>
      </w:r>
      <w:r>
        <w:rPr>
          <w:b w:val="0"/>
          <w:bCs w:val="0"/>
          <w:color w:val="000000"/>
          <w:spacing w:val="0"/>
          <w:w w:val="100"/>
          <w:position w:val="0"/>
        </w:rPr>
        <w:t>年度承诺业绩完成情况减少的股权转让款。</w:t>
      </w:r>
    </w:p>
    <w:p>
      <w:pPr>
        <w:pStyle w:val="Style38"/>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7</w:t>
      </w:r>
      <w:bookmarkEnd w:id="1651"/>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49"/>
      <w:bookmarkEnd w:id="1650"/>
      <w:bookmarkEnd w:id="1652"/>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60,261.98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239,530.43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-22,622,734.80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-7,098,993.67</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-22,562,472.82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-6,859,463.24</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7</w:t>
      </w:r>
      <w:bookmarkEnd w:id="165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53"/>
      <w:bookmarkEnd w:id="1654"/>
      <w:bookmarkEnd w:id="1656"/>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-777,828,401.93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-777,828,401.93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7</w:t>
      </w:r>
      <w:bookmarkEnd w:id="165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57"/>
      <w:bookmarkEnd w:id="1658"/>
      <w:bookmarkEnd w:id="1660"/>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处置未划分为持有待售的非流动资产时 确认的收益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1,821.91</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1,821.91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7</w:t>
      </w:r>
      <w:bookmarkEnd w:id="166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61"/>
      <w:bookmarkEnd w:id="1662"/>
      <w:bookmarkEnd w:id="1664"/>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3,991,937.13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4,073,344.00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3,991,937.13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13,243.53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38,809.64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13,243.53</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4,005,180.66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4,112,153.64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34"/>
        <w:keepNext w:val="0"/>
        <w:keepLines w:val="0"/>
        <w:widowControl w:val="0"/>
        <w:shd w:val="clear" w:color="auto" w:fill="auto"/>
        <w:bidi w:val="0"/>
        <w:spacing w:before="0" w:after="340" w:line="240" w:lineRule="auto"/>
        <w:ind w:left="8920" w:right="0" w:firstLine="0"/>
        <w:jc w:val="left"/>
        <w:sectPr>
          <w:headerReference w:type="default" r:id="rId213"/>
          <w:footerReference w:type="default" r:id="rId214"/>
          <w:headerReference w:type="even" r:id="rId215"/>
          <w:footerReference w:type="even" r:id="rId216"/>
          <w:footnotePr>
            <w:pos w:val="pageBottom"/>
            <w:numFmt w:val="decimal"/>
            <w:numRestart w:val="continuous"/>
          </w:footnotePr>
          <w:type w:val="continuous"/>
          <w:pgSz w:w="11900" w:h="16840"/>
          <w:pgMar w:top="1393" w:right="580" w:bottom="1470" w:left="544"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翕振零售数 据集市软件 研发‘‘专项扶 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上海紫竹高 新技术产业 开发区管理 委员会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9"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税收扶持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徐汇区财政 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科技发展计 划和科技经 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南京市高淳 区科学技术 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1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成都市就业 服务管理局、 南京市社会 保险管理中 心、人力资源 社会保障部、 上海市闵行 区就业促进 中心、上海市 社保局就业 促进中心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337,112.87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227,540.20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经济考核奖</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励款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南京市高淳 区财政局、南 京市高淳区 科学技术局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高新技术企 业认定奖励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区科技创新 局、南京市高 海区科学技 术局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省高企入库 奖励金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南京市高淳 区科学技术 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软件集成电</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徐汇区财政</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路设计人员</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静投办补助</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上海市静安</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区财政局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扶持资金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海南生态软 件园集团有 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93,671.96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深圳市政府 补助以工代 训补贴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深圳市南山 区人力资源 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残保金超比</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例奖金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上海市残疾 人就业服务 中心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3,152.30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2,803.80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客户关系管 理系统研发</w:t>
            </w:r>
            <w:r>
              <w:rPr>
                <w:rFonts w:ascii="Times New Roman" w:eastAsia="Times New Roman" w:hAnsi="Times New Roman" w:cs="Times New Roman"/>
                <w:color w:val="000000"/>
                <w:spacing w:val="0"/>
                <w:w w:val="100"/>
                <w:position w:val="0"/>
              </w:rPr>
              <w:t xml:space="preserve">" </w:t>
            </w:r>
            <w:r>
              <w:rPr>
                <w:color w:val="000000"/>
                <w:spacing w:val="0"/>
                <w:w w:val="100"/>
                <w:position w:val="0"/>
              </w:rPr>
              <w:t>专项扶持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上海紫竹高 新技术产业 开发区管理 委员会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国家高新技 术企业倍增 支持计划项 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深圳市南山 区科技创新 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科技创新发</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展专项资金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上海市徐汇 区科学技术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因符合地方 政府招商引</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sectPr>
          <w:headerReference w:type="default" r:id="rId217"/>
          <w:footerReference w:type="default" r:id="rId218"/>
          <w:headerReference w:type="even" r:id="rId219"/>
          <w:footerReference w:type="even" r:id="rId220"/>
          <w:footnotePr>
            <w:pos w:val="pageBottom"/>
            <w:numFmt w:val="decimal"/>
            <w:numRestart w:val="continuous"/>
          </w:footnotePr>
          <w:pgSz w:w="11900" w:h="16840"/>
          <w:pgMar w:top="1393" w:right="580" w:bottom="1470" w:left="544" w:header="0" w:footer="3" w:gutter="0"/>
          <w:cols w:space="720"/>
          <w:noEndnote/>
          <w:rtlGutter w:val="0"/>
          <w:docGrid w:linePitch="360"/>
        </w:sectPr>
      </w:pP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资等地方性</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扶持政策而</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知识产权奖</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励款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南京市高淳 区科学技术 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3,991,937.13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4,073,344.00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本期计入营业外收入的政府补助情况详见附注五</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五十五</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政府补助</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之说明。</w:t>
      </w:r>
    </w:p>
    <w:p>
      <w:pPr>
        <w:pStyle w:val="Style38"/>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7</w:t>
      </w:r>
      <w:bookmarkEnd w:id="166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65"/>
      <w:bookmarkEnd w:id="1666"/>
      <w:bookmarkEnd w:id="1668"/>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38,007.22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27,088.00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38,007.22</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资产报废、毁损损失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198,461.02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217,236.51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198,461.02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236,468.24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559,324.51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236,468.24</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7</w:t>
      </w:r>
      <w:bookmarkEnd w:id="167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69"/>
      <w:bookmarkEnd w:id="1670"/>
      <w:bookmarkEnd w:id="1672"/>
    </w:p>
    <w:p>
      <w:pPr>
        <w:pStyle w:val="Style38"/>
        <w:keepNext/>
        <w:keepLines/>
        <w:widowControl w:val="0"/>
        <w:shd w:val="clear" w:color="auto" w:fill="auto"/>
        <w:bidi w:val="0"/>
        <w:spacing w:before="0" w:line="240" w:lineRule="auto"/>
        <w:ind w:left="0" w:right="0" w:firstLine="0"/>
        <w:jc w:val="both"/>
      </w:pPr>
      <w:bookmarkStart w:id="1669" w:name="bookmark1669"/>
      <w:bookmarkStart w:id="1670" w:name="bookmark1670"/>
      <w:bookmarkStart w:id="1673" w:name="bookmark1673"/>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69"/>
      <w:bookmarkEnd w:id="1670"/>
      <w:bookmarkEnd w:id="1673"/>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702,868.85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5,357,034.18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-1,356,411.42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-1,816,773.78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-653,542.57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3,540,260.40</w:t>
            </w:r>
          </w:p>
        </w:tc>
      </w:tr>
    </w:tbl>
    <w:p>
      <w:pPr>
        <w:widowControl w:val="0"/>
        <w:spacing w:after="359" w:line="1" w:lineRule="exact"/>
      </w:pPr>
    </w:p>
    <w:p>
      <w:pPr>
        <w:pStyle w:val="Style38"/>
        <w:keepNext/>
        <w:keepLines/>
        <w:widowControl w:val="0"/>
        <w:numPr>
          <w:ilvl w:val="0"/>
          <w:numId w:val="159"/>
        </w:numPr>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bookmarkEnd w:id="1676"/>
      <w:r>
        <w:rPr>
          <w:color w:val="000000"/>
          <w:spacing w:val="0"/>
          <w:w w:val="100"/>
          <w:position w:val="0"/>
        </w:rPr>
        <w:t>会计利润与所得税费用调整过程</w:t>
      </w:r>
      <w:bookmarkEnd w:id="1674"/>
      <w:bookmarkEnd w:id="1675"/>
      <w:bookmarkEnd w:id="167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-661,899,488.50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-99,284,923.28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-11,049,071.51</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-608,414.02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-5,045,342.42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117,553,356.32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-2,007,973.61</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1,343,143.68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-64,654.82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-1,420,019.54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小型微利企业应纳税额减免的影响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-69,643.37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-653,542.57</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78" w:val="left"/>
        </w:tabs>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7</w:t>
      </w:r>
      <w:bookmarkEnd w:id="168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78"/>
      <w:bookmarkEnd w:id="1679"/>
      <w:bookmarkEnd w:id="168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详见附注详见附注七</w:t>
      </w:r>
      <w:r>
        <w:rPr>
          <w:rFonts w:ascii="Times New Roman" w:eastAsia="Times New Roman" w:hAnsi="Times New Roman" w:cs="Times New Roman"/>
          <w:color w:val="000000"/>
          <w:spacing w:val="0"/>
          <w:w w:val="100"/>
          <w:position w:val="0"/>
        </w:rPr>
        <w:t>（57）“</w:t>
      </w:r>
      <w:r>
        <w:rPr>
          <w:color w:val="000000"/>
          <w:spacing w:val="0"/>
          <w:w w:val="100"/>
          <w:position w:val="0"/>
        </w:rPr>
        <w:t>其他综合收益匚。</w:t>
      </w:r>
    </w:p>
    <w:p>
      <w:pPr>
        <w:pStyle w:val="Style38"/>
        <w:keepNext/>
        <w:keepLines/>
        <w:widowControl w:val="0"/>
        <w:shd w:val="clear" w:color="auto" w:fill="auto"/>
        <w:tabs>
          <w:tab w:pos="478" w:val="left"/>
        </w:tabs>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7</w:t>
      </w:r>
      <w:bookmarkEnd w:id="1684"/>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82"/>
      <w:bookmarkEnd w:id="1683"/>
      <w:bookmarkEnd w:id="1685"/>
    </w:p>
    <w:p>
      <w:pPr>
        <w:pStyle w:val="Style38"/>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82"/>
      <w:bookmarkEnd w:id="1683"/>
      <w:bookmarkEnd w:id="168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2,466,014.98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52,184.51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收回投标、履约保证金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15,230,550.00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19,204,364.87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政府补助拨款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4,617,937.13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4,908,544.00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收回银行保函保证金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2,025,002.42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5,378,434.27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1,596,796.31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1,636,102.35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收回备用金借款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790,747.40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857,302.00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471,462.00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1,518,906.34</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2,140,949.66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1,482,908.73</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29,339,459.90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35,038,747.07</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87"/>
      <w:bookmarkEnd w:id="1688"/>
      <w:bookmarkEnd w:id="168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48,295,773.53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41,852,703.78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2,660,069.85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支付投标、履约保证金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17,061,454.94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21,988,104.70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支付备用金借款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7,800,645.31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5,637,295.41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支付银行保函保证金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3,400,558.75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16,110,020.60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754,687.82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764,094.14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3,939,729.46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1,248,378.50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83,912,919.66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87,600,597.13</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0"/>
      <w:bookmarkEnd w:id="1691"/>
      <w:bookmarkEnd w:id="1693"/>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195,350,000.00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远期外汇结汇合同交割收益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2,630,050.00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203,480,050.00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8"/>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94"/>
      <w:bookmarkEnd w:id="1695"/>
      <w:bookmarkEnd w:id="169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212,050,000.00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217,550,000.00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8"/>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98"/>
      <w:bookmarkEnd w:id="1699"/>
      <w:bookmarkEnd w:id="170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4,864,295.56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向股东借款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50,009,560.61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9,864,295.56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53,009,560.61</w:t>
            </w:r>
          </w:p>
        </w:tc>
      </w:tr>
    </w:tbl>
    <w:p>
      <w:pPr>
        <w:sectPr>
          <w:headerReference w:type="default" r:id="rId221"/>
          <w:footerReference w:type="default" r:id="rId222"/>
          <w:headerReference w:type="even" r:id="rId223"/>
          <w:footerReference w:type="even" r:id="rId224"/>
          <w:footnotePr>
            <w:pos w:val="pageBottom"/>
            <w:numFmt w:val="decimal"/>
            <w:numRestart w:val="continuous"/>
          </w:footnotePr>
          <w:pgSz w:w="11900" w:h="16840"/>
          <w:pgMar w:top="1393" w:right="580" w:bottom="1470" w:left="544" w:header="0" w:footer="3" w:gutter="0"/>
          <w:cols w:space="720"/>
          <w:noEndnote/>
          <w:rtlGutter w:val="0"/>
          <w:docGrid w:linePitch="360"/>
        </w:sectPr>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shd w:val="clear" w:color="auto" w:fill="auto"/>
        <w:bidi w:val="0"/>
        <w:spacing w:before="0" w:after="38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02"/>
      <w:bookmarkEnd w:id="1703"/>
      <w:bookmarkEnd w:id="170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还股东借款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32,073,122.28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91,836,438.33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融资租赁保证金及服务费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2,110,908.09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还关联方借款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4,864,106.40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2,066,760.00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63,764,030.37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101,767,304.73</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7</w:t>
      </w:r>
      <w:bookmarkEnd w:id="170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06"/>
      <w:bookmarkEnd w:id="1707"/>
      <w:bookmarkEnd w:id="1709"/>
    </w:p>
    <w:p>
      <w:pPr>
        <w:pStyle w:val="Style38"/>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10" w:name="bookmark171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06"/>
      <w:bookmarkEnd w:id="1707"/>
      <w:bookmarkEnd w:id="1710"/>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-661,245,945.93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141,060,340.70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800,390,874.75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6,859,463.24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固定资产折旧、油气资产折耗、</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3,204,564.37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3,406,428.01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19,978,261.29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19,843,550.17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5,729,071.16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3,150,460.72</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-1,821.91</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198,461.02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217,236.51</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-24,412,084.10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895,564.05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32,414,850.95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27,798,673.50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6,363,684.32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104,215.41</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740"/>
              <w:jc w:val="left"/>
            </w:pPr>
            <w:r>
              <w:rPr>
                <w:color w:val="000000"/>
                <w:spacing w:val="0"/>
                <w:w w:val="100"/>
                <w:position w:val="0"/>
              </w:rPr>
              <w:t>递延所得税资产减少（增加以</w:t>
            </w:r>
          </w:p>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-4,426,729.03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-1,225,278.78</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740"/>
              <w:jc w:val="left"/>
            </w:pPr>
            <w:r>
              <w:rPr>
                <w:color w:val="000000"/>
                <w:spacing w:val="0"/>
                <w:w w:val="100"/>
                <w:position w:val="0"/>
              </w:rPr>
              <w:t>递延所得税负债增加（减少以</w:t>
            </w:r>
          </w:p>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3,070,317.61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-591,495.00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-153,199,208.08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-11,857,544.90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740"/>
              <w:jc w:val="left"/>
            </w:pPr>
            <w:r>
              <w:rPr>
                <w:color w:val="000000"/>
                <w:spacing w:val="0"/>
                <w:w w:val="100"/>
                <w:position w:val="0"/>
              </w:rPr>
              <w:t>经营性应收项目的减少（增加以</w:t>
            </w:r>
          </w:p>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28,563,156.30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-91,878,000.35</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740"/>
              <w:jc w:val="left"/>
            </w:pPr>
            <w:r>
              <w:rPr>
                <w:color w:val="000000"/>
                <w:spacing w:val="0"/>
                <w:w w:val="100"/>
                <w:position w:val="0"/>
              </w:rPr>
              <w:t>经营性应付项目的增加（减少以</w:t>
            </w:r>
          </w:p>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175,731,646.00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73,024,771.63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-37,031.73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232,360,648.49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170,769,531.27</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459,004,442.18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469,435,287.92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469,435,287.92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357,579,637.71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125,000,000.00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-10,430,845.74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-13,144,349.79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11"/>
      <w:bookmarkEnd w:id="1712"/>
      <w:bookmarkEnd w:id="171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116,665,500.00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深圳市快读科技有限公司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海南坚果创娱信息技术有限公司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51,665,500.00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116,665,500.00</w:t>
            </w:r>
          </w:p>
        </w:tc>
      </w:tr>
    </w:tbl>
    <w:p>
      <w:pPr>
        <w:pStyle w:val="Style45"/>
        <w:keepNext w:val="0"/>
        <w:keepLines w:val="0"/>
        <w:widowControl w:val="0"/>
        <w:shd w:val="clear" w:color="auto" w:fill="auto"/>
        <w:bidi w:val="0"/>
        <w:spacing w:before="0" w:after="0" w:line="240" w:lineRule="auto"/>
        <w:ind w:left="0" w:right="0" w:firstLine="0"/>
        <w:jc w:val="left"/>
        <w:sectPr>
          <w:headerReference w:type="default" r:id="rId225"/>
          <w:footerReference w:type="default" r:id="rId226"/>
          <w:headerReference w:type="even" r:id="rId227"/>
          <w:footerReference w:type="even" r:id="rId228"/>
          <w:footnotePr>
            <w:pos w:val="pageBottom"/>
            <w:numFmt w:val="decimal"/>
            <w:numRestart w:val="continuous"/>
          </w:footnotePr>
          <w:pgSz w:w="11900" w:h="16840"/>
          <w:pgMar w:top="1393" w:right="580" w:bottom="1470" w:left="544" w:header="0" w:footer="3" w:gutter="0"/>
          <w:cols w:space="720"/>
          <w:noEndnote/>
          <w:rtlGutter w:val="0"/>
          <w:docGrid w:linePitch="360"/>
        </w:sectPr>
      </w:pPr>
      <w:r>
        <w:rPr>
          <w:color w:val="000000"/>
          <w:spacing w:val="0"/>
          <w:w w:val="100"/>
          <w:position w:val="0"/>
        </w:rPr>
        <w:t>其他说明:</w:t>
      </w:r>
    </w:p>
    <w:p>
      <w:pPr>
        <w:pStyle w:val="Style38"/>
        <w:keepNext/>
        <w:keepLines/>
        <w:widowControl w:val="0"/>
        <w:numPr>
          <w:ilvl w:val="0"/>
          <w:numId w:val="159"/>
        </w:numPr>
        <w:shd w:val="clear" w:color="auto" w:fill="auto"/>
        <w:bidi w:val="0"/>
        <w:spacing w:before="0" w:after="380" w:line="240" w:lineRule="auto"/>
        <w:ind w:left="0" w:right="0" w:firstLine="140"/>
        <w:jc w:val="left"/>
      </w:pPr>
      <w:bookmarkStart w:id="1714" w:name="bookmark1714"/>
      <w:bookmarkStart w:id="1715" w:name="bookmark1715"/>
      <w:bookmarkStart w:id="1716" w:name="bookmark1716"/>
      <w:bookmarkStart w:id="1717" w:name="bookmark1717"/>
      <w:bookmarkEnd w:id="1716"/>
      <w:r>
        <w:rPr>
          <w:color w:val="000000"/>
          <w:spacing w:val="0"/>
          <w:w w:val="100"/>
          <w:position w:val="0"/>
        </w:rPr>
        <w:t>本期收到的处置子公司的现金净额</w:t>
      </w:r>
      <w:bookmarkEnd w:id="1714"/>
      <w:bookmarkEnd w:id="1715"/>
      <w:bookmarkEnd w:id="171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8"/>
        <w:keepNext/>
        <w:keepLines/>
        <w:widowControl w:val="0"/>
        <w:numPr>
          <w:ilvl w:val="0"/>
          <w:numId w:val="159"/>
        </w:numPr>
        <w:shd w:val="clear" w:color="auto" w:fill="auto"/>
        <w:bidi w:val="0"/>
        <w:spacing w:before="0" w:after="380" w:line="240" w:lineRule="auto"/>
        <w:ind w:left="0" w:right="0" w:firstLine="140"/>
        <w:jc w:val="left"/>
      </w:pPr>
      <w:bookmarkStart w:id="1718" w:name="bookmark1718"/>
      <w:bookmarkStart w:id="1719" w:name="bookmark1719"/>
      <w:bookmarkStart w:id="1720" w:name="bookmark1720"/>
      <w:bookmarkStart w:id="1721" w:name="bookmark1721"/>
      <w:bookmarkEnd w:id="1720"/>
      <w:r>
        <w:rPr>
          <w:color w:val="000000"/>
          <w:spacing w:val="0"/>
          <w:w w:val="100"/>
          <w:position w:val="0"/>
        </w:rPr>
        <w:t>现金和现金等价物的构成</w:t>
      </w:r>
      <w:bookmarkEnd w:id="1718"/>
      <w:bookmarkEnd w:id="1719"/>
      <w:bookmarkEnd w:id="172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459,004,442.18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469,435,287.92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93,622.70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101,321.94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458,910,819.48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469,333,965.98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459,004,442.18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469,435,287.92</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年度现金流量表中现金期末数为</w:t>
      </w:r>
      <w:r>
        <w:rPr>
          <w:rFonts w:ascii="Times New Roman" w:eastAsia="Times New Roman" w:hAnsi="Times New Roman" w:cs="Times New Roman"/>
          <w:b w:val="0"/>
          <w:bCs w:val="0"/>
          <w:color w:val="000000"/>
          <w:spacing w:val="0"/>
          <w:w w:val="100"/>
          <w:position w:val="0"/>
        </w:rPr>
        <w:t>459,004,442.18</w:t>
      </w:r>
      <w:r>
        <w:rPr>
          <w:b w:val="0"/>
          <w:bCs w:val="0"/>
          <w:color w:val="000000"/>
          <w:spacing w:val="0"/>
          <w:w w:val="100"/>
          <w:position w:val="0"/>
        </w:rPr>
        <w:t>元，</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日资产负债表中货币资金期末数 为</w:t>
      </w:r>
      <w:r>
        <w:rPr>
          <w:rFonts w:ascii="Times New Roman" w:eastAsia="Times New Roman" w:hAnsi="Times New Roman" w:cs="Times New Roman"/>
          <w:b w:val="0"/>
          <w:bCs w:val="0"/>
          <w:color w:val="000000"/>
          <w:spacing w:val="0"/>
          <w:w w:val="100"/>
          <w:position w:val="0"/>
        </w:rPr>
        <w:t>577,368,063.8</w:t>
      </w:r>
      <w:r>
        <w:rPr>
          <w:rFonts w:ascii="Times New Roman" w:eastAsia="Times New Roman" w:hAnsi="Times New Roman" w:cs="Times New Roman"/>
          <w:b w:val="0"/>
          <w:bCs w:val="0"/>
          <w:color w:val="000000"/>
          <w:spacing w:val="0"/>
          <w:w w:val="100"/>
          <w:position w:val="0"/>
        </w:rPr>
        <w:t>0</w:t>
      </w:r>
      <w:r>
        <w:rPr>
          <w:b w:val="0"/>
          <w:bCs w:val="0"/>
          <w:color w:val="000000"/>
          <w:spacing w:val="0"/>
          <w:w w:val="100"/>
          <w:position w:val="0"/>
        </w:rPr>
        <w:t>元，差额</w:t>
      </w:r>
      <w:r>
        <w:rPr>
          <w:rFonts w:ascii="Times New Roman" w:eastAsia="Times New Roman" w:hAnsi="Times New Roman" w:cs="Times New Roman"/>
          <w:b w:val="0"/>
          <w:bCs w:val="0"/>
          <w:color w:val="000000"/>
          <w:spacing w:val="0"/>
          <w:w w:val="100"/>
          <w:position w:val="0"/>
        </w:rPr>
        <w:t>118,363,621.6</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元，系现金流量表现金期末数扣除了不符合现金及现金等价物标 准的保函保证金以及开立银行承兑汇票保证金</w:t>
      </w:r>
      <w:r>
        <w:rPr>
          <w:rFonts w:ascii="Times New Roman" w:eastAsia="Times New Roman" w:hAnsi="Times New Roman" w:cs="Times New Roman"/>
          <w:b w:val="0"/>
          <w:bCs w:val="0"/>
          <w:color w:val="000000"/>
          <w:spacing w:val="0"/>
          <w:w w:val="100"/>
          <w:position w:val="0"/>
        </w:rPr>
        <w:t>118,363,621.62</w:t>
      </w:r>
      <w:r>
        <w:rPr>
          <w:b w:val="0"/>
          <w:bCs w:val="0"/>
          <w:color w:val="000000"/>
          <w:spacing w:val="0"/>
          <w:w w:val="100"/>
          <w:position w:val="0"/>
        </w:rPr>
        <w:t>元。</w:t>
      </w:r>
    </w:p>
    <w:p>
      <w:pPr>
        <w:pStyle w:val="Style62"/>
        <w:keepNext w:val="0"/>
        <w:keepLines w:val="0"/>
        <w:widowControl w:val="0"/>
        <w:shd w:val="clear" w:color="auto" w:fill="auto"/>
        <w:bidi w:val="0"/>
        <w:spacing w:before="0" w:after="340" w:line="316" w:lineRule="exact"/>
        <w:ind w:left="0" w:right="0" w:firstLine="440"/>
        <w:jc w:val="both"/>
      </w:pP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年度现金流量表中现金期末数为</w:t>
      </w:r>
      <w:r>
        <w:rPr>
          <w:rFonts w:ascii="Times New Roman" w:eastAsia="Times New Roman" w:hAnsi="Times New Roman" w:cs="Times New Roman"/>
          <w:b w:val="0"/>
          <w:bCs w:val="0"/>
          <w:color w:val="000000"/>
          <w:spacing w:val="0"/>
          <w:w w:val="100"/>
          <w:position w:val="0"/>
        </w:rPr>
        <w:t>469,435,287.92</w:t>
      </w:r>
      <w:r>
        <w:rPr>
          <w:b w:val="0"/>
          <w:bCs w:val="0"/>
          <w:color w:val="000000"/>
          <w:spacing w:val="0"/>
          <w:w w:val="100"/>
          <w:position w:val="0"/>
        </w:rPr>
        <w:t>元，</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日资产负债表中货币资金期末数 为</w:t>
      </w:r>
      <w:r>
        <w:rPr>
          <w:rFonts w:ascii="Times New Roman" w:eastAsia="Times New Roman" w:hAnsi="Times New Roman" w:cs="Times New Roman"/>
          <w:b w:val="0"/>
          <w:bCs w:val="0"/>
          <w:color w:val="000000"/>
          <w:spacing w:val="0"/>
          <w:w w:val="100"/>
          <w:position w:val="0"/>
        </w:rPr>
        <w:t>507,399,322.97</w:t>
      </w:r>
      <w:r>
        <w:rPr>
          <w:b w:val="0"/>
          <w:bCs w:val="0"/>
          <w:color w:val="000000"/>
          <w:spacing w:val="0"/>
          <w:w w:val="100"/>
          <w:position w:val="0"/>
        </w:rPr>
        <w:t>元，差额</w:t>
      </w:r>
      <w:r>
        <w:rPr>
          <w:rFonts w:ascii="Times New Roman" w:eastAsia="Times New Roman" w:hAnsi="Times New Roman" w:cs="Times New Roman"/>
          <w:b w:val="0"/>
          <w:bCs w:val="0"/>
          <w:color w:val="000000"/>
          <w:spacing w:val="0"/>
          <w:w w:val="100"/>
          <w:position w:val="0"/>
        </w:rPr>
        <w:t>37,964,035.05</w:t>
      </w:r>
      <w:r>
        <w:rPr>
          <w:b w:val="0"/>
          <w:bCs w:val="0"/>
          <w:color w:val="000000"/>
          <w:spacing w:val="0"/>
          <w:w w:val="100"/>
          <w:position w:val="0"/>
        </w:rPr>
        <w:t>元，系现金流量表现金期末数扣除了不符合现金及现金等价物标准 的保函保证金以及开立银行承兑汇票保证金</w:t>
      </w:r>
      <w:r>
        <w:rPr>
          <w:rFonts w:ascii="Times New Roman" w:eastAsia="Times New Roman" w:hAnsi="Times New Roman" w:cs="Times New Roman"/>
          <w:b w:val="0"/>
          <w:bCs w:val="0"/>
          <w:color w:val="000000"/>
          <w:spacing w:val="0"/>
          <w:w w:val="100"/>
          <w:position w:val="0"/>
        </w:rPr>
        <w:t>37,964,035.05</w:t>
      </w:r>
      <w:r>
        <w:rPr>
          <w:b w:val="0"/>
          <w:bCs w:val="0"/>
          <w:color w:val="000000"/>
          <w:spacing w:val="0"/>
          <w:w w:val="100"/>
          <w:position w:val="0"/>
        </w:rPr>
        <w:t>元。</w:t>
      </w:r>
    </w:p>
    <w:p>
      <w:pPr>
        <w:pStyle w:val="Style38"/>
        <w:keepNext/>
        <w:keepLines/>
        <w:widowControl w:val="0"/>
        <w:shd w:val="clear" w:color="auto" w:fill="auto"/>
        <w:tabs>
          <w:tab w:pos="483" w:val="left"/>
        </w:tabs>
        <w:bidi w:val="0"/>
        <w:spacing w:before="0" w:after="340" w:line="316" w:lineRule="exact"/>
        <w:ind w:left="0" w:right="0" w:firstLine="0"/>
        <w:jc w:val="both"/>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8</w:t>
      </w:r>
      <w:bookmarkEnd w:id="1724"/>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22"/>
      <w:bookmarkEnd w:id="1723"/>
      <w:bookmarkEnd w:id="1725"/>
    </w:p>
    <w:p>
      <w:pPr>
        <w:pStyle w:val="Style34"/>
        <w:keepNext w:val="0"/>
        <w:keepLines w:val="0"/>
        <w:widowControl w:val="0"/>
        <w:shd w:val="clear" w:color="auto" w:fill="auto"/>
        <w:bidi w:val="0"/>
        <w:spacing w:before="0" w:after="340" w:line="240" w:lineRule="auto"/>
        <w:ind w:left="0" w:right="0" w:firstLine="0"/>
        <w:jc w:val="both"/>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8"/>
        <w:keepNext/>
        <w:keepLines/>
        <w:widowControl w:val="0"/>
        <w:shd w:val="clear" w:color="auto" w:fill="auto"/>
        <w:tabs>
          <w:tab w:pos="483" w:val="left"/>
        </w:tabs>
        <w:bidi w:val="0"/>
        <w:spacing w:before="0" w:after="380" w:line="316" w:lineRule="exact"/>
        <w:ind w:left="0" w:right="0" w:firstLine="0"/>
        <w:jc w:val="both"/>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8</w:t>
      </w:r>
      <w:bookmarkEnd w:id="1728"/>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26"/>
      <w:bookmarkEnd w:id="1727"/>
      <w:bookmarkEnd w:id="172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118,363,621.62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保函保证金及承兑汇票保证金</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56,980,128.56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175,343,750.18</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62"/>
        <w:keepNext w:val="0"/>
        <w:keepLines w:val="0"/>
        <w:widowControl w:val="0"/>
        <w:numPr>
          <w:ilvl w:val="0"/>
          <w:numId w:val="161"/>
        </w:numPr>
        <w:shd w:val="clear" w:color="auto" w:fill="auto"/>
        <w:bidi w:val="0"/>
        <w:spacing w:before="0" w:after="0" w:line="240" w:lineRule="auto"/>
        <w:ind w:left="0" w:right="0" w:firstLine="0"/>
        <w:jc w:val="both"/>
      </w:pPr>
      <w:bookmarkStart w:id="1730" w:name="bookmark1730"/>
      <w:bookmarkEnd w:id="1730"/>
      <w:r>
        <w:rPr>
          <w:b w:val="0"/>
          <w:bCs w:val="0"/>
          <w:color w:val="000000"/>
          <w:spacing w:val="0"/>
          <w:w w:val="100"/>
          <w:position w:val="0"/>
        </w:rPr>
        <w:t>截至</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日，公司部分固定资产用于借款抵押情况</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单位：万元</w:t>
      </w:r>
      <w:r>
        <w:rPr>
          <w:rFonts w:ascii="Times New Roman" w:eastAsia="Times New Roman" w:hAnsi="Times New Roman" w:cs="Times New Roman"/>
          <w:b w:val="0"/>
          <w:bCs w:val="0"/>
          <w:color w:val="000000"/>
          <w:spacing w:val="0"/>
          <w:w w:val="100"/>
          <w:position w:val="0"/>
        </w:rPr>
        <w:t>)</w:t>
      </w:r>
    </w:p>
    <w:tbl>
      <w:tblPr>
        <w:tblOverlap w:val="never"/>
        <w:jc w:val="left"/>
        <w:tblLayout w:type="fixed"/>
      </w:tblPr>
      <w:tblGrid>
        <w:gridCol w:w="1258"/>
        <w:gridCol w:w="994"/>
        <w:gridCol w:w="1133"/>
        <w:gridCol w:w="1560"/>
        <w:gridCol w:w="1421"/>
        <w:gridCol w:w="1128"/>
        <w:gridCol w:w="1142"/>
      </w:tblGrid>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被担保单位</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抵押权人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抵押物类型</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抵押物账面净值</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抵押借款金额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借款到期日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保证担保人</w:t>
            </w:r>
          </w:p>
        </w:tc>
      </w:tr>
    </w:tbl>
    <w:p>
      <w:pPr>
        <w:widowControl w:val="0"/>
        <w:spacing w:line="1" w:lineRule="exact"/>
      </w:pPr>
      <w:r>
        <w:br w:type="page"/>
      </w:r>
    </w:p>
    <w:tbl>
      <w:tblPr>
        <w:tblOverlap w:val="never"/>
        <w:jc w:val="left"/>
        <w:tblLayout w:type="fixed"/>
      </w:tblPr>
      <w:tblGrid>
        <w:gridCol w:w="1258"/>
        <w:gridCol w:w="994"/>
        <w:gridCol w:w="1133"/>
        <w:gridCol w:w="1560"/>
        <w:gridCol w:w="1421"/>
        <w:gridCol w:w="1128"/>
        <w:gridCol w:w="1142"/>
      </w:tblGrid>
      <w:tr>
        <w:trPr>
          <w:trHeight w:val="979"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高伟达软件股 份有限公司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南洋商业银 行</w:t>
            </w:r>
            <w:r>
              <w:rPr>
                <w:color w:val="000000"/>
                <w:spacing w:val="0"/>
                <w:w w:val="100"/>
                <w:position w:val="0"/>
              </w:rPr>
              <w:t>(</w:t>
            </w:r>
            <w:r>
              <w:rPr>
                <w:color w:val="000000"/>
                <w:spacing w:val="0"/>
                <w:w w:val="100"/>
                <w:position w:val="0"/>
              </w:rPr>
              <w:t>中国</w:t>
            </w:r>
            <w:r>
              <w:rPr>
                <w:color w:val="000000"/>
                <w:spacing w:val="0"/>
                <w:w w:val="100"/>
                <w:position w:val="0"/>
              </w:rPr>
              <w:t>)</w:t>
            </w:r>
            <w:r>
              <w:rPr>
                <w:color w:val="000000"/>
                <w:spacing w:val="0"/>
                <w:w w:val="100"/>
                <w:position w:val="0"/>
              </w:rPr>
              <w:t>有 限公司</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5,698.01</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3,960.00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2023-6-30</w:t>
            </w:r>
          </w:p>
        </w:tc>
        <w:tc>
          <w:tcPr>
            <w:tcBorders>
              <w:top w:val="single" w:sz="4"/>
              <w:left w:val="single" w:sz="4"/>
              <w:bottom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于伟</w:t>
            </w:r>
          </w:p>
        </w:tc>
      </w:tr>
    </w:tbl>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日偿还该笔借款</w:t>
      </w:r>
      <w:r>
        <w:rPr>
          <w:rFonts w:ascii="Times New Roman" w:eastAsia="Times New Roman" w:hAnsi="Times New Roman" w:cs="Times New Roman"/>
          <w:color w:val="000000"/>
          <w:spacing w:val="0"/>
          <w:w w:val="100"/>
          <w:position w:val="0"/>
        </w:rPr>
        <w:t>3,960.00</w:t>
      </w:r>
      <w:r>
        <w:rPr>
          <w:color w:val="000000"/>
          <w:spacing w:val="0"/>
          <w:w w:val="100"/>
          <w:position w:val="0"/>
        </w:rPr>
        <w:t>万元，涉及担保、资产抵押及股权质押已解除。</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8</w:t>
      </w:r>
      <w:bookmarkEnd w:id="1733"/>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31"/>
      <w:bookmarkEnd w:id="1732"/>
      <w:bookmarkEnd w:id="1734"/>
    </w:p>
    <w:p>
      <w:pPr>
        <w:pStyle w:val="Style38"/>
        <w:keepNext/>
        <w:keepLines/>
        <w:widowControl w:val="0"/>
        <w:shd w:val="clear" w:color="auto" w:fill="auto"/>
        <w:bidi w:val="0"/>
        <w:spacing w:before="0" w:after="380" w:line="240" w:lineRule="auto"/>
        <w:ind w:left="0" w:right="0" w:firstLine="0"/>
        <w:jc w:val="left"/>
      </w:pPr>
      <w:bookmarkStart w:id="1731" w:name="bookmark1731"/>
      <w:bookmarkStart w:id="1732" w:name="bookmark1732"/>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31"/>
      <w:bookmarkEnd w:id="1732"/>
      <w:bookmarkEnd w:id="173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119,677.05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780,880.78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9,557.85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62,364.03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694.51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4,531.61</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38"/>
        <w:keepNext/>
        <w:keepLines/>
        <w:widowControl w:val="0"/>
        <w:shd w:val="clear" w:color="auto" w:fill="auto"/>
        <w:bidi w:val="0"/>
        <w:spacing w:before="0" w:after="260" w:line="331" w:lineRule="exact"/>
        <w:ind w:left="0" w:right="0" w:firstLine="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36"/>
      <w:bookmarkEnd w:id="1737"/>
      <w:bookmarkEnd w:id="1738"/>
    </w:p>
    <w:p>
      <w:pPr>
        <w:pStyle w:val="Style3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本公司有如下境外经营实体：</w:t>
      </w:r>
    </w:p>
    <w:p>
      <w:pPr>
        <w:pStyle w:val="Style68"/>
        <w:keepNext w:val="0"/>
        <w:keepLines w:val="0"/>
        <w:widowControl w:val="0"/>
        <w:numPr>
          <w:ilvl w:val="0"/>
          <w:numId w:val="163"/>
        </w:numPr>
        <w:shd w:val="clear" w:color="auto" w:fill="auto"/>
        <w:tabs>
          <w:tab w:pos="842" w:val="left"/>
        </w:tabs>
        <w:bidi w:val="0"/>
        <w:spacing w:before="0" w:after="0" w:line="360" w:lineRule="auto"/>
        <w:ind w:left="0" w:right="0" w:firstLine="440"/>
        <w:jc w:val="left"/>
      </w:pPr>
      <w:bookmarkStart w:id="1739" w:name="bookmark1739"/>
      <w:bookmarkEnd w:id="1739"/>
      <w:r>
        <w:rPr>
          <w:color w:val="000000"/>
          <w:spacing w:val="0"/>
          <w:w w:val="100"/>
          <w:position w:val="0"/>
        </w:rPr>
        <w:t>Nuts Information Technology CO.,Limited</w:t>
      </w:r>
      <w:r>
        <w:rPr>
          <w:rFonts w:ascii="SimSun" w:eastAsia="SimSun" w:hAnsi="SimSun" w:cs="SimSun"/>
          <w:color w:val="000000"/>
          <w:spacing w:val="0"/>
          <w:w w:val="100"/>
          <w:position w:val="0"/>
        </w:rPr>
        <w:t>公司，主要经营地为香港，记账本位币为美元；</w:t>
      </w:r>
    </w:p>
    <w:p>
      <w:pPr>
        <w:pStyle w:val="Style68"/>
        <w:keepNext w:val="0"/>
        <w:keepLines w:val="0"/>
        <w:widowControl w:val="0"/>
        <w:numPr>
          <w:ilvl w:val="0"/>
          <w:numId w:val="163"/>
        </w:numPr>
        <w:shd w:val="clear" w:color="auto" w:fill="auto"/>
        <w:tabs>
          <w:tab w:pos="842" w:val="left"/>
        </w:tabs>
        <w:bidi w:val="0"/>
        <w:spacing w:before="0" w:after="0" w:line="360" w:lineRule="auto"/>
        <w:ind w:left="0" w:right="0" w:firstLine="440"/>
        <w:jc w:val="left"/>
      </w:pPr>
      <w:bookmarkStart w:id="1740" w:name="bookmark1740"/>
      <w:bookmarkEnd w:id="1740"/>
      <w:r>
        <w:rPr>
          <w:color w:val="000000"/>
          <w:spacing w:val="0"/>
          <w:w w:val="100"/>
          <w:position w:val="0"/>
        </w:rPr>
        <w:t>Nuts Information Technology Limited</w:t>
      </w:r>
      <w:r>
        <w:rPr>
          <w:rFonts w:ascii="SimSun" w:eastAsia="SimSun" w:hAnsi="SimSun" w:cs="SimSun"/>
          <w:color w:val="000000"/>
          <w:spacing w:val="0"/>
          <w:w w:val="100"/>
          <w:position w:val="0"/>
        </w:rPr>
        <w:t>公司，主要经营地为塞舌尔共和国，记账本位币为美元。</w:t>
      </w:r>
    </w:p>
    <w:p>
      <w:pPr>
        <w:pStyle w:val="Style34"/>
        <w:keepNext w:val="0"/>
        <w:keepLines w:val="0"/>
        <w:widowControl w:val="0"/>
        <w:shd w:val="clear" w:color="auto" w:fill="auto"/>
        <w:bidi w:val="0"/>
        <w:spacing w:before="0" w:after="260" w:line="312" w:lineRule="exact"/>
        <w:ind w:left="0" w:right="0" w:firstLine="0"/>
        <w:jc w:val="left"/>
      </w:pPr>
      <w:r>
        <w:rPr>
          <w:color w:val="000000"/>
          <w:spacing w:val="0"/>
          <w:w w:val="100"/>
          <w:position w:val="0"/>
        </w:rPr>
        <w:t>本公司之境外子公司根据其经营所处的主要经济环境中的货币确定美元为其记账本位币，本期上述境外经营实体的记账本位 币没有发生变化。</w:t>
      </w:r>
      <w:r>
        <w:br w:type="page"/>
      </w:r>
    </w:p>
    <w:p>
      <w:pPr>
        <w:pStyle w:val="Style38"/>
        <w:keepNext/>
        <w:keepLines/>
        <w:widowControl w:val="0"/>
        <w:shd w:val="clear" w:color="auto" w:fill="auto"/>
        <w:tabs>
          <w:tab w:pos="499" w:val="left"/>
        </w:tabs>
        <w:bidi w:val="0"/>
        <w:spacing w:before="0" w:after="380" w:line="240" w:lineRule="auto"/>
        <w:ind w:left="0" w:right="0" w:firstLine="0"/>
        <w:jc w:val="both"/>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8</w:t>
      </w:r>
      <w:bookmarkEnd w:id="1743"/>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41"/>
      <w:bookmarkEnd w:id="1742"/>
      <w:bookmarkEnd w:id="1744"/>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按照套期类别披露套期项目及相关套期工具、被套期风险的定性和定量信息:</w:t>
      </w:r>
    </w:p>
    <w:p>
      <w:pPr>
        <w:pStyle w:val="Style38"/>
        <w:keepNext/>
        <w:keepLines/>
        <w:widowControl w:val="0"/>
        <w:shd w:val="clear" w:color="auto" w:fill="auto"/>
        <w:tabs>
          <w:tab w:pos="499" w:val="left"/>
        </w:tabs>
        <w:bidi w:val="0"/>
        <w:spacing w:before="0" w:after="380" w:line="240" w:lineRule="auto"/>
        <w:ind w:left="0" w:right="0" w:firstLine="0"/>
        <w:jc w:val="both"/>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8</w:t>
      </w:r>
      <w:bookmarkEnd w:id="1747"/>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45"/>
      <w:bookmarkEnd w:id="1746"/>
      <w:bookmarkEnd w:id="1748"/>
    </w:p>
    <w:p>
      <w:pPr>
        <w:pStyle w:val="Style38"/>
        <w:keepNext/>
        <w:keepLines/>
        <w:widowControl w:val="0"/>
        <w:shd w:val="clear" w:color="auto" w:fill="auto"/>
        <w:bidi w:val="0"/>
        <w:spacing w:before="0" w:after="380" w:line="240" w:lineRule="auto"/>
        <w:ind w:left="0" w:right="0" w:firstLine="0"/>
        <w:jc w:val="both"/>
      </w:pPr>
      <w:bookmarkStart w:id="1745" w:name="bookmark1745"/>
      <w:bookmarkStart w:id="1746" w:name="bookmark1746"/>
      <w:bookmarkStart w:id="1749" w:name="bookmark17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45"/>
      <w:bookmarkEnd w:id="1746"/>
      <w:bookmarkEnd w:id="174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税收扶持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翕振零售数据集市软件研发</w:t>
            </w:r>
            <w:r>
              <w:rPr>
                <w:rFonts w:ascii="Times New Roman" w:eastAsia="Times New Roman" w:hAnsi="Times New Roman" w:cs="Times New Roman"/>
                <w:color w:val="000000"/>
                <w:spacing w:val="0"/>
                <w:w w:val="100"/>
                <w:position w:val="0"/>
              </w:rPr>
              <w:t xml:space="preserve">” </w:t>
            </w:r>
            <w:r>
              <w:rPr>
                <w:color w:val="000000"/>
                <w:spacing w:val="0"/>
                <w:w w:val="100"/>
                <w:position w:val="0"/>
              </w:rPr>
              <w:t>专项扶持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财政贴息款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626,000.00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-626,000.00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面向汽车零售的互联网融资 租赁平台</w:t>
            </w:r>
            <w:r>
              <w:rPr>
                <w:rFonts w:ascii="Times New Roman" w:eastAsia="Times New Roman" w:hAnsi="Times New Roman" w:cs="Times New Roman"/>
                <w:color w:val="000000"/>
                <w:spacing w:val="0"/>
                <w:w w:val="100"/>
                <w:position w:val="0"/>
              </w:rPr>
              <w:t>”</w:t>
            </w:r>
            <w:r>
              <w:rPr>
                <w:color w:val="000000"/>
                <w:spacing w:val="0"/>
                <w:w w:val="100"/>
                <w:position w:val="0"/>
              </w:rPr>
              <w:t>财政专项扶持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科技发展计划和科技经费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增值税即征即退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397,446.61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397,446.61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337,112.87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337,112.87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经济发展考核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省高企入库奖励金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南京市高企认定奖励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软件集成电路设计人员奖励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142,000.00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静投办补助款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扶持资金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93,671.96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93,671.96</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深圳市政府补助以工代训补 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残保金超比例奖金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3,152.30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3,152.30</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5,015,383.74</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both"/>
      </w:pPr>
      <w:bookmarkStart w:id="1750" w:name="bookmark1750"/>
      <w:bookmarkStart w:id="1751" w:name="bookmark1751"/>
      <w:bookmarkStart w:id="1752" w:name="bookmark17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50"/>
      <w:bookmarkEnd w:id="1751"/>
      <w:bookmarkEnd w:id="1752"/>
    </w:p>
    <w:p>
      <w:pPr>
        <w:pStyle w:val="Style3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0" w:line="312" w:lineRule="exact"/>
        <w:ind w:left="0" w:right="0" w:firstLine="280"/>
        <w:jc w:val="both"/>
      </w:pPr>
      <w:bookmarkStart w:id="1753" w:name="bookmark1753"/>
      <w:r>
        <w:rPr>
          <w:color w:val="000000"/>
          <w:spacing w:val="0"/>
          <w:w w:val="100"/>
          <w:position w:val="0"/>
        </w:rPr>
        <w:t>（</w:t>
      </w:r>
      <w:bookmarkEnd w:id="1753"/>
      <w:r>
        <w:rPr>
          <w:rFonts w:ascii="Times New Roman" w:eastAsia="Times New Roman" w:hAnsi="Times New Roman" w:cs="Times New Roman"/>
          <w:color w:val="000000"/>
          <w:spacing w:val="0"/>
          <w:w w:val="100"/>
          <w:position w:val="0"/>
        </w:rPr>
        <w:t>1</w:t>
      </w:r>
      <w:r>
        <w:rPr>
          <w:color w:val="000000"/>
          <w:spacing w:val="0"/>
          <w:w w:val="100"/>
          <w:position w:val="0"/>
        </w:rPr>
        <w:t>）本期收到政府补助</w:t>
      </w:r>
      <w:r>
        <w:rPr>
          <w:rFonts w:ascii="Times New Roman" w:eastAsia="Times New Roman" w:hAnsi="Times New Roman" w:cs="Times New Roman"/>
          <w:color w:val="000000"/>
          <w:spacing w:val="0"/>
          <w:w w:val="100"/>
          <w:position w:val="0"/>
        </w:rPr>
        <w:t>5,015,383.74</w:t>
      </w:r>
      <w:r>
        <w:rPr>
          <w:color w:val="000000"/>
          <w:spacing w:val="0"/>
          <w:w w:val="100"/>
          <w:position w:val="0"/>
        </w:rPr>
        <w:t>元。其中：</w:t>
      </w:r>
    </w:p>
    <w:p>
      <w:pPr>
        <w:pStyle w:val="Style34"/>
        <w:keepNext w:val="0"/>
        <w:keepLines w:val="0"/>
        <w:widowControl w:val="0"/>
        <w:shd w:val="clear" w:color="auto" w:fill="auto"/>
        <w:tabs>
          <w:tab w:pos="762" w:val="left"/>
        </w:tabs>
        <w:bidi w:val="0"/>
        <w:spacing w:before="0" w:after="0" w:line="312" w:lineRule="exact"/>
        <w:ind w:left="0" w:right="0" w:firstLine="440"/>
        <w:jc w:val="both"/>
      </w:pPr>
      <w:bookmarkStart w:id="1754" w:name="bookmark1754"/>
      <w:r>
        <w:rPr>
          <w:rFonts w:ascii="Times New Roman" w:eastAsia="Times New Roman" w:hAnsi="Times New Roman" w:cs="Times New Roman"/>
          <w:color w:val="000000"/>
          <w:spacing w:val="0"/>
          <w:w w:val="100"/>
          <w:position w:val="0"/>
        </w:rPr>
        <w:t>1</w:t>
      </w:r>
      <w:bookmarkEnd w:id="1754"/>
      <w:r>
        <w:rPr>
          <w:rFonts w:ascii="Times New Roman" w:eastAsia="Times New Roman" w:hAnsi="Times New Roman" w:cs="Times New Roman"/>
          <w:color w:val="000000"/>
          <w:spacing w:val="0"/>
          <w:w w:val="100"/>
          <w:position w:val="0"/>
        </w:rPr>
        <w:t>）</w:t>
        <w:tab/>
      </w:r>
      <w:r>
        <w:rPr>
          <w:color w:val="000000"/>
          <w:spacing w:val="0"/>
          <w:w w:val="100"/>
          <w:position w:val="0"/>
        </w:rPr>
        <w:t>因符合地方政府招商引资等地方性扶持政策，公司</w:t>
      </w:r>
      <w:r>
        <w:rPr>
          <w:rFonts w:ascii="Times New Roman" w:eastAsia="Times New Roman" w:hAnsi="Times New Roman" w:cs="Times New Roman"/>
          <w:color w:val="000000"/>
          <w:spacing w:val="0"/>
          <w:w w:val="100"/>
          <w:position w:val="0"/>
        </w:rPr>
        <w:t>2020</w:t>
      </w:r>
      <w:r>
        <w:rPr>
          <w:color w:val="000000"/>
          <w:spacing w:val="0"/>
          <w:w w:val="100"/>
          <w:position w:val="0"/>
        </w:rPr>
        <w:t>年度收到税收扶持资金</w:t>
      </w:r>
      <w:r>
        <w:rPr>
          <w:rFonts w:ascii="Times New Roman" w:eastAsia="Times New Roman" w:hAnsi="Times New Roman" w:cs="Times New Roman"/>
          <w:color w:val="000000"/>
          <w:spacing w:val="0"/>
          <w:w w:val="100"/>
          <w:position w:val="0"/>
        </w:rPr>
        <w:t>1,200,000.00</w:t>
      </w:r>
      <w:r>
        <w:rPr>
          <w:color w:val="000000"/>
          <w:spacing w:val="0"/>
          <w:w w:val="100"/>
          <w:position w:val="0"/>
        </w:rPr>
        <w:t>元，系与收益相关的政府 补助，且与公司日常经营活动无关，已全额计入</w:t>
      </w:r>
      <w:r>
        <w:rPr>
          <w:rFonts w:ascii="Times New Roman" w:eastAsia="Times New Roman" w:hAnsi="Times New Roman" w:cs="Times New Roman"/>
          <w:color w:val="000000"/>
          <w:spacing w:val="0"/>
          <w:w w:val="100"/>
          <w:position w:val="0"/>
        </w:rPr>
        <w:t>2020</w:t>
      </w:r>
      <w:r>
        <w:rPr>
          <w:color w:val="000000"/>
          <w:spacing w:val="0"/>
          <w:w w:val="100"/>
          <w:position w:val="0"/>
        </w:rPr>
        <w:t>年营业外收入。</w:t>
      </w:r>
    </w:p>
    <w:p>
      <w:pPr>
        <w:pStyle w:val="Style34"/>
        <w:keepNext w:val="0"/>
        <w:keepLines w:val="0"/>
        <w:widowControl w:val="0"/>
        <w:shd w:val="clear" w:color="auto" w:fill="auto"/>
        <w:tabs>
          <w:tab w:pos="762" w:val="left"/>
        </w:tabs>
        <w:bidi w:val="0"/>
        <w:spacing w:before="0" w:after="300" w:line="312" w:lineRule="exact"/>
        <w:ind w:left="0" w:right="0" w:firstLine="440"/>
        <w:jc w:val="both"/>
        <w:sectPr>
          <w:headerReference w:type="default" r:id="rId229"/>
          <w:footerReference w:type="default" r:id="rId230"/>
          <w:headerReference w:type="even" r:id="rId231"/>
          <w:footerReference w:type="even" r:id="rId232"/>
          <w:footnotePr>
            <w:pos w:val="pageBottom"/>
            <w:numFmt w:val="decimal"/>
            <w:numRestart w:val="continuous"/>
          </w:footnotePr>
          <w:pgSz w:w="11900" w:h="16840"/>
          <w:pgMar w:top="1393" w:right="580" w:bottom="1470" w:left="544" w:header="0" w:footer="3" w:gutter="0"/>
          <w:cols w:space="720"/>
          <w:noEndnote/>
          <w:rtlGutter w:val="0"/>
          <w:docGrid w:linePitch="360"/>
        </w:sectPr>
      </w:pPr>
      <w:bookmarkStart w:id="1755" w:name="bookmark1755"/>
      <w:r>
        <w:rPr>
          <w:rFonts w:ascii="Times New Roman" w:eastAsia="Times New Roman" w:hAnsi="Times New Roman" w:cs="Times New Roman"/>
          <w:color w:val="000000"/>
          <w:spacing w:val="0"/>
          <w:w w:val="100"/>
          <w:position w:val="0"/>
        </w:rPr>
        <w:t>2</w:t>
      </w:r>
      <w:bookmarkEnd w:id="1755"/>
      <w:r>
        <w:rPr>
          <w:rFonts w:ascii="Times New Roman" w:eastAsia="Times New Roman" w:hAnsi="Times New Roman" w:cs="Times New Roman"/>
          <w:color w:val="000000"/>
          <w:spacing w:val="0"/>
          <w:w w:val="100"/>
          <w:position w:val="0"/>
        </w:rPr>
        <w:t>）</w:t>
        <w:tab/>
      </w:r>
      <w:r>
        <w:rPr>
          <w:color w:val="000000"/>
          <w:spacing w:val="0"/>
          <w:w w:val="100"/>
          <w:position w:val="0"/>
        </w:rPr>
        <w:t>因符合《上海紫竹高新技术产业开发区管委会项目管理办法</w:t>
      </w:r>
      <w:r>
        <w:rPr>
          <w:rFonts w:ascii="Times New Roman" w:eastAsia="Times New Roman" w:hAnsi="Times New Roman" w:cs="Times New Roman"/>
          <w:color w:val="000000"/>
          <w:spacing w:val="0"/>
          <w:w w:val="100"/>
          <w:position w:val="0"/>
        </w:rPr>
        <w:t>（</w:t>
      </w:r>
      <w:r>
        <w:rPr>
          <w:color w:val="000000"/>
          <w:spacing w:val="0"/>
          <w:w w:val="100"/>
          <w:position w:val="0"/>
        </w:rPr>
        <w:t>试行</w:t>
      </w:r>
      <w:r>
        <w:rPr>
          <w:rFonts w:ascii="Times New Roman" w:eastAsia="Times New Roman" w:hAnsi="Times New Roman" w:cs="Times New Roman"/>
          <w:color w:val="000000"/>
          <w:spacing w:val="0"/>
          <w:w w:val="100"/>
          <w:position w:val="0"/>
        </w:rPr>
        <w:t>）</w:t>
      </w:r>
      <w:r>
        <w:rPr>
          <w:color w:val="000000"/>
          <w:spacing w:val="0"/>
          <w:w w:val="100"/>
          <w:position w:val="0"/>
        </w:rPr>
        <w:t>》要求，上海紫竹高新技术产业开发区管理委员会 给予专项补助，公司</w:t>
      </w:r>
      <w:r>
        <w:rPr>
          <w:rFonts w:ascii="Times New Roman" w:eastAsia="Times New Roman" w:hAnsi="Times New Roman" w:cs="Times New Roman"/>
          <w:color w:val="000000"/>
          <w:spacing w:val="0"/>
          <w:w w:val="100"/>
          <w:position w:val="0"/>
        </w:rPr>
        <w:t>2020</w:t>
      </w:r>
      <w:r>
        <w:rPr>
          <w:color w:val="000000"/>
          <w:spacing w:val="0"/>
          <w:w w:val="100"/>
          <w:position w:val="0"/>
        </w:rPr>
        <w:t>年度收到专项补助资金</w:t>
      </w:r>
      <w:r>
        <w:rPr>
          <w:rFonts w:ascii="Times New Roman" w:eastAsia="Times New Roman" w:hAnsi="Times New Roman" w:cs="Times New Roman"/>
          <w:color w:val="000000"/>
          <w:spacing w:val="0"/>
          <w:w w:val="100"/>
          <w:position w:val="0"/>
        </w:rPr>
        <w:t>1,200,000.00</w:t>
      </w:r>
      <w:r>
        <w:rPr>
          <w:color w:val="000000"/>
          <w:spacing w:val="0"/>
          <w:w w:val="100"/>
          <w:position w:val="0"/>
        </w:rPr>
        <w:t>元，系与收益相关的政府补助，且与公司日常经营活动无关，</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已全额计入</w:t>
      </w:r>
      <w:r>
        <w:rPr>
          <w:rFonts w:ascii="Times New Roman" w:eastAsia="Times New Roman" w:hAnsi="Times New Roman" w:cs="Times New Roman"/>
          <w:color w:val="000000"/>
          <w:spacing w:val="0"/>
          <w:w w:val="100"/>
          <w:position w:val="0"/>
        </w:rPr>
        <w:t>2020</w:t>
      </w:r>
      <w:r>
        <w:rPr>
          <w:color w:val="000000"/>
          <w:spacing w:val="0"/>
          <w:w w:val="100"/>
          <w:position w:val="0"/>
        </w:rPr>
        <w:t>年营业外收入。</w:t>
      </w:r>
    </w:p>
    <w:p>
      <w:pPr>
        <w:pStyle w:val="Style34"/>
        <w:keepNext w:val="0"/>
        <w:keepLines w:val="0"/>
        <w:widowControl w:val="0"/>
        <w:shd w:val="clear" w:color="auto" w:fill="auto"/>
        <w:tabs>
          <w:tab w:pos="756" w:val="left"/>
        </w:tabs>
        <w:bidi w:val="0"/>
        <w:spacing w:before="0" w:after="0" w:line="312" w:lineRule="exact"/>
        <w:ind w:left="0" w:right="0" w:firstLine="440"/>
        <w:jc w:val="both"/>
      </w:pPr>
      <w:bookmarkStart w:id="1756" w:name="bookmark1756"/>
      <w:r>
        <w:rPr>
          <w:rFonts w:ascii="Times New Roman" w:eastAsia="Times New Roman" w:hAnsi="Times New Roman" w:cs="Times New Roman"/>
          <w:color w:val="000000"/>
          <w:spacing w:val="0"/>
          <w:w w:val="100"/>
          <w:position w:val="0"/>
        </w:rPr>
        <w:t>3</w:t>
      </w:r>
      <w:bookmarkEnd w:id="1756"/>
      <w:r>
        <w:rPr>
          <w:rFonts w:ascii="Times New Roman" w:eastAsia="Times New Roman" w:hAnsi="Times New Roman" w:cs="Times New Roman"/>
          <w:color w:val="000000"/>
          <w:spacing w:val="0"/>
          <w:w w:val="100"/>
          <w:position w:val="0"/>
        </w:rPr>
        <w:t>）</w:t>
        <w:tab/>
      </w:r>
      <w:r>
        <w:rPr>
          <w:color w:val="000000"/>
          <w:spacing w:val="0"/>
          <w:w w:val="100"/>
          <w:position w:val="0"/>
        </w:rPr>
        <w:t>因符合《徐汇区贴息贴费专项资金管理办法》的认定，本公司收到财政贴息款</w:t>
      </w:r>
      <w:r>
        <w:rPr>
          <w:rFonts w:ascii="Times New Roman" w:eastAsia="Times New Roman" w:hAnsi="Times New Roman" w:cs="Times New Roman"/>
          <w:color w:val="000000"/>
          <w:spacing w:val="0"/>
          <w:w w:val="100"/>
          <w:position w:val="0"/>
        </w:rPr>
        <w:t>626,000.00</w:t>
      </w:r>
      <w:r>
        <w:rPr>
          <w:color w:val="000000"/>
          <w:spacing w:val="0"/>
          <w:w w:val="100"/>
          <w:position w:val="0"/>
        </w:rPr>
        <w:t>元，系与收益相关的政府补 助，且与公司日常经营活动无关，已全额冲减</w:t>
      </w:r>
      <w:r>
        <w:rPr>
          <w:rFonts w:ascii="Times New Roman" w:eastAsia="Times New Roman" w:hAnsi="Times New Roman" w:cs="Times New Roman"/>
          <w:color w:val="000000"/>
          <w:spacing w:val="0"/>
          <w:w w:val="100"/>
          <w:position w:val="0"/>
        </w:rPr>
        <w:t>2020</w:t>
      </w:r>
      <w:r>
        <w:rPr>
          <w:color w:val="000000"/>
          <w:spacing w:val="0"/>
          <w:w w:val="100"/>
          <w:position w:val="0"/>
        </w:rPr>
        <w:t>年财务费用。</w:t>
      </w:r>
    </w:p>
    <w:p>
      <w:pPr>
        <w:pStyle w:val="Style34"/>
        <w:keepNext w:val="0"/>
        <w:keepLines w:val="0"/>
        <w:widowControl w:val="0"/>
        <w:shd w:val="clear" w:color="auto" w:fill="auto"/>
        <w:tabs>
          <w:tab w:pos="751" w:val="left"/>
        </w:tabs>
        <w:bidi w:val="0"/>
        <w:spacing w:before="0" w:after="0" w:line="312" w:lineRule="exact"/>
        <w:ind w:left="0" w:right="0" w:firstLine="440"/>
        <w:jc w:val="both"/>
      </w:pPr>
      <w:bookmarkStart w:id="1757" w:name="bookmark1757"/>
      <w:r>
        <w:rPr>
          <w:rFonts w:ascii="Times New Roman" w:eastAsia="Times New Roman" w:hAnsi="Times New Roman" w:cs="Times New Roman"/>
          <w:color w:val="000000"/>
          <w:spacing w:val="0"/>
          <w:w w:val="100"/>
          <w:position w:val="0"/>
        </w:rPr>
        <w:t>4</w:t>
      </w:r>
      <w:bookmarkEnd w:id="1757"/>
      <w:r>
        <w:rPr>
          <w:rFonts w:ascii="Times New Roman" w:eastAsia="Times New Roman" w:hAnsi="Times New Roman" w:cs="Times New Roman"/>
          <w:color w:val="000000"/>
          <w:spacing w:val="0"/>
          <w:w w:val="100"/>
          <w:position w:val="0"/>
        </w:rPr>
        <w:t>）</w:t>
        <w:tab/>
      </w:r>
      <w:r>
        <w:rPr>
          <w:color w:val="000000"/>
          <w:spacing w:val="0"/>
          <w:w w:val="100"/>
          <w:position w:val="0"/>
        </w:rPr>
        <w:t>根据南京市高淳区科技技术局相关政策，公司</w:t>
      </w:r>
      <w:r>
        <w:rPr>
          <w:rFonts w:ascii="Times New Roman" w:eastAsia="Times New Roman" w:hAnsi="Times New Roman" w:cs="Times New Roman"/>
          <w:color w:val="000000"/>
          <w:spacing w:val="0"/>
          <w:w w:val="100"/>
          <w:position w:val="0"/>
        </w:rPr>
        <w:t>2020</w:t>
      </w:r>
      <w:r>
        <w:rPr>
          <w:color w:val="000000"/>
          <w:spacing w:val="0"/>
          <w:w w:val="100"/>
          <w:position w:val="0"/>
        </w:rPr>
        <w:t>年度收到科技发展计划及科技经费补助</w:t>
      </w:r>
      <w:r>
        <w:rPr>
          <w:rFonts w:ascii="Times New Roman" w:eastAsia="Times New Roman" w:hAnsi="Times New Roman" w:cs="Times New Roman"/>
          <w:color w:val="000000"/>
          <w:spacing w:val="0"/>
          <w:w w:val="100"/>
          <w:position w:val="0"/>
        </w:rPr>
        <w:t>400,000.00</w:t>
      </w:r>
      <w:r>
        <w:rPr>
          <w:color w:val="000000"/>
          <w:spacing w:val="0"/>
          <w:w w:val="100"/>
          <w:position w:val="0"/>
        </w:rPr>
        <w:t>元、经济发展考 核奖励金</w:t>
      </w:r>
      <w:r>
        <w:rPr>
          <w:rFonts w:ascii="Times New Roman" w:eastAsia="Times New Roman" w:hAnsi="Times New Roman" w:cs="Times New Roman"/>
          <w:color w:val="000000"/>
          <w:spacing w:val="0"/>
          <w:w w:val="100"/>
          <w:position w:val="0"/>
        </w:rPr>
        <w:t>200,000.00</w:t>
      </w:r>
      <w:r>
        <w:rPr>
          <w:color w:val="000000"/>
          <w:spacing w:val="0"/>
          <w:w w:val="100"/>
          <w:position w:val="0"/>
        </w:rPr>
        <w:t>元、省高新技术企业入库奖励金</w:t>
      </w:r>
      <w:r>
        <w:rPr>
          <w:rFonts w:ascii="Times New Roman" w:eastAsia="Times New Roman" w:hAnsi="Times New Roman" w:cs="Times New Roman"/>
          <w:color w:val="000000"/>
          <w:spacing w:val="0"/>
          <w:w w:val="100"/>
          <w:position w:val="0"/>
        </w:rPr>
        <w:t>150,000.00</w:t>
      </w:r>
      <w:r>
        <w:rPr>
          <w:color w:val="000000"/>
          <w:spacing w:val="0"/>
          <w:w w:val="100"/>
          <w:position w:val="0"/>
        </w:rPr>
        <w:t>元、南京市高新技术企业认定奖励金</w:t>
      </w:r>
      <w:r>
        <w:rPr>
          <w:rFonts w:ascii="Times New Roman" w:eastAsia="Times New Roman" w:hAnsi="Times New Roman" w:cs="Times New Roman"/>
          <w:color w:val="000000"/>
          <w:spacing w:val="0"/>
          <w:w w:val="100"/>
          <w:position w:val="0"/>
        </w:rPr>
        <w:t>150,000.00</w:t>
      </w:r>
      <w:r>
        <w:rPr>
          <w:color w:val="000000"/>
          <w:spacing w:val="0"/>
          <w:w w:val="100"/>
          <w:position w:val="0"/>
        </w:rPr>
        <w:t>元，系与收益 相关的政府补助，且与公司日常经营活动无关，已全额计入</w:t>
      </w:r>
      <w:r>
        <w:rPr>
          <w:rFonts w:ascii="Times New Roman" w:eastAsia="Times New Roman" w:hAnsi="Times New Roman" w:cs="Times New Roman"/>
          <w:color w:val="000000"/>
          <w:spacing w:val="0"/>
          <w:w w:val="100"/>
          <w:position w:val="0"/>
        </w:rPr>
        <w:t>2020</w:t>
      </w:r>
      <w:r>
        <w:rPr>
          <w:color w:val="000000"/>
          <w:spacing w:val="0"/>
          <w:w w:val="100"/>
          <w:position w:val="0"/>
        </w:rPr>
        <w:t>年营业外收入。</w:t>
      </w:r>
    </w:p>
    <w:p>
      <w:pPr>
        <w:pStyle w:val="Style34"/>
        <w:keepNext w:val="0"/>
        <w:keepLines w:val="0"/>
        <w:widowControl w:val="0"/>
        <w:shd w:val="clear" w:color="auto" w:fill="auto"/>
        <w:tabs>
          <w:tab w:pos="761" w:val="left"/>
        </w:tabs>
        <w:bidi w:val="0"/>
        <w:spacing w:before="0" w:after="0" w:line="312" w:lineRule="exact"/>
        <w:ind w:left="0" w:right="0" w:firstLine="440"/>
        <w:jc w:val="both"/>
      </w:pPr>
      <w:bookmarkStart w:id="1758" w:name="bookmark1758"/>
      <w:r>
        <w:rPr>
          <w:rFonts w:ascii="Times New Roman" w:eastAsia="Times New Roman" w:hAnsi="Times New Roman" w:cs="Times New Roman"/>
          <w:color w:val="000000"/>
          <w:spacing w:val="0"/>
          <w:w w:val="100"/>
          <w:position w:val="0"/>
        </w:rPr>
        <w:t>5</w:t>
      </w:r>
      <w:bookmarkEnd w:id="1758"/>
      <w:r>
        <w:rPr>
          <w:rFonts w:ascii="Times New Roman" w:eastAsia="Times New Roman" w:hAnsi="Times New Roman" w:cs="Times New Roman"/>
          <w:color w:val="000000"/>
          <w:spacing w:val="0"/>
          <w:w w:val="100"/>
          <w:position w:val="0"/>
        </w:rPr>
        <w:t>）</w:t>
        <w:tab/>
      </w:r>
      <w:r>
        <w:rPr>
          <w:color w:val="000000"/>
          <w:spacing w:val="0"/>
          <w:w w:val="100"/>
          <w:position w:val="0"/>
        </w:rPr>
        <w:t>根据《国家税务总局关于软件产品增值税政策的通知》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[2011]100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年度收到软件增值税即征即退 </w:t>
      </w:r>
      <w:r>
        <w:rPr>
          <w:rFonts w:ascii="Times New Roman" w:eastAsia="Times New Roman" w:hAnsi="Times New Roman" w:cs="Times New Roman"/>
          <w:color w:val="000000"/>
          <w:spacing w:val="0"/>
          <w:w w:val="100"/>
          <w:position w:val="0"/>
        </w:rPr>
        <w:t>397,446.61</w:t>
      </w:r>
      <w:r>
        <w:rPr>
          <w:color w:val="000000"/>
          <w:spacing w:val="0"/>
          <w:w w:val="100"/>
          <w:position w:val="0"/>
        </w:rPr>
        <w:t>元，系与收益相关的政府补助，且与公司日常经营活动相关，已全额计入</w:t>
      </w:r>
      <w:r>
        <w:rPr>
          <w:rFonts w:ascii="Times New Roman" w:eastAsia="Times New Roman" w:hAnsi="Times New Roman" w:cs="Times New Roman"/>
          <w:color w:val="000000"/>
          <w:spacing w:val="0"/>
          <w:w w:val="100"/>
          <w:position w:val="0"/>
        </w:rPr>
        <w:t>2020</w:t>
      </w:r>
      <w:r>
        <w:rPr>
          <w:color w:val="000000"/>
          <w:spacing w:val="0"/>
          <w:w w:val="100"/>
          <w:position w:val="0"/>
        </w:rPr>
        <w:t>年其他收益。</w:t>
      </w:r>
    </w:p>
    <w:p>
      <w:pPr>
        <w:pStyle w:val="Style34"/>
        <w:keepNext w:val="0"/>
        <w:keepLines w:val="0"/>
        <w:widowControl w:val="0"/>
        <w:shd w:val="clear" w:color="auto" w:fill="auto"/>
        <w:tabs>
          <w:tab w:pos="766" w:val="left"/>
        </w:tabs>
        <w:bidi w:val="0"/>
        <w:spacing w:before="0" w:after="0" w:line="312" w:lineRule="exact"/>
        <w:ind w:left="0" w:right="0" w:firstLine="440"/>
        <w:jc w:val="both"/>
      </w:pPr>
      <w:bookmarkStart w:id="1759" w:name="bookmark1759"/>
      <w:r>
        <w:rPr>
          <w:rFonts w:ascii="Times New Roman" w:eastAsia="Times New Roman" w:hAnsi="Times New Roman" w:cs="Times New Roman"/>
          <w:color w:val="000000"/>
          <w:spacing w:val="0"/>
          <w:w w:val="100"/>
          <w:position w:val="0"/>
        </w:rPr>
        <w:t>6</w:t>
      </w:r>
      <w:bookmarkEnd w:id="1759"/>
      <w:r>
        <w:rPr>
          <w:rFonts w:ascii="Times New Roman" w:eastAsia="Times New Roman" w:hAnsi="Times New Roman" w:cs="Times New Roman"/>
          <w:color w:val="000000"/>
          <w:spacing w:val="0"/>
          <w:w w:val="100"/>
          <w:position w:val="0"/>
        </w:rPr>
        <w:t>）</w:t>
        <w:tab/>
      </w:r>
      <w:r>
        <w:rPr>
          <w:color w:val="000000"/>
          <w:spacing w:val="0"/>
          <w:w w:val="100"/>
          <w:position w:val="0"/>
        </w:rPr>
        <w:t>因符合《关于失业保险支持企业稳定就业岗位的通知》</w:t>
      </w:r>
      <w:r>
        <w:rPr>
          <w:color w:val="000000"/>
          <w:spacing w:val="0"/>
          <w:w w:val="100"/>
          <w:position w:val="0"/>
        </w:rPr>
        <w:t>（</w:t>
      </w:r>
      <w:r>
        <w:rPr>
          <w:color w:val="000000"/>
          <w:spacing w:val="0"/>
          <w:w w:val="100"/>
          <w:position w:val="0"/>
        </w:rPr>
        <w:t>人社部发</w:t>
      </w:r>
      <w:r>
        <w:rPr>
          <w:rFonts w:ascii="Times New Roman" w:eastAsia="Times New Roman" w:hAnsi="Times New Roman" w:cs="Times New Roman"/>
          <w:color w:val="000000"/>
          <w:spacing w:val="0"/>
          <w:w w:val="100"/>
          <w:position w:val="0"/>
        </w:rPr>
        <w:t>[2019]23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、《关于做好本市稳就业工作有关事项 的通知》</w:t>
      </w:r>
      <w:r>
        <w:rPr>
          <w:color w:val="000000"/>
          <w:spacing w:val="0"/>
          <w:w w:val="100"/>
          <w:position w:val="0"/>
        </w:rPr>
        <w:t>（</w:t>
      </w:r>
      <w:r>
        <w:rPr>
          <w:color w:val="000000"/>
          <w:spacing w:val="0"/>
          <w:w w:val="100"/>
          <w:position w:val="0"/>
        </w:rPr>
        <w:t>沪人社规</w:t>
      </w:r>
      <w:r>
        <w:rPr>
          <w:rFonts w:ascii="Times New Roman" w:eastAsia="Times New Roman" w:hAnsi="Times New Roman" w:cs="Times New Roman"/>
          <w:color w:val="000000"/>
          <w:spacing w:val="0"/>
          <w:w w:val="100"/>
          <w:position w:val="0"/>
        </w:rPr>
        <w:t>[2019]34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、《关于做好本市稳就业工作有关事项的通知》</w:t>
      </w:r>
      <w:r>
        <w:rPr>
          <w:color w:val="000000"/>
          <w:spacing w:val="0"/>
          <w:w w:val="100"/>
          <w:position w:val="0"/>
        </w:rPr>
        <w:t>（</w:t>
      </w:r>
      <w:r>
        <w:rPr>
          <w:color w:val="000000"/>
          <w:spacing w:val="0"/>
          <w:w w:val="100"/>
          <w:position w:val="0"/>
        </w:rPr>
        <w:t>苏人社规</w:t>
      </w:r>
      <w:r>
        <w:rPr>
          <w:rFonts w:ascii="Times New Roman" w:eastAsia="Times New Roman" w:hAnsi="Times New Roman" w:cs="Times New Roman"/>
          <w:color w:val="000000"/>
          <w:spacing w:val="0"/>
          <w:w w:val="100"/>
          <w:position w:val="0"/>
        </w:rPr>
        <w:t>[2019]132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要求、新疆自治区政 府新疆自治区关于失业保险支持企业稳定就业岗位有关问题的通知新人社发</w:t>
      </w:r>
      <w:r>
        <w:rPr>
          <w:rFonts w:ascii="Times New Roman" w:eastAsia="Times New Roman" w:hAnsi="Times New Roman" w:cs="Times New Roman"/>
          <w:color w:val="000000"/>
          <w:spacing w:val="0"/>
          <w:w w:val="100"/>
          <w:position w:val="0"/>
        </w:rPr>
        <w:t>[2015]26</w:t>
      </w:r>
      <w:r>
        <w:rPr>
          <w:color w:val="000000"/>
          <w:spacing w:val="0"/>
          <w:w w:val="100"/>
          <w:position w:val="0"/>
        </w:rPr>
        <w:t xml:space="preserve">号、成都市就业服务管理局关于办理 </w:t>
      </w:r>
      <w:r>
        <w:rPr>
          <w:rFonts w:ascii="Times New Roman" w:eastAsia="Times New Roman" w:hAnsi="Times New Roman" w:cs="Times New Roman"/>
          <w:color w:val="000000"/>
          <w:spacing w:val="0"/>
          <w:w w:val="100"/>
          <w:position w:val="0"/>
        </w:rPr>
        <w:t>2019</w:t>
      </w:r>
      <w:r>
        <w:rPr>
          <w:color w:val="000000"/>
          <w:spacing w:val="0"/>
          <w:w w:val="100"/>
          <w:position w:val="0"/>
        </w:rPr>
        <w:t>年稳岗补贴有关问题的通知成就发</w:t>
      </w:r>
      <w:r>
        <w:rPr>
          <w:rFonts w:ascii="Times New Roman" w:eastAsia="Times New Roman" w:hAnsi="Times New Roman" w:cs="Times New Roman"/>
          <w:color w:val="000000"/>
          <w:spacing w:val="0"/>
          <w:w w:val="100"/>
          <w:position w:val="0"/>
        </w:rPr>
        <w:t>[2019]17</w:t>
      </w:r>
      <w:r>
        <w:rPr>
          <w:color w:val="000000"/>
          <w:spacing w:val="0"/>
          <w:w w:val="100"/>
          <w:position w:val="0"/>
        </w:rPr>
        <w:t>号，公司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年度共收到上海市闵行区就业促进中心发放的稳岗补贴 </w:t>
      </w:r>
      <w:r>
        <w:rPr>
          <w:rFonts w:ascii="Times New Roman" w:eastAsia="Times New Roman" w:hAnsi="Times New Roman" w:cs="Times New Roman"/>
          <w:color w:val="000000"/>
          <w:spacing w:val="0"/>
          <w:w w:val="100"/>
          <w:position w:val="0"/>
        </w:rPr>
        <w:t>244,441.00</w:t>
      </w:r>
      <w:r>
        <w:rPr>
          <w:color w:val="000000"/>
          <w:spacing w:val="0"/>
          <w:w w:val="100"/>
          <w:position w:val="0"/>
        </w:rPr>
        <w:t>元、南京市社会保险管理中心发放的稳岗补贴</w:t>
      </w:r>
      <w:r>
        <w:rPr>
          <w:rFonts w:ascii="Times New Roman" w:eastAsia="Times New Roman" w:hAnsi="Times New Roman" w:cs="Times New Roman"/>
          <w:color w:val="000000"/>
          <w:spacing w:val="0"/>
          <w:w w:val="100"/>
          <w:position w:val="0"/>
        </w:rPr>
        <w:t>44,111.97</w:t>
      </w:r>
      <w:r>
        <w:rPr>
          <w:color w:val="000000"/>
          <w:spacing w:val="0"/>
          <w:w w:val="100"/>
          <w:position w:val="0"/>
        </w:rPr>
        <w:t>元、新疆政府发放的稳岗补贴</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,605.00</w:t>
      </w:r>
      <w:r>
        <w:rPr>
          <w:color w:val="000000"/>
          <w:spacing w:val="0"/>
          <w:w w:val="100"/>
          <w:position w:val="0"/>
        </w:rPr>
        <w:t>元、成都就业管理局 发放的稳岗补贴</w:t>
      </w:r>
      <w:r>
        <w:rPr>
          <w:rFonts w:ascii="Times New Roman" w:eastAsia="Times New Roman" w:hAnsi="Times New Roman" w:cs="Times New Roman"/>
          <w:color w:val="000000"/>
          <w:spacing w:val="0"/>
          <w:w w:val="100"/>
          <w:position w:val="0"/>
        </w:rPr>
        <w:t>46,954.90</w:t>
      </w:r>
      <w:r>
        <w:rPr>
          <w:color w:val="000000"/>
          <w:spacing w:val="0"/>
          <w:w w:val="100"/>
          <w:position w:val="0"/>
        </w:rPr>
        <w:t>元，共计</w:t>
      </w:r>
      <w:r>
        <w:rPr>
          <w:rFonts w:ascii="Times New Roman" w:eastAsia="Times New Roman" w:hAnsi="Times New Roman" w:cs="Times New Roman"/>
          <w:color w:val="000000"/>
          <w:spacing w:val="0"/>
          <w:w w:val="100"/>
          <w:position w:val="0"/>
        </w:rPr>
        <w:t>337,112.87</w:t>
      </w:r>
      <w:r>
        <w:rPr>
          <w:color w:val="000000"/>
          <w:spacing w:val="0"/>
          <w:w w:val="100"/>
          <w:position w:val="0"/>
        </w:rPr>
        <w:t>元，均系与收益相关的政府补助，且与公司日常经营活动无关，已全额计入</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年营业外收入。</w:t>
      </w:r>
    </w:p>
    <w:p>
      <w:pPr>
        <w:pStyle w:val="Style34"/>
        <w:keepNext w:val="0"/>
        <w:keepLines w:val="0"/>
        <w:widowControl w:val="0"/>
        <w:shd w:val="clear" w:color="auto" w:fill="auto"/>
        <w:tabs>
          <w:tab w:pos="756" w:val="left"/>
        </w:tabs>
        <w:bidi w:val="0"/>
        <w:spacing w:before="0" w:after="0" w:line="312" w:lineRule="exact"/>
        <w:ind w:left="0" w:right="0" w:firstLine="440"/>
        <w:jc w:val="both"/>
      </w:pPr>
      <w:bookmarkStart w:id="1760" w:name="bookmark1760"/>
      <w:r>
        <w:rPr>
          <w:rFonts w:ascii="Times New Roman" w:eastAsia="Times New Roman" w:hAnsi="Times New Roman" w:cs="Times New Roman"/>
          <w:color w:val="000000"/>
          <w:spacing w:val="0"/>
          <w:w w:val="100"/>
          <w:position w:val="0"/>
        </w:rPr>
        <w:t>7</w:t>
      </w:r>
      <w:bookmarkEnd w:id="1760"/>
      <w:r>
        <w:rPr>
          <w:rFonts w:ascii="Times New Roman" w:eastAsia="Times New Roman" w:hAnsi="Times New Roman" w:cs="Times New Roman"/>
          <w:color w:val="000000"/>
          <w:spacing w:val="0"/>
          <w:w w:val="100"/>
          <w:position w:val="0"/>
        </w:rPr>
        <w:t>）</w:t>
        <w:tab/>
      </w:r>
      <w:r>
        <w:rPr>
          <w:color w:val="000000"/>
          <w:spacing w:val="0"/>
          <w:w w:val="100"/>
          <w:position w:val="0"/>
        </w:rPr>
        <w:t>根据《关于本市进一步鼓励软件产业和集成电路产业发展的若干政策》及《上海市软件和集成电路企业设计人员、 核心团队专项奖励办法》的认定，公司</w:t>
      </w:r>
      <w:r>
        <w:rPr>
          <w:rFonts w:ascii="Times New Roman" w:eastAsia="Times New Roman" w:hAnsi="Times New Roman" w:cs="Times New Roman"/>
          <w:color w:val="000000"/>
          <w:spacing w:val="0"/>
          <w:w w:val="100"/>
          <w:position w:val="0"/>
        </w:rPr>
        <w:t>2020</w:t>
      </w:r>
      <w:r>
        <w:rPr>
          <w:color w:val="000000"/>
          <w:spacing w:val="0"/>
          <w:w w:val="100"/>
          <w:position w:val="0"/>
        </w:rPr>
        <w:t>年收到软件集成电路设计人员奖励款</w:t>
      </w:r>
      <w:r>
        <w:rPr>
          <w:rFonts w:ascii="Times New Roman" w:eastAsia="Times New Roman" w:hAnsi="Times New Roman" w:cs="Times New Roman"/>
          <w:color w:val="000000"/>
          <w:spacing w:val="0"/>
          <w:w w:val="100"/>
          <w:position w:val="0"/>
        </w:rPr>
        <w:t>142,000.00</w:t>
      </w:r>
      <w:r>
        <w:rPr>
          <w:color w:val="000000"/>
          <w:spacing w:val="0"/>
          <w:w w:val="100"/>
          <w:position w:val="0"/>
        </w:rPr>
        <w:t>元，系与收益相关的政府补助， 且与公司日常经营活动无关，已全额计入</w:t>
      </w:r>
      <w:r>
        <w:rPr>
          <w:rFonts w:ascii="Times New Roman" w:eastAsia="Times New Roman" w:hAnsi="Times New Roman" w:cs="Times New Roman"/>
          <w:color w:val="000000"/>
          <w:spacing w:val="0"/>
          <w:w w:val="100"/>
          <w:position w:val="0"/>
        </w:rPr>
        <w:t>2020</w:t>
      </w:r>
      <w:r>
        <w:rPr>
          <w:color w:val="000000"/>
          <w:spacing w:val="0"/>
          <w:w w:val="100"/>
          <w:position w:val="0"/>
        </w:rPr>
        <w:t>年营业外收入。</w:t>
      </w:r>
    </w:p>
    <w:p>
      <w:pPr>
        <w:pStyle w:val="Style34"/>
        <w:keepNext w:val="0"/>
        <w:keepLines w:val="0"/>
        <w:widowControl w:val="0"/>
        <w:shd w:val="clear" w:color="auto" w:fill="auto"/>
        <w:tabs>
          <w:tab w:pos="756" w:val="left"/>
        </w:tabs>
        <w:bidi w:val="0"/>
        <w:spacing w:before="0" w:after="0" w:line="312" w:lineRule="exact"/>
        <w:ind w:left="0" w:right="0" w:firstLine="440"/>
        <w:jc w:val="both"/>
      </w:pPr>
      <w:bookmarkStart w:id="1761" w:name="bookmark1761"/>
      <w:r>
        <w:rPr>
          <w:rFonts w:ascii="Times New Roman" w:eastAsia="Times New Roman" w:hAnsi="Times New Roman" w:cs="Times New Roman"/>
          <w:color w:val="000000"/>
          <w:spacing w:val="0"/>
          <w:w w:val="100"/>
          <w:position w:val="0"/>
        </w:rPr>
        <w:t>8</w:t>
      </w:r>
      <w:bookmarkEnd w:id="1761"/>
      <w:r>
        <w:rPr>
          <w:rFonts w:ascii="Times New Roman" w:eastAsia="Times New Roman" w:hAnsi="Times New Roman" w:cs="Times New Roman"/>
          <w:color w:val="000000"/>
          <w:spacing w:val="0"/>
          <w:w w:val="100"/>
          <w:position w:val="0"/>
        </w:rPr>
        <w:t>）</w:t>
        <w:tab/>
      </w:r>
      <w:r>
        <w:rPr>
          <w:color w:val="000000"/>
          <w:spacing w:val="0"/>
          <w:w w:val="100"/>
          <w:position w:val="0"/>
        </w:rPr>
        <w:t>根据上海市静安区投资服务办公室下发的文件</w:t>
      </w:r>
      <w:r>
        <w:rPr>
          <w:rFonts w:ascii="Times New Roman" w:eastAsia="Times New Roman" w:hAnsi="Times New Roman" w:cs="Times New Roman"/>
          <w:color w:val="000000"/>
          <w:spacing w:val="0"/>
          <w:w w:val="100"/>
          <w:position w:val="0"/>
        </w:rPr>
        <w:t>（</w:t>
      </w:r>
      <w:r>
        <w:rPr>
          <w:color w:val="000000"/>
          <w:spacing w:val="0"/>
          <w:w w:val="100"/>
          <w:position w:val="0"/>
        </w:rPr>
        <w:t>静投办拨字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2014]08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年收到财政补贴</w:t>
      </w:r>
      <w:r>
        <w:rPr>
          <w:rFonts w:ascii="Times New Roman" w:eastAsia="Times New Roman" w:hAnsi="Times New Roman" w:cs="Times New Roman"/>
          <w:color w:val="000000"/>
          <w:spacing w:val="0"/>
          <w:w w:val="100"/>
          <w:position w:val="0"/>
        </w:rPr>
        <w:t>110,000.00</w:t>
      </w:r>
      <w:r>
        <w:rPr>
          <w:color w:val="000000"/>
          <w:spacing w:val="0"/>
          <w:w w:val="100"/>
          <w:position w:val="0"/>
        </w:rPr>
        <w:t>元，系 与收益相关的政府补助，且与公司日常经营活动无关，已全额计入</w:t>
      </w:r>
      <w:r>
        <w:rPr>
          <w:rFonts w:ascii="Times New Roman" w:eastAsia="Times New Roman" w:hAnsi="Times New Roman" w:cs="Times New Roman"/>
          <w:color w:val="000000"/>
          <w:spacing w:val="0"/>
          <w:w w:val="100"/>
          <w:position w:val="0"/>
        </w:rPr>
        <w:t>2020</w:t>
      </w:r>
      <w:r>
        <w:rPr>
          <w:color w:val="000000"/>
          <w:spacing w:val="0"/>
          <w:w w:val="100"/>
          <w:position w:val="0"/>
        </w:rPr>
        <w:t>年度营业外收入。</w:t>
      </w:r>
    </w:p>
    <w:p>
      <w:pPr>
        <w:pStyle w:val="Style34"/>
        <w:keepNext w:val="0"/>
        <w:keepLines w:val="0"/>
        <w:widowControl w:val="0"/>
        <w:shd w:val="clear" w:color="auto" w:fill="auto"/>
        <w:bidi w:val="0"/>
        <w:spacing w:before="0" w:after="0" w:line="312" w:lineRule="exact"/>
        <w:ind w:left="0" w:right="0" w:firstLine="300"/>
        <w:jc w:val="both"/>
      </w:pPr>
      <w:bookmarkStart w:id="1762" w:name="bookmark1762"/>
      <w:r>
        <w:rPr>
          <w:color w:val="000000"/>
          <w:spacing w:val="0"/>
          <w:w w:val="100"/>
          <w:position w:val="0"/>
        </w:rPr>
        <w:t>（</w:t>
      </w:r>
      <w:bookmarkEnd w:id="1762"/>
      <w:r>
        <w:rPr>
          <w:rFonts w:ascii="Times New Roman" w:eastAsia="Times New Roman" w:hAnsi="Times New Roman" w:cs="Times New Roman"/>
          <w:color w:val="000000"/>
          <w:spacing w:val="0"/>
          <w:w w:val="100"/>
          <w:position w:val="0"/>
        </w:rPr>
        <w:t>2</w:t>
      </w:r>
      <w:r>
        <w:rPr>
          <w:color w:val="000000"/>
          <w:spacing w:val="0"/>
          <w:w w:val="100"/>
          <w:position w:val="0"/>
        </w:rPr>
        <w:t>）以前年度收到，至本期初尚未处理完毕的政府补助项目情况如下：</w:t>
      </w:r>
    </w:p>
    <w:p>
      <w:pPr>
        <w:pStyle w:val="Style34"/>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因符合《徐汇区现代服务业专项资金管理办法》的认定，本公司于</w:t>
      </w:r>
      <w:r>
        <w:rPr>
          <w:rFonts w:ascii="Times New Roman" w:eastAsia="Times New Roman" w:hAnsi="Times New Roman" w:cs="Times New Roman"/>
          <w:color w:val="000000"/>
          <w:spacing w:val="0"/>
          <w:w w:val="100"/>
          <w:position w:val="0"/>
        </w:rPr>
        <w:t>2018</w:t>
      </w:r>
      <w:r>
        <w:rPr>
          <w:color w:val="000000"/>
          <w:spacing w:val="0"/>
          <w:w w:val="100"/>
          <w:position w:val="0"/>
        </w:rPr>
        <w:t>年度收到专项扶持资金</w:t>
      </w:r>
      <w:r>
        <w:rPr>
          <w:rFonts w:ascii="Times New Roman" w:eastAsia="Times New Roman" w:hAnsi="Times New Roman" w:cs="Times New Roman"/>
          <w:color w:val="000000"/>
          <w:spacing w:val="0"/>
          <w:w w:val="100"/>
          <w:position w:val="0"/>
        </w:rPr>
        <w:t>600,000.00</w:t>
      </w:r>
      <w:r>
        <w:rPr>
          <w:color w:val="000000"/>
          <w:spacing w:val="0"/>
          <w:w w:val="100"/>
          <w:position w:val="0"/>
        </w:rPr>
        <w:t>元，系与收益 相关的政府补助，且与公司日常经营活动相关，已全额计入</w:t>
      </w:r>
      <w:r>
        <w:rPr>
          <w:rFonts w:ascii="Times New Roman" w:eastAsia="Times New Roman" w:hAnsi="Times New Roman" w:cs="Times New Roman"/>
          <w:color w:val="000000"/>
          <w:spacing w:val="0"/>
          <w:w w:val="100"/>
          <w:position w:val="0"/>
        </w:rPr>
        <w:t>2 018</w:t>
      </w:r>
      <w:r>
        <w:rPr>
          <w:color w:val="000000"/>
          <w:spacing w:val="0"/>
          <w:w w:val="100"/>
          <w:position w:val="0"/>
        </w:rPr>
        <w:t>年递延收益。</w:t>
      </w:r>
    </w:p>
    <w:p>
      <w:pPr>
        <w:pStyle w:val="Style38"/>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8</w:t>
      </w:r>
      <w:bookmarkEnd w:id="1765"/>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763"/>
      <w:bookmarkEnd w:id="1764"/>
      <w:bookmarkEnd w:id="1766"/>
    </w:p>
    <w:p>
      <w:pPr>
        <w:pStyle w:val="Style17"/>
        <w:keepNext/>
        <w:keepLines/>
        <w:widowControl w:val="0"/>
        <w:shd w:val="clear" w:color="auto" w:fill="auto"/>
        <w:bidi w:val="0"/>
        <w:spacing w:before="0" w:after="36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sz w:val="24"/>
          <w:szCs w:val="24"/>
        </w:rPr>
        <w:t>八</w:t>
      </w:r>
      <w:bookmarkEnd w:id="1769"/>
      <w:r>
        <w:rPr>
          <w:color w:val="000000"/>
          <w:spacing w:val="0"/>
          <w:w w:val="100"/>
          <w:position w:val="0"/>
          <w:sz w:val="24"/>
          <w:szCs w:val="24"/>
        </w:rPr>
        <w:t>、合并范围的变更</w:t>
      </w:r>
      <w:bookmarkEnd w:id="1767"/>
      <w:bookmarkEnd w:id="1768"/>
      <w:bookmarkEnd w:id="1770"/>
    </w:p>
    <w:p>
      <w:pPr>
        <w:pStyle w:val="Style38"/>
        <w:keepNext/>
        <w:keepLines/>
        <w:widowControl w:val="0"/>
        <w:shd w:val="clear" w:color="auto" w:fill="auto"/>
        <w:bidi w:val="0"/>
        <w:spacing w:before="0" w:after="400" w:line="240" w:lineRule="auto"/>
        <w:ind w:left="0" w:right="0" w:firstLine="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71"/>
      <w:bookmarkEnd w:id="1772"/>
      <w:bookmarkEnd w:id="1773"/>
    </w:p>
    <w:p>
      <w:pPr>
        <w:pStyle w:val="Style38"/>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4" w:name="bookmark17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71"/>
      <w:bookmarkEnd w:id="1772"/>
      <w:bookmarkEnd w:id="1774"/>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line="240" w:lineRule="auto"/>
        <w:ind w:left="0" w:right="0" w:firstLine="440"/>
        <w:jc w:val="both"/>
      </w:pPr>
      <w:r>
        <w:rPr>
          <w:b w:val="0"/>
          <w:bCs w:val="0"/>
          <w:color w:val="000000"/>
          <w:spacing w:val="0"/>
          <w:w w:val="100"/>
          <w:position w:val="0"/>
        </w:rPr>
        <w:t>本期未发生非同一控制下企业合并情况。</w:t>
      </w:r>
    </w:p>
    <w:p>
      <w:pPr>
        <w:pStyle w:val="Style38"/>
        <w:keepNext/>
        <w:keepLines/>
        <w:widowControl w:val="0"/>
        <w:shd w:val="clear" w:color="auto" w:fill="auto"/>
        <w:bidi w:val="0"/>
        <w:spacing w:before="0" w:after="400" w:line="240" w:lineRule="auto"/>
        <w:ind w:left="0" w:right="0" w:firstLine="0"/>
        <w:jc w:val="left"/>
      </w:pPr>
      <w:bookmarkStart w:id="1775" w:name="bookmark1775"/>
      <w:bookmarkStart w:id="1776" w:name="bookmark1776"/>
      <w:bookmarkStart w:id="1777" w:name="bookmark17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75"/>
      <w:bookmarkEnd w:id="1776"/>
      <w:bookmarkEnd w:id="1777"/>
    </w:p>
    <w:p>
      <w:pPr>
        <w:pStyle w:val="Style34"/>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62"/>
        <w:keepNext w:val="0"/>
        <w:keepLines w:val="0"/>
        <w:widowControl w:val="0"/>
        <w:numPr>
          <w:ilvl w:val="0"/>
          <w:numId w:val="165"/>
        </w:numPr>
        <w:shd w:val="clear" w:color="auto" w:fill="auto"/>
        <w:bidi w:val="0"/>
        <w:spacing w:before="0" w:after="380" w:line="240" w:lineRule="auto"/>
        <w:ind w:left="0" w:right="0" w:firstLine="0"/>
        <w:jc w:val="left"/>
      </w:pPr>
      <w:bookmarkStart w:id="1778" w:name="bookmark1778"/>
      <w:bookmarkEnd w:id="1778"/>
      <w:r>
        <w:rPr>
          <w:color w:val="000000"/>
          <w:spacing w:val="0"/>
          <w:w w:val="100"/>
          <w:position w:val="0"/>
        </w:rPr>
        <w:t>被购买方于购买日可辨认资产、负债</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3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62"/>
        <w:keepNext w:val="0"/>
        <w:keepLines w:val="0"/>
        <w:widowControl w:val="0"/>
        <w:numPr>
          <w:ilvl w:val="0"/>
          <w:numId w:val="165"/>
        </w:numPr>
        <w:shd w:val="clear" w:color="auto" w:fill="auto"/>
        <w:tabs>
          <w:tab w:pos="493" w:val="left"/>
        </w:tabs>
        <w:bidi w:val="0"/>
        <w:spacing w:before="0" w:after="380" w:line="240" w:lineRule="auto"/>
        <w:ind w:left="0" w:right="0" w:firstLine="0"/>
        <w:jc w:val="left"/>
      </w:pPr>
      <w:bookmarkStart w:id="1779" w:name="bookmark1779"/>
      <w:bookmarkEnd w:id="1779"/>
      <w:r>
        <w:rPr>
          <w:color w:val="000000"/>
          <w:spacing w:val="0"/>
          <w:w w:val="100"/>
          <w:position w:val="0"/>
        </w:rPr>
        <w:t>购买日之前持有的股权按照公允价值重新计量产生的利得或损失</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62"/>
        <w:keepNext w:val="0"/>
        <w:keepLines w:val="0"/>
        <w:widowControl w:val="0"/>
        <w:numPr>
          <w:ilvl w:val="0"/>
          <w:numId w:val="165"/>
        </w:numPr>
        <w:shd w:val="clear" w:color="auto" w:fill="auto"/>
        <w:bidi w:val="0"/>
        <w:spacing w:before="0" w:after="380" w:line="240" w:lineRule="auto"/>
        <w:ind w:left="0" w:right="0" w:firstLine="0"/>
        <w:jc w:val="left"/>
      </w:pPr>
      <w:bookmarkStart w:id="1780" w:name="bookmark1780"/>
      <w:bookmarkEnd w:id="1780"/>
      <w:r>
        <w:rPr>
          <w:color w:val="000000"/>
          <w:spacing w:val="0"/>
          <w:w w:val="100"/>
          <w:position w:val="0"/>
        </w:rPr>
        <w:t xml:space="preserve"> 购买日或合并当期期末无法合理确定合并对价或被购买方可辨认资产、负债公允价值的相关说明</w:t>
      </w:r>
    </w:p>
    <w:p>
      <w:pPr>
        <w:pStyle w:val="Style62"/>
        <w:keepNext w:val="0"/>
        <w:keepLines w:val="0"/>
        <w:widowControl w:val="0"/>
        <w:numPr>
          <w:ilvl w:val="0"/>
          <w:numId w:val="165"/>
        </w:numPr>
        <w:shd w:val="clear" w:color="auto" w:fill="auto"/>
        <w:tabs>
          <w:tab w:pos="493" w:val="left"/>
        </w:tabs>
        <w:bidi w:val="0"/>
        <w:spacing w:before="0" w:after="380" w:line="240" w:lineRule="auto"/>
        <w:ind w:left="0" w:right="0" w:firstLine="0"/>
        <w:jc w:val="left"/>
      </w:pPr>
      <w:bookmarkStart w:id="1781" w:name="bookmark1781"/>
      <w:bookmarkEnd w:id="1781"/>
      <w:r>
        <w:rPr>
          <w:color w:val="000000"/>
          <w:spacing w:val="0"/>
          <w:w w:val="100"/>
          <w:position w:val="0"/>
        </w:rPr>
        <w:t>其他说明</w:t>
      </w:r>
    </w:p>
    <w:p>
      <w:pPr>
        <w:pStyle w:val="Style62"/>
        <w:keepNext w:val="0"/>
        <w:keepLines w:val="0"/>
        <w:widowControl w:val="0"/>
        <w:shd w:val="clear" w:color="auto" w:fill="auto"/>
        <w:bidi w:val="0"/>
        <w:spacing w:before="0" w:after="380" w:line="240" w:lineRule="auto"/>
        <w:ind w:left="0" w:right="0" w:firstLine="0"/>
        <w:jc w:val="left"/>
      </w:pPr>
      <w:bookmarkStart w:id="1782" w:name="bookmark1782"/>
      <w:r>
        <w:rPr>
          <w:rFonts w:ascii="Times New Roman" w:eastAsia="Times New Roman" w:hAnsi="Times New Roman" w:cs="Times New Roman"/>
          <w:color w:val="000000"/>
          <w:spacing w:val="0"/>
          <w:w w:val="100"/>
          <w:position w:val="0"/>
        </w:rPr>
        <w:t>2</w:t>
      </w:r>
      <w:bookmarkEnd w:id="1782"/>
      <w:r>
        <w:rPr>
          <w:color w:val="000000"/>
          <w:spacing w:val="0"/>
          <w:w w:val="100"/>
          <w:position w:val="0"/>
        </w:rPr>
        <w:t>、同一控制下企业合并</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比较期间被 合并方的净</w:t>
            </w:r>
          </w:p>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利润</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本期未发生同一控制下企业合并情况。</w:t>
      </w:r>
    </w:p>
    <w:p>
      <w:pPr>
        <w:pStyle w:val="Style6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167"/>
        </w:numPr>
        <w:shd w:val="clear" w:color="auto" w:fill="auto"/>
        <w:bidi w:val="0"/>
        <w:spacing w:before="0" w:after="380" w:line="240" w:lineRule="auto"/>
        <w:ind w:left="0" w:right="0" w:firstLine="140"/>
        <w:jc w:val="left"/>
      </w:pPr>
      <w:bookmarkStart w:id="1783" w:name="bookmark1783"/>
      <w:bookmarkStart w:id="1784" w:name="bookmark1784"/>
      <w:bookmarkStart w:id="1785" w:name="bookmark1785"/>
      <w:bookmarkStart w:id="1786" w:name="bookmark1786"/>
      <w:bookmarkEnd w:id="1785"/>
      <w:r>
        <w:rPr>
          <w:color w:val="000000"/>
          <w:spacing w:val="0"/>
          <w:w w:val="100"/>
          <w:position w:val="0"/>
        </w:rPr>
        <w:t>合并日被合并方资产、负债的账面价值</w:t>
      </w:r>
      <w:bookmarkEnd w:id="1783"/>
      <w:bookmarkEnd w:id="1784"/>
      <w:bookmarkEnd w:id="178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378" w:val="left"/>
        </w:tabs>
        <w:bidi w:val="0"/>
        <w:spacing w:before="0" w:after="26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3</w:t>
      </w:r>
      <w:bookmarkEnd w:id="1789"/>
      <w:r>
        <w:rPr>
          <w:color w:val="000000"/>
          <w:spacing w:val="0"/>
          <w:w w:val="100"/>
          <w:position w:val="0"/>
        </w:rPr>
        <w:t>、</w:t>
        <w:tab/>
        <w:t>反向购买</w:t>
      </w:r>
      <w:bookmarkEnd w:id="1787"/>
      <w:bookmarkEnd w:id="1788"/>
      <w:bookmarkEnd w:id="1790"/>
    </w:p>
    <w:p>
      <w:pPr>
        <w:pStyle w:val="Style3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62"/>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本期未发生反向购买情况。</w:t>
      </w:r>
    </w:p>
    <w:p>
      <w:pPr>
        <w:pStyle w:val="Style38"/>
        <w:keepNext/>
        <w:keepLines/>
        <w:widowControl w:val="0"/>
        <w:shd w:val="clear" w:color="auto" w:fill="auto"/>
        <w:tabs>
          <w:tab w:pos="378" w:val="left"/>
        </w:tabs>
        <w:bidi w:val="0"/>
        <w:spacing w:before="0" w:after="26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4</w:t>
      </w:r>
      <w:bookmarkEnd w:id="1793"/>
      <w:r>
        <w:rPr>
          <w:color w:val="000000"/>
          <w:spacing w:val="0"/>
          <w:w w:val="100"/>
          <w:position w:val="0"/>
        </w:rPr>
        <w:t>、</w:t>
        <w:tab/>
        <w:t>处置子公司</w:t>
      </w:r>
      <w:bookmarkEnd w:id="1791"/>
      <w:bookmarkEnd w:id="1792"/>
      <w:bookmarkEnd w:id="1794"/>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是否存在单次处置对子公司投资即丧失控制权的情形</w:t>
      </w:r>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是否存在通过多次交易分步处置对子公司投资且在本期丧失控制权的情形</w:t>
      </w:r>
    </w:p>
    <w:p>
      <w:pPr>
        <w:pStyle w:val="Style34"/>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tabs>
          <w:tab w:pos="378" w:val="left"/>
        </w:tabs>
        <w:bidi w:val="0"/>
        <w:spacing w:before="0" w:after="26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5</w:t>
      </w:r>
      <w:bookmarkEnd w:id="1797"/>
      <w:r>
        <w:rPr>
          <w:color w:val="000000"/>
          <w:spacing w:val="0"/>
          <w:w w:val="100"/>
          <w:position w:val="0"/>
        </w:rPr>
        <w:t>、</w:t>
        <w:tab/>
        <w:t>其他原因的合并范围变动</w:t>
      </w:r>
      <w:bookmarkEnd w:id="1795"/>
      <w:bookmarkEnd w:id="1796"/>
      <w:bookmarkEnd w:id="1798"/>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说明其他原因导致的合并范围变动(如，新设子公司、清算子公司等)及其相关情况：</w:t>
      </w:r>
    </w:p>
    <w:p>
      <w:pPr>
        <w:pStyle w:val="Style34"/>
        <w:keepNext w:val="0"/>
        <w:keepLines w:val="0"/>
        <w:widowControl w:val="0"/>
        <w:shd w:val="clear" w:color="auto" w:fill="auto"/>
        <w:bidi w:val="0"/>
        <w:spacing w:before="0" w:after="0" w:line="316" w:lineRule="exact"/>
        <w:ind w:left="0" w:right="0" w:firstLine="44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.以直接设立或投资等方式增加的子公司</w:t>
      </w:r>
      <w:r>
        <w:rPr>
          <w:rFonts w:ascii="Times New Roman" w:eastAsia="Times New Roman" w:hAnsi="Times New Roman" w:cs="Times New Roman"/>
          <w:color w:val="000000"/>
          <w:spacing w:val="0"/>
          <w:w w:val="100"/>
          <w:position w:val="0"/>
        </w:rPr>
        <w:t>(</w:t>
      </w:r>
      <w:r>
        <w:rPr>
          <w:color w:val="000000"/>
          <w:spacing w:val="0"/>
          <w:w w:val="100"/>
          <w:position w:val="0"/>
        </w:rPr>
        <w:t>指通过新设、派生分立等非合并收购方式增加的子公司</w:t>
      </w:r>
      <w:r>
        <w:rPr>
          <w:color w:val="000000"/>
          <w:spacing w:val="0"/>
          <w:w w:val="100"/>
          <w:position w:val="0"/>
        </w:rPr>
        <w:t>)</w:t>
      </w:r>
    </w:p>
    <w:p>
      <w:pPr>
        <w:pStyle w:val="Style34"/>
        <w:keepNext w:val="0"/>
        <w:keepLines w:val="0"/>
        <w:widowControl w:val="0"/>
        <w:numPr>
          <w:ilvl w:val="0"/>
          <w:numId w:val="169"/>
        </w:numPr>
        <w:shd w:val="clear" w:color="auto" w:fill="auto"/>
        <w:tabs>
          <w:tab w:pos="819" w:val="left"/>
        </w:tabs>
        <w:bidi w:val="0"/>
        <w:spacing w:before="0" w:after="0" w:line="316" w:lineRule="exact"/>
        <w:ind w:left="0" w:right="0" w:firstLine="440"/>
        <w:jc w:val="both"/>
      </w:pPr>
      <w:bookmarkStart w:id="1799" w:name="bookmark1799"/>
      <w:bookmarkEnd w:id="1799"/>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月，子公司海南坚果创娱信息技术有限公司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以下简称海南坚果公司</w:t>
      </w:r>
      <w:r>
        <w:rPr>
          <w:rFonts w:ascii="Times New Roman" w:eastAsia="Times New Roman" w:hAnsi="Times New Roman" w:cs="Times New Roman"/>
          <w:color w:val="000000"/>
          <w:spacing w:val="0"/>
          <w:w w:val="100"/>
          <w:position w:val="0"/>
        </w:rPr>
        <w:t>)</w:t>
      </w:r>
      <w:r>
        <w:rPr>
          <w:color w:val="000000"/>
          <w:spacing w:val="0"/>
          <w:w w:val="100"/>
          <w:position w:val="0"/>
        </w:rPr>
        <w:t>出资设立霍尔果斯坚果创娱信息技术有 限公司</w:t>
      </w:r>
      <w:r>
        <w:rPr>
          <w:rFonts w:ascii="Times New Roman" w:eastAsia="Times New Roman" w:hAnsi="Times New Roman" w:cs="Times New Roman"/>
          <w:color w:val="000000"/>
          <w:spacing w:val="0"/>
          <w:w w:val="100"/>
          <w:position w:val="0"/>
        </w:rPr>
        <w:t>(</w:t>
      </w:r>
      <w:r>
        <w:rPr>
          <w:color w:val="000000"/>
          <w:spacing w:val="0"/>
          <w:w w:val="100"/>
          <w:position w:val="0"/>
        </w:rPr>
        <w:t>以下简称霍尔果斯坚果公司</w:t>
      </w:r>
      <w:r>
        <w:rPr>
          <w:rFonts w:ascii="Times New Roman" w:eastAsia="Times New Roman" w:hAnsi="Times New Roman" w:cs="Times New Roman"/>
          <w:color w:val="000000"/>
          <w:spacing w:val="0"/>
          <w:w w:val="100"/>
          <w:position w:val="0"/>
        </w:rPr>
        <w:t>)</w:t>
      </w:r>
      <w:r>
        <w:rPr>
          <w:color w:val="000000"/>
          <w:spacing w:val="0"/>
          <w:w w:val="100"/>
          <w:position w:val="0"/>
        </w:rPr>
        <w:t>。该公司于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日完成工商设立登记，注册资本为人民币</w:t>
      </w:r>
      <w:r>
        <w:rPr>
          <w:rFonts w:ascii="Times New Roman" w:eastAsia="Times New Roman" w:hAnsi="Times New Roman" w:cs="Times New Roman"/>
          <w:color w:val="000000"/>
          <w:spacing w:val="0"/>
          <w:w w:val="100"/>
          <w:position w:val="0"/>
        </w:rPr>
        <w:t>500.00</w:t>
      </w:r>
      <w:r>
        <w:rPr>
          <w:color w:val="000000"/>
          <w:spacing w:val="0"/>
          <w:w w:val="100"/>
          <w:position w:val="0"/>
        </w:rPr>
        <w:t>万元，全部由子 公司海南坚果公司出资，拥有对其的控制权，故自该公司成立之日起，将其纳入合并财务报表范围。截止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子公司海南坚果公司尚未实际出资，霍尔果斯坚果公司期末净资产为</w:t>
      </w:r>
      <w:r>
        <w:rPr>
          <w:rFonts w:ascii="Times New Roman" w:eastAsia="Times New Roman" w:hAnsi="Times New Roman" w:cs="Times New Roman"/>
          <w:color w:val="000000"/>
          <w:spacing w:val="0"/>
          <w:w w:val="100"/>
          <w:position w:val="0"/>
        </w:rPr>
        <w:t>22.12</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452.12</w:t>
      </w:r>
      <w:r>
        <w:rPr>
          <w:color w:val="000000"/>
          <w:spacing w:val="0"/>
          <w:w w:val="100"/>
          <w:position w:val="0"/>
        </w:rPr>
        <w:t>万元。</w:t>
      </w:r>
    </w:p>
    <w:p>
      <w:pPr>
        <w:pStyle w:val="Style34"/>
        <w:keepNext w:val="0"/>
        <w:keepLines w:val="0"/>
        <w:widowControl w:val="0"/>
        <w:numPr>
          <w:ilvl w:val="0"/>
          <w:numId w:val="169"/>
        </w:numPr>
        <w:shd w:val="clear" w:color="auto" w:fill="auto"/>
        <w:tabs>
          <w:tab w:pos="819" w:val="left"/>
        </w:tabs>
        <w:bidi w:val="0"/>
        <w:spacing w:before="0" w:after="0" w:line="316" w:lineRule="exact"/>
        <w:ind w:left="0" w:right="0" w:firstLine="440"/>
        <w:jc w:val="both"/>
      </w:pPr>
      <w:bookmarkStart w:id="1800" w:name="bookmark1800"/>
      <w:bookmarkEnd w:id="1800"/>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月，子公司深圳市快读科技有限公司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以下简称快读科技公司</w:t>
      </w:r>
      <w:r>
        <w:rPr>
          <w:rFonts w:ascii="Times New Roman" w:eastAsia="Times New Roman" w:hAnsi="Times New Roman" w:cs="Times New Roman"/>
          <w:color w:val="000000"/>
          <w:spacing w:val="0"/>
          <w:w w:val="100"/>
          <w:position w:val="0"/>
        </w:rPr>
        <w:t>)</w:t>
      </w:r>
      <w:r>
        <w:rPr>
          <w:color w:val="000000"/>
          <w:spacing w:val="0"/>
          <w:w w:val="100"/>
          <w:position w:val="0"/>
        </w:rPr>
        <w:t>出资设立成都市约莫科技有限公司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以下简称成 都约莫公司</w:t>
      </w:r>
      <w:r>
        <w:rPr>
          <w:rFonts w:ascii="Times New Roman" w:eastAsia="Times New Roman" w:hAnsi="Times New Roman" w:cs="Times New Roman"/>
          <w:color w:val="000000"/>
          <w:spacing w:val="0"/>
          <w:w w:val="100"/>
          <w:position w:val="0"/>
        </w:rPr>
        <w:t>)</w:t>
      </w:r>
      <w:r>
        <w:rPr>
          <w:color w:val="000000"/>
          <w:spacing w:val="0"/>
          <w:w w:val="100"/>
          <w:position w:val="0"/>
        </w:rPr>
        <w:t>。该公司于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日完成工商设立登记，注册资本为人民币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万元，全部由子公司快读科技公司出资， 拥有对其的控制权，故自该公司成立之日起，将其纳入合并财务报表范围。截止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日，子公司快读科技公司尚未 实际出资，成都约莫公司尚未开展经营活动，期末净资产为</w:t>
      </w:r>
      <w:r>
        <w:rPr>
          <w:rFonts w:ascii="Times New Roman" w:eastAsia="Times New Roman" w:hAnsi="Times New Roman" w:cs="Times New Roman"/>
          <w:color w:val="000000"/>
          <w:spacing w:val="0"/>
          <w:w w:val="100"/>
          <w:position w:val="0"/>
        </w:rPr>
        <w:t>0.00</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0.00</w:t>
      </w:r>
      <w:r>
        <w:rPr>
          <w:color w:val="000000"/>
          <w:spacing w:val="0"/>
          <w:w w:val="100"/>
          <w:position w:val="0"/>
        </w:rPr>
        <w:t>万元。</w:t>
      </w:r>
    </w:p>
    <w:p>
      <w:pPr>
        <w:pStyle w:val="Style34"/>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.因其他原因减少子公司的情况</w:t>
      </w:r>
      <w:r>
        <w:rPr>
          <w:rFonts w:ascii="Times New Roman" w:eastAsia="Times New Roman" w:hAnsi="Times New Roman" w:cs="Times New Roman"/>
          <w:color w:val="000000"/>
          <w:spacing w:val="0"/>
          <w:w w:val="100"/>
          <w:position w:val="0"/>
        </w:rPr>
        <w:t>(</w:t>
      </w:r>
      <w:r>
        <w:rPr>
          <w:color w:val="000000"/>
          <w:spacing w:val="0"/>
          <w:w w:val="100"/>
          <w:position w:val="0"/>
        </w:rPr>
        <w:t>指因破产、歇业、到期解散等原因而注销减少的子公司</w:t>
      </w:r>
      <w:r>
        <w:rPr>
          <w:color w:val="000000"/>
          <w:spacing w:val="0"/>
          <w:w w:val="100"/>
          <w:position w:val="0"/>
        </w:rPr>
        <w:t>)</w:t>
      </w:r>
    </w:p>
    <w:p>
      <w:pPr>
        <w:pStyle w:val="Style34"/>
        <w:keepNext w:val="0"/>
        <w:keepLines w:val="0"/>
        <w:widowControl w:val="0"/>
        <w:numPr>
          <w:ilvl w:val="0"/>
          <w:numId w:val="171"/>
        </w:numPr>
        <w:shd w:val="clear" w:color="auto" w:fill="auto"/>
        <w:tabs>
          <w:tab w:pos="819" w:val="left"/>
        </w:tabs>
        <w:bidi w:val="0"/>
        <w:spacing w:before="0" w:after="0" w:line="316" w:lineRule="exact"/>
        <w:ind w:left="0" w:right="0" w:firstLine="440"/>
        <w:jc w:val="both"/>
      </w:pPr>
      <w:bookmarkStart w:id="1801" w:name="bookmark1801"/>
      <w:bookmarkEnd w:id="1801"/>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日喀什完美时空信息科技有限公司股东会决议公司解散。喀什完美时空信息科技有限公司已于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日办妥注销手续。故自该公司注销时起，不再将其纳入合并财务报表范围。</w:t>
      </w:r>
    </w:p>
    <w:p>
      <w:pPr>
        <w:pStyle w:val="Style34"/>
        <w:keepNext w:val="0"/>
        <w:keepLines w:val="0"/>
        <w:widowControl w:val="0"/>
        <w:numPr>
          <w:ilvl w:val="0"/>
          <w:numId w:val="171"/>
        </w:numPr>
        <w:shd w:val="clear" w:color="auto" w:fill="auto"/>
        <w:tabs>
          <w:tab w:pos="819" w:val="left"/>
        </w:tabs>
        <w:bidi w:val="0"/>
        <w:spacing w:before="0" w:after="0" w:line="316" w:lineRule="exact"/>
        <w:ind w:left="0" w:right="0" w:firstLine="440"/>
        <w:jc w:val="both"/>
      </w:pPr>
      <w:bookmarkStart w:id="1802" w:name="bookmark1802"/>
      <w:bookmarkEnd w:id="1802"/>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日喀什尚河信息科技有限公司股东会决议公司解散。喀什尚河信息科技有限公司已于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日办 妥注销手续。故自该公司注销时起，不再将其纳入合并财务报表范围。</w:t>
      </w:r>
    </w:p>
    <w:p>
      <w:pPr>
        <w:pStyle w:val="Style34"/>
        <w:keepNext w:val="0"/>
        <w:keepLines w:val="0"/>
        <w:widowControl w:val="0"/>
        <w:numPr>
          <w:ilvl w:val="0"/>
          <w:numId w:val="171"/>
        </w:numPr>
        <w:shd w:val="clear" w:color="auto" w:fill="auto"/>
        <w:tabs>
          <w:tab w:pos="819" w:val="left"/>
        </w:tabs>
        <w:bidi w:val="0"/>
        <w:spacing w:before="0" w:after="0" w:line="316" w:lineRule="exact"/>
        <w:ind w:left="0" w:right="0" w:firstLine="440"/>
        <w:jc w:val="both"/>
      </w:pPr>
      <w:bookmarkStart w:id="1803" w:name="bookmark1803"/>
      <w:bookmarkEnd w:id="1803"/>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日霍尔果斯魔力果信息技术有限公司股东会决议公司解散。霍尔果斯魔力果信息技术有限公司已于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日办妥注销手续。故自该公司注销时起，不再将其纳入合并财务报表范围。</w:t>
      </w:r>
    </w:p>
    <w:p>
      <w:pPr>
        <w:pStyle w:val="Style34"/>
        <w:keepNext w:val="0"/>
        <w:keepLines w:val="0"/>
        <w:widowControl w:val="0"/>
        <w:numPr>
          <w:ilvl w:val="0"/>
          <w:numId w:val="171"/>
        </w:numPr>
        <w:shd w:val="clear" w:color="auto" w:fill="auto"/>
        <w:tabs>
          <w:tab w:pos="819" w:val="left"/>
        </w:tabs>
        <w:bidi w:val="0"/>
        <w:spacing w:before="0" w:after="0" w:line="316" w:lineRule="exact"/>
        <w:ind w:left="0" w:right="0" w:firstLine="440"/>
        <w:jc w:val="both"/>
      </w:pPr>
      <w:bookmarkStart w:id="1804" w:name="bookmark1804"/>
      <w:bookmarkEnd w:id="1804"/>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日，公司批准北京伟达金科科技有限公司解散。北京伟达金科科技有限公司已于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日办妥 注销手续。故自该公司注销时起，不再将其纳入合并财务报表范围。</w:t>
      </w:r>
    </w:p>
    <w:p>
      <w:pPr>
        <w:pStyle w:val="Style34"/>
        <w:keepNext w:val="0"/>
        <w:keepLines w:val="0"/>
        <w:widowControl w:val="0"/>
        <w:numPr>
          <w:ilvl w:val="0"/>
          <w:numId w:val="171"/>
        </w:numPr>
        <w:shd w:val="clear" w:color="auto" w:fill="auto"/>
        <w:tabs>
          <w:tab w:pos="402" w:val="left"/>
        </w:tabs>
        <w:bidi w:val="0"/>
        <w:spacing w:before="0" w:after="380" w:line="316" w:lineRule="exact"/>
        <w:ind w:left="0" w:right="0" w:firstLine="440"/>
        <w:jc w:val="both"/>
        <w:sectPr>
          <w:headerReference w:type="default" r:id="rId233"/>
          <w:footerReference w:type="default" r:id="rId234"/>
          <w:headerReference w:type="even" r:id="rId235"/>
          <w:footerReference w:type="even" r:id="rId236"/>
          <w:headerReference w:type="first" r:id="rId237"/>
          <w:footerReference w:type="first" r:id="rId238"/>
          <w:footnotePr>
            <w:pos w:val="pageBottom"/>
            <w:numFmt w:val="decimal"/>
            <w:numRestart w:val="continuous"/>
          </w:footnotePr>
          <w:pgSz w:w="11900" w:h="16840"/>
          <w:pgMar w:top="1393" w:right="580" w:bottom="1470" w:left="544"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日，公司批准北京蚂达软件信息技术有限责任公司解散。北京蚂达软件信息技术有限责任公司已于</w:t>
      </w:r>
      <w:r>
        <w:rPr>
          <w:rFonts w:ascii="Times New Roman" w:eastAsia="Times New Roman" w:hAnsi="Times New Roman" w:cs="Times New Roman"/>
          <w:color w:val="000000"/>
          <w:spacing w:val="0"/>
          <w:w w:val="100"/>
          <w:position w:val="0"/>
        </w:rPr>
        <w:t xml:space="preserve">2020 </w:t>
      </w:r>
    </w:p>
    <w:p>
      <w:pPr>
        <w:pStyle w:val="Style34"/>
        <w:keepNext w:val="0"/>
        <w:keepLines w:val="0"/>
        <w:widowControl w:val="0"/>
        <w:shd w:val="clear" w:color="auto" w:fill="auto"/>
        <w:tabs>
          <w:tab w:pos="402" w:val="left"/>
        </w:tabs>
        <w:bidi w:val="0"/>
        <w:spacing w:before="0" w:after="380" w:line="316" w:lineRule="exact"/>
        <w:ind w:left="0" w:right="0" w:firstLine="0"/>
        <w:jc w:val="both"/>
      </w:pPr>
      <w:bookmarkStart w:id="1805" w:name="bookmark1805"/>
      <w:bookmarkEnd w:id="1805"/>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日办妥注销手续。故自该公司注销时起，不再将其纳入合并财务报表范围。</w:t>
      </w:r>
    </w:p>
    <w:p>
      <w:pPr>
        <w:pStyle w:val="Style38"/>
        <w:keepNext/>
        <w:keepLines/>
        <w:widowControl w:val="0"/>
        <w:shd w:val="clear" w:color="auto" w:fill="auto"/>
        <w:bidi w:val="0"/>
        <w:spacing w:before="0" w:after="34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6</w:t>
      </w:r>
      <w:bookmarkEnd w:id="1808"/>
      <w:r>
        <w:rPr>
          <w:color w:val="000000"/>
          <w:spacing w:val="0"/>
          <w:w w:val="100"/>
          <w:position w:val="0"/>
        </w:rPr>
        <w:t>、其他</w:t>
      </w:r>
      <w:bookmarkEnd w:id="1806"/>
      <w:bookmarkEnd w:id="1807"/>
      <w:bookmarkEnd w:id="1809"/>
    </w:p>
    <w:p>
      <w:pPr>
        <w:pStyle w:val="Style17"/>
        <w:keepNext/>
        <w:keepLines/>
        <w:widowControl w:val="0"/>
        <w:shd w:val="clear" w:color="auto" w:fill="auto"/>
        <w:bidi w:val="0"/>
        <w:spacing w:before="0" w:after="34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sz w:val="24"/>
          <w:szCs w:val="24"/>
        </w:rPr>
        <w:t>九</w:t>
      </w:r>
      <w:bookmarkEnd w:id="1812"/>
      <w:r>
        <w:rPr>
          <w:color w:val="000000"/>
          <w:spacing w:val="0"/>
          <w:w w:val="100"/>
          <w:position w:val="0"/>
          <w:sz w:val="24"/>
          <w:szCs w:val="24"/>
        </w:rPr>
        <w:t>、在其他主体中的权益</w:t>
      </w:r>
      <w:bookmarkEnd w:id="1810"/>
      <w:bookmarkEnd w:id="1811"/>
      <w:bookmarkEnd w:id="1813"/>
    </w:p>
    <w:p>
      <w:pPr>
        <w:pStyle w:val="Style38"/>
        <w:keepNext/>
        <w:keepLines/>
        <w:widowControl w:val="0"/>
        <w:shd w:val="clear" w:color="auto" w:fill="auto"/>
        <w:bidi w:val="0"/>
        <w:spacing w:before="0" w:after="380" w:line="240" w:lineRule="auto"/>
        <w:ind w:left="0" w:right="0" w:firstLine="0"/>
        <w:jc w:val="left"/>
      </w:pPr>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14"/>
      <w:bookmarkEnd w:id="1815"/>
      <w:bookmarkEnd w:id="1816"/>
    </w:p>
    <w:p>
      <w:pPr>
        <w:pStyle w:val="Style38"/>
        <w:keepNext/>
        <w:keepLines/>
        <w:widowControl w:val="0"/>
        <w:shd w:val="clear" w:color="auto" w:fill="auto"/>
        <w:bidi w:val="0"/>
        <w:spacing w:before="0" w:after="340" w:line="240" w:lineRule="auto"/>
        <w:ind w:left="0" w:right="0" w:firstLine="0"/>
        <w:jc w:val="left"/>
      </w:pPr>
      <w:bookmarkStart w:id="1814" w:name="bookmark1814"/>
      <w:bookmarkStart w:id="1815" w:name="bookmark1815"/>
      <w:bookmarkStart w:id="1817" w:name="bookmark18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14"/>
      <w:bookmarkEnd w:id="1815"/>
      <w:bookmarkEnd w:id="181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江苏高伟达信息 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江苏盈达信息技 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上海高伟达计算 机系统工程有限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上海翕振信息技 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苏州伟达融创信</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北京高伟达钽云 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广州高伟达钽云 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成都高伟达信息 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上海睿民互联网 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非同一控制下企</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深圳瑞云互联科 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非同一控制下企</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上海瑞车信息科 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海南坚果创娱信 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海南老城高新技 术区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非同一控制下企</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Nuts Information</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Technology</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CO.,Limited</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非同一控制下企</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Nuts Information</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Technology</w:t>
            </w:r>
          </w:p>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塞舌尔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塞舌尔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霍尔果斯坚果创 娱信息技术有限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上海魔力果信息 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深圳市快读科技</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非同一控制下企</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喀什腾娱信息科 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新疆喀什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喀什经济开发区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喀什迅腾信息科 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新疆喀什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喀什经济开发区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both"/>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成都市约莫科技</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成都市金牛区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北京伟达智通科 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深圳市磐世科技</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软件与信息服务</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在子公司的持股比例不同于表决权比例的说明：</w:t>
      </w:r>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对于纳入合并范围的重要的结构化主体，控制的依据：</w:t>
      </w:r>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确定公司是代理人还是委托人的依据：</w:t>
      </w:r>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120" w:line="322" w:lineRule="exact"/>
        <w:ind w:left="0" w:right="0" w:firstLine="42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日，广州高伟达钽云科技有限公司、成都市约莫科技有限公司、北京伟达智通科技有限公司及深圳 市磐世科技有限公司尚未开展经营活动。</w:t>
      </w:r>
    </w:p>
    <w:p>
      <w:pPr>
        <w:pStyle w:val="Style34"/>
        <w:keepNext w:val="0"/>
        <w:keepLines w:val="0"/>
        <w:widowControl w:val="0"/>
        <w:shd w:val="clear" w:color="auto" w:fill="auto"/>
        <w:bidi w:val="0"/>
        <w:spacing w:before="0" w:after="0" w:line="374" w:lineRule="auto"/>
        <w:ind w:left="0" w:right="0" w:firstLine="400"/>
        <w:jc w:val="left"/>
      </w:pPr>
      <w:r>
        <w:rPr>
          <w:rFonts w:ascii="Times New Roman" w:eastAsia="Times New Roman" w:hAnsi="Times New Roman" w:cs="Times New Roman"/>
          <w:color w:val="000000"/>
          <w:spacing w:val="0"/>
          <w:w w:val="100"/>
          <w:position w:val="0"/>
        </w:rPr>
        <w:t>(1)</w:t>
      </w:r>
      <w:r>
        <w:rPr>
          <w:color w:val="000000"/>
          <w:spacing w:val="0"/>
          <w:w w:val="100"/>
          <w:position w:val="0"/>
        </w:rPr>
        <w:t>本期不存在母公司在子公司的持股比例不同于表决权比例的情况。</w:t>
      </w:r>
    </w:p>
    <w:p>
      <w:pPr>
        <w:pStyle w:val="Style34"/>
        <w:keepNext w:val="0"/>
        <w:keepLines w:val="0"/>
        <w:widowControl w:val="0"/>
        <w:numPr>
          <w:ilvl w:val="0"/>
          <w:numId w:val="173"/>
        </w:numPr>
        <w:shd w:val="clear" w:color="auto" w:fill="auto"/>
        <w:tabs>
          <w:tab w:pos="802" w:val="left"/>
        </w:tabs>
        <w:bidi w:val="0"/>
        <w:spacing w:before="0" w:after="0" w:line="374" w:lineRule="auto"/>
        <w:ind w:left="0" w:right="0" w:firstLine="400"/>
        <w:jc w:val="left"/>
      </w:pPr>
      <w:bookmarkStart w:id="1818" w:name="bookmark1818"/>
      <w:bookmarkEnd w:id="1818"/>
      <w:r>
        <w:rPr>
          <w:color w:val="000000"/>
          <w:spacing w:val="0"/>
          <w:w w:val="100"/>
          <w:position w:val="0"/>
        </w:rPr>
        <w:t>本期不存在母公司拥有半数或半数以下表决权而纳入合并财务报表范围的子公司情况。</w:t>
      </w:r>
    </w:p>
    <w:p>
      <w:pPr>
        <w:pStyle w:val="Style34"/>
        <w:keepNext w:val="0"/>
        <w:keepLines w:val="0"/>
        <w:widowControl w:val="0"/>
        <w:numPr>
          <w:ilvl w:val="0"/>
          <w:numId w:val="173"/>
        </w:numPr>
        <w:shd w:val="clear" w:color="auto" w:fill="auto"/>
        <w:tabs>
          <w:tab w:pos="802" w:val="left"/>
        </w:tabs>
        <w:bidi w:val="0"/>
        <w:spacing w:before="0" w:after="0" w:line="374" w:lineRule="auto"/>
        <w:ind w:left="0" w:right="0" w:firstLine="400"/>
        <w:jc w:val="left"/>
      </w:pPr>
      <w:bookmarkStart w:id="1819" w:name="bookmark1819"/>
      <w:bookmarkEnd w:id="1819"/>
      <w:r>
        <w:rPr>
          <w:color w:val="000000"/>
          <w:spacing w:val="0"/>
          <w:w w:val="100"/>
          <w:position w:val="0"/>
        </w:rPr>
        <w:t>本期不存在纳入合并范围的重要的结构化主体。</w:t>
      </w:r>
    </w:p>
    <w:p>
      <w:pPr>
        <w:pStyle w:val="Style34"/>
        <w:keepNext w:val="0"/>
        <w:keepLines w:val="0"/>
        <w:widowControl w:val="0"/>
        <w:numPr>
          <w:ilvl w:val="0"/>
          <w:numId w:val="173"/>
        </w:numPr>
        <w:shd w:val="clear" w:color="auto" w:fill="auto"/>
        <w:tabs>
          <w:tab w:pos="802" w:val="left"/>
        </w:tabs>
        <w:bidi w:val="0"/>
        <w:spacing w:before="0" w:after="880" w:line="374" w:lineRule="auto"/>
        <w:ind w:left="0" w:right="0" w:firstLine="400"/>
        <w:jc w:val="left"/>
      </w:pPr>
      <w:bookmarkStart w:id="1820" w:name="bookmark1820"/>
      <w:bookmarkEnd w:id="1820"/>
      <w:r>
        <w:rPr>
          <w:color w:val="000000"/>
          <w:spacing w:val="0"/>
          <w:w w:val="100"/>
          <w:position w:val="0"/>
        </w:rPr>
        <w:t>本期不存在母公司拥有半数以上表决权但未能对其形成控制的股权投资情况。</w:t>
      </w:r>
    </w:p>
    <w:p>
      <w:pPr>
        <w:pStyle w:val="Style38"/>
        <w:keepNext/>
        <w:keepLines/>
        <w:widowControl w:val="0"/>
        <w:shd w:val="clear" w:color="auto" w:fill="auto"/>
        <w:bidi w:val="0"/>
        <w:spacing w:before="0" w:line="240" w:lineRule="auto"/>
        <w:ind w:left="0" w:right="0" w:firstLine="140"/>
        <w:jc w:val="left"/>
      </w:pPr>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21"/>
      <w:bookmarkEnd w:id="1822"/>
      <w:bookmarkEnd w:id="182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本期归属于少数股东的</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本期向少数股东宣告分</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本公司期末不存在重要的非全资子公司。</w:t>
      </w:r>
    </w:p>
    <w:p>
      <w:pPr>
        <w:pStyle w:val="Style38"/>
        <w:keepNext/>
        <w:keepLines/>
        <w:widowControl w:val="0"/>
        <w:numPr>
          <w:ilvl w:val="0"/>
          <w:numId w:val="169"/>
        </w:numPr>
        <w:shd w:val="clear" w:color="auto" w:fill="auto"/>
        <w:bidi w:val="0"/>
        <w:spacing w:before="0" w:after="380" w:line="240" w:lineRule="auto"/>
        <w:ind w:left="0" w:right="0" w:firstLine="0"/>
        <w:jc w:val="left"/>
      </w:pPr>
      <w:bookmarkStart w:id="1824" w:name="bookmark1824"/>
      <w:bookmarkStart w:id="1825" w:name="bookmark1825"/>
      <w:bookmarkStart w:id="1826" w:name="bookmark1826"/>
      <w:bookmarkStart w:id="1827" w:name="bookmark1827"/>
      <w:bookmarkEnd w:id="1826"/>
      <w:r>
        <w:rPr>
          <w:color w:val="000000"/>
          <w:spacing w:val="0"/>
          <w:w w:val="100"/>
          <w:position w:val="0"/>
        </w:rPr>
        <w:t>重要非全资子公司的主要财务信息</w:t>
      </w:r>
      <w:bookmarkEnd w:id="1824"/>
      <w:bookmarkEnd w:id="1825"/>
      <w:bookmarkEnd w:id="182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非流动</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非流动</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pStyle w:val="Style3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p>
    <w:p>
      <w:pPr>
        <w:pStyle w:val="Style38"/>
        <w:keepNext/>
        <w:keepLines/>
        <w:widowControl w:val="0"/>
        <w:numPr>
          <w:ilvl w:val="0"/>
          <w:numId w:val="169"/>
        </w:numPr>
        <w:shd w:val="clear" w:color="auto" w:fill="auto"/>
        <w:tabs>
          <w:tab w:pos="493" w:val="left"/>
        </w:tabs>
        <w:bidi w:val="0"/>
        <w:spacing w:before="0" w:after="380" w:line="240" w:lineRule="auto"/>
        <w:ind w:left="0" w:right="0" w:firstLine="0"/>
        <w:jc w:val="left"/>
      </w:pPr>
      <w:bookmarkStart w:id="1828" w:name="bookmark1828"/>
      <w:bookmarkStart w:id="1829" w:name="bookmark1829"/>
      <w:bookmarkStart w:id="1830" w:name="bookmark1830"/>
      <w:bookmarkStart w:id="1831" w:name="bookmark1831"/>
      <w:bookmarkEnd w:id="1830"/>
      <w:r>
        <w:rPr>
          <w:color w:val="000000"/>
          <w:spacing w:val="0"/>
          <w:w w:val="100"/>
          <w:position w:val="0"/>
        </w:rPr>
        <w:t>使用企业集团资产和清偿企业集团债务的重大限制</w:t>
      </w:r>
      <w:bookmarkEnd w:id="1828"/>
      <w:bookmarkEnd w:id="1829"/>
      <w:bookmarkEnd w:id="1831"/>
    </w:p>
    <w:p>
      <w:pPr>
        <w:pStyle w:val="Style62"/>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本公司本期不存在使用企业集团资产和清偿企业集团债务的重大限制情况。</w:t>
      </w:r>
    </w:p>
    <w:p>
      <w:pPr>
        <w:pStyle w:val="Style38"/>
        <w:keepNext/>
        <w:keepLines/>
        <w:widowControl w:val="0"/>
        <w:numPr>
          <w:ilvl w:val="0"/>
          <w:numId w:val="169"/>
        </w:numPr>
        <w:shd w:val="clear" w:color="auto" w:fill="auto"/>
        <w:tabs>
          <w:tab w:pos="493" w:val="left"/>
        </w:tabs>
        <w:bidi w:val="0"/>
        <w:spacing w:before="0" w:after="280" w:line="240" w:lineRule="auto"/>
        <w:ind w:left="0" w:right="0" w:firstLine="0"/>
        <w:jc w:val="left"/>
      </w:pPr>
      <w:bookmarkStart w:id="1832" w:name="bookmark1832"/>
      <w:bookmarkStart w:id="1833" w:name="bookmark1833"/>
      <w:bookmarkStart w:id="1834" w:name="bookmark1834"/>
      <w:bookmarkStart w:id="1835" w:name="bookmark1835"/>
      <w:bookmarkEnd w:id="1834"/>
      <w:r>
        <w:rPr>
          <w:color w:val="000000"/>
          <w:spacing w:val="0"/>
          <w:w w:val="100"/>
          <w:position w:val="0"/>
        </w:rPr>
        <w:t>向纳入合并财务报表范围的结构化主体提供的财务支持或其他支持</w:t>
      </w:r>
      <w:bookmarkEnd w:id="1832"/>
      <w:bookmarkEnd w:id="1833"/>
      <w:bookmarkEnd w:id="1835"/>
    </w:p>
    <w:p>
      <w:pPr>
        <w:pStyle w:val="Style3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2</w:t>
      </w:r>
      <w:bookmarkEnd w:id="1838"/>
      <w:r>
        <w:rPr>
          <w:color w:val="000000"/>
          <w:spacing w:val="0"/>
          <w:w w:val="100"/>
          <w:position w:val="0"/>
        </w:rPr>
        <w:t>、在子公司的所有者权益份额发生变化且仍控制子公司的交易</w:t>
      </w:r>
      <w:bookmarkEnd w:id="1836"/>
      <w:bookmarkEnd w:id="1837"/>
      <w:bookmarkEnd w:id="1839"/>
    </w:p>
    <w:p>
      <w:pPr>
        <w:pStyle w:val="Style38"/>
        <w:keepNext/>
        <w:keepLines/>
        <w:widowControl w:val="0"/>
        <w:shd w:val="clear" w:color="auto" w:fill="auto"/>
        <w:bidi w:val="0"/>
        <w:spacing w:before="0" w:after="280" w:line="240" w:lineRule="auto"/>
        <w:ind w:left="0" w:right="0" w:firstLine="0"/>
        <w:jc w:val="left"/>
      </w:pPr>
      <w:bookmarkStart w:id="1836" w:name="bookmark1836"/>
      <w:bookmarkStart w:id="1837" w:name="bookmark1837"/>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836"/>
      <w:bookmarkEnd w:id="1837"/>
      <w:bookmarkEnd w:id="1840"/>
    </w:p>
    <w:p>
      <w:pPr>
        <w:pStyle w:val="Style34"/>
        <w:keepNext w:val="0"/>
        <w:keepLines w:val="0"/>
        <w:widowControl w:val="0"/>
        <w:numPr>
          <w:ilvl w:val="0"/>
          <w:numId w:val="175"/>
        </w:numPr>
        <w:shd w:val="clear" w:color="auto" w:fill="auto"/>
        <w:tabs>
          <w:tab w:pos="819" w:val="left"/>
        </w:tabs>
        <w:bidi w:val="0"/>
        <w:spacing w:before="0" w:after="0" w:line="307" w:lineRule="exact"/>
        <w:ind w:left="0" w:right="0" w:firstLine="440"/>
        <w:jc w:val="both"/>
      </w:pPr>
      <w:bookmarkStart w:id="1841" w:name="bookmark1841"/>
      <w:bookmarkEnd w:id="1841"/>
      <w:r>
        <w:rPr>
          <w:color w:val="000000"/>
          <w:spacing w:val="0"/>
          <w:w w:val="100"/>
          <w:position w:val="0"/>
        </w:rPr>
        <w:t>本公司本期收购子公司江苏盈达信息技术有限公司少数股东股权，本公司持股比例由</w:t>
      </w:r>
      <w:r>
        <w:rPr>
          <w:rFonts w:ascii="Times New Roman" w:eastAsia="Times New Roman" w:hAnsi="Times New Roman" w:cs="Times New Roman"/>
          <w:color w:val="000000"/>
          <w:spacing w:val="0"/>
          <w:w w:val="100"/>
          <w:position w:val="0"/>
        </w:rPr>
        <w:t>71.74%</w:t>
      </w:r>
      <w:r>
        <w:rPr>
          <w:color w:val="000000"/>
          <w:spacing w:val="0"/>
          <w:w w:val="100"/>
          <w:position w:val="0"/>
        </w:rPr>
        <w:t>变更为</w:t>
      </w:r>
      <w:r>
        <w:rPr>
          <w:rFonts w:ascii="Times New Roman" w:eastAsia="Times New Roman" w:hAnsi="Times New Roman" w:cs="Times New Roman"/>
          <w:color w:val="000000"/>
          <w:spacing w:val="0"/>
          <w:w w:val="100"/>
          <w:position w:val="0"/>
        </w:rPr>
        <w:t>100.00%</w:t>
      </w:r>
      <w:r>
        <w:rPr>
          <w:color w:val="000000"/>
          <w:spacing w:val="0"/>
          <w:w w:val="100"/>
          <w:position w:val="0"/>
        </w:rPr>
        <w:t>,工商 变更已于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日办理完毕，此项交易导致增加资本公积</w:t>
      </w:r>
      <w:r>
        <w:rPr>
          <w:rFonts w:ascii="Times New Roman" w:eastAsia="Times New Roman" w:hAnsi="Times New Roman" w:cs="Times New Roman"/>
          <w:color w:val="000000"/>
          <w:spacing w:val="0"/>
          <w:w w:val="100"/>
          <w:position w:val="0"/>
        </w:rPr>
        <w:t>687.06</w:t>
      </w:r>
      <w:r>
        <w:rPr>
          <w:color w:val="000000"/>
          <w:spacing w:val="0"/>
          <w:w w:val="100"/>
          <w:position w:val="0"/>
        </w:rPr>
        <w:t>万元。</w:t>
      </w:r>
    </w:p>
    <w:p>
      <w:pPr>
        <w:pStyle w:val="Style34"/>
        <w:keepNext w:val="0"/>
        <w:keepLines w:val="0"/>
        <w:widowControl w:val="0"/>
        <w:numPr>
          <w:ilvl w:val="0"/>
          <w:numId w:val="175"/>
        </w:numPr>
        <w:shd w:val="clear" w:color="auto" w:fill="auto"/>
        <w:tabs>
          <w:tab w:pos="819" w:val="left"/>
        </w:tabs>
        <w:bidi w:val="0"/>
        <w:spacing w:before="0" w:after="680" w:line="307" w:lineRule="exact"/>
        <w:ind w:left="0" w:right="0" w:firstLine="440"/>
        <w:jc w:val="both"/>
      </w:pPr>
      <w:bookmarkStart w:id="1842" w:name="bookmark1842"/>
      <w:bookmarkEnd w:id="1842"/>
      <w:r>
        <w:rPr>
          <w:color w:val="000000"/>
          <w:spacing w:val="0"/>
          <w:w w:val="100"/>
          <w:position w:val="0"/>
        </w:rPr>
        <w:t>本公司本期收购子公司上海翕振信息技术有限公司少数股东股权，本公司持股比例由</w:t>
      </w:r>
      <w:r>
        <w:rPr>
          <w:rFonts w:ascii="Times New Roman" w:eastAsia="Times New Roman" w:hAnsi="Times New Roman" w:cs="Times New Roman"/>
          <w:color w:val="000000"/>
          <w:spacing w:val="0"/>
          <w:w w:val="100"/>
          <w:position w:val="0"/>
        </w:rPr>
        <w:t>68.45%</w:t>
      </w:r>
      <w:r>
        <w:rPr>
          <w:color w:val="000000"/>
          <w:spacing w:val="0"/>
          <w:w w:val="100"/>
          <w:position w:val="0"/>
        </w:rPr>
        <w:t>变更为</w:t>
      </w:r>
      <w:r>
        <w:rPr>
          <w:rFonts w:ascii="Times New Roman" w:eastAsia="Times New Roman" w:hAnsi="Times New Roman" w:cs="Times New Roman"/>
          <w:color w:val="000000"/>
          <w:spacing w:val="0"/>
          <w:w w:val="100"/>
          <w:position w:val="0"/>
        </w:rPr>
        <w:t>100.00%</w:t>
      </w:r>
      <w:r>
        <w:rPr>
          <w:color w:val="000000"/>
          <w:spacing w:val="0"/>
          <w:w w:val="100"/>
          <w:position w:val="0"/>
        </w:rPr>
        <w:t>,工商 变更已于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日办理完毕，此项交易导致增加资本公积</w:t>
      </w:r>
      <w:r>
        <w:rPr>
          <w:rFonts w:ascii="Times New Roman" w:eastAsia="Times New Roman" w:hAnsi="Times New Roman" w:cs="Times New Roman"/>
          <w:color w:val="000000"/>
          <w:spacing w:val="0"/>
          <w:w w:val="100"/>
          <w:position w:val="0"/>
        </w:rPr>
        <w:t>91.16</w:t>
      </w:r>
      <w:r>
        <w:rPr>
          <w:color w:val="000000"/>
          <w:spacing w:val="0"/>
          <w:w w:val="100"/>
          <w:position w:val="0"/>
        </w:rPr>
        <w:t>万元。</w:t>
      </w:r>
    </w:p>
    <w:p>
      <w:pPr>
        <w:pStyle w:val="Style38"/>
        <w:keepNext/>
        <w:keepLines/>
        <w:widowControl w:val="0"/>
        <w:shd w:val="clear" w:color="auto" w:fill="auto"/>
        <w:bidi w:val="0"/>
        <w:spacing w:before="0" w:after="380" w:line="240" w:lineRule="auto"/>
        <w:ind w:left="0" w:right="0" w:firstLine="140"/>
        <w:jc w:val="left"/>
      </w:pPr>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843"/>
      <w:bookmarkEnd w:id="1844"/>
      <w:bookmarkEnd w:id="184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江苏盈达信息技术有限公司</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上海翕振信息技术有限公司</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1,063.00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1,751.06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1,154.16</w:t>
            </w:r>
          </w:p>
        </w:tc>
      </w:tr>
    </w:tbl>
    <w:p>
      <w:pPr>
        <w:widowControl w:val="0"/>
        <w:spacing w:line="1" w:lineRule="exact"/>
      </w:pPr>
      <w:r>
        <w:br w:type="page"/>
      </w:r>
    </w:p>
    <w:tbl>
      <w:tblPr>
        <w:tblOverlap w:val="never"/>
        <w:jc w:val="left"/>
        <w:tblLayout w:type="fixed"/>
      </w:tblPr>
      <w:tblGrid>
        <w:gridCol w:w="3197"/>
        <w:gridCol w:w="3192"/>
        <w:gridCol w:w="3202"/>
      </w:tblGrid>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687.06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91.16</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3</w:t>
      </w:r>
      <w:bookmarkEnd w:id="1848"/>
      <w:r>
        <w:rPr>
          <w:color w:val="000000"/>
          <w:spacing w:val="0"/>
          <w:w w:val="100"/>
          <w:position w:val="0"/>
        </w:rPr>
        <w:t>、在合营安排或联营企业中的权益</w:t>
      </w:r>
      <w:bookmarkEnd w:id="1846"/>
      <w:bookmarkEnd w:id="1847"/>
      <w:bookmarkEnd w:id="1849"/>
    </w:p>
    <w:p>
      <w:pPr>
        <w:pStyle w:val="Style38"/>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50" w:name="bookmark18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46"/>
      <w:bookmarkEnd w:id="1847"/>
      <w:bookmarkEnd w:id="1850"/>
    </w:p>
    <w:tbl>
      <w:tblPr>
        <w:tblOverlap w:val="never"/>
        <w:jc w:val="left"/>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本期不存在公司在合营企业或联营企业的持股比例不同于表决权比例的情况。</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4"/>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本期不存在持有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或以上表决权但不具有重大影响的情况。</w:t>
      </w:r>
    </w:p>
    <w:p>
      <w:pPr>
        <w:pStyle w:val="Style38"/>
        <w:keepNext/>
        <w:keepLines/>
        <w:widowControl w:val="0"/>
        <w:shd w:val="clear" w:color="auto" w:fill="auto"/>
        <w:bidi w:val="0"/>
        <w:spacing w:before="0" w:line="240" w:lineRule="auto"/>
        <w:ind w:left="0" w:right="0" w:firstLine="140"/>
        <w:jc w:val="left"/>
      </w:pPr>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51"/>
      <w:bookmarkEnd w:id="1852"/>
      <w:bookmarkEnd w:id="1853"/>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numPr>
          <w:ilvl w:val="0"/>
          <w:numId w:val="175"/>
        </w:numPr>
        <w:shd w:val="clear" w:color="auto" w:fill="auto"/>
        <w:bidi w:val="0"/>
        <w:spacing w:before="0" w:line="240" w:lineRule="auto"/>
        <w:ind w:left="0" w:right="0" w:firstLine="140"/>
        <w:jc w:val="left"/>
      </w:pPr>
      <w:bookmarkStart w:id="1854" w:name="bookmark1854"/>
      <w:bookmarkStart w:id="1855" w:name="bookmark1855"/>
      <w:bookmarkStart w:id="1856" w:name="bookmark1856"/>
      <w:bookmarkStart w:id="1857" w:name="bookmark1857"/>
      <w:bookmarkEnd w:id="1856"/>
      <w:r>
        <w:rPr>
          <w:color w:val="000000"/>
          <w:spacing w:val="0"/>
          <w:w w:val="100"/>
          <w:position w:val="0"/>
        </w:rPr>
        <w:t>重要联营企业的主要财务信息</w:t>
      </w:r>
      <w:bookmarkEnd w:id="1854"/>
      <w:bookmarkEnd w:id="1855"/>
      <w:bookmarkEnd w:id="1857"/>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numPr>
          <w:ilvl w:val="0"/>
          <w:numId w:val="175"/>
        </w:numPr>
        <w:shd w:val="clear" w:color="auto" w:fill="auto"/>
        <w:bidi w:val="0"/>
        <w:spacing w:before="0" w:line="240" w:lineRule="auto"/>
        <w:ind w:left="0" w:right="0" w:firstLine="0"/>
        <w:jc w:val="left"/>
      </w:pPr>
      <w:bookmarkStart w:id="1858" w:name="bookmark1858"/>
      <w:bookmarkStart w:id="1859" w:name="bookmark1859"/>
      <w:bookmarkStart w:id="1860" w:name="bookmark1860"/>
      <w:bookmarkStart w:id="1861" w:name="bookmark1861"/>
      <w:bookmarkEnd w:id="1860"/>
      <w:r>
        <w:rPr>
          <w:color w:val="000000"/>
          <w:spacing w:val="0"/>
          <w:w w:val="100"/>
          <w:position w:val="0"/>
        </w:rPr>
        <w:t>不重要的合营企业和联营企业的汇总财务信息</w:t>
      </w:r>
      <w:bookmarkEnd w:id="1858"/>
      <w:bookmarkEnd w:id="1859"/>
      <w:bookmarkEnd w:id="1861"/>
    </w:p>
    <w:p>
      <w:pPr>
        <w:pStyle w:val="Style34"/>
        <w:keepNext w:val="0"/>
        <w:keepLines w:val="0"/>
        <w:widowControl w:val="0"/>
        <w:shd w:val="clear" w:color="auto" w:fill="auto"/>
        <w:bidi w:val="0"/>
        <w:spacing w:before="0" w:after="80" w:line="240" w:lineRule="auto"/>
        <w:ind w:left="0" w:right="1080" w:firstLine="0"/>
        <w:jc w:val="right"/>
      </w:pPr>
      <w:r>
        <w:rPr>
          <w:color w:val="000000"/>
          <w:spacing w:val="0"/>
          <w:w w:val="100"/>
          <w:position w:val="0"/>
        </w:rPr>
        <w:t>单位：元</w:t>
      </w:r>
    </w:p>
    <w:tbl>
      <w:tblPr>
        <w:tblOverlap w:val="never"/>
        <w:jc w:val="left"/>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headerReference w:type="default" r:id="rId239"/>
          <w:footerReference w:type="default" r:id="rId240"/>
          <w:headerReference w:type="even" r:id="rId241"/>
          <w:footerReference w:type="even" r:id="rId242"/>
          <w:headerReference w:type="first" r:id="rId243"/>
          <w:footerReference w:type="first" r:id="rId244"/>
          <w:footnotePr>
            <w:pos w:val="pageBottom"/>
            <w:numFmt w:val="decimal"/>
            <w:numRestart w:val="continuous"/>
          </w:footnotePr>
          <w:pgSz w:w="11900" w:h="16840"/>
          <w:pgMar w:top="1393" w:right="580" w:bottom="1470" w:left="544" w:header="0" w:footer="3" w:gutter="0"/>
          <w:cols w:space="720"/>
          <w:noEndnote/>
          <w:titlePg/>
          <w:rtlGutter w:val="0"/>
          <w:docGrid w:linePitch="360"/>
        </w:sectPr>
      </w:pPr>
    </w:p>
    <w:tbl>
      <w:tblPr>
        <w:tblOverlap w:val="never"/>
        <w:jc w:val="left"/>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12,575,981.52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21,024,090.51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-8,448,108.99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-1,446,083.11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-8,448,108.99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-1,446,083.11</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numPr>
          <w:ilvl w:val="0"/>
          <w:numId w:val="175"/>
        </w:numPr>
        <w:shd w:val="clear" w:color="auto" w:fill="auto"/>
        <w:bidi w:val="0"/>
        <w:spacing w:before="0" w:line="240" w:lineRule="auto"/>
        <w:ind w:left="0" w:right="0" w:firstLine="140"/>
        <w:jc w:val="left"/>
      </w:pPr>
      <w:bookmarkStart w:id="1862" w:name="bookmark1862"/>
      <w:bookmarkStart w:id="1863" w:name="bookmark1863"/>
      <w:bookmarkStart w:id="1864" w:name="bookmark1864"/>
      <w:bookmarkStart w:id="1865" w:name="bookmark1865"/>
      <w:bookmarkEnd w:id="1864"/>
      <w:r>
        <w:rPr>
          <w:color w:val="000000"/>
          <w:spacing w:val="0"/>
          <w:w w:val="100"/>
          <w:position w:val="0"/>
        </w:rPr>
        <w:t>合营企业或联营企业向本公司转移资金的能力存在重大限制的说明</w:t>
      </w:r>
      <w:bookmarkEnd w:id="1862"/>
      <w:bookmarkEnd w:id="1863"/>
      <w:bookmarkEnd w:id="1865"/>
    </w:p>
    <w:p>
      <w:pPr>
        <w:pStyle w:val="Style62"/>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本期不存在合营企业或联营企业向本公司转移资金的能力存在重大限制的情况。</w:t>
      </w:r>
    </w:p>
    <w:p>
      <w:pPr>
        <w:pStyle w:val="Style38"/>
        <w:keepNext/>
        <w:keepLines/>
        <w:widowControl w:val="0"/>
        <w:numPr>
          <w:ilvl w:val="0"/>
          <w:numId w:val="175"/>
        </w:numPr>
        <w:shd w:val="clear" w:color="auto" w:fill="auto"/>
        <w:bidi w:val="0"/>
        <w:spacing w:before="0" w:line="240" w:lineRule="auto"/>
        <w:ind w:left="0" w:right="0" w:firstLine="140"/>
        <w:jc w:val="left"/>
      </w:pPr>
      <w:bookmarkStart w:id="1866" w:name="bookmark1866"/>
      <w:bookmarkStart w:id="1867" w:name="bookmark1867"/>
      <w:bookmarkStart w:id="1868" w:name="bookmark1868"/>
      <w:bookmarkStart w:id="1869" w:name="bookmark1869"/>
      <w:bookmarkEnd w:id="1868"/>
      <w:r>
        <w:rPr>
          <w:color w:val="000000"/>
          <w:spacing w:val="0"/>
          <w:w w:val="100"/>
          <w:position w:val="0"/>
        </w:rPr>
        <w:t>合营企业或联营企业发生的超额亏损</w:t>
      </w:r>
      <w:bookmarkEnd w:id="1866"/>
      <w:bookmarkEnd w:id="1867"/>
      <w:bookmarkEnd w:id="1869"/>
    </w:p>
    <w:p>
      <w:pPr>
        <w:pStyle w:val="Style34"/>
        <w:keepNext w:val="0"/>
        <w:keepLines w:val="0"/>
        <w:widowControl w:val="0"/>
        <w:shd w:val="clear" w:color="auto" w:fill="auto"/>
        <w:bidi w:val="0"/>
        <w:spacing w:before="0" w:line="240" w:lineRule="auto"/>
        <w:ind w:left="0" w:right="1100" w:firstLine="0"/>
        <w:jc w:val="right"/>
      </w:pPr>
      <w:r>
        <w:rPr>
          <w:color w:val="000000"/>
          <w:spacing w:val="0"/>
          <w:w w:val="100"/>
          <w:position w:val="0"/>
        </w:rPr>
        <w:t>单位：元</w:t>
      </w:r>
    </w:p>
    <w:tbl>
      <w:tblPr>
        <w:tblOverlap w:val="never"/>
        <w:jc w:val="left"/>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本期未确认的损失(或本期分</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62"/>
        <w:keepNext w:val="0"/>
        <w:keepLines w:val="0"/>
        <w:widowControl w:val="0"/>
        <w:shd w:val="clear" w:color="auto" w:fill="auto"/>
        <w:bidi w:val="0"/>
        <w:spacing w:before="0" w:after="680" w:line="240" w:lineRule="auto"/>
        <w:ind w:left="0" w:right="0" w:firstLine="0"/>
        <w:jc w:val="left"/>
      </w:pPr>
      <w:r>
        <w:rPr>
          <w:b w:val="0"/>
          <w:bCs w:val="0"/>
          <w:color w:val="000000"/>
          <w:spacing w:val="0"/>
          <w:w w:val="100"/>
          <w:position w:val="0"/>
        </w:rPr>
        <w:t>本期不存在合营企业或联营企业发生超额亏损的情况。</w:t>
      </w:r>
    </w:p>
    <w:p>
      <w:pPr>
        <w:pStyle w:val="Style38"/>
        <w:keepNext/>
        <w:keepLines/>
        <w:widowControl w:val="0"/>
        <w:numPr>
          <w:ilvl w:val="0"/>
          <w:numId w:val="175"/>
        </w:numPr>
        <w:shd w:val="clear" w:color="auto" w:fill="auto"/>
        <w:bidi w:val="0"/>
        <w:spacing w:before="0" w:line="240" w:lineRule="auto"/>
        <w:ind w:left="0" w:right="0" w:firstLine="140"/>
        <w:jc w:val="left"/>
      </w:pPr>
      <w:bookmarkStart w:id="1870" w:name="bookmark1870"/>
      <w:bookmarkStart w:id="1871" w:name="bookmark1871"/>
      <w:bookmarkStart w:id="1872" w:name="bookmark1872"/>
      <w:bookmarkStart w:id="1873" w:name="bookmark1873"/>
      <w:bookmarkEnd w:id="1872"/>
      <w:r>
        <w:rPr>
          <w:color w:val="000000"/>
          <w:spacing w:val="0"/>
          <w:w w:val="100"/>
          <w:position w:val="0"/>
        </w:rPr>
        <w:t>与合营企业投资相关的未确认承诺</w:t>
      </w:r>
      <w:bookmarkEnd w:id="1870"/>
      <w:bookmarkEnd w:id="1871"/>
      <w:bookmarkEnd w:id="1873"/>
    </w:p>
    <w:p>
      <w:pPr>
        <w:pStyle w:val="Style38"/>
        <w:keepNext/>
        <w:keepLines/>
        <w:widowControl w:val="0"/>
        <w:numPr>
          <w:ilvl w:val="0"/>
          <w:numId w:val="175"/>
        </w:numPr>
        <w:shd w:val="clear" w:color="auto" w:fill="auto"/>
        <w:bidi w:val="0"/>
        <w:spacing w:before="0" w:line="240" w:lineRule="auto"/>
        <w:ind w:left="0" w:right="0" w:firstLine="140"/>
        <w:jc w:val="left"/>
      </w:pPr>
      <w:bookmarkStart w:id="1870" w:name="bookmark1870"/>
      <w:bookmarkStart w:id="1871" w:name="bookmark1871"/>
      <w:bookmarkStart w:id="1874" w:name="bookmark1874"/>
      <w:bookmarkStart w:id="1875" w:name="bookmark1875"/>
      <w:bookmarkEnd w:id="1874"/>
      <w:r>
        <w:rPr>
          <w:color w:val="000000"/>
          <w:spacing w:val="0"/>
          <w:w w:val="100"/>
          <w:position w:val="0"/>
        </w:rPr>
        <w:t>与合营企业或联营企业投资相关的或有负债</w:t>
      </w:r>
      <w:bookmarkEnd w:id="1870"/>
      <w:bookmarkEnd w:id="1871"/>
      <w:bookmarkEnd w:id="1875"/>
    </w:p>
    <w:p>
      <w:pPr>
        <w:pStyle w:val="Style38"/>
        <w:keepNext/>
        <w:keepLines/>
        <w:widowControl w:val="0"/>
        <w:shd w:val="clear" w:color="auto" w:fill="auto"/>
        <w:bidi w:val="0"/>
        <w:spacing w:before="0" w:after="0" w:line="240" w:lineRule="auto"/>
        <w:ind w:left="0" w:right="0" w:firstLine="0"/>
        <w:jc w:val="left"/>
      </w:pPr>
      <w:bookmarkStart w:id="1870" w:name="bookmark1870"/>
      <w:bookmarkStart w:id="1871" w:name="bookmark1871"/>
      <w:bookmarkStart w:id="1876" w:name="bookmark1876"/>
      <w:bookmarkStart w:id="1877" w:name="bookmark1877"/>
      <w:r>
        <w:rPr>
          <w:rFonts w:ascii="Times New Roman" w:eastAsia="Times New Roman" w:hAnsi="Times New Roman" w:cs="Times New Roman"/>
          <w:color w:val="000000"/>
          <w:spacing w:val="0"/>
          <w:w w:val="100"/>
          <w:position w:val="0"/>
        </w:rPr>
        <w:t>4</w:t>
      </w:r>
      <w:bookmarkEnd w:id="1876"/>
      <w:r>
        <w:rPr>
          <w:color w:val="000000"/>
          <w:spacing w:val="0"/>
          <w:w w:val="100"/>
          <w:position w:val="0"/>
        </w:rPr>
        <w:t>、重要的共同经营</w:t>
      </w:r>
      <w:bookmarkEnd w:id="1870"/>
      <w:bookmarkEnd w:id="1871"/>
      <w:bookmarkEnd w:id="1877"/>
    </w:p>
    <w:p>
      <w:pPr>
        <w:widowControl w:val="0"/>
        <w:spacing w:line="1" w:lineRule="exact"/>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441" w:right="24" w:bottom="169" w:left="1100" w:header="0" w:footer="3" w:gutter="0"/>
          <w:cols w:space="720"/>
          <w:noEndnote/>
          <w:rtlGutter w:val="0"/>
          <w:docGrid w:linePitch="360"/>
        </w:sectPr>
      </w:pPr>
      <w:r>
        <mc:AlternateContent>
          <mc:Choice Requires="wps">
            <w:drawing>
              <wp:anchor distT="316230" distB="182880" distL="0" distR="0" simplePos="0" relativeHeight="125829484" behindDoc="0" locked="0" layoutInCell="1" allowOverlap="1">
                <wp:simplePos x="0" y="0"/>
                <wp:positionH relativeFrom="page">
                  <wp:posOffset>866140</wp:posOffset>
                </wp:positionH>
                <wp:positionV relativeFrom="paragraph">
                  <wp:posOffset>316230</wp:posOffset>
                </wp:positionV>
                <wp:extent cx="709930" cy="149225"/>
                <wp:wrapTopAndBottom/>
                <wp:docPr id="1089" name="Shape 1089"/>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34"/>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共同经营名称</w:t>
                            </w:r>
                          </w:p>
                        </w:txbxContent>
                      </wps:txbx>
                      <wps:bodyPr wrap="none" lIns="0" tIns="0" rIns="0" bIns="0">
                        <a:noAutoFit/>
                      </wps:bodyPr>
                    </wps:wsp>
                  </a:graphicData>
                </a:graphic>
              </wp:anchor>
            </w:drawing>
          </mc:Choice>
          <mc:Fallback>
            <w:pict>
              <v:shape id="_x0000_s2115" type="#_x0000_t202" style="position:absolute;margin-left:68.200000000000003pt;margin-top:24.900000000000002pt;width:55.899999999999999pt;height:11.75pt;z-index:-125829269;mso-wrap-distance-left:0;mso-wrap-distance-top:24.900000000000002pt;mso-wrap-distance-right:0;mso-wrap-distance-bottom:14.4pt;mso-position-horizontal-relative:page" filled="f" stroked="f">
                <v:textbox inset="0,0,0,0">
                  <w:txbxContent>
                    <w:p>
                      <w:pPr>
                        <w:pStyle w:val="Style34"/>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共同经营名称</w:t>
                      </w:r>
                    </w:p>
                  </w:txbxContent>
                </v:textbox>
                <w10:wrap type="topAndBottom" anchorx="page"/>
              </v:shape>
            </w:pict>
          </mc:Fallback>
        </mc:AlternateContent>
      </w:r>
      <w:r>
        <mc:AlternateContent>
          <mc:Choice Requires="wps">
            <w:drawing>
              <wp:anchor distT="316230" distB="188595" distL="0" distR="0" simplePos="0" relativeHeight="125829486" behindDoc="0" locked="0" layoutInCell="1" allowOverlap="1">
                <wp:simplePos x="0" y="0"/>
                <wp:positionH relativeFrom="page">
                  <wp:posOffset>1939290</wp:posOffset>
                </wp:positionH>
                <wp:positionV relativeFrom="paragraph">
                  <wp:posOffset>316230</wp:posOffset>
                </wp:positionV>
                <wp:extent cx="600710" cy="143510"/>
                <wp:wrapTopAndBottom/>
                <wp:docPr id="1091" name="Shape 1091"/>
                <a:graphic xmlns:a="http://schemas.openxmlformats.org/drawingml/2006/main">
                  <a:graphicData uri="http://schemas.microsoft.com/office/word/2010/wordprocessingShape">
                    <wps:wsp>
                      <wps:cNvSpPr txBox="1"/>
                      <wps:spPr>
                        <a:xfrm>
                          <a:ext cx="600710" cy="143510"/>
                        </a:xfrm>
                        <a:prstGeom prst="rect"/>
                        <a:noFill/>
                      </wps:spPr>
                      <wps:txbx>
                        <w:txbxContent>
                          <w:p>
                            <w:pPr>
                              <w:pStyle w:val="Style34"/>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主要经营地</w:t>
                            </w:r>
                          </w:p>
                        </w:txbxContent>
                      </wps:txbx>
                      <wps:bodyPr wrap="none" lIns="0" tIns="0" rIns="0" bIns="0">
                        <a:noAutoFit/>
                      </wps:bodyPr>
                    </wps:wsp>
                  </a:graphicData>
                </a:graphic>
              </wp:anchor>
            </w:drawing>
          </mc:Choice>
          <mc:Fallback>
            <w:pict>
              <v:shape id="_x0000_s2117" type="#_x0000_t202" style="position:absolute;margin-left:152.70000000000002pt;margin-top:24.900000000000002pt;width:47.300000000000004pt;height:11.300000000000001pt;z-index:-125829267;mso-wrap-distance-left:0;mso-wrap-distance-top:24.900000000000002pt;mso-wrap-distance-right:0;mso-wrap-distance-bottom:14.85pt;mso-position-horizontal-relative:page" filled="f" stroked="f">
                <v:textbox inset="0,0,0,0">
                  <w:txbxContent>
                    <w:p>
                      <w:pPr>
                        <w:pStyle w:val="Style34"/>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主要经营地</w:t>
                      </w:r>
                    </w:p>
                  </w:txbxContent>
                </v:textbox>
                <w10:wrap type="topAndBottom" anchorx="page"/>
              </v:shape>
            </w:pict>
          </mc:Fallback>
        </mc:AlternateContent>
      </w:r>
      <w:r>
        <mc:AlternateContent>
          <mc:Choice Requires="wps">
            <w:drawing>
              <wp:anchor distT="316230" distB="182880" distL="0" distR="0" simplePos="0" relativeHeight="125829488" behindDoc="0" locked="0" layoutInCell="1" allowOverlap="1">
                <wp:simplePos x="0" y="0"/>
                <wp:positionH relativeFrom="page">
                  <wp:posOffset>3063875</wp:posOffset>
                </wp:positionH>
                <wp:positionV relativeFrom="paragraph">
                  <wp:posOffset>316230</wp:posOffset>
                </wp:positionV>
                <wp:extent cx="372110" cy="149225"/>
                <wp:wrapTopAndBottom/>
                <wp:docPr id="1093" name="Shape 1093"/>
                <a:graphic xmlns:a="http://schemas.openxmlformats.org/drawingml/2006/main">
                  <a:graphicData uri="http://schemas.microsoft.com/office/word/2010/wordprocessingShape">
                    <wps:wsp>
                      <wps:cNvSpPr txBox="1"/>
                      <wps:spPr>
                        <a:xfrm>
                          <a:ext cx="372110" cy="149225"/>
                        </a:xfrm>
                        <a:prstGeom prst="rect"/>
                        <a:noFill/>
                      </wps:spPr>
                      <wps:txbx>
                        <w:txbxContent>
                          <w:p>
                            <w:pPr>
                              <w:pStyle w:val="Style34"/>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注册地</w:t>
                            </w:r>
                          </w:p>
                        </w:txbxContent>
                      </wps:txbx>
                      <wps:bodyPr wrap="none" lIns="0" tIns="0" rIns="0" bIns="0">
                        <a:noAutoFit/>
                      </wps:bodyPr>
                    </wps:wsp>
                  </a:graphicData>
                </a:graphic>
              </wp:anchor>
            </w:drawing>
          </mc:Choice>
          <mc:Fallback>
            <w:pict>
              <v:shape id="_x0000_s2119" type="#_x0000_t202" style="position:absolute;margin-left:241.25pt;margin-top:24.900000000000002pt;width:29.300000000000001pt;height:11.75pt;z-index:-125829265;mso-wrap-distance-left:0;mso-wrap-distance-top:24.900000000000002pt;mso-wrap-distance-right:0;mso-wrap-distance-bottom:14.4pt;mso-position-horizontal-relative:page" filled="f" stroked="f">
                <v:textbox inset="0,0,0,0">
                  <w:txbxContent>
                    <w:p>
                      <w:pPr>
                        <w:pStyle w:val="Style34"/>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注册地</w:t>
                      </w:r>
                    </w:p>
                  </w:txbxContent>
                </v:textbox>
                <w10:wrap type="topAndBottom" anchorx="page"/>
              </v:shape>
            </w:pict>
          </mc:Fallback>
        </mc:AlternateContent>
      </w:r>
      <w:r>
        <mc:AlternateContent>
          <mc:Choice Requires="wps">
            <w:drawing>
              <wp:anchor distT="316230" distB="182880" distL="0" distR="0" simplePos="0" relativeHeight="125829490" behindDoc="0" locked="0" layoutInCell="1" allowOverlap="1">
                <wp:simplePos x="0" y="0"/>
                <wp:positionH relativeFrom="page">
                  <wp:posOffset>4017645</wp:posOffset>
                </wp:positionH>
                <wp:positionV relativeFrom="paragraph">
                  <wp:posOffset>316230</wp:posOffset>
                </wp:positionV>
                <wp:extent cx="481330" cy="149225"/>
                <wp:wrapTopAndBottom/>
                <wp:docPr id="1095" name="Shape 109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业务性质</w:t>
                            </w:r>
                          </w:p>
                        </w:txbxContent>
                      </wps:txbx>
                      <wps:bodyPr wrap="none" lIns="0" tIns="0" rIns="0" bIns="0">
                        <a:noAutoFit/>
                      </wps:bodyPr>
                    </wps:wsp>
                  </a:graphicData>
                </a:graphic>
              </wp:anchor>
            </w:drawing>
          </mc:Choice>
          <mc:Fallback>
            <w:pict>
              <v:shape id="_x0000_s2121" type="#_x0000_t202" style="position:absolute;margin-left:316.35000000000002pt;margin-top:24.900000000000002pt;width:37.899999999999999pt;height:11.75pt;z-index:-125829263;mso-wrap-distance-left:0;mso-wrap-distance-top:24.900000000000002pt;mso-wrap-distance-right:0;mso-wrap-distance-bottom:14.4pt;mso-position-horizontal-relative:page" filled="f" stroked="f">
                <v:textbox inset="0,0,0,0">
                  <w:txbxContent>
                    <w:p>
                      <w:pPr>
                        <w:pStyle w:val="Style34"/>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业务性质</w:t>
                      </w:r>
                    </w:p>
                  </w:txbxContent>
                </v:textbox>
                <w10:wrap type="topAndBottom" anchorx="page"/>
              </v:shape>
            </w:pict>
          </mc:Fallback>
        </mc:AlternateContent>
      </w:r>
      <w:r>
        <mc:AlternateContent>
          <mc:Choice Requires="wps">
            <w:drawing>
              <wp:anchor distT="127000" distB="0" distL="0" distR="0" simplePos="0" relativeHeight="125829492" behindDoc="0" locked="0" layoutInCell="1" allowOverlap="1">
                <wp:simplePos x="0" y="0"/>
                <wp:positionH relativeFrom="page">
                  <wp:posOffset>4761230</wp:posOffset>
                </wp:positionH>
                <wp:positionV relativeFrom="paragraph">
                  <wp:posOffset>127000</wp:posOffset>
                </wp:positionV>
                <wp:extent cx="2033270" cy="521335"/>
                <wp:wrapTopAndBottom/>
                <wp:docPr id="1097" name="Shape 1097"/>
                <a:graphic xmlns:a="http://schemas.openxmlformats.org/drawingml/2006/main">
                  <a:graphicData uri="http://schemas.microsoft.com/office/word/2010/wordprocessingShape">
                    <wps:wsp>
                      <wps:cNvSpPr txBox="1"/>
                      <wps:spPr>
                        <a:xfrm>
                          <a:ext cx="2033270" cy="521335"/>
                        </a:xfrm>
                        <a:prstGeom prst="rect"/>
                        <a:noFill/>
                      </wps:spPr>
                      <wps:txbx>
                        <w:txbxContent>
                          <w:tbl>
                            <w:tblPr>
                              <w:tblOverlap w:val="never"/>
                              <w:jc w:val="left"/>
                              <w:tblLayout w:type="fixed"/>
                            </w:tblPr>
                            <w:tblGrid>
                              <w:gridCol w:w="1598"/>
                              <w:gridCol w:w="1603"/>
                            </w:tblGrid>
                            <w:tr>
                              <w:trPr>
                                <w:tblHeader/>
                                <w:trHeight w:val="408" w:hRule="exact"/>
                              </w:trPr>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line="1" w:lineRule="exact"/>
                            </w:pPr>
                          </w:p>
                        </w:txbxContent>
                      </wps:txbx>
                      <wps:bodyPr lIns="0" tIns="0" rIns="0" bIns="0">
                        <a:noAutoFit/>
                      </wps:bodyPr>
                    </wps:wsp>
                  </a:graphicData>
                </a:graphic>
              </wp:anchor>
            </w:drawing>
          </mc:Choice>
          <mc:Fallback>
            <w:pict>
              <v:shape id="_x0000_s2123" type="#_x0000_t202" style="position:absolute;margin-left:374.90000000000003pt;margin-top:10.pt;width:160.09999999999999pt;height:41.050000000000004pt;z-index:-125829261;mso-wrap-distance-left:0;mso-wrap-distance-top:10.pt;mso-wrap-distance-right:0;mso-position-horizontal-relative:page" filled="f" stroked="f">
                <v:textbox inset="0,0,0,0">
                  <w:txbxContent>
                    <w:tbl>
                      <w:tblPr>
                        <w:tblOverlap w:val="never"/>
                        <w:jc w:val="left"/>
                        <w:tblLayout w:type="fixed"/>
                      </w:tblPr>
                      <w:tblGrid>
                        <w:gridCol w:w="1598"/>
                        <w:gridCol w:w="1603"/>
                      </w:tblGrid>
                      <w:tr>
                        <w:trPr>
                          <w:tblHeader/>
                          <w:trHeight w:val="408" w:hRule="exact"/>
                        </w:trPr>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line="1" w:lineRule="exact"/>
                      </w:pPr>
                    </w:p>
                  </w:txbxContent>
                </v:textbox>
                <w10:wrap type="topAndBottom" anchorx="page"/>
              </v:shape>
            </w:pict>
          </mc:Fallback>
        </mc:AlternateConten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在共同经营中的持股比例或享有的份额不同于表决权比例的说明:</w:t>
      </w:r>
    </w:p>
    <w:p>
      <w:pPr>
        <w:pStyle w:val="Style62"/>
        <w:keepNext w:val="0"/>
        <w:keepLines w:val="0"/>
        <w:widowControl w:val="0"/>
        <w:shd w:val="clear" w:color="auto" w:fill="auto"/>
        <w:bidi w:val="0"/>
        <w:spacing w:before="0" w:after="120" w:line="240" w:lineRule="auto"/>
        <w:ind w:left="0" w:right="0" w:firstLine="0"/>
        <w:jc w:val="left"/>
      </w:pPr>
      <w:r>
        <w:rPr>
          <w:b w:val="0"/>
          <w:bCs w:val="0"/>
          <w:color w:val="000000"/>
          <w:spacing w:val="0"/>
          <w:w w:val="100"/>
          <w:position w:val="0"/>
        </w:rPr>
        <w:t>本公司本期无重要的共同经营</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共同经营为单独主体的，分类为共同经营的依据: </w:t>
      </w: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5</w:t>
      </w:r>
      <w:bookmarkEnd w:id="1880"/>
      <w:r>
        <w:rPr>
          <w:color w:val="000000"/>
          <w:spacing w:val="0"/>
          <w:w w:val="100"/>
          <w:position w:val="0"/>
        </w:rPr>
        <w:t>、在未纳入合并财务报表范围的结构化主体中的权益</w:t>
      </w:r>
      <w:bookmarkEnd w:id="1878"/>
      <w:bookmarkEnd w:id="1879"/>
      <w:bookmarkEnd w:id="1881"/>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未纳入合并财务报表范围的结构化主体的相关说明:</w:t>
      </w:r>
    </w:p>
    <w:p>
      <w:pPr>
        <w:pStyle w:val="Style62"/>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本公司本期无未纳入合并财务报表范围的结构化主体。</w:t>
      </w:r>
    </w:p>
    <w:p>
      <w:pPr>
        <w:pStyle w:val="Style38"/>
        <w:keepNext/>
        <w:keepLines/>
        <w:widowControl w:val="0"/>
        <w:shd w:val="clear" w:color="auto" w:fill="auto"/>
        <w:bidi w:val="0"/>
        <w:spacing w:before="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6</w:t>
      </w:r>
      <w:bookmarkEnd w:id="1884"/>
      <w:r>
        <w:rPr>
          <w:color w:val="000000"/>
          <w:spacing w:val="0"/>
          <w:w w:val="100"/>
          <w:position w:val="0"/>
        </w:rPr>
        <w:t>、其他</w:t>
      </w:r>
      <w:bookmarkEnd w:id="1882"/>
      <w:bookmarkEnd w:id="1883"/>
      <w:bookmarkEnd w:id="1885"/>
    </w:p>
    <w:p>
      <w:pPr>
        <w:pStyle w:val="Style17"/>
        <w:keepNext/>
        <w:keepLines/>
        <w:widowControl w:val="0"/>
        <w:shd w:val="clear" w:color="auto" w:fill="auto"/>
        <w:bidi w:val="0"/>
        <w:spacing w:before="0" w:after="360" w:line="240" w:lineRule="auto"/>
        <w:ind w:left="0" w:right="0" w:firstLine="0"/>
        <w:jc w:val="left"/>
      </w:pPr>
      <w:bookmarkStart w:id="1886" w:name="bookmark1886"/>
      <w:bookmarkStart w:id="1887" w:name="bookmark1887"/>
      <w:bookmarkStart w:id="1888" w:name="bookmark1888"/>
      <w:r>
        <w:rPr>
          <w:color w:val="000000"/>
          <w:spacing w:val="0"/>
          <w:w w:val="100"/>
          <w:position w:val="0"/>
          <w:sz w:val="24"/>
          <w:szCs w:val="24"/>
        </w:rPr>
        <w:t>十、与金融工具相关的风险</w:t>
      </w:r>
      <w:bookmarkEnd w:id="1886"/>
      <w:bookmarkEnd w:id="1887"/>
      <w:bookmarkEnd w:id="1888"/>
    </w:p>
    <w:p>
      <w:pPr>
        <w:pStyle w:val="Style34"/>
        <w:keepNext w:val="0"/>
        <w:keepLines w:val="0"/>
        <w:widowControl w:val="0"/>
        <w:shd w:val="clear" w:color="auto" w:fill="auto"/>
        <w:bidi w:val="0"/>
        <w:spacing w:before="0" w:after="800" w:line="240" w:lineRule="auto"/>
        <w:ind w:left="0" w:right="0" w:firstLine="440"/>
        <w:jc w:val="left"/>
      </w:pPr>
      <w:r>
        <w:rPr>
          <w:color w:val="000000"/>
          <w:spacing w:val="0"/>
          <w:w w:val="100"/>
          <w:position w:val="0"/>
        </w:rPr>
        <w:t>本公司在日常活动中面临各种金融工具的风险，主要包括信用风险、市场风险和流动性风险。本公司的主要金融工具</w:t>
      </w:r>
    </w:p>
    <w:p>
      <w:pPr>
        <w:pStyle w:val="Style17"/>
        <w:keepNext/>
        <w:keepLines/>
        <w:widowControl w:val="0"/>
        <w:shd w:val="clear" w:color="auto" w:fill="auto"/>
        <w:bidi w:val="0"/>
        <w:spacing w:before="0" w:after="0" w:line="240" w:lineRule="auto"/>
        <w:ind w:left="0" w:right="0" w:firstLine="0"/>
        <w:jc w:val="right"/>
        <w:rPr>
          <w:sz w:val="20"/>
          <w:szCs w:val="20"/>
        </w:rPr>
      </w:pPr>
      <w:bookmarkStart w:id="1889" w:name="bookmark1889"/>
      <w:bookmarkStart w:id="1890" w:name="bookmark1890"/>
      <w:bookmarkStart w:id="1891" w:name="bookmark1891"/>
      <w:r>
        <w:rPr>
          <w:rFonts w:ascii="Arial" w:eastAsia="Arial" w:hAnsi="Arial" w:cs="Arial"/>
          <w:color w:val="A2A2A2"/>
          <w:spacing w:val="0"/>
          <w:w w:val="100"/>
          <w:position w:val="0"/>
          <w:sz w:val="20"/>
          <w:szCs w:val="20"/>
        </w:rPr>
        <w:t>cninf^r</w:t>
      </w:r>
      <w:bookmarkEnd w:id="1889"/>
      <w:bookmarkEnd w:id="1890"/>
      <w:bookmarkEnd w:id="1891"/>
    </w:p>
    <w:p>
      <w:pPr>
        <w:pStyle w:val="Style20"/>
        <w:keepNext w:val="0"/>
        <w:keepLines w:val="0"/>
        <w:widowControl w:val="0"/>
        <w:shd w:val="clear" w:color="auto" w:fill="auto"/>
        <w:bidi w:val="0"/>
        <w:spacing w:before="0" w:after="0" w:line="240" w:lineRule="auto"/>
        <w:ind w:left="9900" w:right="0" w:firstLine="0"/>
        <w:jc w:val="left"/>
      </w:pPr>
      <w:r>
        <w:rPr>
          <w:spacing w:val="0"/>
          <w:w w:val="100"/>
          <w:position w:val="0"/>
        </w:rPr>
        <w:t>巨潮资讯</w:t>
      </w:r>
    </w:p>
    <w:p>
      <w:pPr>
        <w:pStyle w:val="Style72"/>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1900" w:h="16840"/>
          <w:pgMar w:top="1441" w:right="24" w:bottom="169" w:left="1100" w:header="0" w:footer="3" w:gutter="0"/>
          <w:cols w:space="720"/>
          <w:noEndnote/>
          <w:rtlGutter w:val="0"/>
          <w:docGrid w:linePitch="360"/>
        </w:sectPr>
      </w:pPr>
      <w:r>
        <w:rPr>
          <w:spacing w:val="0"/>
          <w:w w:val="100"/>
          <w:position w:val="0"/>
        </w:rPr>
        <w:t>ww.cnlnTo.com.cn</w:t>
      </w:r>
    </w:p>
    <w:p>
      <w:pPr>
        <w:pStyle w:val="Style34"/>
        <w:keepNext w:val="0"/>
        <w:keepLines w:val="0"/>
        <w:widowControl w:val="0"/>
        <w:shd w:val="clear" w:color="auto" w:fill="auto"/>
        <w:bidi w:val="0"/>
        <w:spacing w:before="220" w:after="0" w:line="313" w:lineRule="exact"/>
        <w:ind w:left="0" w:right="0" w:firstLine="0"/>
        <w:jc w:val="both"/>
      </w:pPr>
      <w:r>
        <w:rPr>
          <w:color w:val="000000"/>
          <w:spacing w:val="0"/>
          <w:w w:val="100"/>
          <w:position w:val="0"/>
        </w:rPr>
        <w:t>包括货币资金、股权投资、借款、应收账款、应付账款等，各项金融工具的详细情况说明见本附注五相关项目。与这些金融 工具有关的风险，以及本公司为降低这些风险所采取的风险管理政策如下所述：</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理政策及系统进行更新。本公司的风险管理由审计与风险控制委员会按照董事会批准的政策开展。审计与风险控制委员会通 过与本公司其他业务部门的紧密合作来识别、评价和规避相关风险。本公司内审部就风险管理控制及程序进行定期的审核， 并将审核结果上报本公司的审计与风险控制委员会。</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34"/>
        <w:keepNext w:val="0"/>
        <w:keepLines w:val="0"/>
        <w:widowControl w:val="0"/>
        <w:shd w:val="clear" w:color="auto" w:fill="auto"/>
        <w:tabs>
          <w:tab w:pos="879" w:val="left"/>
        </w:tabs>
        <w:bidi w:val="0"/>
        <w:spacing w:before="0" w:after="0"/>
        <w:ind w:left="0" w:right="0" w:firstLine="440"/>
        <w:jc w:val="left"/>
      </w:pPr>
      <w:bookmarkStart w:id="1892" w:name="bookmark1892"/>
      <w:r>
        <w:rPr>
          <w:rFonts w:ascii="Times New Roman" w:eastAsia="Times New Roman" w:hAnsi="Times New Roman" w:cs="Times New Roman"/>
          <w:color w:val="000000"/>
          <w:spacing w:val="0"/>
          <w:w w:val="100"/>
          <w:position w:val="0"/>
        </w:rPr>
        <w:t>（</w:t>
      </w:r>
      <w:bookmarkEnd w:id="1892"/>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市场风险</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金融工具的市场风险，是指金融工具的公允价值或未来现金流量因市场价格变动而发生波动的风险，包括外汇风险、 利率风险和其他价格风险。</w:t>
      </w:r>
    </w:p>
    <w:p>
      <w:pPr>
        <w:pStyle w:val="Style34"/>
        <w:keepNext w:val="0"/>
        <w:keepLines w:val="0"/>
        <w:widowControl w:val="0"/>
        <w:numPr>
          <w:ilvl w:val="0"/>
          <w:numId w:val="177"/>
        </w:numPr>
        <w:shd w:val="clear" w:color="auto" w:fill="auto"/>
        <w:tabs>
          <w:tab w:pos="751" w:val="left"/>
        </w:tabs>
        <w:bidi w:val="0"/>
        <w:spacing w:before="0" w:after="0"/>
        <w:ind w:left="0" w:right="0" w:firstLine="440"/>
        <w:jc w:val="left"/>
      </w:pPr>
      <w:bookmarkStart w:id="1893" w:name="bookmark1893"/>
      <w:bookmarkEnd w:id="1893"/>
      <w:r>
        <w:rPr>
          <w:color w:val="000000"/>
          <w:spacing w:val="0"/>
          <w:w w:val="100"/>
          <w:position w:val="0"/>
        </w:rPr>
        <w:t>汇率风险</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汇率风险是指金融工具的公允价值或未来现金流量因外汇汇率变动而发生波动的风险。本公司的主要经营位于中国境 内、塞舌尔、香港，国内业务以人民币结算，境外经营公司以美元、欧元、港币结算，故本公司已确认的外币资产和负债及 未来的外币交易</w:t>
      </w:r>
      <w:r>
        <w:rPr>
          <w:rFonts w:ascii="Times New Roman" w:eastAsia="Times New Roman" w:hAnsi="Times New Roman" w:cs="Times New Roman"/>
          <w:color w:val="000000"/>
          <w:spacing w:val="0"/>
          <w:w w:val="100"/>
          <w:position w:val="0"/>
        </w:rPr>
        <w:t>（</w:t>
      </w:r>
      <w:r>
        <w:rPr>
          <w:color w:val="000000"/>
          <w:spacing w:val="0"/>
          <w:w w:val="100"/>
          <w:position w:val="0"/>
        </w:rPr>
        <w:t>外币资产和负债及外币交易的计价货币主要为美元、欧元、港币</w:t>
      </w:r>
      <w:r>
        <w:rPr>
          <w:rFonts w:ascii="Times New Roman" w:eastAsia="Times New Roman" w:hAnsi="Times New Roman" w:cs="Times New Roman"/>
          <w:color w:val="000000"/>
          <w:spacing w:val="0"/>
          <w:w w:val="100"/>
          <w:position w:val="0"/>
        </w:rPr>
        <w:t>）</w:t>
      </w:r>
      <w:r>
        <w:rPr>
          <w:color w:val="000000"/>
          <w:spacing w:val="0"/>
          <w:w w:val="100"/>
          <w:position w:val="0"/>
        </w:rPr>
        <w:t>依然存在外汇风险。相关外币资产及外币 负债包括：以外币计价的货币资金、应收账款、应付账款、应交税费、其他应付款等。外币金融资产和外币金融负债折算成 人民币的金额见附注五</w:t>
      </w:r>
      <w:r>
        <w:rPr>
          <w:rFonts w:ascii="Times New Roman" w:eastAsia="Times New Roman" w:hAnsi="Times New Roman" w:cs="Times New Roman"/>
          <w:color w:val="000000"/>
          <w:spacing w:val="0"/>
          <w:w w:val="100"/>
          <w:position w:val="0"/>
        </w:rPr>
        <w:t>（</w:t>
      </w:r>
      <w:r>
        <w:rPr>
          <w:color w:val="000000"/>
          <w:spacing w:val="0"/>
          <w:w w:val="100"/>
          <w:position w:val="0"/>
        </w:rPr>
        <w:t>五十四广外币货币性项目</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本公司密切关注汇率变动对本公司汇率风险的影响。本公司目前并未采取任何措施规避汇率风险，但管理层负责监控 汇率风险，并将于需要时考虑对冲重大汇率风险。</w:t>
      </w:r>
    </w:p>
    <w:p>
      <w:pPr>
        <w:pStyle w:val="Style34"/>
        <w:keepNext w:val="0"/>
        <w:keepLines w:val="0"/>
        <w:widowControl w:val="0"/>
        <w:numPr>
          <w:ilvl w:val="0"/>
          <w:numId w:val="177"/>
        </w:numPr>
        <w:shd w:val="clear" w:color="auto" w:fill="auto"/>
        <w:tabs>
          <w:tab w:pos="751" w:val="left"/>
        </w:tabs>
        <w:bidi w:val="0"/>
        <w:spacing w:before="0" w:after="0"/>
        <w:ind w:left="0" w:right="0" w:firstLine="440"/>
        <w:jc w:val="left"/>
      </w:pPr>
      <w:bookmarkStart w:id="1894" w:name="bookmark1894"/>
      <w:bookmarkEnd w:id="1894"/>
      <w:r>
        <w:rPr>
          <w:color w:val="000000"/>
          <w:spacing w:val="0"/>
          <w:w w:val="100"/>
          <w:position w:val="0"/>
        </w:rPr>
        <w:t>利率风险</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利率风险，是指金融工具的公允价值或未来现金流量因市场利率变动而发生波动的风险。本公司面临的市场利率变动 的风险主要与本公司以浮动利率计息的借款有关。本公司的利率风险主要产生于长期银行借款等长期带息债务。浮动利率的 金融负债使本公司面临现金流量利率风险，固定利率的金融负债使本公司面临公允价值利率风险。本公司根据当时的市场环 境来决定固定利率及浮动利率合同的相对比例，并通过定期审阅与监察维持适当的固定和浮动利率工具组合。</w:t>
      </w:r>
    </w:p>
    <w:p>
      <w:pPr>
        <w:pStyle w:val="Style34"/>
        <w:keepNext w:val="0"/>
        <w:keepLines w:val="0"/>
        <w:widowControl w:val="0"/>
        <w:numPr>
          <w:ilvl w:val="0"/>
          <w:numId w:val="177"/>
        </w:numPr>
        <w:shd w:val="clear" w:color="auto" w:fill="auto"/>
        <w:tabs>
          <w:tab w:pos="751" w:val="left"/>
        </w:tabs>
        <w:bidi w:val="0"/>
        <w:spacing w:before="0" w:after="0"/>
        <w:ind w:left="0" w:right="0" w:firstLine="440"/>
        <w:jc w:val="left"/>
      </w:pPr>
      <w:bookmarkStart w:id="1895" w:name="bookmark1895"/>
      <w:bookmarkEnd w:id="1895"/>
      <w:r>
        <w:rPr>
          <w:color w:val="000000"/>
          <w:spacing w:val="0"/>
          <w:w w:val="100"/>
          <w:position w:val="0"/>
        </w:rPr>
        <w:t>其他价格风险</w:t>
      </w:r>
    </w:p>
    <w:p>
      <w:pPr>
        <w:pStyle w:val="Style34"/>
        <w:keepNext w:val="0"/>
        <w:keepLines w:val="0"/>
        <w:widowControl w:val="0"/>
        <w:shd w:val="clear" w:color="auto" w:fill="auto"/>
        <w:bidi w:val="0"/>
        <w:spacing w:before="0" w:after="420" w:line="313" w:lineRule="exact"/>
        <w:ind w:left="0" w:right="0" w:firstLine="440"/>
        <w:jc w:val="left"/>
      </w:pPr>
      <w:r>
        <w:rPr>
          <w:color w:val="000000"/>
          <w:spacing w:val="0"/>
          <w:w w:val="100"/>
          <w:position w:val="0"/>
        </w:rPr>
        <w:t>本公司未持有其他上市公司的权益投资，不存在其他价格风险。</w:t>
      </w:r>
    </w:p>
    <w:p>
      <w:pPr>
        <w:pStyle w:val="Style34"/>
        <w:keepNext w:val="0"/>
        <w:keepLines w:val="0"/>
        <w:widowControl w:val="0"/>
        <w:shd w:val="clear" w:color="auto" w:fill="auto"/>
        <w:tabs>
          <w:tab w:pos="879" w:val="left"/>
        </w:tabs>
        <w:bidi w:val="0"/>
        <w:spacing w:before="0" w:after="0"/>
        <w:ind w:left="0" w:right="0" w:firstLine="440"/>
        <w:jc w:val="left"/>
      </w:pPr>
      <w:bookmarkStart w:id="1896" w:name="bookmark1896"/>
      <w:r>
        <w:rPr>
          <w:rFonts w:ascii="Times New Roman" w:eastAsia="Times New Roman" w:hAnsi="Times New Roman" w:cs="Times New Roman"/>
          <w:color w:val="000000"/>
          <w:spacing w:val="0"/>
          <w:w w:val="100"/>
          <w:position w:val="0"/>
        </w:rPr>
        <w:t>（</w:t>
      </w:r>
      <w:bookmarkEnd w:id="1896"/>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信用风险</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信用风险，是指交易对手方未能履行合同义务而导致本公司产生财务损失的风险。本公司信用风险主要产生于银行存 款和应收款项等。</w:t>
      </w:r>
    </w:p>
    <w:p>
      <w:pPr>
        <w:pStyle w:val="Style3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本公司银行存款主要存放于国有银行和其它大中型上市银行，本公司预期银行存款不存在重大的信用风险。</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对于应收款项，本公司按照客户管理信用风险集中度，设定相关政策以控制信用风险敞口。本公司基于对债务人的财 务状况、外部评级、从第三方获取担保的可能性、信用记录及其它因素诸如目前市场状况等评估债务人的信用资质并设置相 应欠款额度与信用期限。本公司会定期对债务人信用记录进行监控，对于信用记录不良的债务人，本公司会采用书面催款、 缩短信用期或取消信用期等方式，以确保本公司的整体信用风险在可控的范围内。由于本公司的应收款项客户广泛分散于不 同的地区和行业中，因此在本公司不存在重大信用风险集中。</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本公司没有提供任何其他可能令本公司承受信用风险的担保。本公司所承但的最大信用风险敞口为资产负债表中各项 金融资产的账面价值。</w:t>
      </w:r>
    </w:p>
    <w:p>
      <w:pPr>
        <w:pStyle w:val="Style34"/>
        <w:keepNext w:val="0"/>
        <w:keepLines w:val="0"/>
        <w:widowControl w:val="0"/>
        <w:numPr>
          <w:ilvl w:val="0"/>
          <w:numId w:val="179"/>
        </w:numPr>
        <w:shd w:val="clear" w:color="auto" w:fill="auto"/>
        <w:bidi w:val="0"/>
        <w:spacing w:before="0" w:after="0"/>
        <w:ind w:left="0" w:right="0" w:firstLine="440"/>
        <w:jc w:val="left"/>
      </w:pPr>
      <w:bookmarkStart w:id="1897" w:name="bookmark1897"/>
      <w:bookmarkEnd w:id="1897"/>
      <w:r>
        <w:rPr>
          <w:color w:val="000000"/>
          <w:spacing w:val="0"/>
          <w:w w:val="100"/>
          <w:position w:val="0"/>
        </w:rPr>
        <w:t>信用风险显著增加的判断依据</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本公司在每个资产负债表日评估相关金融工具的信用风险自初始确认后是否已显著增加。在确定信用风险自初始确认 后是否显著增加时，本公司考虑在无须付出不必要的额外成本或努力即可获得合理且有依据的信息，包括基于本公司历史数 据的定性和定量分析、外部信用风险评级以及前瞻性信息。当满足以下一个或多个定量、定性标准时，本公司认为信用风险 </w:t>
      </w:r>
      <w:r>
        <w:rPr>
          <w:color w:val="000000"/>
          <w:spacing w:val="0"/>
          <w:w w:val="100"/>
          <w:position w:val="0"/>
        </w:rPr>
        <w:t>已显著增加：</w:t>
      </w:r>
    </w:p>
    <w:p>
      <w:pPr>
        <w:pStyle w:val="Style34"/>
        <w:keepNext w:val="0"/>
        <w:keepLines w:val="0"/>
        <w:widowControl w:val="0"/>
        <w:numPr>
          <w:ilvl w:val="0"/>
          <w:numId w:val="181"/>
        </w:numPr>
        <w:shd w:val="clear" w:color="auto" w:fill="auto"/>
        <w:tabs>
          <w:tab w:pos="842" w:val="left"/>
        </w:tabs>
        <w:bidi w:val="0"/>
        <w:spacing w:before="0" w:after="0" w:line="314" w:lineRule="exact"/>
        <w:ind w:left="0" w:right="0" w:firstLine="440"/>
        <w:jc w:val="left"/>
      </w:pPr>
      <w:bookmarkStart w:id="1898" w:name="bookmark1898"/>
      <w:bookmarkEnd w:id="1898"/>
      <w:r>
        <w:rPr>
          <w:color w:val="000000"/>
          <w:spacing w:val="0"/>
          <w:w w:val="100"/>
          <w:position w:val="0"/>
        </w:rPr>
        <w:t>合同付款已逾期超过</w:t>
      </w:r>
      <w:r>
        <w:rPr>
          <w:rFonts w:ascii="Times New Roman" w:eastAsia="Times New Roman" w:hAnsi="Times New Roman" w:cs="Times New Roman"/>
          <w:color w:val="000000"/>
          <w:spacing w:val="0"/>
          <w:w w:val="100"/>
          <w:position w:val="0"/>
        </w:rPr>
        <w:t>30</w:t>
      </w:r>
      <w:r>
        <w:rPr>
          <w:color w:val="000000"/>
          <w:spacing w:val="0"/>
          <w:w w:val="100"/>
          <w:position w:val="0"/>
        </w:rPr>
        <w:t>天。</w:t>
      </w:r>
    </w:p>
    <w:p>
      <w:pPr>
        <w:pStyle w:val="Style34"/>
        <w:keepNext w:val="0"/>
        <w:keepLines w:val="0"/>
        <w:widowControl w:val="0"/>
        <w:numPr>
          <w:ilvl w:val="0"/>
          <w:numId w:val="181"/>
        </w:numPr>
        <w:shd w:val="clear" w:color="auto" w:fill="auto"/>
        <w:tabs>
          <w:tab w:pos="842" w:val="left"/>
        </w:tabs>
        <w:bidi w:val="0"/>
        <w:spacing w:before="0" w:after="0" w:line="314" w:lineRule="exact"/>
        <w:ind w:left="0" w:right="0" w:firstLine="440"/>
        <w:jc w:val="left"/>
      </w:pPr>
      <w:bookmarkStart w:id="1899" w:name="bookmark1899"/>
      <w:bookmarkEnd w:id="1899"/>
      <w:r>
        <w:rPr>
          <w:color w:val="000000"/>
          <w:spacing w:val="0"/>
          <w:w w:val="100"/>
          <w:position w:val="0"/>
        </w:rPr>
        <w:t>根据外部公开信用评级结果，债务人信用评级等级大幅下降。</w:t>
      </w:r>
    </w:p>
    <w:p>
      <w:pPr>
        <w:pStyle w:val="Style34"/>
        <w:keepNext w:val="0"/>
        <w:keepLines w:val="0"/>
        <w:widowControl w:val="0"/>
        <w:numPr>
          <w:ilvl w:val="0"/>
          <w:numId w:val="181"/>
        </w:numPr>
        <w:shd w:val="clear" w:color="auto" w:fill="auto"/>
        <w:tabs>
          <w:tab w:pos="842" w:val="left"/>
        </w:tabs>
        <w:bidi w:val="0"/>
        <w:spacing w:before="0" w:after="0" w:line="314" w:lineRule="exact"/>
        <w:ind w:left="0" w:right="0" w:firstLine="440"/>
        <w:jc w:val="left"/>
      </w:pPr>
      <w:bookmarkStart w:id="1900" w:name="bookmark1900"/>
      <w:bookmarkEnd w:id="1900"/>
      <w:r>
        <w:rPr>
          <w:color w:val="000000"/>
          <w:spacing w:val="0"/>
          <w:w w:val="100"/>
          <w:position w:val="0"/>
        </w:rPr>
        <w:t>债务人生产或经营环节出现严重问题，经营成果实际或预期发生显著下降。</w:t>
      </w:r>
    </w:p>
    <w:p>
      <w:pPr>
        <w:pStyle w:val="Style34"/>
        <w:keepNext w:val="0"/>
        <w:keepLines w:val="0"/>
        <w:widowControl w:val="0"/>
        <w:numPr>
          <w:ilvl w:val="0"/>
          <w:numId w:val="181"/>
        </w:numPr>
        <w:shd w:val="clear" w:color="auto" w:fill="auto"/>
        <w:tabs>
          <w:tab w:pos="842" w:val="left"/>
        </w:tabs>
        <w:bidi w:val="0"/>
        <w:spacing w:before="0" w:after="0" w:line="314" w:lineRule="exact"/>
        <w:ind w:left="0" w:right="0" w:firstLine="440"/>
        <w:jc w:val="left"/>
      </w:pPr>
      <w:bookmarkStart w:id="1901" w:name="bookmark1901"/>
      <w:bookmarkEnd w:id="1901"/>
      <w:r>
        <w:rPr>
          <w:color w:val="000000"/>
          <w:spacing w:val="0"/>
          <w:w w:val="100"/>
          <w:position w:val="0"/>
        </w:rPr>
        <w:t>债务人所处的监管、经济或技术环境发生显著不利变化。</w:t>
      </w:r>
    </w:p>
    <w:p>
      <w:pPr>
        <w:pStyle w:val="Style34"/>
        <w:keepNext w:val="0"/>
        <w:keepLines w:val="0"/>
        <w:widowControl w:val="0"/>
        <w:numPr>
          <w:ilvl w:val="0"/>
          <w:numId w:val="181"/>
        </w:numPr>
        <w:shd w:val="clear" w:color="auto" w:fill="auto"/>
        <w:tabs>
          <w:tab w:pos="842" w:val="left"/>
        </w:tabs>
        <w:bidi w:val="0"/>
        <w:spacing w:before="0" w:after="0" w:line="314" w:lineRule="exact"/>
        <w:ind w:left="0" w:right="0" w:firstLine="440"/>
        <w:jc w:val="left"/>
      </w:pPr>
      <w:bookmarkStart w:id="1902" w:name="bookmark1902"/>
      <w:bookmarkEnd w:id="1902"/>
      <w:r>
        <w:rPr>
          <w:color w:val="000000"/>
          <w:spacing w:val="0"/>
          <w:w w:val="100"/>
          <w:position w:val="0"/>
        </w:rPr>
        <w:t>预期将导致债务人履行其偿债义务能力的业务、财务或经济状况发生显著不利变化。</w:t>
      </w:r>
    </w:p>
    <w:p>
      <w:pPr>
        <w:pStyle w:val="Style34"/>
        <w:keepNext w:val="0"/>
        <w:keepLines w:val="0"/>
        <w:widowControl w:val="0"/>
        <w:numPr>
          <w:ilvl w:val="0"/>
          <w:numId w:val="181"/>
        </w:numPr>
        <w:shd w:val="clear" w:color="auto" w:fill="auto"/>
        <w:tabs>
          <w:tab w:pos="842" w:val="left"/>
        </w:tabs>
        <w:bidi w:val="0"/>
        <w:spacing w:before="0" w:after="0" w:line="314" w:lineRule="exact"/>
        <w:ind w:left="0" w:right="0" w:firstLine="440"/>
        <w:jc w:val="left"/>
      </w:pPr>
      <w:bookmarkStart w:id="1903" w:name="bookmark1903"/>
      <w:bookmarkEnd w:id="1903"/>
      <w:r>
        <w:rPr>
          <w:color w:val="000000"/>
          <w:spacing w:val="0"/>
          <w:w w:val="100"/>
          <w:position w:val="0"/>
        </w:rPr>
        <w:t>其他表明金融资产发生信用风险显著增加的客观证据。</w:t>
      </w:r>
    </w:p>
    <w:p>
      <w:pPr>
        <w:pStyle w:val="Style34"/>
        <w:keepNext w:val="0"/>
        <w:keepLines w:val="0"/>
        <w:widowControl w:val="0"/>
        <w:numPr>
          <w:ilvl w:val="0"/>
          <w:numId w:val="179"/>
        </w:numPr>
        <w:shd w:val="clear" w:color="auto" w:fill="auto"/>
        <w:tabs>
          <w:tab w:pos="779" w:val="left"/>
        </w:tabs>
        <w:bidi w:val="0"/>
        <w:spacing w:before="0" w:after="0" w:line="314" w:lineRule="exact"/>
        <w:ind w:left="0" w:right="0" w:firstLine="440"/>
        <w:jc w:val="left"/>
      </w:pPr>
      <w:bookmarkStart w:id="1904" w:name="bookmark1904"/>
      <w:bookmarkEnd w:id="1904"/>
      <w:r>
        <w:rPr>
          <w:color w:val="000000"/>
          <w:spacing w:val="0"/>
          <w:w w:val="100"/>
          <w:position w:val="0"/>
        </w:rPr>
        <w:t>已发生信用减值的依据</w:t>
      </w:r>
    </w:p>
    <w:p>
      <w:pPr>
        <w:pStyle w:val="Style34"/>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本公司评估债务人是否发生信用减值时，主要考虑以下因素：</w:t>
      </w:r>
    </w:p>
    <w:p>
      <w:pPr>
        <w:pStyle w:val="Style34"/>
        <w:keepNext w:val="0"/>
        <w:keepLines w:val="0"/>
        <w:widowControl w:val="0"/>
        <w:numPr>
          <w:ilvl w:val="0"/>
          <w:numId w:val="183"/>
        </w:numPr>
        <w:shd w:val="clear" w:color="auto" w:fill="auto"/>
        <w:tabs>
          <w:tab w:pos="842" w:val="left"/>
        </w:tabs>
        <w:bidi w:val="0"/>
        <w:spacing w:before="0" w:after="0" w:line="314" w:lineRule="exact"/>
        <w:ind w:left="0" w:right="0" w:firstLine="440"/>
        <w:jc w:val="left"/>
      </w:pPr>
      <w:bookmarkStart w:id="1905" w:name="bookmark1905"/>
      <w:bookmarkEnd w:id="1905"/>
      <w:r>
        <w:rPr>
          <w:color w:val="000000"/>
          <w:spacing w:val="0"/>
          <w:w w:val="100"/>
          <w:position w:val="0"/>
        </w:rPr>
        <w:t>发行方或债务人发生重大财务困难。</w:t>
      </w:r>
    </w:p>
    <w:p>
      <w:pPr>
        <w:pStyle w:val="Style34"/>
        <w:keepNext w:val="0"/>
        <w:keepLines w:val="0"/>
        <w:widowControl w:val="0"/>
        <w:numPr>
          <w:ilvl w:val="0"/>
          <w:numId w:val="183"/>
        </w:numPr>
        <w:shd w:val="clear" w:color="auto" w:fill="auto"/>
        <w:tabs>
          <w:tab w:pos="842" w:val="left"/>
        </w:tabs>
        <w:bidi w:val="0"/>
        <w:spacing w:before="0" w:after="0" w:line="314" w:lineRule="exact"/>
        <w:ind w:left="0" w:right="0" w:firstLine="440"/>
        <w:jc w:val="left"/>
      </w:pPr>
      <w:bookmarkStart w:id="1906" w:name="bookmark1906"/>
      <w:bookmarkEnd w:id="1906"/>
      <w:r>
        <w:rPr>
          <w:color w:val="000000"/>
          <w:spacing w:val="0"/>
          <w:w w:val="100"/>
          <w:position w:val="0"/>
        </w:rPr>
        <w:t>债务人违反合同，如偿付利息或本金违约或逾期等。</w:t>
      </w:r>
    </w:p>
    <w:p>
      <w:pPr>
        <w:pStyle w:val="Style34"/>
        <w:keepNext w:val="0"/>
        <w:keepLines w:val="0"/>
        <w:widowControl w:val="0"/>
        <w:numPr>
          <w:ilvl w:val="0"/>
          <w:numId w:val="183"/>
        </w:numPr>
        <w:shd w:val="clear" w:color="auto" w:fill="auto"/>
        <w:tabs>
          <w:tab w:pos="842" w:val="left"/>
        </w:tabs>
        <w:bidi w:val="0"/>
        <w:spacing w:before="0" w:after="0" w:line="314" w:lineRule="exact"/>
        <w:ind w:left="0" w:right="0" w:firstLine="440"/>
        <w:jc w:val="left"/>
      </w:pPr>
      <w:bookmarkStart w:id="1907" w:name="bookmark1907"/>
      <w:bookmarkEnd w:id="1907"/>
      <w:r>
        <w:rPr>
          <w:color w:val="000000"/>
          <w:spacing w:val="0"/>
          <w:w w:val="100"/>
          <w:position w:val="0"/>
        </w:rPr>
        <w:t>债权人出于与债务人财务困难有关的经济或合同考虑，给予债务人在任何其他情况下都不会做出的让步。</w:t>
      </w:r>
    </w:p>
    <w:p>
      <w:pPr>
        <w:pStyle w:val="Style34"/>
        <w:keepNext w:val="0"/>
        <w:keepLines w:val="0"/>
        <w:widowControl w:val="0"/>
        <w:numPr>
          <w:ilvl w:val="0"/>
          <w:numId w:val="183"/>
        </w:numPr>
        <w:shd w:val="clear" w:color="auto" w:fill="auto"/>
        <w:tabs>
          <w:tab w:pos="842" w:val="left"/>
        </w:tabs>
        <w:bidi w:val="0"/>
        <w:spacing w:before="0" w:after="0" w:line="314" w:lineRule="exact"/>
        <w:ind w:left="0" w:right="0" w:firstLine="440"/>
        <w:jc w:val="left"/>
      </w:pPr>
      <w:bookmarkStart w:id="1908" w:name="bookmark1908"/>
      <w:bookmarkEnd w:id="1908"/>
      <w:r>
        <w:rPr>
          <w:color w:val="000000"/>
          <w:spacing w:val="0"/>
          <w:w w:val="100"/>
          <w:position w:val="0"/>
        </w:rPr>
        <w:t>债务人很可能破产或进行其他财务重组。</w:t>
      </w:r>
    </w:p>
    <w:p>
      <w:pPr>
        <w:pStyle w:val="Style34"/>
        <w:keepNext w:val="0"/>
        <w:keepLines w:val="0"/>
        <w:widowControl w:val="0"/>
        <w:numPr>
          <w:ilvl w:val="0"/>
          <w:numId w:val="183"/>
        </w:numPr>
        <w:shd w:val="clear" w:color="auto" w:fill="auto"/>
        <w:tabs>
          <w:tab w:pos="842" w:val="left"/>
        </w:tabs>
        <w:bidi w:val="0"/>
        <w:spacing w:before="0" w:after="0" w:line="314" w:lineRule="exact"/>
        <w:ind w:left="0" w:right="0" w:firstLine="440"/>
        <w:jc w:val="left"/>
      </w:pPr>
      <w:bookmarkStart w:id="1909" w:name="bookmark1909"/>
      <w:bookmarkEnd w:id="1909"/>
      <w:r>
        <w:rPr>
          <w:color w:val="000000"/>
          <w:spacing w:val="0"/>
          <w:w w:val="100"/>
          <w:position w:val="0"/>
        </w:rPr>
        <w:t>发行方或债务人财务困难导致该金融资产的活跃市场消失。</w:t>
      </w:r>
    </w:p>
    <w:p>
      <w:pPr>
        <w:pStyle w:val="Style34"/>
        <w:keepNext w:val="0"/>
        <w:keepLines w:val="0"/>
        <w:widowControl w:val="0"/>
        <w:numPr>
          <w:ilvl w:val="0"/>
          <w:numId w:val="183"/>
        </w:numPr>
        <w:shd w:val="clear" w:color="auto" w:fill="auto"/>
        <w:tabs>
          <w:tab w:pos="842" w:val="left"/>
        </w:tabs>
        <w:bidi w:val="0"/>
        <w:spacing w:before="0" w:after="0" w:line="314" w:lineRule="exact"/>
        <w:ind w:left="0" w:right="0" w:firstLine="440"/>
        <w:jc w:val="left"/>
      </w:pPr>
      <w:bookmarkStart w:id="1910" w:name="bookmark1910"/>
      <w:bookmarkEnd w:id="1910"/>
      <w:r>
        <w:rPr>
          <w:color w:val="000000"/>
          <w:spacing w:val="0"/>
          <w:w w:val="100"/>
          <w:position w:val="0"/>
        </w:rPr>
        <w:t>以大幅折扣购买或源生一项金融资产，该折扣反映了发生信用损失的事实。</w:t>
      </w:r>
    </w:p>
    <w:p>
      <w:pPr>
        <w:pStyle w:val="Style34"/>
        <w:keepNext w:val="0"/>
        <w:keepLines w:val="0"/>
        <w:widowControl w:val="0"/>
        <w:numPr>
          <w:ilvl w:val="0"/>
          <w:numId w:val="179"/>
        </w:numPr>
        <w:shd w:val="clear" w:color="auto" w:fill="auto"/>
        <w:tabs>
          <w:tab w:pos="779" w:val="left"/>
        </w:tabs>
        <w:bidi w:val="0"/>
        <w:spacing w:before="0" w:after="0" w:line="314" w:lineRule="exact"/>
        <w:ind w:left="0" w:right="0" w:firstLine="440"/>
        <w:jc w:val="left"/>
      </w:pPr>
      <w:bookmarkStart w:id="1911" w:name="bookmark1911"/>
      <w:bookmarkEnd w:id="1911"/>
      <w:r>
        <w:rPr>
          <w:color w:val="000000"/>
          <w:spacing w:val="0"/>
          <w:w w:val="100"/>
          <w:position w:val="0"/>
        </w:rPr>
        <w:t>预期信用损失计量的参数</w:t>
      </w:r>
    </w:p>
    <w:p>
      <w:pPr>
        <w:pStyle w:val="Style34"/>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rPr>
        <w:t>12</w:t>
      </w:r>
      <w:r>
        <w:rPr>
          <w:color w:val="000000"/>
          <w:spacing w:val="0"/>
          <w:w w:val="100"/>
          <w:position w:val="0"/>
        </w:rPr>
        <w:t>个月或整个存续期的预期 信用损失计量损失准备。预期信用损失计量的关键参数包括违约概率、违约损失率和违约风险敞口。本公司考虑历史统计数 据的定量分析及前瞻性信息，建立违约概率、违约损失率及违约风险敞口模型。相关定义如下：</w:t>
      </w:r>
    </w:p>
    <w:p>
      <w:pPr>
        <w:pStyle w:val="Style34"/>
        <w:keepNext w:val="0"/>
        <w:keepLines w:val="0"/>
        <w:widowControl w:val="0"/>
        <w:numPr>
          <w:ilvl w:val="0"/>
          <w:numId w:val="185"/>
        </w:numPr>
        <w:shd w:val="clear" w:color="auto" w:fill="auto"/>
        <w:tabs>
          <w:tab w:pos="842" w:val="left"/>
        </w:tabs>
        <w:bidi w:val="0"/>
        <w:spacing w:before="0" w:after="0" w:line="314" w:lineRule="exact"/>
        <w:ind w:left="0" w:right="0" w:firstLine="440"/>
        <w:jc w:val="left"/>
      </w:pPr>
      <w:bookmarkStart w:id="1912" w:name="bookmark1912"/>
      <w:bookmarkEnd w:id="1912"/>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个月或在整个剩余存续期，无法履行其偿付义务的可能性。</w:t>
      </w:r>
    </w:p>
    <w:p>
      <w:pPr>
        <w:pStyle w:val="Style34"/>
        <w:keepNext w:val="0"/>
        <w:keepLines w:val="0"/>
        <w:widowControl w:val="0"/>
        <w:numPr>
          <w:ilvl w:val="0"/>
          <w:numId w:val="185"/>
        </w:numPr>
        <w:shd w:val="clear" w:color="auto" w:fill="auto"/>
        <w:tabs>
          <w:tab w:pos="842" w:val="left"/>
        </w:tabs>
        <w:bidi w:val="0"/>
        <w:spacing w:before="0" w:after="0" w:line="314" w:lineRule="exact"/>
        <w:ind w:left="0" w:right="0" w:firstLine="440"/>
        <w:jc w:val="left"/>
      </w:pPr>
      <w:bookmarkStart w:id="1913" w:name="bookmark1913"/>
      <w:bookmarkEnd w:id="1913"/>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个月或在整个剩余存续期中，在违约发生时，本公司应被偿付的金额。</w:t>
      </w:r>
    </w:p>
    <w:p>
      <w:pPr>
        <w:pStyle w:val="Style34"/>
        <w:keepNext w:val="0"/>
        <w:keepLines w:val="0"/>
        <w:widowControl w:val="0"/>
        <w:numPr>
          <w:ilvl w:val="0"/>
          <w:numId w:val="185"/>
        </w:numPr>
        <w:shd w:val="clear" w:color="auto" w:fill="auto"/>
        <w:tabs>
          <w:tab w:pos="819" w:val="left"/>
        </w:tabs>
        <w:bidi w:val="0"/>
        <w:spacing w:before="0" w:after="0" w:line="314" w:lineRule="exact"/>
        <w:ind w:left="0" w:right="0" w:firstLine="440"/>
        <w:jc w:val="left"/>
      </w:pPr>
      <w:bookmarkStart w:id="1914" w:name="bookmark1914"/>
      <w:bookmarkEnd w:id="1914"/>
      <w:r>
        <w:rPr>
          <w:color w:val="000000"/>
          <w:spacing w:val="0"/>
          <w:w w:val="100"/>
          <w:position w:val="0"/>
        </w:rPr>
        <w:t>违约损失率是指本公司对违约敞口发生损失程度作出的预期。根据交易对手的类型、追索的方式和优先级，以及担 保物或其他信用支持的可获得性不同，违约损失率也有所不同。</w:t>
      </w:r>
    </w:p>
    <w:p>
      <w:pPr>
        <w:pStyle w:val="Style34"/>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本公司通过预计未来各月份中单个敞口或资产组合的违约概率、违约损失率和违约风险敞口，来确定预期信用损失。 本报告期内，预期信用损失估计技术或关键假设未发生重大变化。</w:t>
      </w:r>
    </w:p>
    <w:p>
      <w:pPr>
        <w:pStyle w:val="Style34"/>
        <w:keepNext w:val="0"/>
        <w:keepLines w:val="0"/>
        <w:widowControl w:val="0"/>
        <w:numPr>
          <w:ilvl w:val="0"/>
          <w:numId w:val="179"/>
        </w:numPr>
        <w:shd w:val="clear" w:color="auto" w:fill="auto"/>
        <w:tabs>
          <w:tab w:pos="779" w:val="left"/>
        </w:tabs>
        <w:bidi w:val="0"/>
        <w:spacing w:before="0" w:after="0" w:line="314" w:lineRule="exact"/>
        <w:ind w:left="0" w:right="0" w:firstLine="440"/>
        <w:jc w:val="left"/>
      </w:pPr>
      <w:bookmarkStart w:id="1915" w:name="bookmark1915"/>
      <w:bookmarkEnd w:id="1915"/>
      <w:r>
        <w:rPr>
          <w:color w:val="000000"/>
          <w:spacing w:val="0"/>
          <w:w w:val="100"/>
          <w:position w:val="0"/>
        </w:rPr>
        <w:t>预期信用损失模型中包括的前瞻性信息</w:t>
      </w:r>
    </w:p>
    <w:p>
      <w:pPr>
        <w:pStyle w:val="Style34"/>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信用风险显著增加的评估及预期信用损失的计算均涉及前瞻性信息。本公司通过历史数据分析，识别出影响各资产组 合的信用风险及预期信用损失的相关信息，如</w:t>
      </w:r>
      <w:r>
        <w:rPr>
          <w:rFonts w:ascii="Times New Roman" w:eastAsia="Times New Roman" w:hAnsi="Times New Roman" w:cs="Times New Roman"/>
          <w:color w:val="000000"/>
          <w:spacing w:val="0"/>
          <w:w w:val="100"/>
          <w:position w:val="0"/>
        </w:rPr>
        <w:t>GDP</w:t>
      </w:r>
      <w:r>
        <w:rPr>
          <w:color w:val="000000"/>
          <w:spacing w:val="0"/>
          <w:w w:val="100"/>
          <w:position w:val="0"/>
        </w:rPr>
        <w:t>增速等宏观经济状况，所处行业周期阶段等行业发展状况等。本公司在考 虑公司未来销售策略或信用政策的变化的基础上来预测这些信息对违约概率和违约损失率的影响。</w:t>
      </w:r>
    </w:p>
    <w:p>
      <w:pPr>
        <w:pStyle w:val="Style34"/>
        <w:keepNext w:val="0"/>
        <w:keepLines w:val="0"/>
        <w:widowControl w:val="0"/>
        <w:numPr>
          <w:ilvl w:val="0"/>
          <w:numId w:val="187"/>
        </w:numPr>
        <w:shd w:val="clear" w:color="auto" w:fill="auto"/>
        <w:tabs>
          <w:tab w:pos="933" w:val="left"/>
        </w:tabs>
        <w:bidi w:val="0"/>
        <w:spacing w:before="0" w:after="0" w:line="314" w:lineRule="exact"/>
        <w:ind w:left="0" w:right="0" w:firstLine="440"/>
        <w:jc w:val="both"/>
      </w:pPr>
      <w:bookmarkStart w:id="1916" w:name="bookmark1916"/>
      <w:bookmarkEnd w:id="1916"/>
      <w:r>
        <w:rPr>
          <w:color w:val="000000"/>
          <w:spacing w:val="0"/>
          <w:w w:val="100"/>
          <w:position w:val="0"/>
        </w:rPr>
        <w:t>流动风险</w:t>
      </w:r>
    </w:p>
    <w:p>
      <w:pPr>
        <w:pStyle w:val="Style34"/>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流动风险，是指企业在履行以交付现金或其他金融资产的方式结算的义务时发生资金短缺的风险。流动性风险由本公 司的财务部门集中控制。财务部门通过监控现金余额、可随时变现的有价证券以及对未来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 公司在所有合理预测的情况下拥有充足的资金偿还债务，满足本公司经营需要，并降低现金流量波动的影响。</w:t>
      </w:r>
    </w:p>
    <w:p>
      <w:pPr>
        <w:pStyle w:val="Style34"/>
        <w:keepNext w:val="0"/>
        <w:keepLines w:val="0"/>
        <w:widowControl w:val="0"/>
        <w:numPr>
          <w:ilvl w:val="0"/>
          <w:numId w:val="187"/>
        </w:numPr>
        <w:shd w:val="clear" w:color="auto" w:fill="auto"/>
        <w:tabs>
          <w:tab w:pos="933" w:val="left"/>
        </w:tabs>
        <w:bidi w:val="0"/>
        <w:spacing w:before="0" w:after="0" w:line="309" w:lineRule="exact"/>
        <w:ind w:left="0" w:right="0" w:firstLine="440"/>
        <w:jc w:val="both"/>
      </w:pPr>
      <w:bookmarkStart w:id="1917" w:name="bookmark1917"/>
      <w:bookmarkEnd w:id="1917"/>
      <w:r>
        <w:rPr>
          <w:color w:val="000000"/>
          <w:spacing w:val="0"/>
          <w:w w:val="100"/>
          <w:position w:val="0"/>
        </w:rPr>
        <w:t>资本管理</w:t>
      </w:r>
    </w:p>
    <w:p>
      <w:pPr>
        <w:pStyle w:val="Style34"/>
        <w:keepNext w:val="0"/>
        <w:keepLines w:val="0"/>
        <w:widowControl w:val="0"/>
        <w:shd w:val="clear" w:color="auto" w:fill="auto"/>
        <w:tabs>
          <w:tab w:pos="4640" w:val="left"/>
        </w:tabs>
        <w:bidi w:val="0"/>
        <w:spacing w:before="0" w:after="0" w:line="309" w:lineRule="exact"/>
        <w:ind w:left="0" w:right="0" w:firstLine="440"/>
        <w:jc w:val="both"/>
      </w:pPr>
      <w:r>
        <w:rPr>
          <w:color w:val="000000"/>
          <w:spacing w:val="0"/>
          <w:w w:val="100"/>
          <w:position w:val="0"/>
        </w:rPr>
        <w:t>本公司资本管理政策的目标是为了保障本公司能够持续经营，从而为股东提供回报，并使其他利益相关者获益，同时 维持最佳的资本结构以降低资本成本。为了维持或调整资本结构，本公司可能会调整支付给股东的股利金额、向股东返还资 本、发行新股或出售资产以减低债务。本公司以资产负债率</w:t>
      </w:r>
      <w:r>
        <w:rPr>
          <w:rFonts w:ascii="Times New Roman" w:eastAsia="Times New Roman" w:hAnsi="Times New Roman" w:cs="Times New Roman"/>
          <w:color w:val="000000"/>
          <w:spacing w:val="0"/>
          <w:w w:val="100"/>
          <w:position w:val="0"/>
        </w:rPr>
        <w:t>(</w:t>
      </w:r>
      <w:r>
        <w:rPr>
          <w:color w:val="000000"/>
          <w:spacing w:val="0"/>
          <w:w w:val="100"/>
          <w:position w:val="0"/>
        </w:rPr>
        <w:t>即总负债除以总资产</w:t>
      </w:r>
      <w:r>
        <w:rPr>
          <w:rFonts w:ascii="Times New Roman" w:eastAsia="Times New Roman" w:hAnsi="Times New Roman" w:cs="Times New Roman"/>
          <w:color w:val="000000"/>
          <w:spacing w:val="0"/>
          <w:w w:val="100"/>
          <w:position w:val="0"/>
        </w:rPr>
        <w:t>)</w:t>
      </w:r>
      <w:r>
        <w:rPr>
          <w:color w:val="000000"/>
          <w:spacing w:val="0"/>
          <w:w w:val="100"/>
          <w:position w:val="0"/>
        </w:rPr>
        <w:t>为基础对资本结构进行监控。于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日，本公司的资产负债率为</w:t>
      </w:r>
      <w:r>
        <w:rPr>
          <w:rFonts w:ascii="Times New Roman" w:eastAsia="Times New Roman" w:hAnsi="Times New Roman" w:cs="Times New Roman"/>
          <w:color w:val="000000"/>
          <w:spacing w:val="0"/>
          <w:w w:val="100"/>
          <w:position w:val="0"/>
        </w:rPr>
        <w:t>70.01%(2019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tab/>
      </w:r>
      <w:r>
        <w:rPr>
          <w:rFonts w:ascii="Times New Roman" w:eastAsia="Times New Roman" w:hAnsi="Times New Roman" w:cs="Times New Roman"/>
          <w:color w:val="000000"/>
          <w:spacing w:val="0"/>
          <w:w w:val="100"/>
          <w:position w:val="0"/>
        </w:rPr>
        <w:t>43.84%)</w:t>
      </w:r>
      <w:r>
        <w:rPr>
          <w:color w:val="000000"/>
          <w:spacing w:val="0"/>
          <w:w w:val="100"/>
          <w:position w:val="0"/>
        </w:rPr>
        <w:t>。</w:t>
      </w:r>
    </w:p>
    <w:p>
      <w:pPr>
        <w:pStyle w:val="Style17"/>
        <w:keepNext/>
        <w:keepLines/>
        <w:widowControl w:val="0"/>
        <w:shd w:val="clear" w:color="auto" w:fill="auto"/>
        <w:bidi w:val="0"/>
        <w:spacing w:before="0" w:after="360" w:line="240" w:lineRule="auto"/>
        <w:ind w:left="0" w:right="0" w:firstLine="0"/>
        <w:jc w:val="left"/>
      </w:pPr>
      <w:bookmarkStart w:id="1918" w:name="bookmark1918"/>
      <w:bookmarkStart w:id="1919" w:name="bookmark1919"/>
      <w:bookmarkStart w:id="1920" w:name="bookmark1920"/>
      <w:r>
        <w:rPr>
          <w:color w:val="000000"/>
          <w:spacing w:val="0"/>
          <w:w w:val="100"/>
          <w:position w:val="0"/>
          <w:sz w:val="24"/>
          <w:szCs w:val="24"/>
        </w:rPr>
        <w:t>十一、公允价值的披露</w:t>
      </w:r>
      <w:bookmarkEnd w:id="1918"/>
      <w:bookmarkEnd w:id="1919"/>
      <w:bookmarkEnd w:id="1920"/>
    </w:p>
    <w:p>
      <w:pPr>
        <w:pStyle w:val="Style6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2,467,543.25</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62"/>
        <w:keepNext w:val="0"/>
        <w:keepLines w:val="0"/>
        <w:widowControl w:val="0"/>
        <w:shd w:val="clear" w:color="auto" w:fill="auto"/>
        <w:tabs>
          <w:tab w:pos="378" w:val="left"/>
        </w:tabs>
        <w:bidi w:val="0"/>
        <w:spacing w:before="0" w:after="300" w:line="312" w:lineRule="exact"/>
        <w:ind w:left="0" w:right="0" w:firstLine="0"/>
        <w:jc w:val="left"/>
      </w:pPr>
      <w:bookmarkStart w:id="1921" w:name="bookmark1921"/>
      <w:r>
        <w:rPr>
          <w:rFonts w:ascii="Times New Roman" w:eastAsia="Times New Roman" w:hAnsi="Times New Roman" w:cs="Times New Roman"/>
          <w:color w:val="000000"/>
          <w:spacing w:val="0"/>
          <w:w w:val="100"/>
          <w:position w:val="0"/>
        </w:rPr>
        <w:t>2</w:t>
      </w:r>
      <w:bookmarkEnd w:id="1921"/>
      <w:r>
        <w:rPr>
          <w:color w:val="000000"/>
          <w:spacing w:val="0"/>
          <w:w w:val="100"/>
          <w:position w:val="0"/>
        </w:rPr>
        <w:t>、</w:t>
        <w:tab/>
        <w:t>持续和非持续第一层次公允价值计量项目市价的确定依据</w:t>
      </w:r>
    </w:p>
    <w:p>
      <w:pPr>
        <w:pStyle w:val="Style62"/>
        <w:keepNext w:val="0"/>
        <w:keepLines w:val="0"/>
        <w:widowControl w:val="0"/>
        <w:shd w:val="clear" w:color="auto" w:fill="auto"/>
        <w:tabs>
          <w:tab w:pos="378" w:val="left"/>
        </w:tabs>
        <w:bidi w:val="0"/>
        <w:spacing w:before="0" w:after="300" w:line="312" w:lineRule="exact"/>
        <w:ind w:left="0" w:right="0" w:firstLine="0"/>
        <w:jc w:val="left"/>
      </w:pPr>
      <w:bookmarkStart w:id="1922" w:name="bookmark1922"/>
      <w:r>
        <w:rPr>
          <w:rFonts w:ascii="Times New Roman" w:eastAsia="Times New Roman" w:hAnsi="Times New Roman" w:cs="Times New Roman"/>
          <w:color w:val="000000"/>
          <w:spacing w:val="0"/>
          <w:w w:val="100"/>
          <w:position w:val="0"/>
        </w:rPr>
        <w:t>3</w:t>
      </w:r>
      <w:bookmarkEnd w:id="1922"/>
      <w:r>
        <w:rPr>
          <w:color w:val="000000"/>
          <w:spacing w:val="0"/>
          <w:w w:val="100"/>
          <w:position w:val="0"/>
        </w:rPr>
        <w:t>、</w:t>
        <w:tab/>
        <w:t>持续和非持续第二层次公允价值计量项目，采用的估值技术和重要参数的定性及定量信息</w:t>
      </w:r>
    </w:p>
    <w:p>
      <w:pPr>
        <w:pStyle w:val="Style62"/>
        <w:keepNext w:val="0"/>
        <w:keepLines w:val="0"/>
        <w:widowControl w:val="0"/>
        <w:shd w:val="clear" w:color="auto" w:fill="auto"/>
        <w:tabs>
          <w:tab w:pos="378" w:val="left"/>
        </w:tabs>
        <w:bidi w:val="0"/>
        <w:spacing w:before="0" w:after="300" w:line="312" w:lineRule="exact"/>
        <w:ind w:left="0" w:right="0" w:firstLine="0"/>
        <w:jc w:val="left"/>
      </w:pPr>
      <w:bookmarkStart w:id="1923" w:name="bookmark1923"/>
      <w:r>
        <w:rPr>
          <w:rFonts w:ascii="Times New Roman" w:eastAsia="Times New Roman" w:hAnsi="Times New Roman" w:cs="Times New Roman"/>
          <w:color w:val="000000"/>
          <w:spacing w:val="0"/>
          <w:w w:val="100"/>
          <w:position w:val="0"/>
        </w:rPr>
        <w:t>4</w:t>
      </w:r>
      <w:bookmarkEnd w:id="1923"/>
      <w:r>
        <w:rPr>
          <w:color w:val="000000"/>
          <w:spacing w:val="0"/>
          <w:w w:val="100"/>
          <w:position w:val="0"/>
        </w:rPr>
        <w:t>、</w:t>
        <w:tab/>
        <w:t>持续和非持续第三层次公允价值计量项目，采用的估值技术和重要参数的定性及定量信息</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对于不在活跃市场上交易的其他权益工具投资中的盈行金融信息技术</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有限公司，采用估值技术确定其公允价值。 所使用的估值模型主为现金流量折现模型。估值技术的输入值主要包括预期收益、折现率或资本化率等。</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对于不在活跃市场上交易的其他权益工具投资中的北京伟达助云企业管理中心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 xml:space="preserve">、北京伟达聚才企业管理中心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由于公司持有被投资单位股权较低，无重大影响，对被投资公司股权采用收益法或者市场法进行估值不切实可行, 且近期内被投资单位并无引入外部投资者、股东之间转让股权等可作为确定公允价值的参考依据，此外，公司从可获取的相 关信息分析，未发现被投资单位内外部环境自年初以来已发生重大变化，因此属于可用账面成本作为公允价值最佳估计的</w:t>
      </w:r>
      <w:r>
        <w:rPr>
          <w:rFonts w:ascii="Times New Roman" w:eastAsia="Times New Roman" w:hAnsi="Times New Roman" w:cs="Times New Roman"/>
          <w:color w:val="000000"/>
          <w:spacing w:val="0"/>
          <w:w w:val="100"/>
          <w:position w:val="0"/>
        </w:rPr>
        <w:t>“</w:t>
      </w:r>
      <w:r>
        <w:rPr>
          <w:color w:val="000000"/>
          <w:spacing w:val="0"/>
          <w:w w:val="100"/>
          <w:position w:val="0"/>
        </w:rPr>
        <w:t>有 限情况</w:t>
      </w:r>
      <w:r>
        <w:rPr>
          <w:rFonts w:ascii="Times New Roman" w:eastAsia="Times New Roman" w:hAnsi="Times New Roman" w:cs="Times New Roman"/>
          <w:color w:val="000000"/>
          <w:spacing w:val="0"/>
          <w:w w:val="100"/>
          <w:position w:val="0"/>
        </w:rPr>
        <w:t>”</w:t>
      </w:r>
      <w:r>
        <w:rPr>
          <w:color w:val="000000"/>
          <w:spacing w:val="0"/>
          <w:w w:val="100"/>
          <w:position w:val="0"/>
        </w:rPr>
        <w:t>，因此年末以成本作为公允价值。</w:t>
      </w:r>
    </w:p>
    <w:p>
      <w:pPr>
        <w:pStyle w:val="Style34"/>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对于不在活跃市场上交易的超额业绩奖励款</w:t>
      </w:r>
      <w:r>
        <w:rPr>
          <w:rFonts w:ascii="Times New Roman" w:eastAsia="Times New Roman" w:hAnsi="Times New Roman" w:cs="Times New Roman"/>
          <w:color w:val="000000"/>
          <w:spacing w:val="0"/>
          <w:w w:val="100"/>
          <w:position w:val="0"/>
        </w:rPr>
        <w:t>,</w:t>
      </w:r>
      <w:r>
        <w:rPr>
          <w:color w:val="000000"/>
          <w:spacing w:val="0"/>
          <w:w w:val="100"/>
          <w:position w:val="0"/>
        </w:rPr>
        <w:t>由于公司按照账面金额支付款项，因此属于可用账面金额作为公允价值最 佳估计的</w:t>
      </w:r>
      <w:r>
        <w:rPr>
          <w:rFonts w:ascii="Times New Roman" w:eastAsia="Times New Roman" w:hAnsi="Times New Roman" w:cs="Times New Roman"/>
          <w:color w:val="000000"/>
          <w:spacing w:val="0"/>
          <w:w w:val="100"/>
          <w:position w:val="0"/>
        </w:rPr>
        <w:t>“</w:t>
      </w:r>
      <w:r>
        <w:rPr>
          <w:color w:val="000000"/>
          <w:spacing w:val="0"/>
          <w:w w:val="100"/>
          <w:position w:val="0"/>
        </w:rPr>
        <w:t>有限情况</w:t>
      </w:r>
      <w:r>
        <w:rPr>
          <w:rFonts w:ascii="Times New Roman" w:eastAsia="Times New Roman" w:hAnsi="Times New Roman" w:cs="Times New Roman"/>
          <w:color w:val="000000"/>
          <w:spacing w:val="0"/>
          <w:w w:val="100"/>
          <w:position w:val="0"/>
        </w:rPr>
        <w:t>”</w:t>
      </w:r>
      <w:r>
        <w:rPr>
          <w:color w:val="000000"/>
          <w:spacing w:val="0"/>
          <w:w w:val="100"/>
          <w:position w:val="0"/>
        </w:rPr>
        <w:t>，因此年末以协议约定价格作为公允价值。</w:t>
      </w:r>
    </w:p>
    <w:p>
      <w:pPr>
        <w:pStyle w:val="Style62"/>
        <w:keepNext w:val="0"/>
        <w:keepLines w:val="0"/>
        <w:widowControl w:val="0"/>
        <w:shd w:val="clear" w:color="auto" w:fill="auto"/>
        <w:tabs>
          <w:tab w:pos="378" w:val="left"/>
        </w:tabs>
        <w:bidi w:val="0"/>
        <w:spacing w:before="0" w:after="300" w:line="312" w:lineRule="exact"/>
        <w:ind w:left="0" w:right="0" w:firstLine="0"/>
        <w:jc w:val="left"/>
      </w:pPr>
      <w:bookmarkStart w:id="1924" w:name="bookmark1924"/>
      <w:r>
        <w:rPr>
          <w:rFonts w:ascii="Times New Roman" w:eastAsia="Times New Roman" w:hAnsi="Times New Roman" w:cs="Times New Roman"/>
          <w:color w:val="000000"/>
          <w:spacing w:val="0"/>
          <w:w w:val="100"/>
          <w:position w:val="0"/>
        </w:rPr>
        <w:t>5</w:t>
      </w:r>
      <w:bookmarkEnd w:id="1924"/>
      <w:r>
        <w:rPr>
          <w:color w:val="000000"/>
          <w:spacing w:val="0"/>
          <w:w w:val="100"/>
          <w:position w:val="0"/>
        </w:rPr>
        <w:t>、</w:t>
        <w:tab/>
        <w:t>持续的第三层次公允价值计量项目，期初与期末账面价值间的调节信息及不可观察参数敏感性分析</w:t>
      </w:r>
    </w:p>
    <w:p>
      <w:pPr>
        <w:pStyle w:val="Style62"/>
        <w:keepNext w:val="0"/>
        <w:keepLines w:val="0"/>
        <w:widowControl w:val="0"/>
        <w:shd w:val="clear" w:color="auto" w:fill="auto"/>
        <w:tabs>
          <w:tab w:pos="378" w:val="left"/>
        </w:tabs>
        <w:bidi w:val="0"/>
        <w:spacing w:before="0" w:after="300" w:line="312" w:lineRule="exact"/>
        <w:ind w:left="0" w:right="0" w:firstLine="0"/>
        <w:jc w:val="left"/>
      </w:pPr>
      <w:bookmarkStart w:id="1925" w:name="bookmark1925"/>
      <w:r>
        <w:rPr>
          <w:rFonts w:ascii="Times New Roman" w:eastAsia="Times New Roman" w:hAnsi="Times New Roman" w:cs="Times New Roman"/>
          <w:color w:val="000000"/>
          <w:spacing w:val="0"/>
          <w:w w:val="100"/>
          <w:position w:val="0"/>
        </w:rPr>
        <w:t>6</w:t>
      </w:r>
      <w:bookmarkEnd w:id="1925"/>
      <w:r>
        <w:rPr>
          <w:color w:val="000000"/>
          <w:spacing w:val="0"/>
          <w:w w:val="100"/>
          <w:position w:val="0"/>
        </w:rPr>
        <w:t>、</w:t>
        <w:tab/>
        <w:t>持续的公允价值计量项目，本期内发生各层级之间转换的，转换的原因及确定转换时点的政策</w:t>
      </w:r>
    </w:p>
    <w:p>
      <w:pPr>
        <w:pStyle w:val="Style62"/>
        <w:keepNext w:val="0"/>
        <w:keepLines w:val="0"/>
        <w:widowControl w:val="0"/>
        <w:shd w:val="clear" w:color="auto" w:fill="auto"/>
        <w:tabs>
          <w:tab w:pos="378" w:val="left"/>
        </w:tabs>
        <w:bidi w:val="0"/>
        <w:spacing w:before="0" w:after="300" w:line="312" w:lineRule="exact"/>
        <w:ind w:left="0" w:right="0" w:firstLine="0"/>
        <w:jc w:val="left"/>
      </w:pPr>
      <w:bookmarkStart w:id="1926" w:name="bookmark1926"/>
      <w:r>
        <w:rPr>
          <w:rFonts w:ascii="Times New Roman" w:eastAsia="Times New Roman" w:hAnsi="Times New Roman" w:cs="Times New Roman"/>
          <w:color w:val="000000"/>
          <w:spacing w:val="0"/>
          <w:w w:val="100"/>
          <w:position w:val="0"/>
        </w:rPr>
        <w:t>7</w:t>
      </w:r>
      <w:bookmarkEnd w:id="1926"/>
      <w:r>
        <w:rPr>
          <w:color w:val="000000"/>
          <w:spacing w:val="0"/>
          <w:w w:val="100"/>
          <w:position w:val="0"/>
        </w:rPr>
        <w:t>、</w:t>
        <w:tab/>
        <w:t>本期内发生的估值技术变更及变更原因</w:t>
      </w:r>
    </w:p>
    <w:p>
      <w:pPr>
        <w:pStyle w:val="Style62"/>
        <w:keepNext w:val="0"/>
        <w:keepLines w:val="0"/>
        <w:widowControl w:val="0"/>
        <w:shd w:val="clear" w:color="auto" w:fill="auto"/>
        <w:tabs>
          <w:tab w:pos="378" w:val="left"/>
        </w:tabs>
        <w:bidi w:val="0"/>
        <w:spacing w:before="0" w:after="300" w:line="312" w:lineRule="exact"/>
        <w:ind w:left="0" w:right="0" w:firstLine="0"/>
        <w:jc w:val="left"/>
      </w:pPr>
      <w:bookmarkStart w:id="1927" w:name="bookmark1927"/>
      <w:r>
        <w:rPr>
          <w:rFonts w:ascii="Times New Roman" w:eastAsia="Times New Roman" w:hAnsi="Times New Roman" w:cs="Times New Roman"/>
          <w:color w:val="000000"/>
          <w:spacing w:val="0"/>
          <w:w w:val="100"/>
          <w:position w:val="0"/>
        </w:rPr>
        <w:t>8</w:t>
      </w:r>
      <w:bookmarkEnd w:id="1927"/>
      <w:r>
        <w:rPr>
          <w:color w:val="000000"/>
          <w:spacing w:val="0"/>
          <w:w w:val="100"/>
          <w:position w:val="0"/>
        </w:rPr>
        <w:t>、</w:t>
        <w:tab/>
        <w:t>不以公允价值计量的金融资产和金融负债的公允价值情况</w:t>
      </w:r>
    </w:p>
    <w:p>
      <w:pPr>
        <w:pStyle w:val="Style62"/>
        <w:keepNext w:val="0"/>
        <w:keepLines w:val="0"/>
        <w:widowControl w:val="0"/>
        <w:shd w:val="clear" w:color="auto" w:fill="auto"/>
        <w:bidi w:val="0"/>
        <w:spacing w:before="0" w:after="300" w:line="312" w:lineRule="exact"/>
        <w:ind w:left="0" w:right="0" w:firstLine="440"/>
        <w:jc w:val="both"/>
      </w:pPr>
      <w:r>
        <w:rPr>
          <w:b w:val="0"/>
          <w:bCs w:val="0"/>
          <w:color w:val="000000"/>
          <w:spacing w:val="0"/>
          <w:w w:val="100"/>
          <w:position w:val="0"/>
        </w:rPr>
        <w:t>本公司以摊余成本计量的金融资产和金融负债主要包括：货币资金、应收账款、其他应收款、短期借 款、应付票据、应付账款、其他应付款、长期借款、长期应付款等。本公司不以公允价值计量的金融资产 和金融负债的账面价值与公允价值相差很小。</w:t>
      </w:r>
      <w:r>
        <w:br w:type="page"/>
      </w:r>
    </w:p>
    <w:p>
      <w:pPr>
        <w:pStyle w:val="Style38"/>
        <w:keepNext/>
        <w:keepLines/>
        <w:widowControl w:val="0"/>
        <w:shd w:val="clear" w:color="auto" w:fill="auto"/>
        <w:bidi w:val="0"/>
        <w:spacing w:before="0" w:after="340" w:line="240" w:lineRule="auto"/>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9</w:t>
      </w:r>
      <w:bookmarkEnd w:id="1930"/>
      <w:r>
        <w:rPr>
          <w:color w:val="000000"/>
          <w:spacing w:val="0"/>
          <w:w w:val="100"/>
          <w:position w:val="0"/>
        </w:rPr>
        <w:t>、其他</w:t>
      </w:r>
      <w:bookmarkEnd w:id="1928"/>
      <w:bookmarkEnd w:id="1929"/>
      <w:bookmarkEnd w:id="1931"/>
    </w:p>
    <w:p>
      <w:pPr>
        <w:pStyle w:val="Style17"/>
        <w:keepNext/>
        <w:keepLines/>
        <w:widowControl w:val="0"/>
        <w:shd w:val="clear" w:color="auto" w:fill="auto"/>
        <w:bidi w:val="0"/>
        <w:spacing w:before="0" w:after="340" w:line="240" w:lineRule="auto"/>
        <w:ind w:left="0" w:right="0" w:firstLine="0"/>
        <w:jc w:val="left"/>
      </w:pPr>
      <w:bookmarkStart w:id="1932" w:name="bookmark1932"/>
      <w:bookmarkStart w:id="1933" w:name="bookmark1933"/>
      <w:bookmarkStart w:id="1934" w:name="bookmark1934"/>
      <w:r>
        <w:rPr>
          <w:color w:val="000000"/>
          <w:spacing w:val="0"/>
          <w:w w:val="100"/>
          <w:position w:val="0"/>
          <w:sz w:val="24"/>
          <w:szCs w:val="24"/>
        </w:rPr>
        <w:t>十二、关联方及关联交易</w:t>
      </w:r>
      <w:bookmarkEnd w:id="1932"/>
      <w:bookmarkEnd w:id="1933"/>
      <w:bookmarkEnd w:id="1934"/>
    </w:p>
    <w:p>
      <w:pPr>
        <w:pStyle w:val="Style38"/>
        <w:keepNext/>
        <w:keepLines/>
        <w:widowControl w:val="0"/>
        <w:shd w:val="clear" w:color="auto" w:fill="auto"/>
        <w:bidi w:val="0"/>
        <w:spacing w:before="0" w:after="340" w:line="240" w:lineRule="auto"/>
        <w:ind w:left="0" w:right="0" w:firstLine="0"/>
        <w:jc w:val="left"/>
      </w:pPr>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35"/>
      <w:bookmarkEnd w:id="1936"/>
      <w:bookmarkEnd w:id="1937"/>
    </w:p>
    <w:tbl>
      <w:tblPr>
        <w:tblOverlap w:val="never"/>
        <w:jc w:val="left"/>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鹰潭市鹰高投资咨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江西省鹰潭市</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4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本企业最终控制方是于伟。</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本公司的最终控制方为自然人于伟，于伟通过鹰潭市鹰高投资咨询有限公司间接持有本公司</w:t>
      </w:r>
      <w:r>
        <w:rPr>
          <w:rFonts w:ascii="Times New Roman" w:eastAsia="Times New Roman" w:hAnsi="Times New Roman" w:cs="Times New Roman"/>
          <w:color w:val="000000"/>
          <w:spacing w:val="0"/>
          <w:w w:val="100"/>
          <w:position w:val="0"/>
        </w:rPr>
        <w:t>23.25%</w:t>
      </w:r>
      <w:r>
        <w:rPr>
          <w:color w:val="000000"/>
          <w:spacing w:val="0"/>
          <w:w w:val="100"/>
          <w:position w:val="0"/>
        </w:rPr>
        <w:t>股份。</w:t>
      </w:r>
    </w:p>
    <w:p>
      <w:pPr>
        <w:pStyle w:val="Style38"/>
        <w:keepNext/>
        <w:keepLines/>
        <w:widowControl w:val="0"/>
        <w:shd w:val="clear" w:color="auto" w:fill="auto"/>
        <w:tabs>
          <w:tab w:pos="378" w:val="left"/>
        </w:tabs>
        <w:bidi w:val="0"/>
        <w:spacing w:before="0" w:after="34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2</w:t>
      </w:r>
      <w:bookmarkEnd w:id="1940"/>
      <w:r>
        <w:rPr>
          <w:color w:val="000000"/>
          <w:spacing w:val="0"/>
          <w:w w:val="100"/>
          <w:position w:val="0"/>
        </w:rPr>
        <w:t>、</w:t>
        <w:tab/>
        <w:t>本企业的子公司情况</w:t>
      </w:r>
      <w:bookmarkEnd w:id="1938"/>
      <w:bookmarkEnd w:id="1939"/>
      <w:bookmarkEnd w:id="1941"/>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本企业子公司的情况详见附注七</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在子公司中的权益七</w:t>
      </w:r>
    </w:p>
    <w:p>
      <w:pPr>
        <w:pStyle w:val="Style38"/>
        <w:keepNext/>
        <w:keepLines/>
        <w:widowControl w:val="0"/>
        <w:shd w:val="clear" w:color="auto" w:fill="auto"/>
        <w:tabs>
          <w:tab w:pos="378" w:val="left"/>
        </w:tabs>
        <w:bidi w:val="0"/>
        <w:spacing w:before="0" w:after="34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3</w:t>
      </w:r>
      <w:bookmarkEnd w:id="1944"/>
      <w:r>
        <w:rPr>
          <w:color w:val="000000"/>
          <w:spacing w:val="0"/>
          <w:w w:val="100"/>
          <w:position w:val="0"/>
        </w:rPr>
        <w:t>、</w:t>
        <w:tab/>
        <w:t>本企业合营和联营企业情况</w:t>
      </w:r>
      <w:bookmarkEnd w:id="1942"/>
      <w:bookmarkEnd w:id="1943"/>
      <w:bookmarkEnd w:id="1945"/>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本企业重要的合营或联营企业详见附注附注九、</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在合营安排或联营企业中的权益匚。</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left"/>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中信科技发展有限公司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北京高伟达保科技有限责任公司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北京数微科技有限公司</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62"/>
        <w:keepNext w:val="0"/>
        <w:keepLines w:val="0"/>
        <w:widowControl w:val="0"/>
        <w:shd w:val="clear" w:color="auto" w:fill="auto"/>
        <w:bidi w:val="0"/>
        <w:spacing w:before="0" w:after="340" w:line="240" w:lineRule="auto"/>
        <w:ind w:left="0" w:right="0" w:firstLine="440"/>
        <w:jc w:val="left"/>
      </w:pPr>
      <w:r>
        <w:rPr>
          <w:b w:val="0"/>
          <w:bCs w:val="0"/>
          <w:color w:val="000000"/>
          <w:spacing w:val="0"/>
          <w:w w:val="100"/>
          <w:position w:val="0"/>
        </w:rPr>
        <w:t>以上</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家联营企业对公司均不具有重要性。</w:t>
      </w:r>
    </w:p>
    <w:p>
      <w:pPr>
        <w:pStyle w:val="Style38"/>
        <w:keepNext/>
        <w:keepLines/>
        <w:widowControl w:val="0"/>
        <w:shd w:val="clear" w:color="auto" w:fill="auto"/>
        <w:bidi w:val="0"/>
        <w:spacing w:before="0" w:after="340" w:line="240" w:lineRule="auto"/>
        <w:ind w:left="0" w:right="0" w:firstLine="0"/>
        <w:jc w:val="both"/>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4</w:t>
      </w:r>
      <w:bookmarkEnd w:id="1948"/>
      <w:r>
        <w:rPr>
          <w:color w:val="000000"/>
          <w:spacing w:val="0"/>
          <w:w w:val="100"/>
          <w:position w:val="0"/>
        </w:rPr>
        <w:t>、其他关联方情况</w:t>
      </w:r>
      <w:bookmarkEnd w:id="1946"/>
      <w:bookmarkEnd w:id="1947"/>
      <w:bookmarkEnd w:id="1949"/>
    </w:p>
    <w:tbl>
      <w:tblPr>
        <w:tblOverlap w:val="never"/>
        <w:jc w:val="left"/>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五莲恒力智信股权投资合伙企业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子公司快读科技之原股东、受子公司快读科技董事长控制的 企业</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海南欢乐坚果信息咨询中心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子公司海南坚果之原股东、受子公司海南坚果董事长控制的 企业</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子公司海南坚果之董事长</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子公司快读科技之董事长</w:t>
            </w:r>
          </w:p>
        </w:tc>
      </w:tr>
    </w:tbl>
    <w:p>
      <w:pPr>
        <w:spacing w:lineRule="exact" w:line="1"/>
        <w:rPr>
          <w:sz w:val="2"/>
          <w:szCs w:val="2"/>
        </w:rPr>
      </w:pPr>
      <w:r>
        <w:br w:type="page"/>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5</w:t>
      </w:r>
      <w:bookmarkEnd w:id="1952"/>
      <w:r>
        <w:rPr>
          <w:color w:val="000000"/>
          <w:spacing w:val="0"/>
          <w:w w:val="100"/>
          <w:position w:val="0"/>
        </w:rPr>
        <w:t>、关联交易情况</w:t>
      </w:r>
      <w:bookmarkEnd w:id="1950"/>
      <w:bookmarkEnd w:id="1951"/>
      <w:bookmarkEnd w:id="1953"/>
    </w:p>
    <w:p>
      <w:pPr>
        <w:pStyle w:val="Style38"/>
        <w:keepNext/>
        <w:keepLines/>
        <w:widowControl w:val="0"/>
        <w:shd w:val="clear" w:color="auto" w:fill="auto"/>
        <w:bidi w:val="0"/>
        <w:spacing w:before="0" w:after="380" w:line="240" w:lineRule="auto"/>
        <w:ind w:left="0" w:right="0" w:firstLine="0"/>
        <w:jc w:val="left"/>
      </w:pPr>
      <w:bookmarkStart w:id="1950" w:name="bookmark1950"/>
      <w:bookmarkStart w:id="1951" w:name="bookmark1951"/>
      <w:bookmarkStart w:id="1954" w:name="bookmark19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50"/>
      <w:bookmarkEnd w:id="1951"/>
      <w:bookmarkEnd w:id="1954"/>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北京高伟达保科技 有限责任公司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21,508,069.61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北京数微科技有限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9,512.92</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21,510,205.61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9,512.92</w:t>
            </w:r>
          </w:p>
        </w:tc>
      </w:tr>
    </w:tbl>
    <w:p>
      <w:pPr>
        <w:pStyle w:val="Style4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中信科技发展有限公司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7,531,146.01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27,425,912.58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北京数微科技有限公司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2,143,972.55</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北京高伟达保科技有限责任公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365,119.06</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7,631,146.01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29,935,004.19</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8"/>
        <w:keepNext/>
        <w:keepLines/>
        <w:widowControl w:val="0"/>
        <w:shd w:val="clear" w:color="auto" w:fill="auto"/>
        <w:bidi w:val="0"/>
        <w:spacing w:before="0" w:after="380" w:line="240" w:lineRule="auto"/>
        <w:ind w:left="0" w:right="0" w:firstLine="0"/>
        <w:jc w:val="left"/>
      </w:pPr>
      <w:bookmarkStart w:id="1955" w:name="bookmark1955"/>
      <w:bookmarkStart w:id="1956" w:name="bookmark1956"/>
      <w:bookmarkStart w:id="1957" w:name="bookmark19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55"/>
      <w:bookmarkEnd w:id="1956"/>
      <w:bookmarkEnd w:id="195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430"/>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8"/>
        <w:keepNext/>
        <w:keepLines/>
        <w:widowControl w:val="0"/>
        <w:shd w:val="clear" w:color="auto" w:fill="auto"/>
        <w:bidi w:val="0"/>
        <w:spacing w:before="0" w:after="380" w:line="240" w:lineRule="auto"/>
        <w:ind w:left="0" w:right="0" w:firstLine="0"/>
        <w:jc w:val="left"/>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58"/>
      <w:bookmarkEnd w:id="1959"/>
      <w:bookmarkEnd w:id="1961"/>
    </w:p>
    <w:p>
      <w:pPr>
        <w:pStyle w:val="Style34"/>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本公司作为出租方:</w:t>
      </w:r>
      <w:r>
        <w:br w:type="page"/>
      </w:r>
    </w:p>
    <w:tbl>
      <w:tblPr>
        <w:tblOverlap w:val="never"/>
        <w:jc w:val="left"/>
        <w:tblLayout w:type="fixed"/>
      </w:tblPr>
      <w:tblGrid>
        <w:gridCol w:w="2424"/>
        <w:gridCol w:w="2390"/>
        <w:gridCol w:w="2395"/>
        <w:gridCol w:w="2496"/>
      </w:tblGrid>
      <w:tr>
        <w:trPr>
          <w:trHeight w:val="691" w:hRule="exact"/>
        </w:trPr>
        <w:tc>
          <w:tcPr>
            <w:gridSpan w:val="4"/>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上期确认的租赁收入</w:t>
            </w:r>
          </w:p>
        </w:tc>
      </w:tr>
      <w:tr>
        <w:trPr>
          <w:trHeight w:val="754"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上期确认的租赁费</w:t>
            </w:r>
          </w:p>
        </w:tc>
      </w:tr>
    </w:tbl>
    <w:p>
      <w:pPr>
        <w:pStyle w:val="Style45"/>
        <w:keepNext w:val="0"/>
        <w:keepLines w:val="0"/>
        <w:widowControl w:val="0"/>
        <w:shd w:val="clear" w:color="auto" w:fill="auto"/>
        <w:bidi w:val="0"/>
        <w:spacing w:before="0" w:after="0" w:line="240" w:lineRule="auto"/>
        <w:ind w:left="14" w:right="0" w:firstLine="0"/>
        <w:jc w:val="left"/>
      </w:pPr>
      <w:r>
        <w:rPr>
          <w:color w:val="000000"/>
          <w:spacing w:val="0"/>
          <w:w w:val="100"/>
          <w:position w:val="0"/>
        </w:rPr>
        <w:t>关联租赁情况说明</w:t>
      </w:r>
    </w:p>
    <w:p>
      <w:pPr>
        <w:widowControl w:val="0"/>
        <w:spacing w:after="359" w:line="1" w:lineRule="exact"/>
      </w:pPr>
    </w:p>
    <w:p>
      <w:pPr>
        <w:pStyle w:val="Style38"/>
        <w:keepNext/>
        <w:keepLines/>
        <w:widowControl w:val="0"/>
        <w:shd w:val="clear" w:color="auto" w:fill="auto"/>
        <w:bidi w:val="0"/>
        <w:spacing w:before="0" w:line="240" w:lineRule="auto"/>
        <w:ind w:left="0" w:right="0" w:firstLine="14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w:t>
      </w:r>
      <w:bookmarkEnd w:id="196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62"/>
      <w:bookmarkEnd w:id="1963"/>
      <w:bookmarkEnd w:id="1965"/>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担保起始日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担保起始日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自然人于伟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自然人于伟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9,878,370.00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自然人于伟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7,225,000.00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自然人于伟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自然人于伟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6,236,000.00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自然人于伟等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自然人于伟等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自然人于伟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自然人于伟、鹰潭市鹰 高投资咨询有限公司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39,600,000.00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自然人于伟、鹰潭市鹰 高投资咨询有限公司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75,000,000.01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4"/>
        <w:keepNext w:val="0"/>
        <w:keepLines w:val="0"/>
        <w:widowControl w:val="0"/>
        <w:shd w:val="clear" w:color="auto" w:fill="auto"/>
        <w:tabs>
          <w:tab w:pos="737" w:val="left"/>
        </w:tabs>
        <w:bidi w:val="0"/>
        <w:spacing w:before="0" w:after="0" w:line="316" w:lineRule="exact"/>
        <w:ind w:left="0" w:right="0" w:firstLine="440"/>
        <w:jc w:val="both"/>
      </w:pPr>
      <w:bookmarkStart w:id="1966" w:name="bookmark1966"/>
      <w:r>
        <w:rPr>
          <w:rFonts w:ascii="Times New Roman" w:eastAsia="Times New Roman" w:hAnsi="Times New Roman" w:cs="Times New Roman"/>
          <w:color w:val="000000"/>
          <w:spacing w:val="0"/>
          <w:w w:val="100"/>
          <w:position w:val="0"/>
        </w:rPr>
        <w:t>1</w:t>
      </w:r>
      <w:bookmarkEnd w:id="1966"/>
      <w:r>
        <w:rPr>
          <w:rFonts w:ascii="Times New Roman" w:eastAsia="Times New Roman" w:hAnsi="Times New Roman" w:cs="Times New Roman"/>
          <w:color w:val="000000"/>
          <w:spacing w:val="0"/>
          <w:w w:val="100"/>
          <w:position w:val="0"/>
        </w:rPr>
        <w:t>）</w:t>
        <w:tab/>
      </w:r>
      <w:r>
        <w:rPr>
          <w:color w:val="000000"/>
          <w:spacing w:val="0"/>
          <w:w w:val="100"/>
          <w:position w:val="0"/>
        </w:rPr>
        <w:t>本公司分别于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日向中国民生银行股份有限公司北京分行借入人民币 </w:t>
      </w:r>
      <w:r>
        <w:rPr>
          <w:rFonts w:ascii="Times New Roman" w:eastAsia="Times New Roman" w:hAnsi="Times New Roman" w:cs="Times New Roman"/>
          <w:color w:val="000000"/>
          <w:spacing w:val="0"/>
          <w:w w:val="100"/>
          <w:position w:val="0"/>
        </w:rPr>
        <w:t>12,000,000.00</w:t>
      </w:r>
      <w:r>
        <w:rPr>
          <w:color w:val="000000"/>
          <w:spacing w:val="0"/>
          <w:w w:val="100"/>
          <w:position w:val="0"/>
        </w:rPr>
        <w:t>元、</w:t>
      </w:r>
      <w:r>
        <w:rPr>
          <w:rFonts w:ascii="Times New Roman" w:eastAsia="Times New Roman" w:hAnsi="Times New Roman" w:cs="Times New Roman"/>
          <w:color w:val="000000"/>
          <w:spacing w:val="0"/>
          <w:w w:val="100"/>
          <w:position w:val="0"/>
        </w:rPr>
        <w:t>9,878,370.00</w:t>
      </w:r>
      <w:r>
        <w:rPr>
          <w:color w:val="000000"/>
          <w:spacing w:val="0"/>
          <w:w w:val="100"/>
          <w:position w:val="0"/>
        </w:rPr>
        <w:t>元、</w:t>
      </w:r>
      <w:r>
        <w:rPr>
          <w:rFonts w:ascii="Times New Roman" w:eastAsia="Times New Roman" w:hAnsi="Times New Roman" w:cs="Times New Roman"/>
          <w:color w:val="000000"/>
          <w:spacing w:val="0"/>
          <w:w w:val="100"/>
          <w:position w:val="0"/>
        </w:rPr>
        <w:t>7,225,000.00</w:t>
      </w:r>
      <w:r>
        <w:rPr>
          <w:color w:val="000000"/>
          <w:spacing w:val="0"/>
          <w:w w:val="100"/>
          <w:position w:val="0"/>
        </w:rPr>
        <w:t>元，由自然人于伟为本公司提供担保。截至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日，款项均尚未到 期还款。</w:t>
      </w:r>
    </w:p>
    <w:p>
      <w:pPr>
        <w:pStyle w:val="Style34"/>
        <w:keepNext w:val="0"/>
        <w:keepLines w:val="0"/>
        <w:widowControl w:val="0"/>
        <w:shd w:val="clear" w:color="auto" w:fill="auto"/>
        <w:tabs>
          <w:tab w:pos="737" w:val="left"/>
        </w:tabs>
        <w:bidi w:val="0"/>
        <w:spacing w:before="0" w:after="0" w:line="316" w:lineRule="exact"/>
        <w:ind w:left="0" w:right="0" w:firstLine="440"/>
        <w:jc w:val="both"/>
      </w:pPr>
      <w:bookmarkStart w:id="1967" w:name="bookmark1967"/>
      <w:r>
        <w:rPr>
          <w:rFonts w:ascii="Times New Roman" w:eastAsia="Times New Roman" w:hAnsi="Times New Roman" w:cs="Times New Roman"/>
          <w:color w:val="000000"/>
          <w:spacing w:val="0"/>
          <w:w w:val="100"/>
          <w:position w:val="0"/>
        </w:rPr>
        <w:t>2</w:t>
      </w:r>
      <w:bookmarkEnd w:id="1967"/>
      <w:r>
        <w:rPr>
          <w:rFonts w:ascii="Times New Roman" w:eastAsia="Times New Roman" w:hAnsi="Times New Roman" w:cs="Times New Roman"/>
          <w:color w:val="000000"/>
          <w:spacing w:val="0"/>
          <w:w w:val="100"/>
          <w:position w:val="0"/>
        </w:rPr>
        <w:t>）</w:t>
        <w:tab/>
      </w:r>
      <w:r>
        <w:rPr>
          <w:color w:val="000000"/>
          <w:spacing w:val="0"/>
          <w:w w:val="100"/>
          <w:position w:val="0"/>
        </w:rPr>
        <w:t>本公司分别于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日向招商银行股份有限公司借入</w:t>
      </w:r>
      <w:r>
        <w:rPr>
          <w:rFonts w:ascii="Times New Roman" w:eastAsia="Times New Roman" w:hAnsi="Times New Roman" w:cs="Times New Roman"/>
          <w:color w:val="000000"/>
          <w:spacing w:val="0"/>
          <w:w w:val="100"/>
          <w:position w:val="0"/>
        </w:rPr>
        <w:t>10,000,000.00</w:t>
      </w:r>
      <w:r>
        <w:rPr>
          <w:color w:val="000000"/>
          <w:spacing w:val="0"/>
          <w:w w:val="100"/>
          <w:position w:val="0"/>
        </w:rPr>
        <w:t>元、</w:t>
      </w:r>
      <w:r>
        <w:rPr>
          <w:rFonts w:ascii="Times New Roman" w:eastAsia="Times New Roman" w:hAnsi="Times New Roman" w:cs="Times New Roman"/>
          <w:color w:val="000000"/>
          <w:spacing w:val="0"/>
          <w:w w:val="100"/>
          <w:position w:val="0"/>
        </w:rPr>
        <w:t>6,236,000.00</w:t>
      </w:r>
      <w:r>
        <w:rPr>
          <w:color w:val="000000"/>
          <w:spacing w:val="0"/>
          <w:w w:val="100"/>
          <w:position w:val="0"/>
        </w:rPr>
        <w:t>元，由自 然人于伟为本公司提供担保。截至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日，款项均尚未到期还款。</w:t>
      </w:r>
    </w:p>
    <w:p>
      <w:pPr>
        <w:pStyle w:val="Style34"/>
        <w:keepNext w:val="0"/>
        <w:keepLines w:val="0"/>
        <w:widowControl w:val="0"/>
        <w:shd w:val="clear" w:color="auto" w:fill="auto"/>
        <w:tabs>
          <w:tab w:pos="747" w:val="left"/>
        </w:tabs>
        <w:bidi w:val="0"/>
        <w:spacing w:before="0" w:after="0" w:line="316" w:lineRule="exact"/>
        <w:ind w:left="0" w:right="0" w:firstLine="440"/>
        <w:jc w:val="both"/>
      </w:pPr>
      <w:bookmarkStart w:id="1968" w:name="bookmark1968"/>
      <w:r>
        <w:rPr>
          <w:rFonts w:ascii="Times New Roman" w:eastAsia="Times New Roman" w:hAnsi="Times New Roman" w:cs="Times New Roman"/>
          <w:color w:val="000000"/>
          <w:spacing w:val="0"/>
          <w:w w:val="100"/>
          <w:position w:val="0"/>
        </w:rPr>
        <w:t>3</w:t>
      </w:r>
      <w:bookmarkEnd w:id="1968"/>
      <w:r>
        <w:rPr>
          <w:rFonts w:ascii="Times New Roman" w:eastAsia="Times New Roman" w:hAnsi="Times New Roman" w:cs="Times New Roman"/>
          <w:color w:val="000000"/>
          <w:spacing w:val="0"/>
          <w:w w:val="100"/>
          <w:position w:val="0"/>
        </w:rPr>
        <w:t>）</w:t>
        <w:tab/>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日向兴业银行股份有限公司北京世纪坛支行借入</w:t>
      </w:r>
      <w:r>
        <w:rPr>
          <w:rFonts w:ascii="Times New Roman" w:eastAsia="Times New Roman" w:hAnsi="Times New Roman" w:cs="Times New Roman"/>
          <w:color w:val="000000"/>
          <w:spacing w:val="0"/>
          <w:w w:val="100"/>
          <w:position w:val="0"/>
        </w:rPr>
        <w:t>45,000,000.00</w:t>
      </w:r>
      <w:r>
        <w:rPr>
          <w:color w:val="000000"/>
          <w:spacing w:val="0"/>
          <w:w w:val="100"/>
          <w:position w:val="0"/>
        </w:rPr>
        <w:t>元，由自然人于伟等为本公司提 供担保。截至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日，款项尚未到期还款。</w:t>
      </w:r>
    </w:p>
    <w:p>
      <w:pPr>
        <w:pStyle w:val="Style34"/>
        <w:keepNext w:val="0"/>
        <w:keepLines w:val="0"/>
        <w:widowControl w:val="0"/>
        <w:shd w:val="clear" w:color="auto" w:fill="auto"/>
        <w:tabs>
          <w:tab w:pos="737" w:val="left"/>
        </w:tabs>
        <w:bidi w:val="0"/>
        <w:spacing w:before="0" w:after="0" w:line="316" w:lineRule="exact"/>
        <w:ind w:left="0" w:right="0" w:firstLine="440"/>
        <w:jc w:val="both"/>
      </w:pPr>
      <w:bookmarkStart w:id="1969" w:name="bookmark1969"/>
      <w:r>
        <w:rPr>
          <w:rFonts w:ascii="Times New Roman" w:eastAsia="Times New Roman" w:hAnsi="Times New Roman" w:cs="Times New Roman"/>
          <w:color w:val="000000"/>
          <w:spacing w:val="0"/>
          <w:w w:val="100"/>
          <w:position w:val="0"/>
        </w:rPr>
        <w:t>4</w:t>
      </w:r>
      <w:bookmarkEnd w:id="1969"/>
      <w:r>
        <w:rPr>
          <w:rFonts w:ascii="Times New Roman" w:eastAsia="Times New Roman" w:hAnsi="Times New Roman" w:cs="Times New Roman"/>
          <w:color w:val="000000"/>
          <w:spacing w:val="0"/>
          <w:w w:val="100"/>
          <w:position w:val="0"/>
        </w:rPr>
        <w:t>）</w:t>
        <w:tab/>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日向中国建设银行股份有限公司北京安慧支行借入</w:t>
      </w:r>
      <w:r>
        <w:rPr>
          <w:rFonts w:ascii="Times New Roman" w:eastAsia="Times New Roman" w:hAnsi="Times New Roman" w:cs="Times New Roman"/>
          <w:color w:val="000000"/>
          <w:spacing w:val="0"/>
          <w:w w:val="100"/>
          <w:position w:val="0"/>
        </w:rPr>
        <w:t>100,000,000.00</w:t>
      </w:r>
      <w:r>
        <w:rPr>
          <w:color w:val="000000"/>
          <w:spacing w:val="0"/>
          <w:w w:val="100"/>
          <w:position w:val="0"/>
        </w:rPr>
        <w:t>元，由自然人于伟等为本公司 提供担保。截至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日，款项尚未到期还款。</w:t>
      </w:r>
    </w:p>
    <w:p>
      <w:pPr>
        <w:pStyle w:val="Style34"/>
        <w:keepNext w:val="0"/>
        <w:keepLines w:val="0"/>
        <w:widowControl w:val="0"/>
        <w:shd w:val="clear" w:color="auto" w:fill="auto"/>
        <w:tabs>
          <w:tab w:pos="751" w:val="left"/>
        </w:tabs>
        <w:bidi w:val="0"/>
        <w:spacing w:before="0" w:after="240" w:line="316" w:lineRule="exact"/>
        <w:ind w:left="0" w:right="0" w:firstLine="440"/>
        <w:jc w:val="both"/>
      </w:pPr>
      <w:bookmarkStart w:id="1970" w:name="bookmark1970"/>
      <w:r>
        <w:rPr>
          <w:rFonts w:ascii="Times New Roman" w:eastAsia="Times New Roman" w:hAnsi="Times New Roman" w:cs="Times New Roman"/>
          <w:color w:val="000000"/>
          <w:spacing w:val="0"/>
          <w:w w:val="100"/>
          <w:position w:val="0"/>
        </w:rPr>
        <w:t>5</w:t>
      </w:r>
      <w:bookmarkEnd w:id="1970"/>
      <w:r>
        <w:rPr>
          <w:rFonts w:ascii="Times New Roman" w:eastAsia="Times New Roman" w:hAnsi="Times New Roman" w:cs="Times New Roman"/>
          <w:color w:val="000000"/>
          <w:spacing w:val="0"/>
          <w:w w:val="100"/>
          <w:position w:val="0"/>
        </w:rPr>
        <w:t>）</w:t>
        <w:tab/>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日向恒丰银行股份有限公司北京分行借入</w:t>
      </w:r>
      <w:r>
        <w:rPr>
          <w:rFonts w:ascii="Times New Roman" w:eastAsia="Times New Roman" w:hAnsi="Times New Roman" w:cs="Times New Roman"/>
          <w:color w:val="000000"/>
          <w:spacing w:val="0"/>
          <w:w w:val="100"/>
          <w:position w:val="0"/>
        </w:rPr>
        <w:t>15,000,000.00</w:t>
      </w:r>
      <w:r>
        <w:rPr>
          <w:color w:val="000000"/>
          <w:spacing w:val="0"/>
          <w:w w:val="100"/>
          <w:position w:val="0"/>
        </w:rPr>
        <w:t>元，由自然人于伟为本公司提供担保。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日，款项均尚未到期还款。</w:t>
      </w:r>
      <w:r>
        <w:br w:type="page"/>
      </w:r>
    </w:p>
    <w:p>
      <w:pPr>
        <w:pStyle w:val="Style34"/>
        <w:keepNext w:val="0"/>
        <w:keepLines w:val="0"/>
        <w:widowControl w:val="0"/>
        <w:shd w:val="clear" w:color="auto" w:fill="auto"/>
        <w:tabs>
          <w:tab w:pos="762" w:val="left"/>
        </w:tabs>
        <w:bidi w:val="0"/>
        <w:spacing w:before="0" w:after="0" w:line="312" w:lineRule="exact"/>
        <w:ind w:left="0" w:right="0" w:firstLine="460"/>
        <w:jc w:val="both"/>
      </w:pPr>
      <w:bookmarkStart w:id="1971" w:name="bookmark1971"/>
      <w:r>
        <w:rPr>
          <w:rFonts w:ascii="Times New Roman" w:eastAsia="Times New Roman" w:hAnsi="Times New Roman" w:cs="Times New Roman"/>
          <w:color w:val="000000"/>
          <w:spacing w:val="0"/>
          <w:w w:val="100"/>
          <w:position w:val="0"/>
        </w:rPr>
        <w:t>6</w:t>
      </w:r>
      <w:bookmarkEnd w:id="1971"/>
      <w:r>
        <w:rPr>
          <w:rFonts w:ascii="Times New Roman" w:eastAsia="Times New Roman" w:hAnsi="Times New Roman" w:cs="Times New Roman"/>
          <w:color w:val="000000"/>
          <w:spacing w:val="0"/>
          <w:w w:val="100"/>
          <w:position w:val="0"/>
        </w:rPr>
        <w:t>）</w:t>
        <w:tab/>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日向南洋商业银行</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有限公司借入</w:t>
      </w:r>
      <w:r>
        <w:rPr>
          <w:rFonts w:ascii="Times New Roman" w:eastAsia="Times New Roman" w:hAnsi="Times New Roman" w:cs="Times New Roman"/>
          <w:color w:val="000000"/>
          <w:spacing w:val="0"/>
          <w:w w:val="100"/>
          <w:position w:val="0"/>
        </w:rPr>
        <w:t>44,000,000.00</w:t>
      </w:r>
      <w:r>
        <w:rPr>
          <w:color w:val="000000"/>
          <w:spacing w:val="0"/>
          <w:w w:val="100"/>
          <w:position w:val="0"/>
        </w:rPr>
        <w:t>元的长期借款，用于借款人一般流动资金 用途。由自然人于伟为本公司提供担保、由鹰潭市鹰高投资咨询有限公司为本公司提供质押担保。截至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 未还款的款项为</w:t>
      </w:r>
      <w:r>
        <w:rPr>
          <w:rFonts w:ascii="Times New Roman" w:eastAsia="Times New Roman" w:hAnsi="Times New Roman" w:cs="Times New Roman"/>
          <w:color w:val="000000"/>
          <w:spacing w:val="0"/>
          <w:w w:val="100"/>
          <w:position w:val="0"/>
        </w:rPr>
        <w:t>39,600,000.00</w:t>
      </w:r>
      <w:r>
        <w:rPr>
          <w:color w:val="000000"/>
          <w:spacing w:val="0"/>
          <w:w w:val="100"/>
          <w:position w:val="0"/>
        </w:rPr>
        <w:t>元</w:t>
      </w:r>
    </w:p>
    <w:p>
      <w:pPr>
        <w:pStyle w:val="Style34"/>
        <w:keepNext w:val="0"/>
        <w:keepLines w:val="0"/>
        <w:widowControl w:val="0"/>
        <w:shd w:val="clear" w:color="auto" w:fill="auto"/>
        <w:tabs>
          <w:tab w:pos="766" w:val="left"/>
        </w:tabs>
        <w:bidi w:val="0"/>
        <w:spacing w:before="0" w:after="380" w:line="312" w:lineRule="exact"/>
        <w:ind w:left="0" w:right="0" w:firstLine="460"/>
        <w:jc w:val="both"/>
      </w:pPr>
      <w:bookmarkStart w:id="1972" w:name="bookmark1972"/>
      <w:r>
        <w:rPr>
          <w:rFonts w:ascii="Times New Roman" w:eastAsia="Times New Roman" w:hAnsi="Times New Roman" w:cs="Times New Roman"/>
          <w:color w:val="000000"/>
          <w:spacing w:val="0"/>
          <w:w w:val="100"/>
          <w:position w:val="0"/>
        </w:rPr>
        <w:t>7</w:t>
      </w:r>
      <w:bookmarkEnd w:id="1972"/>
      <w:r>
        <w:rPr>
          <w:rFonts w:ascii="Times New Roman" w:eastAsia="Times New Roman" w:hAnsi="Times New Roman" w:cs="Times New Roman"/>
          <w:color w:val="000000"/>
          <w:spacing w:val="0"/>
          <w:w w:val="100"/>
          <w:position w:val="0"/>
        </w:rPr>
        <w:t>）</w:t>
        <w:tab/>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日向北京市文化科技融资租赁股份有限公司融资借入金额</w:t>
      </w:r>
      <w:r>
        <w:rPr>
          <w:rFonts w:ascii="Times New Roman" w:eastAsia="Times New Roman" w:hAnsi="Times New Roman" w:cs="Times New Roman"/>
          <w:color w:val="000000"/>
          <w:spacing w:val="0"/>
          <w:w w:val="100"/>
          <w:position w:val="0"/>
        </w:rPr>
        <w:t>100,000,000.00</w:t>
      </w:r>
      <w:r>
        <w:rPr>
          <w:color w:val="000000"/>
          <w:spacing w:val="0"/>
          <w:w w:val="100"/>
          <w:position w:val="0"/>
        </w:rPr>
        <w:t>元</w:t>
      </w:r>
      <w:r>
        <w:rPr>
          <w:color w:val="000000"/>
          <w:spacing w:val="0"/>
          <w:w w:val="100"/>
          <w:position w:val="0"/>
        </w:rPr>
        <w:t>，</w:t>
      </w:r>
      <w:r>
        <w:rPr>
          <w:color w:val="000000"/>
          <w:spacing w:val="0"/>
          <w:w w:val="100"/>
          <w:position w:val="0"/>
        </w:rPr>
        <w:t>由自然人于伟为本 公司提供担保、由鹰潭市鹰高投资咨询有限公司为本公司提供财产质押担保。截至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日，融资借款本金余额为 </w:t>
      </w:r>
      <w:r>
        <w:rPr>
          <w:rFonts w:ascii="Times New Roman" w:eastAsia="Times New Roman" w:hAnsi="Times New Roman" w:cs="Times New Roman"/>
          <w:color w:val="000000"/>
          <w:spacing w:val="0"/>
          <w:w w:val="100"/>
          <w:position w:val="0"/>
        </w:rPr>
        <w:t>75,000,000.01</w:t>
      </w:r>
      <w:r>
        <w:rPr>
          <w:color w:val="000000"/>
          <w:spacing w:val="0"/>
          <w:w w:val="100"/>
          <w:position w:val="0"/>
        </w:rPr>
        <w:t>元，其中一年内到期的金额为</w:t>
      </w:r>
      <w:r>
        <w:rPr>
          <w:rFonts w:ascii="Times New Roman" w:eastAsia="Times New Roman" w:hAnsi="Times New Roman" w:cs="Times New Roman"/>
          <w:color w:val="000000"/>
          <w:spacing w:val="0"/>
          <w:w w:val="100"/>
          <w:position w:val="0"/>
        </w:rPr>
        <w:t>33,333,333.3</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both"/>
      </w:pPr>
      <w:bookmarkStart w:id="1973" w:name="bookmark1973"/>
      <w:bookmarkStart w:id="1974" w:name="bookmark1974"/>
      <w:bookmarkStart w:id="1975" w:name="bookmark1975"/>
      <w:bookmarkStart w:id="1976" w:name="bookmark1976"/>
      <w:r>
        <w:rPr>
          <w:color w:val="000000"/>
          <w:spacing w:val="0"/>
          <w:w w:val="100"/>
          <w:position w:val="0"/>
        </w:rPr>
        <w:t>（</w:t>
      </w:r>
      <w:bookmarkEnd w:id="197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73"/>
      <w:bookmarkEnd w:id="1974"/>
      <w:bookmarkEnd w:id="1976"/>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258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鹰潭市鹰高投资咨询有 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日，本公 司从鹰潭市鹰高投资咨 询有限公司拆入借款人 民币</w:t>
            </w:r>
            <w:r>
              <w:rPr>
                <w:rFonts w:ascii="Times New Roman" w:eastAsia="Times New Roman" w:hAnsi="Times New Roman" w:cs="Times New Roman"/>
                <w:color w:val="000000"/>
                <w:spacing w:val="0"/>
                <w:w w:val="100"/>
                <w:position w:val="0"/>
              </w:rPr>
              <w:t>2,700.00</w:t>
            </w:r>
            <w:r>
              <w:rPr>
                <w:color w:val="000000"/>
                <w:spacing w:val="0"/>
                <w:w w:val="100"/>
                <w:position w:val="0"/>
              </w:rPr>
              <w:t>万元，年 化利率</w:t>
            </w:r>
            <w:r>
              <w:rPr>
                <w:rFonts w:ascii="Times New Roman" w:eastAsia="Times New Roman" w:hAnsi="Times New Roman" w:cs="Times New Roman"/>
                <w:color w:val="000000"/>
                <w:spacing w:val="0"/>
                <w:w w:val="100"/>
                <w:position w:val="0"/>
              </w:rPr>
              <w:t>7.000%</w:t>
            </w:r>
            <w:r>
              <w:rPr>
                <w:color w:val="000000"/>
                <w:spacing w:val="0"/>
                <w:w w:val="100"/>
                <w:position w:val="0"/>
              </w:rPr>
              <w:t xml:space="preserve">，款项用 于补充流动资金，截止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日已全 部偿还。</w:t>
            </w:r>
          </w:p>
        </w:tc>
      </w:tr>
      <w:tr>
        <w:trPr>
          <w:trHeight w:val="258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鹰潭市鹰高投资咨询有 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23,009,560.61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 司从鹰潭市鹰高投资咨 询有限公司拆入借款人 民币</w:t>
            </w:r>
            <w:r>
              <w:rPr>
                <w:rFonts w:ascii="Times New Roman" w:eastAsia="Times New Roman" w:hAnsi="Times New Roman" w:cs="Times New Roman"/>
                <w:color w:val="000000"/>
                <w:spacing w:val="0"/>
                <w:w w:val="100"/>
                <w:position w:val="0"/>
              </w:rPr>
              <w:t>2,300.96</w:t>
            </w:r>
            <w:r>
              <w:rPr>
                <w:color w:val="000000"/>
                <w:spacing w:val="0"/>
                <w:w w:val="100"/>
                <w:position w:val="0"/>
              </w:rPr>
              <w:t>万元，年 化利率</w:t>
            </w:r>
            <w:r>
              <w:rPr>
                <w:rFonts w:ascii="Times New Roman" w:eastAsia="Times New Roman" w:hAnsi="Times New Roman" w:cs="Times New Roman"/>
                <w:color w:val="000000"/>
                <w:spacing w:val="0"/>
                <w:w w:val="100"/>
                <w:position w:val="0"/>
              </w:rPr>
              <w:t>7.100%</w:t>
            </w:r>
            <w:r>
              <w:rPr>
                <w:color w:val="000000"/>
                <w:spacing w:val="0"/>
                <w:w w:val="100"/>
                <w:position w:val="0"/>
              </w:rPr>
              <w:t xml:space="preserve">，款项用 于补充流动资金，截止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日已全 部偿还。</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6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w:t>
      </w:r>
      <w:bookmarkEnd w:id="197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77"/>
      <w:bookmarkEnd w:id="1978"/>
      <w:bookmarkEnd w:id="1980"/>
    </w:p>
    <w:p>
      <w:pPr>
        <w:pStyle w:val="Style34"/>
        <w:keepNext w:val="0"/>
        <w:keepLines w:val="0"/>
        <w:widowControl w:val="0"/>
        <w:shd w:val="clear" w:color="auto" w:fill="auto"/>
        <w:bidi w:val="0"/>
        <w:spacing w:before="0" w:after="80" w:line="240" w:lineRule="auto"/>
        <w:ind w:left="0" w:right="1060" w:firstLine="0"/>
        <w:jc w:val="righ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北京数微科技有限公司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资产转让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72,986.39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6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w:t>
      </w:r>
      <w:bookmarkEnd w:id="198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81"/>
      <w:bookmarkEnd w:id="1982"/>
      <w:bookmarkEnd w:id="1984"/>
    </w:p>
    <w:p>
      <w:pPr>
        <w:pStyle w:val="Style4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报酬总额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798.16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707.19</w:t>
            </w:r>
          </w:p>
        </w:tc>
      </w:tr>
    </w:tbl>
    <w:p>
      <w:pPr>
        <w:sectPr>
          <w:headerReference w:type="default" r:id="rId249"/>
          <w:footerReference w:type="default" r:id="rId250"/>
          <w:headerReference w:type="even" r:id="rId251"/>
          <w:footerReference w:type="even" r:id="rId252"/>
          <w:footnotePr>
            <w:pos w:val="pageBottom"/>
            <w:numFmt w:val="decimal"/>
            <w:numRestart w:val="continuous"/>
          </w:footnotePr>
          <w:pgSz w:w="11900" w:h="16840"/>
          <w:pgMar w:top="1153" w:right="570" w:bottom="1436" w:left="554" w:header="0" w:footer="3" w:gutter="0"/>
          <w:cols w:space="720"/>
          <w:noEndnote/>
          <w:rtlGutter w:val="0"/>
          <w:docGrid w:linePitch="360"/>
        </w:sectPr>
      </w:pPr>
    </w:p>
    <w:p>
      <w:pPr>
        <w:pStyle w:val="Style38"/>
        <w:keepNext/>
        <w:keepLines/>
        <w:widowControl w:val="0"/>
        <w:shd w:val="clear" w:color="auto" w:fill="auto"/>
        <w:bidi w:val="0"/>
        <w:spacing w:before="0" w:after="380" w:line="240" w:lineRule="auto"/>
        <w:ind w:left="0" w:right="0" w:firstLine="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85"/>
      <w:bookmarkEnd w:id="1986"/>
      <w:bookmarkEnd w:id="1988"/>
    </w:p>
    <w:p>
      <w:pPr>
        <w:pStyle w:val="Style38"/>
        <w:keepNext/>
        <w:keepLines/>
        <w:widowControl w:val="0"/>
        <w:shd w:val="clear" w:color="auto" w:fill="auto"/>
        <w:bidi w:val="0"/>
        <w:spacing w:before="0" w:after="380" w:line="240" w:lineRule="auto"/>
        <w:ind w:left="0" w:right="0" w:firstLine="0"/>
        <w:jc w:val="left"/>
      </w:pPr>
      <w:bookmarkStart w:id="1985" w:name="bookmark1985"/>
      <w:bookmarkStart w:id="1986" w:name="bookmark1986"/>
      <w:bookmarkStart w:id="1989" w:name="bookmark1989"/>
      <w:bookmarkStart w:id="1990" w:name="bookmark1990"/>
      <w:r>
        <w:rPr>
          <w:rFonts w:ascii="Times New Roman" w:eastAsia="Times New Roman" w:hAnsi="Times New Roman" w:cs="Times New Roman"/>
          <w:color w:val="000000"/>
          <w:spacing w:val="0"/>
          <w:w w:val="100"/>
          <w:position w:val="0"/>
        </w:rPr>
        <w:t>6</w:t>
      </w:r>
      <w:bookmarkEnd w:id="1989"/>
      <w:r>
        <w:rPr>
          <w:color w:val="000000"/>
          <w:spacing w:val="0"/>
          <w:w w:val="100"/>
          <w:position w:val="0"/>
        </w:rPr>
        <w:t>、关联方应收应付款项</w:t>
      </w:r>
      <w:bookmarkEnd w:id="1985"/>
      <w:bookmarkEnd w:id="1986"/>
      <w:bookmarkEnd w:id="1990"/>
    </w:p>
    <w:p>
      <w:pPr>
        <w:pStyle w:val="Style38"/>
        <w:keepNext/>
        <w:keepLines/>
        <w:widowControl w:val="0"/>
        <w:shd w:val="clear" w:color="auto" w:fill="auto"/>
        <w:bidi w:val="0"/>
        <w:spacing w:before="0" w:after="380" w:line="240" w:lineRule="auto"/>
        <w:ind w:left="0" w:right="0" w:firstLine="0"/>
        <w:jc w:val="left"/>
      </w:pPr>
      <w:bookmarkStart w:id="1985" w:name="bookmark1985"/>
      <w:bookmarkStart w:id="1986" w:name="bookmark1986"/>
      <w:bookmarkStart w:id="1991" w:name="bookmark19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85"/>
      <w:bookmarkEnd w:id="1986"/>
      <w:bookmarkEnd w:id="1991"/>
    </w:p>
    <w:p>
      <w:pPr>
        <w:pStyle w:val="Style34"/>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北京高伟达保科技 有限责任公司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中信科技发展有限</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3,825,365.00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114,761.00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5,630,635.13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168,919.05</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北京高伟达保科技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北京数微科技有限 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60"/>
        <w:jc w:val="left"/>
      </w:pPr>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92"/>
      <w:bookmarkEnd w:id="1993"/>
      <w:bookmarkEnd w:id="1994"/>
    </w:p>
    <w:p>
      <w:pPr>
        <w:pStyle w:val="Style34"/>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北京高伟达保科技有限责任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217,483.00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鹰潭市鹰高投资咨询有限公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32,073,122.28</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五莲恒力智信股权投资合伙 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143,484,444.51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64,064,276.91</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1,449,337.83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647,113.91</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海南欢乐坚果信息咨询中心</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867,735.00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51,504,373.81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520,246.20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五莲恒力智信股权投资合伙 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160,310,038.82</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1,619,293.32</w:t>
            </w:r>
          </w:p>
        </w:tc>
      </w:tr>
    </w:tbl>
    <w:p>
      <w:pPr>
        <w:pStyle w:val="Style38"/>
        <w:keepNext/>
        <w:keepLines/>
        <w:widowControl w:val="0"/>
        <w:shd w:val="clear" w:color="auto" w:fill="auto"/>
        <w:tabs>
          <w:tab w:pos="373" w:val="left"/>
        </w:tabs>
        <w:bidi w:val="0"/>
        <w:spacing w:before="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7</w:t>
      </w:r>
      <w:bookmarkEnd w:id="1997"/>
      <w:r>
        <w:rPr>
          <w:color w:val="000000"/>
          <w:spacing w:val="0"/>
          <w:w w:val="100"/>
          <w:position w:val="0"/>
        </w:rPr>
        <w:t>、</w:t>
        <w:tab/>
        <w:t>关联方承诺</w:t>
      </w:r>
      <w:bookmarkEnd w:id="1995"/>
      <w:bookmarkEnd w:id="1996"/>
      <w:bookmarkEnd w:id="1998"/>
    </w:p>
    <w:p>
      <w:pPr>
        <w:pStyle w:val="Style38"/>
        <w:keepNext/>
        <w:keepLines/>
        <w:widowControl w:val="0"/>
        <w:shd w:val="clear" w:color="auto" w:fill="auto"/>
        <w:tabs>
          <w:tab w:pos="378" w:val="left"/>
        </w:tabs>
        <w:bidi w:val="0"/>
        <w:spacing w:before="0" w:line="240" w:lineRule="auto"/>
        <w:ind w:left="0" w:right="0" w:firstLine="0"/>
        <w:jc w:val="left"/>
      </w:pPr>
      <w:bookmarkStart w:id="1995" w:name="bookmark1995"/>
      <w:bookmarkStart w:id="1996" w:name="bookmark1996"/>
      <w:bookmarkStart w:id="1999" w:name="bookmark1999"/>
      <w:bookmarkStart w:id="2000" w:name="bookmark2000"/>
      <w:r>
        <w:rPr>
          <w:rFonts w:ascii="Times New Roman" w:eastAsia="Times New Roman" w:hAnsi="Times New Roman" w:cs="Times New Roman"/>
          <w:color w:val="000000"/>
          <w:spacing w:val="0"/>
          <w:w w:val="100"/>
          <w:position w:val="0"/>
        </w:rPr>
        <w:t>8</w:t>
      </w:r>
      <w:bookmarkEnd w:id="1999"/>
      <w:r>
        <w:rPr>
          <w:color w:val="000000"/>
          <w:spacing w:val="0"/>
          <w:w w:val="100"/>
          <w:position w:val="0"/>
        </w:rPr>
        <w:t>、</w:t>
        <w:tab/>
        <w:t>其他</w:t>
      </w:r>
      <w:bookmarkEnd w:id="1995"/>
      <w:bookmarkEnd w:id="1996"/>
      <w:bookmarkEnd w:id="2000"/>
    </w:p>
    <w:p>
      <w:pPr>
        <w:pStyle w:val="Style17"/>
        <w:keepNext/>
        <w:keepLines/>
        <w:widowControl w:val="0"/>
        <w:shd w:val="clear" w:color="auto" w:fill="auto"/>
        <w:bidi w:val="0"/>
        <w:spacing w:before="0" w:after="360" w:line="240" w:lineRule="auto"/>
        <w:ind w:left="0" w:right="0" w:firstLine="0"/>
        <w:jc w:val="left"/>
      </w:pPr>
      <w:bookmarkStart w:id="2001" w:name="bookmark2001"/>
      <w:bookmarkStart w:id="2002" w:name="bookmark2002"/>
      <w:bookmarkStart w:id="2003" w:name="bookmark2003"/>
      <w:r>
        <w:rPr>
          <w:color w:val="000000"/>
          <w:spacing w:val="0"/>
          <w:w w:val="100"/>
          <w:position w:val="0"/>
          <w:sz w:val="24"/>
          <w:szCs w:val="24"/>
        </w:rPr>
        <w:t>十三、股份支付</w:t>
      </w:r>
      <w:bookmarkEnd w:id="2001"/>
      <w:bookmarkEnd w:id="2002"/>
      <w:bookmarkEnd w:id="2003"/>
    </w:p>
    <w:p>
      <w:pPr>
        <w:pStyle w:val="Style38"/>
        <w:keepNext/>
        <w:keepLines/>
        <w:widowControl w:val="0"/>
        <w:shd w:val="clear" w:color="auto" w:fill="auto"/>
        <w:tabs>
          <w:tab w:pos="368" w:val="left"/>
        </w:tabs>
        <w:bidi w:val="0"/>
        <w:spacing w:before="0" w:after="26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1</w:t>
      </w:r>
      <w:bookmarkEnd w:id="2006"/>
      <w:r>
        <w:rPr>
          <w:color w:val="000000"/>
          <w:spacing w:val="0"/>
          <w:w w:val="100"/>
          <w:position w:val="0"/>
        </w:rPr>
        <w:t>、</w:t>
        <w:tab/>
        <w:t>股份支付总体情况</w:t>
      </w:r>
      <w:bookmarkEnd w:id="2004"/>
      <w:bookmarkEnd w:id="2005"/>
      <w:bookmarkEnd w:id="2007"/>
    </w:p>
    <w:p>
      <w:pPr>
        <w:pStyle w:val="Style34"/>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26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2</w:t>
      </w:r>
      <w:bookmarkEnd w:id="2010"/>
      <w:r>
        <w:rPr>
          <w:color w:val="000000"/>
          <w:spacing w:val="0"/>
          <w:w w:val="100"/>
          <w:position w:val="0"/>
        </w:rPr>
        <w:t>、</w:t>
        <w:tab/>
        <w:t>以权益结算的股份支付情况</w:t>
      </w:r>
      <w:bookmarkEnd w:id="2008"/>
      <w:bookmarkEnd w:id="2009"/>
      <w:bookmarkEnd w:id="2011"/>
    </w:p>
    <w:p>
      <w:pPr>
        <w:pStyle w:val="Style34"/>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26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3</w:t>
      </w:r>
      <w:bookmarkEnd w:id="2014"/>
      <w:r>
        <w:rPr>
          <w:color w:val="000000"/>
          <w:spacing w:val="0"/>
          <w:w w:val="100"/>
          <w:position w:val="0"/>
        </w:rPr>
        <w:t>、</w:t>
        <w:tab/>
        <w:t>以现金结算的股份支付情况</w:t>
      </w:r>
      <w:bookmarkEnd w:id="2012"/>
      <w:bookmarkEnd w:id="2013"/>
      <w:bookmarkEnd w:id="2015"/>
    </w:p>
    <w:p>
      <w:pPr>
        <w:pStyle w:val="Style34"/>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4</w:t>
      </w:r>
      <w:bookmarkEnd w:id="2018"/>
      <w:r>
        <w:rPr>
          <w:color w:val="000000"/>
          <w:spacing w:val="0"/>
          <w:w w:val="100"/>
          <w:position w:val="0"/>
        </w:rPr>
        <w:t>、</w:t>
        <w:tab/>
        <w:t>股份支付的修改、终止情况</w:t>
      </w:r>
      <w:bookmarkEnd w:id="2016"/>
      <w:bookmarkEnd w:id="2017"/>
      <w:bookmarkEnd w:id="2019"/>
    </w:p>
    <w:p>
      <w:pPr>
        <w:pStyle w:val="Style38"/>
        <w:keepNext/>
        <w:keepLines/>
        <w:widowControl w:val="0"/>
        <w:shd w:val="clear" w:color="auto" w:fill="auto"/>
        <w:tabs>
          <w:tab w:pos="378" w:val="left"/>
        </w:tabs>
        <w:bidi w:val="0"/>
        <w:spacing w:before="0" w:line="240" w:lineRule="auto"/>
        <w:ind w:left="0" w:right="0" w:firstLine="0"/>
        <w:jc w:val="left"/>
      </w:pPr>
      <w:bookmarkStart w:id="2016" w:name="bookmark2016"/>
      <w:bookmarkStart w:id="2017" w:name="bookmark2017"/>
      <w:bookmarkStart w:id="2020" w:name="bookmark2020"/>
      <w:bookmarkStart w:id="2021" w:name="bookmark2021"/>
      <w:r>
        <w:rPr>
          <w:rFonts w:ascii="Times New Roman" w:eastAsia="Times New Roman" w:hAnsi="Times New Roman" w:cs="Times New Roman"/>
          <w:color w:val="000000"/>
          <w:spacing w:val="0"/>
          <w:w w:val="100"/>
          <w:position w:val="0"/>
        </w:rPr>
        <w:t>5</w:t>
      </w:r>
      <w:bookmarkEnd w:id="2020"/>
      <w:r>
        <w:rPr>
          <w:color w:val="000000"/>
          <w:spacing w:val="0"/>
          <w:w w:val="100"/>
          <w:position w:val="0"/>
        </w:rPr>
        <w:t>、</w:t>
        <w:tab/>
        <w:t>其他</w:t>
      </w:r>
      <w:bookmarkEnd w:id="2016"/>
      <w:bookmarkEnd w:id="2017"/>
      <w:bookmarkEnd w:id="2021"/>
    </w:p>
    <w:p>
      <w:pPr>
        <w:pStyle w:val="Style17"/>
        <w:keepNext/>
        <w:keepLines/>
        <w:widowControl w:val="0"/>
        <w:shd w:val="clear" w:color="auto" w:fill="auto"/>
        <w:bidi w:val="0"/>
        <w:spacing w:before="0" w:after="360" w:line="240" w:lineRule="auto"/>
        <w:ind w:left="0" w:right="0" w:firstLine="0"/>
        <w:jc w:val="left"/>
      </w:pPr>
      <w:bookmarkStart w:id="2022" w:name="bookmark2022"/>
      <w:bookmarkStart w:id="2023" w:name="bookmark2023"/>
      <w:bookmarkStart w:id="2024" w:name="bookmark2024"/>
      <w:r>
        <w:rPr>
          <w:color w:val="000000"/>
          <w:spacing w:val="0"/>
          <w:w w:val="100"/>
          <w:position w:val="0"/>
          <w:sz w:val="24"/>
          <w:szCs w:val="24"/>
        </w:rPr>
        <w:t>十四、承诺及或有事项</w:t>
      </w:r>
      <w:bookmarkEnd w:id="2022"/>
      <w:bookmarkEnd w:id="2023"/>
      <w:bookmarkEnd w:id="2024"/>
    </w:p>
    <w:p>
      <w:pPr>
        <w:pStyle w:val="Style38"/>
        <w:keepNext/>
        <w:keepLines/>
        <w:widowControl w:val="0"/>
        <w:shd w:val="clear" w:color="auto" w:fill="auto"/>
        <w:bidi w:val="0"/>
        <w:spacing w:before="0" w:after="260" w:line="240" w:lineRule="auto"/>
        <w:ind w:left="0" w:right="0" w:firstLine="0"/>
        <w:jc w:val="left"/>
      </w:pPr>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25"/>
      <w:bookmarkEnd w:id="2026"/>
      <w:bookmarkEnd w:id="2027"/>
    </w:p>
    <w:p>
      <w:pPr>
        <w:pStyle w:val="Style34"/>
        <w:keepNext w:val="0"/>
        <w:keepLines w:val="0"/>
        <w:widowControl w:val="0"/>
        <w:shd w:val="clear" w:color="auto" w:fill="auto"/>
        <w:bidi w:val="0"/>
        <w:spacing w:before="0" w:after="40" w:line="313" w:lineRule="exact"/>
        <w:ind w:left="0" w:right="0" w:firstLine="0"/>
        <w:jc w:val="left"/>
      </w:pPr>
      <w:r>
        <w:rPr>
          <w:color w:val="000000"/>
          <w:spacing w:val="0"/>
          <w:w w:val="100"/>
          <w:position w:val="0"/>
        </w:rPr>
        <w:t>资产负债表日存在的重要承诺</w:t>
      </w:r>
    </w:p>
    <w:p>
      <w:pPr>
        <w:pStyle w:val="Style34"/>
        <w:keepNext w:val="0"/>
        <w:keepLines w:val="0"/>
        <w:widowControl w:val="0"/>
        <w:numPr>
          <w:ilvl w:val="0"/>
          <w:numId w:val="189"/>
        </w:numPr>
        <w:shd w:val="clear" w:color="auto" w:fill="auto"/>
        <w:bidi w:val="0"/>
        <w:spacing w:before="0" w:after="0" w:line="313" w:lineRule="exact"/>
        <w:ind w:left="0" w:right="0" w:firstLine="520"/>
        <w:jc w:val="left"/>
      </w:pPr>
      <w:bookmarkStart w:id="2028" w:name="bookmark2028"/>
      <w:bookmarkEnd w:id="2028"/>
      <w:r>
        <w:rPr>
          <w:color w:val="000000"/>
          <w:spacing w:val="0"/>
          <w:w w:val="100"/>
          <w:position w:val="0"/>
        </w:rPr>
        <w:t>已签订的正在或准备履行的并购协议</w:t>
      </w:r>
    </w:p>
    <w:p>
      <w:pPr>
        <w:pStyle w:val="Style34"/>
        <w:keepNext w:val="0"/>
        <w:keepLines w:val="0"/>
        <w:widowControl w:val="0"/>
        <w:shd w:val="clear" w:color="auto" w:fill="auto"/>
        <w:tabs>
          <w:tab w:pos="823" w:val="left"/>
        </w:tabs>
        <w:bidi w:val="0"/>
        <w:spacing w:before="0" w:after="0" w:line="313" w:lineRule="exact"/>
        <w:ind w:left="0" w:right="0" w:firstLine="460"/>
        <w:jc w:val="left"/>
      </w:pPr>
      <w:bookmarkStart w:id="2029" w:name="bookmark2029"/>
      <w:r>
        <w:rPr>
          <w:rFonts w:ascii="Times New Roman" w:eastAsia="Times New Roman" w:hAnsi="Times New Roman" w:cs="Times New Roman"/>
          <w:color w:val="000000"/>
          <w:spacing w:val="0"/>
          <w:w w:val="100"/>
          <w:position w:val="0"/>
        </w:rPr>
        <w:t>（</w:t>
      </w:r>
      <w:bookmarkEnd w:id="2029"/>
      <w:r>
        <w:rPr>
          <w:rFonts w:ascii="Times New Roman" w:eastAsia="Times New Roman" w:hAnsi="Times New Roman" w:cs="Times New Roman"/>
          <w:color w:val="000000"/>
          <w:spacing w:val="0"/>
          <w:w w:val="100"/>
          <w:position w:val="0"/>
        </w:rPr>
        <w:t>1）</w:t>
        <w:tab/>
      </w:r>
      <w:r>
        <w:rPr>
          <w:color w:val="000000"/>
          <w:spacing w:val="0"/>
          <w:w w:val="100"/>
          <w:position w:val="0"/>
        </w:rPr>
        <w:t>收购海南坚果创娱信息技术有限公司</w:t>
      </w:r>
    </w:p>
    <w:p>
      <w:pPr>
        <w:pStyle w:val="Style34"/>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日，本公司</w:t>
      </w:r>
      <w:r>
        <w:rPr>
          <w:rFonts w:ascii="Times New Roman" w:eastAsia="Times New Roman" w:hAnsi="Times New Roman" w:cs="Times New Roman"/>
          <w:color w:val="000000"/>
          <w:spacing w:val="0"/>
          <w:w w:val="100"/>
          <w:position w:val="0"/>
        </w:rPr>
        <w:t>（“</w:t>
      </w:r>
      <w:r>
        <w:rPr>
          <w:color w:val="000000"/>
          <w:spacing w:val="0"/>
          <w:w w:val="100"/>
          <w:position w:val="0"/>
        </w:rPr>
        <w:t>收购方</w:t>
      </w:r>
      <w:r>
        <w:rPr>
          <w:rFonts w:ascii="Times New Roman" w:eastAsia="Times New Roman" w:hAnsi="Times New Roman" w:cs="Times New Roman"/>
          <w:color w:val="000000"/>
          <w:spacing w:val="0"/>
          <w:w w:val="100"/>
          <w:position w:val="0"/>
        </w:rPr>
        <w:t>”）</w:t>
      </w:r>
      <w:r>
        <w:rPr>
          <w:color w:val="000000"/>
          <w:spacing w:val="0"/>
          <w:w w:val="100"/>
          <w:position w:val="0"/>
        </w:rPr>
        <w:t>与海南欢乐坚果信息咨询中心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及刘晓曦</w:t>
      </w:r>
      <w:r>
        <w:rPr>
          <w:rFonts w:ascii="Times New Roman" w:eastAsia="Times New Roman" w:hAnsi="Times New Roman" w:cs="Times New Roman"/>
          <w:color w:val="000000"/>
          <w:spacing w:val="0"/>
          <w:w w:val="100"/>
          <w:position w:val="0"/>
        </w:rPr>
        <w:t>（</w:t>
      </w:r>
      <w:r>
        <w:rPr>
          <w:color w:val="000000"/>
          <w:spacing w:val="0"/>
          <w:w w:val="100"/>
          <w:position w:val="0"/>
        </w:rPr>
        <w:t>合称</w:t>
      </w:r>
      <w:r>
        <w:rPr>
          <w:rFonts w:ascii="Times New Roman" w:eastAsia="Times New Roman" w:hAnsi="Times New Roman" w:cs="Times New Roman"/>
          <w:color w:val="000000"/>
          <w:spacing w:val="0"/>
          <w:w w:val="100"/>
          <w:position w:val="0"/>
        </w:rPr>
        <w:t>“</w:t>
      </w:r>
      <w:r>
        <w:rPr>
          <w:color w:val="000000"/>
          <w:spacing w:val="0"/>
          <w:w w:val="100"/>
          <w:position w:val="0"/>
        </w:rPr>
        <w:t>原股东</w:t>
      </w:r>
      <w:r>
        <w:rPr>
          <w:rFonts w:ascii="Times New Roman" w:eastAsia="Times New Roman" w:hAnsi="Times New Roman" w:cs="Times New Roman"/>
          <w:color w:val="000000"/>
          <w:spacing w:val="0"/>
          <w:w w:val="100"/>
          <w:position w:val="0"/>
        </w:rPr>
        <w:t>”）</w:t>
      </w:r>
      <w:r>
        <w:rPr>
          <w:color w:val="000000"/>
          <w:spacing w:val="0"/>
          <w:w w:val="100"/>
          <w:position w:val="0"/>
        </w:rPr>
        <w:t>签订《关于海南坚 果创娱信息技术有限公司的收购协议》，本公司以</w:t>
      </w:r>
      <w:r>
        <w:rPr>
          <w:rFonts w:ascii="Times New Roman" w:eastAsia="Times New Roman" w:hAnsi="Times New Roman" w:cs="Times New Roman"/>
          <w:color w:val="000000"/>
          <w:spacing w:val="0"/>
          <w:w w:val="100"/>
          <w:position w:val="0"/>
        </w:rPr>
        <w:t>25,020.00</w:t>
      </w:r>
      <w:r>
        <w:rPr>
          <w:color w:val="000000"/>
          <w:spacing w:val="0"/>
          <w:w w:val="100"/>
          <w:position w:val="0"/>
        </w:rPr>
        <w:t>万元受让原股东持有的海南坚果创娱信息技术有限公司</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海 南坚果</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100.00%</w:t>
      </w:r>
      <w:r>
        <w:rPr>
          <w:color w:val="000000"/>
          <w:spacing w:val="0"/>
          <w:w w:val="100"/>
          <w:position w:val="0"/>
        </w:rPr>
        <w:t>股权，股权转让价款分五期支付。业绩承诺期为</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年，目前</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2 019</w:t>
      </w:r>
      <w:r>
        <w:rPr>
          <w:color w:val="000000"/>
          <w:spacing w:val="0"/>
          <w:w w:val="100"/>
          <w:position w:val="0"/>
        </w:rPr>
        <w:t>年已实现协议规定 的承诺业绩。此外，合同规定海南坚果在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合称</w:t>
      </w:r>
      <w:r>
        <w:rPr>
          <w:rFonts w:ascii="Times New Roman" w:eastAsia="Times New Roman" w:hAnsi="Times New Roman" w:cs="Times New Roman"/>
          <w:color w:val="000000"/>
          <w:spacing w:val="0"/>
          <w:w w:val="100"/>
          <w:position w:val="0"/>
        </w:rPr>
        <w:t>“</w:t>
      </w:r>
      <w:r>
        <w:rPr>
          <w:color w:val="000000"/>
          <w:spacing w:val="0"/>
          <w:w w:val="100"/>
          <w:position w:val="0"/>
        </w:rPr>
        <w:t>业绩承诺期</w:t>
      </w:r>
      <w:r>
        <w:rPr>
          <w:rFonts w:ascii="Times New Roman" w:eastAsia="Times New Roman" w:hAnsi="Times New Roman" w:cs="Times New Roman"/>
          <w:color w:val="000000"/>
          <w:spacing w:val="0"/>
          <w:w w:val="100"/>
          <w:position w:val="0"/>
        </w:rPr>
        <w:t>”）</w:t>
      </w:r>
      <w:r>
        <w:rPr>
          <w:color w:val="000000"/>
          <w:spacing w:val="0"/>
          <w:w w:val="100"/>
          <w:position w:val="0"/>
        </w:rPr>
        <w:t>总计实现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,600.00</w:t>
      </w:r>
      <w:r>
        <w:rPr>
          <w:color w:val="000000"/>
          <w:spacing w:val="0"/>
          <w:w w:val="100"/>
          <w:position w:val="0"/>
        </w:rPr>
        <w:t>万元或以 上的超额业绩，该部分超额业绩对应的浮动对价</w:t>
      </w:r>
      <w:r>
        <w:rPr>
          <w:rFonts w:ascii="Times New Roman" w:eastAsia="Times New Roman" w:hAnsi="Times New Roman" w:cs="Times New Roman"/>
          <w:color w:val="000000"/>
          <w:spacing w:val="0"/>
          <w:w w:val="100"/>
          <w:position w:val="0"/>
        </w:rPr>
        <w:t>=</w:t>
      </w:r>
      <w:r>
        <w:rPr>
          <w:color w:val="000000"/>
          <w:spacing w:val="0"/>
          <w:w w:val="100"/>
          <w:position w:val="0"/>
        </w:rPr>
        <w:t>超额业绩</w:t>
      </w:r>
      <w:r>
        <w:rPr>
          <w:rFonts w:ascii="Times New Roman" w:eastAsia="Times New Roman" w:hAnsi="Times New Roman" w:cs="Times New Roman"/>
          <w:color w:val="000000"/>
          <w:spacing w:val="0"/>
          <w:w w:val="100"/>
          <w:position w:val="0"/>
        </w:rPr>
        <w:t>*3.17</w:t>
      </w:r>
      <w:r>
        <w:rPr>
          <w:color w:val="000000"/>
          <w:spacing w:val="0"/>
          <w:w w:val="100"/>
          <w:position w:val="0"/>
        </w:rPr>
        <w:t>。</w:t>
      </w:r>
    </w:p>
    <w:p>
      <w:pPr>
        <w:pStyle w:val="Style34"/>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本公司已支付原股东股权转让款</w:t>
      </w:r>
      <w:r>
        <w:rPr>
          <w:rFonts w:ascii="Times New Roman" w:eastAsia="Times New Roman" w:hAnsi="Times New Roman" w:cs="Times New Roman"/>
          <w:color w:val="000000"/>
          <w:spacing w:val="0"/>
          <w:w w:val="100"/>
          <w:position w:val="0"/>
        </w:rPr>
        <w:t>24,932.35</w:t>
      </w:r>
      <w:r>
        <w:rPr>
          <w:color w:val="000000"/>
          <w:spacing w:val="0"/>
          <w:w w:val="100"/>
          <w:position w:val="0"/>
        </w:rPr>
        <w:t>万元，已实现超额业绩对价款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,677.40</w:t>
      </w:r>
      <w:r>
        <w:rPr>
          <w:color w:val="000000"/>
          <w:spacing w:val="0"/>
          <w:w w:val="100"/>
          <w:position w:val="0"/>
        </w:rPr>
        <w:t>万元，尚未支付 股权转让款</w:t>
      </w:r>
      <w:r>
        <w:rPr>
          <w:rFonts w:ascii="Times New Roman" w:eastAsia="Times New Roman" w:hAnsi="Times New Roman" w:cs="Times New Roman"/>
          <w:color w:val="000000"/>
          <w:spacing w:val="0"/>
          <w:w w:val="100"/>
          <w:position w:val="0"/>
        </w:rPr>
        <w:t>87.65</w:t>
      </w:r>
      <w:r>
        <w:rPr>
          <w:color w:val="000000"/>
          <w:spacing w:val="0"/>
          <w:w w:val="100"/>
          <w:position w:val="0"/>
        </w:rPr>
        <w:t>万元，尚未支付超额业绩对价款</w:t>
      </w:r>
      <w:r>
        <w:rPr>
          <w:rFonts w:ascii="Times New Roman" w:eastAsia="Times New Roman" w:hAnsi="Times New Roman" w:cs="Times New Roman"/>
          <w:color w:val="000000"/>
          <w:spacing w:val="0"/>
          <w:w w:val="100"/>
          <w:position w:val="0"/>
        </w:rPr>
        <w:t>89.56</w:t>
      </w:r>
      <w:r>
        <w:rPr>
          <w:color w:val="000000"/>
          <w:spacing w:val="0"/>
          <w:w w:val="100"/>
          <w:position w:val="0"/>
        </w:rPr>
        <w:t>万元。</w:t>
      </w:r>
    </w:p>
    <w:p>
      <w:pPr>
        <w:pStyle w:val="Style34"/>
        <w:keepNext w:val="0"/>
        <w:keepLines w:val="0"/>
        <w:widowControl w:val="0"/>
        <w:shd w:val="clear" w:color="auto" w:fill="auto"/>
        <w:tabs>
          <w:tab w:pos="862" w:val="left"/>
        </w:tabs>
        <w:bidi w:val="0"/>
        <w:spacing w:before="0" w:after="0" w:line="313" w:lineRule="exact"/>
        <w:ind w:left="0" w:right="0" w:firstLine="460"/>
        <w:jc w:val="left"/>
      </w:pPr>
      <w:bookmarkStart w:id="2030" w:name="bookmark2030"/>
      <w:r>
        <w:rPr>
          <w:rFonts w:ascii="Times New Roman" w:eastAsia="Times New Roman" w:hAnsi="Times New Roman" w:cs="Times New Roman"/>
          <w:color w:val="000000"/>
          <w:spacing w:val="0"/>
          <w:w w:val="100"/>
          <w:position w:val="0"/>
        </w:rPr>
        <w:t>（</w:t>
      </w:r>
      <w:bookmarkEnd w:id="2030"/>
      <w:r>
        <w:rPr>
          <w:rFonts w:ascii="Times New Roman" w:eastAsia="Times New Roman" w:hAnsi="Times New Roman" w:cs="Times New Roman"/>
          <w:color w:val="000000"/>
          <w:spacing w:val="0"/>
          <w:w w:val="100"/>
          <w:position w:val="0"/>
        </w:rPr>
        <w:t>2）</w:t>
        <w:tab/>
      </w:r>
      <w:r>
        <w:rPr>
          <w:color w:val="000000"/>
          <w:spacing w:val="0"/>
          <w:w w:val="100"/>
          <w:position w:val="0"/>
        </w:rPr>
        <w:t>收购上海睿民互联网科技有限公司</w:t>
      </w:r>
    </w:p>
    <w:p>
      <w:pPr>
        <w:pStyle w:val="Style34"/>
        <w:keepNext w:val="0"/>
        <w:keepLines w:val="0"/>
        <w:widowControl w:val="0"/>
        <w:shd w:val="clear" w:color="auto" w:fill="auto"/>
        <w:bidi w:val="0"/>
        <w:spacing w:before="0" w:after="0" w:line="313" w:lineRule="exact"/>
        <w:ind w:left="0" w:right="0" w:firstLine="460"/>
        <w:jc w:val="both"/>
        <w:sectPr>
          <w:headerReference w:type="default" r:id="rId253"/>
          <w:footerReference w:type="default" r:id="rId254"/>
          <w:headerReference w:type="even" r:id="rId255"/>
          <w:footerReference w:type="even" r:id="rId256"/>
          <w:headerReference w:type="first" r:id="rId257"/>
          <w:footerReference w:type="first" r:id="rId258"/>
          <w:footnotePr>
            <w:pos w:val="pageBottom"/>
            <w:numFmt w:val="decimal"/>
            <w:numRestart w:val="continuous"/>
          </w:footnotePr>
          <w:pgSz w:w="11900" w:h="16840"/>
          <w:pgMar w:top="1153" w:right="570" w:bottom="1436" w:left="554"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0</w:t>
      </w:r>
      <w:r>
        <w:rPr>
          <w:color w:val="000000"/>
          <w:spacing w:val="0"/>
          <w:w w:val="100"/>
          <w:position w:val="0"/>
        </w:rPr>
        <w:t>，本公司与北京睿韬科技有限责任公司</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北京睿韬</w:t>
      </w:r>
      <w:r>
        <w:rPr>
          <w:rFonts w:ascii="Times New Roman" w:eastAsia="Times New Roman" w:hAnsi="Times New Roman" w:cs="Times New Roman"/>
          <w:color w:val="000000"/>
          <w:spacing w:val="0"/>
          <w:w w:val="100"/>
          <w:position w:val="0"/>
        </w:rPr>
        <w:t>”）</w:t>
      </w:r>
      <w:r>
        <w:rPr>
          <w:color w:val="000000"/>
          <w:spacing w:val="0"/>
          <w:w w:val="100"/>
          <w:position w:val="0"/>
        </w:rPr>
        <w:t>以及宁波镇海翔易融联投资管理合伙</w:t>
      </w:r>
      <w:r>
        <w:rPr>
          <w:rFonts w:ascii="Times New Roman" w:eastAsia="Times New Roman" w:hAnsi="Times New Roman" w:cs="Times New Roman"/>
          <w:color w:val="000000"/>
          <w:spacing w:val="0"/>
          <w:w w:val="100"/>
          <w:position w:val="0"/>
        </w:rPr>
        <w:t>（</w:t>
      </w:r>
      <w:r>
        <w:rPr>
          <w:color w:val="000000"/>
          <w:spacing w:val="0"/>
          <w:w w:val="100"/>
          <w:position w:val="0"/>
        </w:rPr>
        <w:t>有限公 司</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宁波翔易</w:t>
      </w:r>
      <w:r>
        <w:rPr>
          <w:rFonts w:ascii="Times New Roman" w:eastAsia="Times New Roman" w:hAnsi="Times New Roman" w:cs="Times New Roman"/>
          <w:color w:val="000000"/>
          <w:spacing w:val="0"/>
          <w:w w:val="100"/>
          <w:position w:val="0"/>
        </w:rPr>
        <w:t>”）</w:t>
      </w:r>
      <w:r>
        <w:rPr>
          <w:color w:val="000000"/>
          <w:spacing w:val="0"/>
          <w:w w:val="100"/>
          <w:position w:val="0"/>
        </w:rPr>
        <w:t>签订《高伟达软件股份有限公司与上海睿民互联网科技有限公司全体股东之发行股份及支付现金购买资 产协议》及《盈利预测补偿协议》，本公司向北京睿韬发行</w:t>
      </w:r>
      <w:r>
        <w:rPr>
          <w:rFonts w:ascii="Times New Roman" w:eastAsia="Times New Roman" w:hAnsi="Times New Roman" w:cs="Times New Roman"/>
          <w:color w:val="000000"/>
          <w:spacing w:val="0"/>
          <w:w w:val="100"/>
          <w:position w:val="0"/>
        </w:rPr>
        <w:t>14,076.00</w:t>
      </w:r>
      <w:r>
        <w:rPr>
          <w:color w:val="000000"/>
          <w:spacing w:val="0"/>
          <w:w w:val="100"/>
          <w:position w:val="0"/>
        </w:rPr>
        <w:t>万元等值股票，并支付</w:t>
      </w:r>
      <w:r>
        <w:rPr>
          <w:rFonts w:ascii="Times New Roman" w:eastAsia="Times New Roman" w:hAnsi="Times New Roman" w:cs="Times New Roman"/>
          <w:color w:val="000000"/>
          <w:spacing w:val="0"/>
          <w:w w:val="100"/>
          <w:position w:val="0"/>
        </w:rPr>
        <w:t>3,924.00</w:t>
      </w:r>
      <w:r>
        <w:rPr>
          <w:color w:val="000000"/>
          <w:spacing w:val="0"/>
          <w:w w:val="100"/>
          <w:position w:val="0"/>
        </w:rPr>
        <w:t>万元现金收购其持有的 上海睿民互联网科技有限公司</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上海睿民</w:t>
      </w:r>
      <w:r>
        <w:rPr>
          <w:rFonts w:ascii="Times New Roman" w:eastAsia="Times New Roman" w:hAnsi="Times New Roman" w:cs="Times New Roman"/>
          <w:color w:val="000000"/>
          <w:spacing w:val="0"/>
          <w:w w:val="100"/>
          <w:position w:val="0"/>
        </w:rPr>
        <w:t>”）60.00%</w:t>
      </w:r>
      <w:r>
        <w:rPr>
          <w:color w:val="000000"/>
          <w:spacing w:val="0"/>
          <w:w w:val="100"/>
          <w:position w:val="0"/>
        </w:rPr>
        <w:t>的股权；向宁波翔易发行</w:t>
      </w:r>
      <w:r>
        <w:rPr>
          <w:rFonts w:ascii="Times New Roman" w:eastAsia="Times New Roman" w:hAnsi="Times New Roman" w:cs="Times New Roman"/>
          <w:color w:val="000000"/>
          <w:spacing w:val="0"/>
          <w:w w:val="100"/>
          <w:position w:val="0"/>
        </w:rPr>
        <w:t>9,384.00</w:t>
      </w:r>
      <w:r>
        <w:rPr>
          <w:color w:val="000000"/>
          <w:spacing w:val="0"/>
          <w:w w:val="100"/>
          <w:position w:val="0"/>
        </w:rPr>
        <w:t>万元等值股票并支付</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,616.00</w:t>
      </w:r>
      <w:r>
        <w:rPr>
          <w:color w:val="000000"/>
          <w:spacing w:val="0"/>
          <w:w w:val="100"/>
          <w:position w:val="0"/>
        </w:rPr>
        <w:t>万元现 金收购其持有的上海睿民</w:t>
      </w:r>
      <w:r>
        <w:rPr>
          <w:rFonts w:ascii="Times New Roman" w:eastAsia="Times New Roman" w:hAnsi="Times New Roman" w:cs="Times New Roman"/>
          <w:color w:val="000000"/>
          <w:spacing w:val="0"/>
          <w:w w:val="100"/>
          <w:position w:val="0"/>
        </w:rPr>
        <w:t>40.00%</w:t>
      </w:r>
      <w:r>
        <w:rPr>
          <w:color w:val="000000"/>
          <w:spacing w:val="0"/>
          <w:w w:val="100"/>
          <w:position w:val="0"/>
        </w:rPr>
        <w:t>的股权。业绩承诺期间届满时，上海睿民于业绩承诺期内累计实际实现归属于母公司股东 的扣除非经常性损益后的净利润数超过累计承诺利润数，且在对赌期间内每一期的业绩承诺都完成的前提下，则本公司同意 将累计超额实现净利润</w:t>
      </w:r>
      <w:r>
        <w:rPr>
          <w:rFonts w:ascii="Times New Roman" w:eastAsia="Times New Roman" w:hAnsi="Times New Roman" w:cs="Times New Roman"/>
          <w:color w:val="000000"/>
          <w:spacing w:val="0"/>
          <w:w w:val="100"/>
          <w:position w:val="0"/>
        </w:rPr>
        <w:t>（</w:t>
      </w:r>
      <w:r>
        <w:rPr>
          <w:color w:val="000000"/>
          <w:spacing w:val="0"/>
          <w:w w:val="100"/>
          <w:position w:val="0"/>
        </w:rPr>
        <w:t>即累计实际实现净利润数</w:t>
      </w:r>
      <w:r>
        <w:rPr>
          <w:rFonts w:ascii="Times New Roman" w:eastAsia="Times New Roman" w:hAnsi="Times New Roman" w:cs="Times New Roman"/>
          <w:color w:val="000000"/>
          <w:spacing w:val="0"/>
          <w:w w:val="100"/>
          <w:position w:val="0"/>
        </w:rPr>
        <w:t>-</w:t>
      </w:r>
      <w:r>
        <w:rPr>
          <w:color w:val="000000"/>
          <w:spacing w:val="0"/>
          <w:w w:val="100"/>
          <w:position w:val="0"/>
        </w:rPr>
        <w:t>累计承诺净利润数</w:t>
      </w:r>
      <w:r>
        <w:rPr>
          <w:rFonts w:ascii="Times New Roman" w:eastAsia="Times New Roman" w:hAnsi="Times New Roman" w:cs="Times New Roman"/>
          <w:color w:val="000000"/>
          <w:spacing w:val="0"/>
          <w:w w:val="100"/>
          <w:position w:val="0"/>
        </w:rPr>
        <w:t>）</w:t>
      </w:r>
      <w:r>
        <w:rPr>
          <w:color w:val="000000"/>
          <w:spacing w:val="0"/>
          <w:w w:val="100"/>
          <w:position w:val="0"/>
        </w:rPr>
        <w:t xml:space="preserve">乘以届时本公司持有上海睿民股权的比例再乘以 </w:t>
      </w:r>
      <w:r>
        <w:rPr>
          <w:rFonts w:ascii="Times New Roman" w:eastAsia="Times New Roman" w:hAnsi="Times New Roman" w:cs="Times New Roman"/>
          <w:color w:val="000000"/>
          <w:spacing w:val="0"/>
          <w:w w:val="100"/>
          <w:position w:val="0"/>
        </w:rPr>
        <w:t>50.00%</w:t>
      </w:r>
      <w:r>
        <w:rPr>
          <w:color w:val="000000"/>
          <w:spacing w:val="0"/>
          <w:w w:val="100"/>
          <w:position w:val="0"/>
        </w:rPr>
        <w:t xml:space="preserve">的比例，由上海睿民按照本次交易前北京睿韬及宁波翔易持有上海睿民的持股比例进行分配。超额业绩奖励安排是 </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基于标的资产实际盈利数大于业绩承诺数的超额部分，且奖励总额不超过超额业绩部分的</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，且不超过交易对价的 </w:t>
      </w:r>
      <w:r>
        <w:rPr>
          <w:rFonts w:ascii="Times New Roman" w:eastAsia="Times New Roman" w:hAnsi="Times New Roman" w:cs="Times New Roman"/>
          <w:color w:val="000000"/>
          <w:spacing w:val="0"/>
          <w:w w:val="100"/>
          <w:position w:val="0"/>
        </w:rPr>
        <w:t>20.00%</w:t>
      </w:r>
      <w:r>
        <w:rPr>
          <w:color w:val="000000"/>
          <w:spacing w:val="0"/>
          <w:w w:val="100"/>
          <w:position w:val="0"/>
        </w:rPr>
        <w:t>。业绩承诺期为</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2 018</w:t>
      </w:r>
      <w:r>
        <w:rPr>
          <w:color w:val="000000"/>
          <w:spacing w:val="0"/>
          <w:w w:val="100"/>
          <w:position w:val="0"/>
        </w:rPr>
        <w:t>年，目前</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年已实现协议规定的承诺业绩。</w:t>
      </w:r>
    </w:p>
    <w:p>
      <w:pPr>
        <w:pStyle w:val="Style34"/>
        <w:keepNext w:val="0"/>
        <w:keepLines w:val="0"/>
        <w:widowControl w:val="0"/>
        <w:shd w:val="clear" w:color="auto" w:fill="auto"/>
        <w:bidi w:val="0"/>
        <w:spacing w:before="0" w:line="312" w:lineRule="exact"/>
        <w:ind w:left="0" w:right="0" w:firstLine="46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日，本公司已结清股权转让款。已实现超额业绩对价款</w:t>
      </w:r>
      <w:r>
        <w:rPr>
          <w:rFonts w:ascii="Times New Roman" w:eastAsia="Times New Roman" w:hAnsi="Times New Roman" w:cs="Times New Roman"/>
          <w:color w:val="000000"/>
          <w:spacing w:val="0"/>
          <w:w w:val="100"/>
          <w:position w:val="0"/>
        </w:rPr>
        <w:t>157.20</w:t>
      </w:r>
      <w:r>
        <w:rPr>
          <w:color w:val="000000"/>
          <w:spacing w:val="0"/>
          <w:w w:val="100"/>
          <w:position w:val="0"/>
        </w:rPr>
        <w:t>万元，尚未支付。</w:t>
      </w:r>
    </w:p>
    <w:p>
      <w:pPr>
        <w:pStyle w:val="Style34"/>
        <w:keepNext w:val="0"/>
        <w:keepLines w:val="0"/>
        <w:widowControl w:val="0"/>
        <w:shd w:val="clear" w:color="auto" w:fill="auto"/>
        <w:bidi w:val="0"/>
        <w:spacing w:before="0" w:after="0"/>
        <w:ind w:left="0" w:right="0" w:firstLine="460"/>
        <w:jc w:val="left"/>
      </w:pPr>
      <w:bookmarkStart w:id="2031" w:name="bookmark2031"/>
      <w:r>
        <w:rPr>
          <w:rFonts w:ascii="Times New Roman" w:eastAsia="Times New Roman" w:hAnsi="Times New Roman" w:cs="Times New Roman"/>
          <w:color w:val="000000"/>
          <w:spacing w:val="0"/>
          <w:w w:val="100"/>
          <w:position w:val="0"/>
        </w:rPr>
        <w:t>（</w:t>
      </w:r>
      <w:bookmarkEnd w:id="2031"/>
      <w:r>
        <w:rPr>
          <w:rFonts w:ascii="Times New Roman" w:eastAsia="Times New Roman" w:hAnsi="Times New Roman" w:cs="Times New Roman"/>
          <w:color w:val="000000"/>
          <w:spacing w:val="0"/>
          <w:w w:val="100"/>
          <w:position w:val="0"/>
        </w:rPr>
        <w:t>3）</w:t>
      </w:r>
      <w:r>
        <w:rPr>
          <w:color w:val="000000"/>
          <w:spacing w:val="0"/>
          <w:w w:val="100"/>
          <w:position w:val="0"/>
        </w:rPr>
        <w:t>收购深圳市快读科技有限公司</w:t>
      </w:r>
    </w:p>
    <w:p>
      <w:pPr>
        <w:pStyle w:val="Style34"/>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日，本公司与寿宁县恒力智信股权投资合伙企业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恒力智信</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（更名为五莲恒力智信股权 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）以及黄河签订《股权收购协议》，本公司向恒力智信及黄河支付</w:t>
      </w:r>
      <w:r>
        <w:rPr>
          <w:rFonts w:ascii="Times New Roman" w:eastAsia="Times New Roman" w:hAnsi="Times New Roman" w:cs="Times New Roman"/>
          <w:color w:val="000000"/>
          <w:spacing w:val="0"/>
          <w:w w:val="100"/>
          <w:position w:val="0"/>
        </w:rPr>
        <w:t>41,400.00</w:t>
      </w:r>
      <w:r>
        <w:rPr>
          <w:color w:val="000000"/>
          <w:spacing w:val="0"/>
          <w:w w:val="100"/>
          <w:position w:val="0"/>
        </w:rPr>
        <w:t>万元现金收购其持有的 深圳市快读科技有限公司</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快读科技</w:t>
      </w:r>
      <w:r>
        <w:rPr>
          <w:rFonts w:ascii="Times New Roman" w:eastAsia="Times New Roman" w:hAnsi="Times New Roman" w:cs="Times New Roman"/>
          <w:color w:val="000000"/>
          <w:spacing w:val="0"/>
          <w:w w:val="100"/>
          <w:position w:val="0"/>
        </w:rPr>
        <w:t>"）100.00%</w:t>
      </w:r>
      <w:r>
        <w:rPr>
          <w:color w:val="000000"/>
          <w:spacing w:val="0"/>
          <w:w w:val="100"/>
          <w:position w:val="0"/>
        </w:rPr>
        <w:t>的股权。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日本公司与恒力智信、黄河签订了《关于深圳市快 读科技有限公司的股权收购协议之补充协议》。业绩承诺期为</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年，目前</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年已实现协议规定的承诺 业绩，</w:t>
      </w:r>
      <w:r>
        <w:rPr>
          <w:rFonts w:ascii="Times New Roman" w:eastAsia="Times New Roman" w:hAnsi="Times New Roman" w:cs="Times New Roman"/>
          <w:color w:val="000000"/>
          <w:spacing w:val="0"/>
          <w:w w:val="100"/>
          <w:position w:val="0"/>
        </w:rPr>
        <w:t>2020</w:t>
      </w:r>
      <w:r>
        <w:rPr>
          <w:color w:val="000000"/>
          <w:spacing w:val="0"/>
          <w:w w:val="100"/>
          <w:position w:val="0"/>
        </w:rPr>
        <w:t>年按照约定需实现净利润</w:t>
      </w:r>
      <w:r>
        <w:rPr>
          <w:rFonts w:ascii="Times New Roman" w:eastAsia="Times New Roman" w:hAnsi="Times New Roman" w:cs="Times New Roman"/>
          <w:color w:val="000000"/>
          <w:spacing w:val="0"/>
          <w:w w:val="100"/>
          <w:position w:val="0"/>
        </w:rPr>
        <w:t>（</w:t>
      </w:r>
      <w:r>
        <w:rPr>
          <w:color w:val="000000"/>
          <w:spacing w:val="0"/>
          <w:w w:val="100"/>
          <w:position w:val="0"/>
        </w:rPr>
        <w:t>扣除非经常性损益后归属于母公司所有者的净利润</w:t>
      </w:r>
      <w:r>
        <w:rPr>
          <w:rFonts w:ascii="Times New Roman" w:eastAsia="Times New Roman" w:hAnsi="Times New Roman" w:cs="Times New Roman"/>
          <w:color w:val="000000"/>
          <w:spacing w:val="0"/>
          <w:w w:val="100"/>
          <w:position w:val="0"/>
        </w:rPr>
        <w:t>）5,470.00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年经审计的净 利润</w:t>
      </w:r>
      <w:r>
        <w:rPr>
          <w:rFonts w:ascii="Times New Roman" w:eastAsia="Times New Roman" w:hAnsi="Times New Roman" w:cs="Times New Roman"/>
          <w:color w:val="000000"/>
          <w:spacing w:val="0"/>
          <w:w w:val="100"/>
          <w:position w:val="0"/>
        </w:rPr>
        <w:t>（</w:t>
      </w:r>
      <w:r>
        <w:rPr>
          <w:color w:val="000000"/>
          <w:spacing w:val="0"/>
          <w:w w:val="100"/>
          <w:position w:val="0"/>
        </w:rPr>
        <w:t>扣除非经常性损益后归属于母公司所有者的净利润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4,681.56</w:t>
      </w:r>
      <w:r>
        <w:rPr>
          <w:color w:val="000000"/>
          <w:spacing w:val="0"/>
          <w:w w:val="100"/>
          <w:position w:val="0"/>
        </w:rPr>
        <w:t>万元。</w:t>
      </w:r>
    </w:p>
    <w:p>
      <w:pPr>
        <w:pStyle w:val="Style3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快读科技公司</w:t>
      </w:r>
      <w:r>
        <w:rPr>
          <w:rFonts w:ascii="Times New Roman" w:eastAsia="Times New Roman" w:hAnsi="Times New Roman" w:cs="Times New Roman"/>
          <w:color w:val="000000"/>
          <w:spacing w:val="0"/>
          <w:w w:val="100"/>
          <w:position w:val="0"/>
        </w:rPr>
        <w:t>2020</w:t>
      </w:r>
      <w:r>
        <w:rPr>
          <w:color w:val="000000"/>
          <w:spacing w:val="0"/>
          <w:w w:val="100"/>
          <w:position w:val="0"/>
        </w:rPr>
        <w:t>年实际税后净利润未能实现承诺税后净利润的，则根据利润实现情况，按以下约定分别执行：</w:t>
      </w:r>
    </w:p>
    <w:p>
      <w:pPr>
        <w:pStyle w:val="Style34"/>
        <w:keepNext w:val="0"/>
        <w:keepLines w:val="0"/>
        <w:widowControl w:val="0"/>
        <w:shd w:val="clear" w:color="auto" w:fill="auto"/>
        <w:tabs>
          <w:tab w:pos="790" w:val="left"/>
        </w:tabs>
        <w:bidi w:val="0"/>
        <w:spacing w:before="0" w:after="0" w:line="312" w:lineRule="exact"/>
        <w:ind w:left="0" w:right="0" w:firstLine="460"/>
        <w:jc w:val="left"/>
      </w:pPr>
      <w:bookmarkStart w:id="2032" w:name="bookmark2032"/>
      <w:r>
        <w:rPr>
          <w:rFonts w:ascii="Times New Roman" w:eastAsia="Times New Roman" w:hAnsi="Times New Roman" w:cs="Times New Roman"/>
          <w:color w:val="000000"/>
          <w:spacing w:val="0"/>
          <w:w w:val="100"/>
          <w:position w:val="0"/>
        </w:rPr>
        <w:t>a</w:t>
      </w:r>
      <w:bookmarkEnd w:id="2032"/>
      <w:r>
        <w:rPr>
          <w:rFonts w:ascii="Times New Roman" w:eastAsia="Times New Roman" w:hAnsi="Times New Roman" w:cs="Times New Roman"/>
          <w:color w:val="000000"/>
          <w:spacing w:val="0"/>
          <w:w w:val="100"/>
          <w:position w:val="0"/>
        </w:rPr>
        <w:t>）</w:t>
        <w:tab/>
      </w:r>
      <w:r>
        <w:rPr>
          <w:color w:val="000000"/>
          <w:spacing w:val="0"/>
          <w:w w:val="100"/>
          <w:position w:val="0"/>
        </w:rPr>
        <w:t>如实际税后净利润超过</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承诺税后净利润的</w:t>
      </w:r>
      <w:r>
        <w:rPr>
          <w:rFonts w:ascii="Times New Roman" w:eastAsia="Times New Roman" w:hAnsi="Times New Roman" w:cs="Times New Roman"/>
          <w:color w:val="000000"/>
          <w:spacing w:val="0"/>
          <w:w w:val="100"/>
          <w:position w:val="0"/>
        </w:rPr>
        <w:t>80%</w:t>
      </w:r>
      <w:r>
        <w:rPr>
          <w:color w:val="000000"/>
          <w:spacing w:val="0"/>
          <w:w w:val="100"/>
          <w:position w:val="0"/>
        </w:rPr>
        <w:t>，则按约定按照如下公式支付转让款：</w:t>
      </w:r>
    </w:p>
    <w:p>
      <w:pPr>
        <w:pStyle w:val="Style3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实际支付转让款</w:t>
      </w:r>
      <w:r>
        <w:rPr>
          <w:rFonts w:ascii="Times New Roman" w:eastAsia="Times New Roman" w:hAnsi="Times New Roman" w:cs="Times New Roman"/>
          <w:color w:val="000000"/>
          <w:spacing w:val="0"/>
          <w:w w:val="100"/>
          <w:position w:val="0"/>
        </w:rPr>
        <w:t>=</w:t>
      </w:r>
      <w:r>
        <w:rPr>
          <w:color w:val="000000"/>
          <w:spacing w:val="0"/>
          <w:w w:val="100"/>
          <w:position w:val="0"/>
        </w:rPr>
        <w:t>全部第五期转让款</w:t>
      </w:r>
      <w:r>
        <w:rPr>
          <w:rFonts w:ascii="Times New Roman" w:eastAsia="Times New Roman" w:hAnsi="Times New Roman" w:cs="Times New Roman"/>
          <w:color w:val="000000"/>
          <w:spacing w:val="0"/>
          <w:w w:val="100"/>
          <w:position w:val="0"/>
        </w:rPr>
        <w:t>X</w:t>
      </w:r>
      <w:r>
        <w:rPr>
          <w:color w:val="000000"/>
          <w:spacing w:val="0"/>
          <w:w w:val="100"/>
          <w:position w:val="0"/>
        </w:rPr>
        <w:t>（</w:t>
      </w:r>
      <w:r>
        <w:rPr>
          <w:color w:val="000000"/>
          <w:spacing w:val="0"/>
          <w:w w:val="100"/>
          <w:position w:val="0"/>
        </w:rPr>
        <w:t>实际税后净利润</w:t>
      </w:r>
      <w:r>
        <w:rPr>
          <w:rFonts w:ascii="Times New Roman" w:eastAsia="Times New Roman" w:hAnsi="Times New Roman" w:cs="Times New Roman"/>
          <w:color w:val="000000"/>
          <w:spacing w:val="0"/>
          <w:w w:val="100"/>
          <w:position w:val="0"/>
        </w:rPr>
        <w:t>/</w:t>
      </w:r>
      <w:r>
        <w:rPr>
          <w:color w:val="000000"/>
          <w:spacing w:val="0"/>
          <w:w w:val="100"/>
          <w:position w:val="0"/>
        </w:rPr>
        <w:t>承诺税后净利润</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tabs>
          <w:tab w:pos="762" w:val="left"/>
        </w:tabs>
        <w:bidi w:val="0"/>
        <w:spacing w:before="0" w:after="0" w:line="312" w:lineRule="exact"/>
        <w:ind w:left="0" w:right="0" w:firstLine="460"/>
        <w:jc w:val="both"/>
      </w:pPr>
      <w:bookmarkStart w:id="2033" w:name="bookmark2033"/>
      <w:r>
        <w:rPr>
          <w:rFonts w:ascii="Times New Roman" w:eastAsia="Times New Roman" w:hAnsi="Times New Roman" w:cs="Times New Roman"/>
          <w:color w:val="000000"/>
          <w:spacing w:val="0"/>
          <w:w w:val="100"/>
          <w:position w:val="0"/>
        </w:rPr>
        <w:t>b</w:t>
      </w:r>
      <w:bookmarkEnd w:id="2033"/>
      <w:r>
        <w:rPr>
          <w:rFonts w:ascii="Times New Roman" w:eastAsia="Times New Roman" w:hAnsi="Times New Roman" w:cs="Times New Roman"/>
          <w:color w:val="000000"/>
          <w:spacing w:val="0"/>
          <w:w w:val="100"/>
          <w:position w:val="0"/>
        </w:rPr>
        <w:t>）</w:t>
        <w:tab/>
      </w:r>
      <w:r>
        <w:rPr>
          <w:color w:val="000000"/>
          <w:spacing w:val="0"/>
          <w:w w:val="100"/>
          <w:position w:val="0"/>
        </w:rPr>
        <w:t>如实际税后净利润低于</w:t>
      </w:r>
      <w:r>
        <w:rPr>
          <w:rFonts w:ascii="Times New Roman" w:eastAsia="Times New Roman" w:hAnsi="Times New Roman" w:cs="Times New Roman"/>
          <w:color w:val="000000"/>
          <w:spacing w:val="0"/>
          <w:w w:val="100"/>
          <w:position w:val="0"/>
        </w:rPr>
        <w:t>（</w:t>
      </w:r>
      <w:r>
        <w:rPr>
          <w:color w:val="000000"/>
          <w:spacing w:val="0"/>
          <w:w w:val="100"/>
          <w:position w:val="0"/>
        </w:rPr>
        <w:t>不含</w:t>
      </w:r>
      <w:r>
        <w:rPr>
          <w:rFonts w:ascii="Times New Roman" w:eastAsia="Times New Roman" w:hAnsi="Times New Roman" w:cs="Times New Roman"/>
          <w:color w:val="000000"/>
          <w:spacing w:val="0"/>
          <w:w w:val="100"/>
          <w:position w:val="0"/>
        </w:rPr>
        <w:t>）</w:t>
      </w:r>
      <w:r>
        <w:rPr>
          <w:color w:val="000000"/>
          <w:spacing w:val="0"/>
          <w:w w:val="100"/>
          <w:position w:val="0"/>
        </w:rPr>
        <w:t>承诺税后净利润的</w:t>
      </w:r>
      <w:r>
        <w:rPr>
          <w:rFonts w:ascii="Times New Roman" w:eastAsia="Times New Roman" w:hAnsi="Times New Roman" w:cs="Times New Roman"/>
          <w:color w:val="000000"/>
          <w:spacing w:val="0"/>
          <w:w w:val="100"/>
          <w:position w:val="0"/>
        </w:rPr>
        <w:t>80%</w:t>
      </w:r>
      <w:r>
        <w:rPr>
          <w:color w:val="000000"/>
          <w:spacing w:val="0"/>
          <w:w w:val="100"/>
          <w:position w:val="0"/>
        </w:rPr>
        <w:t>但超过</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承诺税后净利润的</w:t>
      </w:r>
      <w:r>
        <w:rPr>
          <w:rFonts w:ascii="Times New Roman" w:eastAsia="Times New Roman" w:hAnsi="Times New Roman" w:cs="Times New Roman"/>
          <w:color w:val="000000"/>
          <w:spacing w:val="0"/>
          <w:w w:val="100"/>
          <w:position w:val="0"/>
        </w:rPr>
        <w:t>50%</w:t>
      </w:r>
      <w:r>
        <w:rPr>
          <w:color w:val="000000"/>
          <w:spacing w:val="0"/>
          <w:w w:val="100"/>
          <w:position w:val="0"/>
        </w:rPr>
        <w:t>，则收购方根据约定支付</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万元；</w:t>
      </w:r>
    </w:p>
    <w:p>
      <w:pPr>
        <w:pStyle w:val="Style34"/>
        <w:keepNext w:val="0"/>
        <w:keepLines w:val="0"/>
        <w:widowControl w:val="0"/>
        <w:shd w:val="clear" w:color="auto" w:fill="auto"/>
        <w:tabs>
          <w:tab w:pos="766" w:val="left"/>
        </w:tabs>
        <w:bidi w:val="0"/>
        <w:spacing w:before="0" w:after="0" w:line="312" w:lineRule="exact"/>
        <w:ind w:left="0" w:right="0" w:firstLine="460"/>
        <w:jc w:val="both"/>
      </w:pPr>
      <w:bookmarkStart w:id="2034" w:name="bookmark2034"/>
      <w:r>
        <w:rPr>
          <w:rFonts w:ascii="Times New Roman" w:eastAsia="Times New Roman" w:hAnsi="Times New Roman" w:cs="Times New Roman"/>
          <w:color w:val="000000"/>
          <w:spacing w:val="0"/>
          <w:w w:val="100"/>
          <w:position w:val="0"/>
        </w:rPr>
        <w:t>c</w:t>
      </w:r>
      <w:bookmarkEnd w:id="2034"/>
      <w:r>
        <w:rPr>
          <w:rFonts w:ascii="Times New Roman" w:eastAsia="Times New Roman" w:hAnsi="Times New Roman" w:cs="Times New Roman"/>
          <w:color w:val="000000"/>
          <w:spacing w:val="0"/>
          <w:w w:val="100"/>
          <w:position w:val="0"/>
        </w:rPr>
        <w:t>）</w:t>
        <w:tab/>
      </w:r>
      <w:r>
        <w:rPr>
          <w:color w:val="000000"/>
          <w:spacing w:val="0"/>
          <w:w w:val="100"/>
          <w:position w:val="0"/>
        </w:rPr>
        <w:t>如实际税后净利润低于</w:t>
      </w:r>
      <w:r>
        <w:rPr>
          <w:rFonts w:ascii="Times New Roman" w:eastAsia="Times New Roman" w:hAnsi="Times New Roman" w:cs="Times New Roman"/>
          <w:color w:val="000000"/>
          <w:spacing w:val="0"/>
          <w:w w:val="100"/>
          <w:position w:val="0"/>
        </w:rPr>
        <w:t>（</w:t>
      </w:r>
      <w:r>
        <w:rPr>
          <w:color w:val="000000"/>
          <w:spacing w:val="0"/>
          <w:w w:val="100"/>
          <w:position w:val="0"/>
        </w:rPr>
        <w:t>不含</w:t>
      </w:r>
      <w:r>
        <w:rPr>
          <w:rFonts w:ascii="Times New Roman" w:eastAsia="Times New Roman" w:hAnsi="Times New Roman" w:cs="Times New Roman"/>
          <w:color w:val="000000"/>
          <w:spacing w:val="0"/>
          <w:w w:val="100"/>
          <w:position w:val="0"/>
        </w:rPr>
        <w:t>）</w:t>
      </w:r>
      <w:r>
        <w:rPr>
          <w:color w:val="000000"/>
          <w:spacing w:val="0"/>
          <w:w w:val="100"/>
          <w:position w:val="0"/>
        </w:rPr>
        <w:t>承诺税后净利润的</w:t>
      </w:r>
      <w:r>
        <w:rPr>
          <w:rFonts w:ascii="Times New Roman" w:eastAsia="Times New Roman" w:hAnsi="Times New Roman" w:cs="Times New Roman"/>
          <w:color w:val="000000"/>
          <w:spacing w:val="0"/>
          <w:w w:val="100"/>
          <w:position w:val="0"/>
        </w:rPr>
        <w:t>50%</w:t>
      </w:r>
      <w:r>
        <w:rPr>
          <w:color w:val="000000"/>
          <w:spacing w:val="0"/>
          <w:w w:val="100"/>
          <w:position w:val="0"/>
        </w:rPr>
        <w:t>但超过</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承诺税后净利润的</w:t>
      </w:r>
      <w:r>
        <w:rPr>
          <w:rFonts w:ascii="Times New Roman" w:eastAsia="Times New Roman" w:hAnsi="Times New Roman" w:cs="Times New Roman"/>
          <w:color w:val="000000"/>
          <w:spacing w:val="0"/>
          <w:w w:val="100"/>
          <w:position w:val="0"/>
        </w:rPr>
        <w:t>40%</w:t>
      </w:r>
      <w:r>
        <w:rPr>
          <w:color w:val="000000"/>
          <w:spacing w:val="0"/>
          <w:w w:val="100"/>
          <w:position w:val="0"/>
        </w:rPr>
        <w:t>，则收购方根据约定支付</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万元；</w:t>
      </w:r>
    </w:p>
    <w:p>
      <w:pPr>
        <w:pStyle w:val="Style34"/>
        <w:keepNext w:val="0"/>
        <w:keepLines w:val="0"/>
        <w:widowControl w:val="0"/>
        <w:shd w:val="clear" w:color="auto" w:fill="auto"/>
        <w:tabs>
          <w:tab w:pos="809" w:val="left"/>
        </w:tabs>
        <w:bidi w:val="0"/>
        <w:spacing w:before="0" w:after="0" w:line="312" w:lineRule="exact"/>
        <w:ind w:left="0" w:right="0" w:firstLine="460"/>
        <w:jc w:val="both"/>
      </w:pPr>
      <w:bookmarkStart w:id="2035" w:name="bookmark2035"/>
      <w:r>
        <w:rPr>
          <w:rFonts w:ascii="Times New Roman" w:eastAsia="Times New Roman" w:hAnsi="Times New Roman" w:cs="Times New Roman"/>
          <w:color w:val="000000"/>
          <w:spacing w:val="0"/>
          <w:w w:val="100"/>
          <w:position w:val="0"/>
        </w:rPr>
        <w:t>d</w:t>
      </w:r>
      <w:bookmarkEnd w:id="2035"/>
      <w:r>
        <w:rPr>
          <w:rFonts w:ascii="Times New Roman" w:eastAsia="Times New Roman" w:hAnsi="Times New Roman" w:cs="Times New Roman"/>
          <w:color w:val="000000"/>
          <w:spacing w:val="0"/>
          <w:w w:val="100"/>
          <w:position w:val="0"/>
        </w:rPr>
        <w:t>）</w:t>
        <w:tab/>
      </w:r>
      <w:r>
        <w:rPr>
          <w:color w:val="000000"/>
          <w:spacing w:val="0"/>
          <w:w w:val="100"/>
          <w:position w:val="0"/>
        </w:rPr>
        <w:t>如实际税后净利润低于</w:t>
      </w:r>
      <w:r>
        <w:rPr>
          <w:rFonts w:ascii="Times New Roman" w:eastAsia="Times New Roman" w:hAnsi="Times New Roman" w:cs="Times New Roman"/>
          <w:color w:val="000000"/>
          <w:spacing w:val="0"/>
          <w:w w:val="100"/>
          <w:position w:val="0"/>
        </w:rPr>
        <w:t>（</w:t>
      </w:r>
      <w:r>
        <w:rPr>
          <w:color w:val="000000"/>
          <w:spacing w:val="0"/>
          <w:w w:val="100"/>
          <w:position w:val="0"/>
        </w:rPr>
        <w:t>不含</w:t>
      </w:r>
      <w:r>
        <w:rPr>
          <w:rFonts w:ascii="Times New Roman" w:eastAsia="Times New Roman" w:hAnsi="Times New Roman" w:cs="Times New Roman"/>
          <w:color w:val="000000"/>
          <w:spacing w:val="0"/>
          <w:w w:val="100"/>
          <w:position w:val="0"/>
        </w:rPr>
        <w:t>）</w:t>
      </w:r>
      <w:r>
        <w:rPr>
          <w:color w:val="000000"/>
          <w:spacing w:val="0"/>
          <w:w w:val="100"/>
          <w:position w:val="0"/>
        </w:rPr>
        <w:t>承诺税后净利润的</w:t>
      </w:r>
      <w:r>
        <w:rPr>
          <w:rFonts w:ascii="Times New Roman" w:eastAsia="Times New Roman" w:hAnsi="Times New Roman" w:cs="Times New Roman"/>
          <w:color w:val="000000"/>
          <w:spacing w:val="0"/>
          <w:w w:val="100"/>
          <w:position w:val="0"/>
        </w:rPr>
        <w:t>40%</w:t>
      </w:r>
      <w:r>
        <w:rPr>
          <w:color w:val="000000"/>
          <w:spacing w:val="0"/>
          <w:w w:val="100"/>
          <w:position w:val="0"/>
        </w:rPr>
        <w:t>，则收购方将不支付第五期转让款。</w:t>
      </w:r>
    </w:p>
    <w:p>
      <w:pPr>
        <w:pStyle w:val="Style34"/>
        <w:keepNext w:val="0"/>
        <w:keepLines w:val="0"/>
        <w:widowControl w:val="0"/>
        <w:shd w:val="clear" w:color="auto" w:fill="auto"/>
        <w:bidi w:val="0"/>
        <w:spacing w:before="0" w:line="312" w:lineRule="exact"/>
        <w:ind w:left="0" w:right="0" w:firstLine="46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日，本公司已支付原股东股权转让款</w:t>
      </w:r>
      <w:r>
        <w:rPr>
          <w:rFonts w:ascii="Times New Roman" w:eastAsia="Times New Roman" w:hAnsi="Times New Roman" w:cs="Times New Roman"/>
          <w:color w:val="000000"/>
          <w:spacing w:val="0"/>
          <w:w w:val="100"/>
          <w:position w:val="0"/>
        </w:rPr>
        <w:t>24,280.00</w:t>
      </w:r>
      <w:r>
        <w:rPr>
          <w:color w:val="000000"/>
          <w:spacing w:val="0"/>
          <w:w w:val="100"/>
          <w:position w:val="0"/>
        </w:rPr>
        <w:t>万元，尚未支付股权转让款</w:t>
      </w:r>
      <w:r>
        <w:rPr>
          <w:rFonts w:ascii="Times New Roman" w:eastAsia="Times New Roman" w:hAnsi="Times New Roman" w:cs="Times New Roman"/>
          <w:color w:val="000000"/>
          <w:spacing w:val="0"/>
          <w:w w:val="100"/>
          <w:position w:val="0"/>
        </w:rPr>
        <w:t>14,652.35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已扣除未实 现承诺税后净利润之扣款</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numPr>
          <w:ilvl w:val="0"/>
          <w:numId w:val="189"/>
        </w:numPr>
        <w:shd w:val="clear" w:color="auto" w:fill="auto"/>
        <w:bidi w:val="0"/>
        <w:spacing w:before="0" w:after="0"/>
        <w:ind w:left="0" w:right="0" w:firstLine="320"/>
        <w:jc w:val="left"/>
      </w:pPr>
      <w:bookmarkStart w:id="2036" w:name="bookmark2036"/>
      <w:bookmarkEnd w:id="2036"/>
      <w:r>
        <w:rPr>
          <w:color w:val="000000"/>
          <w:spacing w:val="0"/>
          <w:w w:val="100"/>
          <w:position w:val="0"/>
        </w:rPr>
        <w:t>其他重大财务承诺事项</w:t>
      </w:r>
    </w:p>
    <w:p>
      <w:pPr>
        <w:pStyle w:val="Style34"/>
        <w:keepNext w:val="0"/>
        <w:keepLines w:val="0"/>
        <w:widowControl w:val="0"/>
        <w:shd w:val="clear" w:color="auto" w:fill="auto"/>
        <w:bidi w:val="0"/>
        <w:spacing w:before="0" w:line="312" w:lineRule="exact"/>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）合并范围内公司之间的财产抵押、质押担保情况，详见本财务报表附注十二</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）3“</w:t>
      </w:r>
      <w:r>
        <w:rPr>
          <w:color w:val="000000"/>
          <w:spacing w:val="0"/>
          <w:w w:val="100"/>
          <w:position w:val="0"/>
        </w:rPr>
        <w:t>本公司合并范围内公司之间的担</w:t>
      </w:r>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保情况</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）合并范围内各公司为自身对外借款进行的财产抵押担保情况</w:t>
      </w:r>
      <w:r>
        <w:rPr>
          <w:rFonts w:ascii="Times New Roman" w:eastAsia="Times New Roman" w:hAnsi="Times New Roman" w:cs="Times New Roman"/>
          <w:color w:val="000000"/>
          <w:spacing w:val="0"/>
          <w:w w:val="100"/>
          <w:position w:val="0"/>
        </w:rPr>
        <w:t>（</w:t>
      </w:r>
      <w:r>
        <w:rPr>
          <w:color w:val="000000"/>
          <w:spacing w:val="0"/>
          <w:w w:val="100"/>
          <w:position w:val="0"/>
        </w:rPr>
        <w:t>单位：万元</w:t>
      </w:r>
      <w:r>
        <w:rPr>
          <w:rFonts w:ascii="Times New Roman" w:eastAsia="Times New Roman" w:hAnsi="Times New Roman" w:cs="Times New Roman"/>
          <w:color w:val="000000"/>
          <w:spacing w:val="0"/>
          <w:w w:val="100"/>
          <w:position w:val="0"/>
        </w:rPr>
        <w:t>）</w:t>
      </w:r>
    </w:p>
    <w:tbl>
      <w:tblPr>
        <w:tblOverlap w:val="never"/>
        <w:jc w:val="left"/>
        <w:tblLayout w:type="fixed"/>
      </w:tblPr>
      <w:tblGrid>
        <w:gridCol w:w="1397"/>
        <w:gridCol w:w="1867"/>
        <w:gridCol w:w="1056"/>
        <w:gridCol w:w="1056"/>
        <w:gridCol w:w="1056"/>
        <w:gridCol w:w="1051"/>
        <w:gridCol w:w="1066"/>
      </w:tblGrid>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担保单位</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抵押权人</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抵押标的物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right"/>
            </w:pPr>
            <w:r>
              <w:rPr>
                <w:color w:val="000000"/>
                <w:spacing w:val="0"/>
                <w:w w:val="100"/>
                <w:position w:val="0"/>
              </w:rPr>
              <w:t>抵押物 账面原值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right"/>
            </w:pPr>
            <w:r>
              <w:rPr>
                <w:color w:val="000000"/>
                <w:spacing w:val="0"/>
                <w:w w:val="100"/>
                <w:position w:val="0"/>
              </w:rPr>
              <w:t>抵押物 账面价值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担保借款余</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额</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借款到期日</w:t>
            </w:r>
          </w:p>
        </w:tc>
      </w:tr>
      <w:tr>
        <w:trPr>
          <w:trHeight w:val="66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高伟达软件股份</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南洋商业银行</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不动产</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6,199.03</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5,698.01</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3,960.00</w:t>
            </w:r>
          </w:p>
        </w:tc>
        <w:tc>
          <w:tcPr>
            <w:tcBorders>
              <w:top w:val="single" w:sz="4"/>
              <w:left w:val="single" w:sz="4"/>
              <w:bottom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2023-6-30</w:t>
            </w:r>
          </w:p>
        </w:tc>
      </w:tr>
    </w:tbl>
    <w:p>
      <w:pPr>
        <w:pStyle w:val="Style45"/>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本公司已于</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日偿还该笔借款</w:t>
      </w:r>
      <w:r>
        <w:rPr>
          <w:rFonts w:ascii="Times New Roman" w:eastAsia="Times New Roman" w:hAnsi="Times New Roman" w:cs="Times New Roman"/>
          <w:color w:val="000000"/>
          <w:spacing w:val="0"/>
          <w:w w:val="100"/>
          <w:position w:val="0"/>
          <w:sz w:val="15"/>
          <w:szCs w:val="15"/>
        </w:rPr>
        <w:t>3,960</w:t>
      </w:r>
      <w:r>
        <w:rPr>
          <w:color w:val="000000"/>
          <w:spacing w:val="0"/>
          <w:w w:val="100"/>
          <w:position w:val="0"/>
          <w:sz w:val="15"/>
          <w:szCs w:val="15"/>
        </w:rPr>
        <w:t>万元，该笔担保己全部解除。</w:t>
      </w:r>
    </w:p>
    <w:p>
      <w:pPr>
        <w:pStyle w:val="Style34"/>
        <w:keepNext w:val="0"/>
        <w:keepLines w:val="0"/>
        <w:widowControl w:val="0"/>
        <w:shd w:val="clear" w:color="auto" w:fill="auto"/>
        <w:bidi w:val="0"/>
        <w:spacing w:before="0" w:after="0" w:line="317" w:lineRule="exact"/>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）合并范围内无各公司为自身对外借款进行的财产质押担保情况。</w:t>
      </w:r>
    </w:p>
    <w:p>
      <w:pPr>
        <w:pStyle w:val="Style34"/>
        <w:keepNext w:val="0"/>
        <w:keepLines w:val="0"/>
        <w:widowControl w:val="0"/>
        <w:numPr>
          <w:ilvl w:val="0"/>
          <w:numId w:val="189"/>
        </w:numPr>
        <w:shd w:val="clear" w:color="auto" w:fill="auto"/>
        <w:bidi w:val="0"/>
        <w:spacing w:before="0" w:after="380" w:line="317" w:lineRule="exact"/>
        <w:ind w:left="0" w:right="0" w:firstLine="200"/>
        <w:jc w:val="left"/>
      </w:pPr>
      <w:bookmarkStart w:id="2037" w:name="bookmark2037"/>
      <w:bookmarkEnd w:id="2037"/>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本公司因履约、投标等事项申请开具的尚未到期或解约的银行保函金额</w:t>
      </w:r>
      <w:r>
        <w:rPr>
          <w:rFonts w:ascii="Times New Roman" w:eastAsia="Times New Roman" w:hAnsi="Times New Roman" w:cs="Times New Roman"/>
          <w:color w:val="000000"/>
          <w:spacing w:val="0"/>
          <w:w w:val="100"/>
          <w:position w:val="0"/>
        </w:rPr>
        <w:t>55,323,214.07</w:t>
      </w:r>
      <w:r>
        <w:rPr>
          <w:color w:val="000000"/>
          <w:spacing w:val="0"/>
          <w:w w:val="100"/>
          <w:position w:val="0"/>
        </w:rPr>
        <w:t>元，已开 出未到期的银行承兑汇票</w:t>
      </w:r>
      <w:r>
        <w:rPr>
          <w:rFonts w:ascii="Times New Roman" w:eastAsia="Times New Roman" w:hAnsi="Times New Roman" w:cs="Times New Roman"/>
          <w:color w:val="000000"/>
          <w:spacing w:val="0"/>
          <w:w w:val="100"/>
          <w:position w:val="0"/>
        </w:rPr>
        <w:t>214,987,261.00</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038"/>
      <w:bookmarkEnd w:id="2039"/>
      <w:bookmarkEnd w:id="2040"/>
    </w:p>
    <w:p>
      <w:pPr>
        <w:pStyle w:val="Style38"/>
        <w:keepNext/>
        <w:keepLines/>
        <w:widowControl w:val="0"/>
        <w:shd w:val="clear" w:color="auto" w:fill="auto"/>
        <w:bidi w:val="0"/>
        <w:spacing w:before="0" w:after="280" w:line="240" w:lineRule="auto"/>
        <w:ind w:left="0" w:right="0" w:firstLine="0"/>
        <w:jc w:val="left"/>
      </w:pPr>
      <w:bookmarkStart w:id="2038" w:name="bookmark2038"/>
      <w:bookmarkStart w:id="2039" w:name="bookmark2039"/>
      <w:bookmarkStart w:id="2041" w:name="bookmark20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38"/>
      <w:bookmarkEnd w:id="2039"/>
      <w:bookmarkEnd w:id="2041"/>
    </w:p>
    <w:p>
      <w:pPr>
        <w:pStyle w:val="Style34"/>
        <w:keepNext w:val="0"/>
        <w:keepLines w:val="0"/>
        <w:widowControl w:val="0"/>
        <w:shd w:val="clear" w:color="auto" w:fill="auto"/>
        <w:tabs>
          <w:tab w:pos="334" w:val="left"/>
        </w:tabs>
        <w:bidi w:val="0"/>
        <w:spacing w:before="0" w:after="0" w:line="317" w:lineRule="exact"/>
        <w:ind w:left="0" w:right="0" w:firstLine="0"/>
        <w:jc w:val="left"/>
      </w:pPr>
      <w:bookmarkStart w:id="2042" w:name="bookmark2042"/>
      <w:r>
        <w:rPr>
          <w:rFonts w:ascii="Times New Roman" w:eastAsia="Times New Roman" w:hAnsi="Times New Roman" w:cs="Times New Roman"/>
          <w:color w:val="000000"/>
          <w:spacing w:val="0"/>
          <w:w w:val="100"/>
          <w:position w:val="0"/>
        </w:rPr>
        <w:t>1</w:t>
      </w:r>
      <w:bookmarkEnd w:id="2042"/>
      <w:r>
        <w:rPr>
          <w:color w:val="000000"/>
          <w:spacing w:val="0"/>
          <w:w w:val="100"/>
          <w:position w:val="0"/>
        </w:rPr>
        <w:t>、</w:t>
        <w:tab/>
        <w:t>本期无未决诉讼仲裁形成的或有负债及其财务影响。</w:t>
      </w:r>
    </w:p>
    <w:p>
      <w:pPr>
        <w:pStyle w:val="Style34"/>
        <w:keepNext w:val="0"/>
        <w:keepLines w:val="0"/>
        <w:widowControl w:val="0"/>
        <w:shd w:val="clear" w:color="auto" w:fill="auto"/>
        <w:tabs>
          <w:tab w:pos="354" w:val="left"/>
        </w:tabs>
        <w:bidi w:val="0"/>
        <w:spacing w:before="0" w:after="0" w:line="317" w:lineRule="exact"/>
        <w:ind w:left="0" w:right="0" w:firstLine="0"/>
        <w:jc w:val="left"/>
      </w:pPr>
      <w:bookmarkStart w:id="2043" w:name="bookmark2043"/>
      <w:r>
        <w:rPr>
          <w:rFonts w:ascii="Times New Roman" w:eastAsia="Times New Roman" w:hAnsi="Times New Roman" w:cs="Times New Roman"/>
          <w:color w:val="000000"/>
          <w:spacing w:val="0"/>
          <w:w w:val="100"/>
          <w:position w:val="0"/>
        </w:rPr>
        <w:t>2</w:t>
      </w:r>
      <w:bookmarkEnd w:id="2043"/>
      <w:r>
        <w:rPr>
          <w:color w:val="000000"/>
          <w:spacing w:val="0"/>
          <w:w w:val="100"/>
          <w:position w:val="0"/>
        </w:rPr>
        <w:t>、</w:t>
        <w:tab/>
        <w:t>为其他单位提供债务担保形成的或有负债及其财务影响</w:t>
      </w:r>
    </w:p>
    <w:p>
      <w:pPr>
        <w:pStyle w:val="Style34"/>
        <w:keepNext w:val="0"/>
        <w:keepLines w:val="0"/>
        <w:widowControl w:val="0"/>
        <w:shd w:val="clear" w:color="auto" w:fill="auto"/>
        <w:tabs>
          <w:tab w:pos="349" w:val="left"/>
        </w:tabs>
        <w:bidi w:val="0"/>
        <w:spacing w:before="0" w:after="0" w:line="317" w:lineRule="exact"/>
        <w:ind w:left="0" w:right="0" w:firstLine="0"/>
        <w:jc w:val="left"/>
      </w:pPr>
      <w:bookmarkStart w:id="2044" w:name="bookmark2044"/>
      <w:r>
        <w:rPr>
          <w:rFonts w:ascii="Times New Roman" w:eastAsia="Times New Roman" w:hAnsi="Times New Roman" w:cs="Times New Roman"/>
          <w:color w:val="000000"/>
          <w:spacing w:val="0"/>
          <w:w w:val="100"/>
          <w:position w:val="0"/>
        </w:rPr>
        <w:t>1</w:t>
      </w:r>
      <w:bookmarkEnd w:id="2044"/>
      <w:r>
        <w:rPr>
          <w:color w:val="000000"/>
          <w:spacing w:val="0"/>
          <w:w w:val="100"/>
          <w:position w:val="0"/>
        </w:rPr>
        <w:t>）</w:t>
        <w:tab/>
        <w:t>本公司无为合并范围以外关联方提供担保事项。</w:t>
      </w:r>
    </w:p>
    <w:p>
      <w:pPr>
        <w:pStyle w:val="Style34"/>
        <w:keepNext w:val="0"/>
        <w:keepLines w:val="0"/>
        <w:widowControl w:val="0"/>
        <w:shd w:val="clear" w:color="auto" w:fill="auto"/>
        <w:tabs>
          <w:tab w:pos="368" w:val="left"/>
        </w:tabs>
        <w:bidi w:val="0"/>
        <w:spacing w:before="0" w:after="0" w:line="317" w:lineRule="exact"/>
        <w:ind w:left="0" w:right="0" w:firstLine="0"/>
        <w:jc w:val="left"/>
      </w:pPr>
      <w:bookmarkStart w:id="2045" w:name="bookmark2045"/>
      <w:r>
        <w:rPr>
          <w:rFonts w:ascii="Times New Roman" w:eastAsia="Times New Roman" w:hAnsi="Times New Roman" w:cs="Times New Roman"/>
          <w:color w:val="000000"/>
          <w:spacing w:val="0"/>
          <w:w w:val="100"/>
          <w:position w:val="0"/>
        </w:rPr>
        <w:t>2</w:t>
      </w:r>
      <w:bookmarkEnd w:id="2045"/>
      <w:r>
        <w:rPr>
          <w:color w:val="000000"/>
          <w:spacing w:val="0"/>
          <w:w w:val="100"/>
          <w:position w:val="0"/>
        </w:rPr>
        <w:t>）</w:t>
        <w:tab/>
        <w:t>本公司无为非关联方提供的担保事项。</w:t>
      </w:r>
    </w:p>
    <w:p>
      <w:pPr>
        <w:pStyle w:val="Style34"/>
        <w:keepNext w:val="0"/>
        <w:keepLines w:val="0"/>
        <w:widowControl w:val="0"/>
        <w:shd w:val="clear" w:color="auto" w:fill="auto"/>
        <w:tabs>
          <w:tab w:pos="354" w:val="left"/>
        </w:tabs>
        <w:bidi w:val="0"/>
        <w:spacing w:before="0" w:after="0" w:line="317" w:lineRule="exact"/>
        <w:ind w:left="0" w:right="0" w:firstLine="0"/>
        <w:jc w:val="left"/>
      </w:pPr>
      <w:bookmarkStart w:id="2046" w:name="bookmark2046"/>
      <w:r>
        <w:rPr>
          <w:rFonts w:ascii="Times New Roman" w:eastAsia="Times New Roman" w:hAnsi="Times New Roman" w:cs="Times New Roman"/>
          <w:color w:val="000000"/>
          <w:spacing w:val="0"/>
          <w:w w:val="100"/>
          <w:position w:val="0"/>
        </w:rPr>
        <w:t>3</w:t>
      </w:r>
      <w:bookmarkEnd w:id="2046"/>
      <w:r>
        <w:rPr>
          <w:color w:val="000000"/>
          <w:spacing w:val="0"/>
          <w:w w:val="100"/>
          <w:position w:val="0"/>
        </w:rPr>
        <w:t>、</w:t>
        <w:tab/>
        <w:t>本公司无合并范围内公司之间的担保情况。</w:t>
      </w:r>
      <w:r>
        <w:br w:type="page"/>
      </w:r>
    </w:p>
    <w:p>
      <w:pPr>
        <w:pStyle w:val="Style38"/>
        <w:keepNext/>
        <w:keepLines/>
        <w:widowControl w:val="0"/>
        <w:shd w:val="clear" w:color="auto" w:fill="auto"/>
        <w:bidi w:val="0"/>
        <w:spacing w:before="0" w:after="0" w:line="614" w:lineRule="exact"/>
        <w:ind w:left="0" w:right="0" w:firstLine="0"/>
        <w:jc w:val="left"/>
      </w:pPr>
      <w:bookmarkStart w:id="2047" w:name="bookmark2047"/>
      <w:bookmarkStart w:id="2048" w:name="bookmark2048"/>
      <w:bookmarkStart w:id="2049" w:name="bookmark2049"/>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)公司没有需要披露的重要或有事项，也应予以说明</w:t>
      </w:r>
      <w:bookmarkEnd w:id="2047"/>
      <w:bookmarkEnd w:id="2048"/>
      <w:bookmarkEnd w:id="2049"/>
    </w:p>
    <w:p>
      <w:pPr>
        <w:pStyle w:val="Style34"/>
        <w:keepNext w:val="0"/>
        <w:keepLines w:val="0"/>
        <w:widowControl w:val="0"/>
        <w:shd w:val="clear" w:color="auto" w:fill="auto"/>
        <w:bidi w:val="0"/>
        <w:spacing w:before="0" w:after="0" w:line="614" w:lineRule="exact"/>
        <w:ind w:left="0" w:right="0" w:firstLine="0"/>
        <w:jc w:val="left"/>
      </w:pPr>
      <w:r>
        <w:rPr>
          <w:color w:val="000000"/>
          <w:spacing w:val="0"/>
          <w:w w:val="100"/>
          <w:position w:val="0"/>
        </w:rPr>
        <w:t>公司不存在需要披露的重要或有事项。</w:t>
      </w:r>
    </w:p>
    <w:p>
      <w:pPr>
        <w:pStyle w:val="Style38"/>
        <w:keepNext/>
        <w:keepLines/>
        <w:widowControl w:val="0"/>
        <w:shd w:val="clear" w:color="auto" w:fill="auto"/>
        <w:bidi w:val="0"/>
        <w:spacing w:before="0" w:after="340" w:line="614" w:lineRule="exact"/>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3</w:t>
      </w:r>
      <w:bookmarkEnd w:id="2052"/>
      <w:r>
        <w:rPr>
          <w:color w:val="000000"/>
          <w:spacing w:val="0"/>
          <w:w w:val="100"/>
          <w:position w:val="0"/>
        </w:rPr>
        <w:t>、其他</w:t>
      </w:r>
      <w:bookmarkEnd w:id="2050"/>
      <w:bookmarkEnd w:id="2051"/>
      <w:bookmarkEnd w:id="2053"/>
    </w:p>
    <w:p>
      <w:pPr>
        <w:pStyle w:val="Style17"/>
        <w:keepNext/>
        <w:keepLines/>
        <w:widowControl w:val="0"/>
        <w:shd w:val="clear" w:color="auto" w:fill="auto"/>
        <w:bidi w:val="0"/>
        <w:spacing w:before="0" w:after="0" w:line="240" w:lineRule="auto"/>
        <w:ind w:left="0" w:right="0" w:firstLine="0"/>
        <w:jc w:val="left"/>
      </w:pPr>
      <w:bookmarkStart w:id="2054" w:name="bookmark2054"/>
      <w:bookmarkStart w:id="2055" w:name="bookmark2055"/>
      <w:bookmarkStart w:id="2056" w:name="bookmark2056"/>
      <w:r>
        <w:rPr>
          <w:color w:val="000000"/>
          <w:spacing w:val="0"/>
          <w:w w:val="100"/>
          <w:position w:val="0"/>
          <w:sz w:val="24"/>
          <w:szCs w:val="24"/>
        </w:rPr>
        <w:t>十五、资产负债表日后事项</w:t>
      </w:r>
      <w:bookmarkEnd w:id="2054"/>
      <w:bookmarkEnd w:id="2055"/>
      <w:bookmarkEnd w:id="2056"/>
    </w:p>
    <w:p>
      <w:pPr>
        <w:pStyle w:val="Style38"/>
        <w:keepNext/>
        <w:keepLines/>
        <w:widowControl w:val="0"/>
        <w:shd w:val="clear" w:color="auto" w:fill="auto"/>
        <w:bidi w:val="0"/>
        <w:spacing w:before="0" w:after="340" w:line="614" w:lineRule="exact"/>
        <w:ind w:left="0" w:right="0" w:firstLine="0"/>
        <w:jc w:val="left"/>
      </w:pPr>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57"/>
      <w:bookmarkEnd w:id="2058"/>
      <w:bookmarkEnd w:id="205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60"/>
      <w:bookmarkEnd w:id="2061"/>
      <w:bookmarkEnd w:id="206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8"/>
        <w:keepNext/>
        <w:keepLines/>
        <w:widowControl w:val="0"/>
        <w:shd w:val="clear" w:color="auto" w:fill="auto"/>
        <w:tabs>
          <w:tab w:pos="378" w:val="left"/>
        </w:tabs>
        <w:bidi w:val="0"/>
        <w:spacing w:before="0" w:after="34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3</w:t>
      </w:r>
      <w:bookmarkEnd w:id="2065"/>
      <w:r>
        <w:rPr>
          <w:color w:val="000000"/>
          <w:spacing w:val="0"/>
          <w:w w:val="100"/>
          <w:position w:val="0"/>
        </w:rPr>
        <w:t>、</w:t>
        <w:tab/>
        <w:t>销售退回</w:t>
      </w:r>
      <w:bookmarkEnd w:id="2063"/>
      <w:bookmarkEnd w:id="2064"/>
      <w:bookmarkEnd w:id="2066"/>
    </w:p>
    <w:p>
      <w:pPr>
        <w:pStyle w:val="Style38"/>
        <w:keepNext/>
        <w:keepLines/>
        <w:widowControl w:val="0"/>
        <w:shd w:val="clear" w:color="auto" w:fill="auto"/>
        <w:tabs>
          <w:tab w:pos="378" w:val="left"/>
        </w:tabs>
        <w:bidi w:val="0"/>
        <w:spacing w:before="0" w:after="260" w:line="240" w:lineRule="auto"/>
        <w:ind w:left="0" w:right="0" w:firstLine="0"/>
        <w:jc w:val="left"/>
      </w:pPr>
      <w:bookmarkStart w:id="2063" w:name="bookmark2063"/>
      <w:bookmarkStart w:id="2064" w:name="bookmark2064"/>
      <w:bookmarkStart w:id="2067" w:name="bookmark2067"/>
      <w:bookmarkStart w:id="2068" w:name="bookmark2068"/>
      <w:r>
        <w:rPr>
          <w:rFonts w:ascii="Times New Roman" w:eastAsia="Times New Roman" w:hAnsi="Times New Roman" w:cs="Times New Roman"/>
          <w:color w:val="000000"/>
          <w:spacing w:val="0"/>
          <w:w w:val="100"/>
          <w:position w:val="0"/>
        </w:rPr>
        <w:t>4</w:t>
      </w:r>
      <w:bookmarkEnd w:id="2067"/>
      <w:r>
        <w:rPr>
          <w:color w:val="000000"/>
          <w:spacing w:val="0"/>
          <w:w w:val="100"/>
          <w:position w:val="0"/>
        </w:rPr>
        <w:t>、</w:t>
        <w:tab/>
        <w:t>其他资产负债表日后事项说明</w:t>
      </w:r>
      <w:bookmarkEnd w:id="2063"/>
      <w:bookmarkEnd w:id="2064"/>
      <w:bookmarkEnd w:id="2068"/>
    </w:p>
    <w:p>
      <w:pPr>
        <w:pStyle w:val="Style34"/>
        <w:keepNext w:val="0"/>
        <w:keepLines w:val="0"/>
        <w:widowControl w:val="0"/>
        <w:numPr>
          <w:ilvl w:val="0"/>
          <w:numId w:val="191"/>
        </w:numPr>
        <w:shd w:val="clear" w:color="auto" w:fill="auto"/>
        <w:tabs>
          <w:tab w:pos="757" w:val="left"/>
        </w:tabs>
        <w:bidi w:val="0"/>
        <w:spacing w:before="0" w:after="0" w:line="331" w:lineRule="exact"/>
        <w:ind w:left="0" w:right="0" w:firstLine="440"/>
        <w:jc w:val="both"/>
      </w:pPr>
      <w:bookmarkStart w:id="2069" w:name="bookmark2069"/>
      <w:bookmarkEnd w:id="2069"/>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日，公司批准深圳市磐世科技有限公司解散。深圳市磐世科技有限公司已于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日办妥注销 手续。</w:t>
      </w:r>
    </w:p>
    <w:p>
      <w:pPr>
        <w:pStyle w:val="Style34"/>
        <w:keepNext w:val="0"/>
        <w:keepLines w:val="0"/>
        <w:widowControl w:val="0"/>
        <w:numPr>
          <w:ilvl w:val="0"/>
          <w:numId w:val="191"/>
        </w:numPr>
        <w:shd w:val="clear" w:color="auto" w:fill="auto"/>
        <w:tabs>
          <w:tab w:pos="757" w:val="left"/>
        </w:tabs>
        <w:bidi w:val="0"/>
        <w:spacing w:before="0" w:after="340" w:line="312" w:lineRule="exact"/>
        <w:ind w:left="0" w:right="0" w:firstLine="440"/>
        <w:jc w:val="both"/>
      </w:pPr>
      <w:bookmarkStart w:id="2070" w:name="bookmark2070"/>
      <w:bookmarkEnd w:id="2070"/>
      <w:r>
        <w:rPr>
          <w:color w:val="000000"/>
          <w:spacing w:val="0"/>
          <w:w w:val="100"/>
          <w:position w:val="0"/>
        </w:rPr>
        <w:t>控股股东鹰潭市鹰高投资咨询有限公司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以下简称鹰高投资公司</w:t>
      </w:r>
      <w:r>
        <w:rPr>
          <w:rFonts w:ascii="Times New Roman" w:eastAsia="Times New Roman" w:hAnsi="Times New Roman" w:cs="Times New Roman"/>
          <w:color w:val="000000"/>
          <w:spacing w:val="0"/>
          <w:w w:val="100"/>
          <w:position w:val="0"/>
        </w:rPr>
        <w:t>)</w:t>
      </w:r>
      <w:r>
        <w:rPr>
          <w:color w:val="000000"/>
          <w:spacing w:val="0"/>
          <w:w w:val="100"/>
          <w:position w:val="0"/>
        </w:rPr>
        <w:t>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日将其持有的本 公司总计</w:t>
      </w:r>
      <w:r>
        <w:rPr>
          <w:rFonts w:ascii="Times New Roman" w:eastAsia="Times New Roman" w:hAnsi="Times New Roman" w:cs="Times New Roman"/>
          <w:color w:val="000000"/>
          <w:spacing w:val="0"/>
          <w:w w:val="100"/>
          <w:position w:val="0"/>
        </w:rPr>
        <w:t>3,000,000</w:t>
      </w:r>
      <w:r>
        <w:rPr>
          <w:color w:val="000000"/>
          <w:spacing w:val="0"/>
          <w:w w:val="100"/>
          <w:position w:val="0"/>
        </w:rPr>
        <w:t>股股票质押给广发证券股份有限公司，占鹰高投资公司持有本公司股份总数的</w:t>
      </w:r>
      <w:r>
        <w:rPr>
          <w:rFonts w:ascii="Times New Roman" w:eastAsia="Times New Roman" w:hAnsi="Times New Roman" w:cs="Times New Roman"/>
          <w:color w:val="000000"/>
          <w:spacing w:val="0"/>
          <w:w w:val="100"/>
          <w:position w:val="0"/>
        </w:rPr>
        <w:t>2.88%</w:t>
      </w:r>
      <w:r>
        <w:rPr>
          <w:color w:val="000000"/>
          <w:spacing w:val="0"/>
          <w:w w:val="100"/>
          <w:position w:val="0"/>
        </w:rPr>
        <w:t xml:space="preserve">,占本公司总股本的 </w:t>
      </w:r>
      <w:r>
        <w:rPr>
          <w:rFonts w:ascii="Times New Roman" w:eastAsia="Times New Roman" w:hAnsi="Times New Roman" w:cs="Times New Roman"/>
          <w:color w:val="000000"/>
          <w:spacing w:val="0"/>
          <w:w w:val="100"/>
          <w:position w:val="0"/>
        </w:rPr>
        <w:t>0.67%</w:t>
      </w:r>
      <w:r>
        <w:rPr>
          <w:color w:val="000000"/>
          <w:spacing w:val="0"/>
          <w:w w:val="100"/>
          <w:position w:val="0"/>
        </w:rPr>
        <w:t>。</w:t>
      </w:r>
    </w:p>
    <w:p>
      <w:pPr>
        <w:pStyle w:val="Style17"/>
        <w:keepNext/>
        <w:keepLines/>
        <w:widowControl w:val="0"/>
        <w:shd w:val="clear" w:color="auto" w:fill="auto"/>
        <w:bidi w:val="0"/>
        <w:spacing w:before="0" w:after="340" w:line="240" w:lineRule="auto"/>
        <w:ind w:left="0" w:right="0" w:firstLine="0"/>
        <w:jc w:val="left"/>
      </w:pPr>
      <w:bookmarkStart w:id="2071" w:name="bookmark2071"/>
      <w:bookmarkStart w:id="2072" w:name="bookmark2072"/>
      <w:bookmarkStart w:id="2073" w:name="bookmark2073"/>
      <w:r>
        <w:rPr>
          <w:color w:val="000000"/>
          <w:spacing w:val="0"/>
          <w:w w:val="100"/>
          <w:position w:val="0"/>
          <w:sz w:val="24"/>
          <w:szCs w:val="24"/>
        </w:rPr>
        <w:t>十六、其他重要事项</w:t>
      </w:r>
      <w:bookmarkEnd w:id="2071"/>
      <w:bookmarkEnd w:id="2072"/>
      <w:bookmarkEnd w:id="2073"/>
    </w:p>
    <w:p>
      <w:pPr>
        <w:pStyle w:val="Style38"/>
        <w:keepNext/>
        <w:keepLines/>
        <w:widowControl w:val="0"/>
        <w:shd w:val="clear" w:color="auto" w:fill="auto"/>
        <w:bidi w:val="0"/>
        <w:spacing w:before="0" w:after="340" w:line="240" w:lineRule="auto"/>
        <w:ind w:left="0" w:right="0" w:firstLine="0"/>
        <w:jc w:val="left"/>
      </w:pPr>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74"/>
      <w:bookmarkEnd w:id="2075"/>
      <w:bookmarkEnd w:id="2076"/>
    </w:p>
    <w:p>
      <w:pPr>
        <w:pStyle w:val="Style38"/>
        <w:keepNext/>
        <w:keepLines/>
        <w:widowControl w:val="0"/>
        <w:shd w:val="clear" w:color="auto" w:fill="auto"/>
        <w:bidi w:val="0"/>
        <w:spacing w:before="0" w:after="340" w:line="240" w:lineRule="auto"/>
        <w:ind w:left="0" w:right="0" w:firstLine="0"/>
        <w:jc w:val="both"/>
      </w:pPr>
      <w:bookmarkStart w:id="2074" w:name="bookmark2074"/>
      <w:bookmarkStart w:id="2075" w:name="bookmark2075"/>
      <w:bookmarkStart w:id="2077" w:name="bookmark20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74"/>
      <w:bookmarkEnd w:id="2075"/>
      <w:bookmarkEnd w:id="207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both"/>
      </w:pPr>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78"/>
      <w:bookmarkEnd w:id="2079"/>
      <w:bookmarkEnd w:id="2080"/>
    </w:p>
    <w:p>
      <w:pPr>
        <w:widowControl w:val="0"/>
        <w:spacing w:line="1" w:lineRule="exact"/>
      </w:pPr>
      <w:r>
        <mc:AlternateContent>
          <mc:Choice Requires="wps">
            <w:drawing>
              <wp:anchor distT="190500" distB="0" distL="0" distR="0" simplePos="0" relativeHeight="125829494" behindDoc="0" locked="0" layoutInCell="1" allowOverlap="1">
                <wp:simplePos x="0" y="0"/>
                <wp:positionH relativeFrom="page">
                  <wp:posOffset>1243330</wp:posOffset>
                </wp:positionH>
                <wp:positionV relativeFrom="paragraph">
                  <wp:posOffset>190500</wp:posOffset>
                </wp:positionV>
                <wp:extent cx="1054735" cy="149225"/>
                <wp:wrapTopAndBottom/>
                <wp:docPr id="1140" name="Shape 114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wps:txbx>
                      <wps:bodyPr wrap="none" lIns="0" tIns="0" rIns="0" bIns="0">
                        <a:noAutoFit/>
                      </wps:bodyPr>
                    </wps:wsp>
                  </a:graphicData>
                </a:graphic>
              </wp:anchor>
            </w:drawing>
          </mc:Choice>
          <mc:Fallback>
            <w:pict>
              <v:shape id="_x0000_s2166" type="#_x0000_t202" style="position:absolute;margin-left:97.900000000000006pt;margin-top:15.pt;width:83.049999999999997pt;height:11.75pt;z-index:-125829259;mso-wrap-distance-left:0;mso-wrap-distance-top:15.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v:textbox>
                <w10:wrap type="topAndBottom" anchorx="page"/>
              </v:shape>
            </w:pict>
          </mc:Fallback>
        </mc:AlternateContent>
      </w:r>
      <w:r>
        <mc:AlternateContent>
          <mc:Choice Requires="wps">
            <w:drawing>
              <wp:anchor distT="190500" distB="0" distL="0" distR="0" simplePos="0" relativeHeight="125829496" behindDoc="0" locked="0" layoutInCell="1" allowOverlap="1">
                <wp:simplePos x="0" y="0"/>
                <wp:positionH relativeFrom="page">
                  <wp:posOffset>3553460</wp:posOffset>
                </wp:positionH>
                <wp:positionV relativeFrom="paragraph">
                  <wp:posOffset>190500</wp:posOffset>
                </wp:positionV>
                <wp:extent cx="481330" cy="149225"/>
                <wp:wrapTopAndBottom/>
                <wp:docPr id="1142" name="Shape 1142"/>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批准程序</w:t>
                            </w:r>
                          </w:p>
                        </w:txbxContent>
                      </wps:txbx>
                      <wps:bodyPr wrap="none" lIns="0" tIns="0" rIns="0" bIns="0">
                        <a:noAutoFit/>
                      </wps:bodyPr>
                    </wps:wsp>
                  </a:graphicData>
                </a:graphic>
              </wp:anchor>
            </w:drawing>
          </mc:Choice>
          <mc:Fallback>
            <w:pict>
              <v:shape id="_x0000_s2168" type="#_x0000_t202" style="position:absolute;margin-left:279.80000000000001pt;margin-top:15.pt;width:37.899999999999999pt;height:11.75pt;z-index:-125829257;mso-wrap-distance-left:0;mso-wrap-distance-top:15.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批准程序</w:t>
                      </w:r>
                    </w:p>
                  </w:txbxContent>
                </v:textbox>
                <w10:wrap type="topAndBottom" anchorx="page"/>
              </v:shape>
            </w:pict>
          </mc:Fallback>
        </mc:AlternateContent>
      </w:r>
      <w:r>
        <mc:AlternateContent>
          <mc:Choice Requires="wps">
            <w:drawing>
              <wp:anchor distT="190500" distB="0" distL="0" distR="0" simplePos="0" relativeHeight="125829498" behindDoc="0" locked="0" layoutInCell="1" allowOverlap="1">
                <wp:simplePos x="0" y="0"/>
                <wp:positionH relativeFrom="page">
                  <wp:posOffset>5196840</wp:posOffset>
                </wp:positionH>
                <wp:positionV relativeFrom="paragraph">
                  <wp:posOffset>190500</wp:posOffset>
                </wp:positionV>
                <wp:extent cx="1164590" cy="149225"/>
                <wp:wrapTopAndBottom/>
                <wp:docPr id="1144" name="Shape 1144"/>
                <a:graphic xmlns:a="http://schemas.openxmlformats.org/drawingml/2006/main">
                  <a:graphicData uri="http://schemas.microsoft.com/office/word/2010/wordprocessingShape">
                    <wps:wsp>
                      <wps:cNvSpPr txBox="1"/>
                      <wps:spPr>
                        <a:xfrm>
                          <a:ext cx="1164590"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采用未来适用法的原因</w:t>
                            </w:r>
                          </w:p>
                        </w:txbxContent>
                      </wps:txbx>
                      <wps:bodyPr wrap="none" lIns="0" tIns="0" rIns="0" bIns="0">
                        <a:noAutoFit/>
                      </wps:bodyPr>
                    </wps:wsp>
                  </a:graphicData>
                </a:graphic>
              </wp:anchor>
            </w:drawing>
          </mc:Choice>
          <mc:Fallback>
            <w:pict>
              <v:shape id="_x0000_s2170" type="#_x0000_t202" style="position:absolute;margin-left:409.19999999999999pt;margin-top:15.pt;width:91.700000000000003pt;height:11.75pt;z-index:-125829255;mso-wrap-distance-left:0;mso-wrap-distance-top:15.pt;mso-wrap-distance-right:0;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采用未来适用法的原因</w:t>
                      </w:r>
                    </w:p>
                  </w:txbxContent>
                </v:textbox>
                <w10:wrap type="topAndBottom" anchorx="page"/>
              </v:shape>
            </w:pict>
          </mc:Fallback>
        </mc:AlternateContent>
      </w:r>
    </w:p>
    <w:p>
      <w:pPr>
        <w:pStyle w:val="Style62"/>
        <w:keepNext w:val="0"/>
        <w:keepLines w:val="0"/>
        <w:widowControl w:val="0"/>
        <w:shd w:val="clear" w:color="auto" w:fill="auto"/>
        <w:tabs>
          <w:tab w:pos="378" w:val="left"/>
        </w:tabs>
        <w:bidi w:val="0"/>
        <w:spacing w:before="0" w:line="240" w:lineRule="auto"/>
        <w:ind w:left="0" w:right="0" w:firstLine="0"/>
        <w:jc w:val="both"/>
      </w:pPr>
      <w:bookmarkStart w:id="2081" w:name="bookmark2081"/>
      <w:r>
        <w:rPr>
          <w:rFonts w:ascii="Times New Roman" w:eastAsia="Times New Roman" w:hAnsi="Times New Roman" w:cs="Times New Roman"/>
          <w:color w:val="000000"/>
          <w:spacing w:val="0"/>
          <w:w w:val="100"/>
          <w:position w:val="0"/>
        </w:rPr>
        <w:t>2</w:t>
      </w:r>
      <w:bookmarkEnd w:id="2081"/>
      <w:r>
        <w:rPr>
          <w:color w:val="000000"/>
          <w:spacing w:val="0"/>
          <w:w w:val="100"/>
          <w:position w:val="0"/>
        </w:rPr>
        <w:t>、</w:t>
        <w:tab/>
        <w:t>债务重组</w:t>
      </w:r>
    </w:p>
    <w:p>
      <w:pPr>
        <w:pStyle w:val="Style62"/>
        <w:keepNext w:val="0"/>
        <w:keepLines w:val="0"/>
        <w:widowControl w:val="0"/>
        <w:shd w:val="clear" w:color="auto" w:fill="auto"/>
        <w:tabs>
          <w:tab w:pos="378" w:val="left"/>
        </w:tabs>
        <w:bidi w:val="0"/>
        <w:spacing w:before="0" w:line="240" w:lineRule="auto"/>
        <w:ind w:left="0" w:right="0" w:firstLine="0"/>
        <w:jc w:val="both"/>
      </w:pPr>
      <w:bookmarkStart w:id="2082" w:name="bookmark2082"/>
      <w:r>
        <w:rPr>
          <w:rFonts w:ascii="Times New Roman" w:eastAsia="Times New Roman" w:hAnsi="Times New Roman" w:cs="Times New Roman"/>
          <w:color w:val="000000"/>
          <w:spacing w:val="0"/>
          <w:w w:val="100"/>
          <w:position w:val="0"/>
        </w:rPr>
        <w:t>3</w:t>
      </w:r>
      <w:bookmarkEnd w:id="2082"/>
      <w:r>
        <w:rPr>
          <w:color w:val="000000"/>
          <w:spacing w:val="0"/>
          <w:w w:val="100"/>
          <w:position w:val="0"/>
        </w:rPr>
        <w:t>、</w:t>
        <w:tab/>
        <w:t>资产置换</w:t>
      </w:r>
    </w:p>
    <w:p>
      <w:pPr>
        <w:pStyle w:val="Style62"/>
        <w:keepNext w:val="0"/>
        <w:keepLines w:val="0"/>
        <w:widowControl w:val="0"/>
        <w:shd w:val="clear" w:color="auto" w:fill="auto"/>
        <w:tabs>
          <w:tab w:pos="493" w:val="left"/>
        </w:tabs>
        <w:bidi w:val="0"/>
        <w:spacing w:before="0" w:line="240" w:lineRule="auto"/>
        <w:ind w:left="0" w:right="0" w:firstLine="0"/>
        <w:jc w:val="both"/>
      </w:pPr>
      <w:bookmarkStart w:id="2083" w:name="bookmark2083"/>
      <w:r>
        <w:rPr>
          <w:color w:val="000000"/>
          <w:spacing w:val="0"/>
          <w:w w:val="100"/>
          <w:position w:val="0"/>
        </w:rPr>
        <w:t>（</w:t>
      </w:r>
      <w:bookmarkEnd w:id="208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62"/>
        <w:keepNext w:val="0"/>
        <w:keepLines w:val="0"/>
        <w:widowControl w:val="0"/>
        <w:shd w:val="clear" w:color="auto" w:fill="auto"/>
        <w:tabs>
          <w:tab w:pos="493" w:val="left"/>
        </w:tabs>
        <w:bidi w:val="0"/>
        <w:spacing w:before="0" w:line="240" w:lineRule="auto"/>
        <w:ind w:left="0" w:right="0" w:firstLine="0"/>
        <w:jc w:val="both"/>
      </w:pPr>
      <w:bookmarkStart w:id="2084" w:name="bookmark2084"/>
      <w:r>
        <w:rPr>
          <w:color w:val="000000"/>
          <w:spacing w:val="0"/>
          <w:w w:val="100"/>
          <w:position w:val="0"/>
        </w:rPr>
        <w:t>（</w:t>
      </w:r>
      <w:bookmarkEnd w:id="208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62"/>
        <w:keepNext w:val="0"/>
        <w:keepLines w:val="0"/>
        <w:widowControl w:val="0"/>
        <w:shd w:val="clear" w:color="auto" w:fill="auto"/>
        <w:tabs>
          <w:tab w:pos="378" w:val="left"/>
        </w:tabs>
        <w:bidi w:val="0"/>
        <w:spacing w:before="0" w:line="240" w:lineRule="auto"/>
        <w:ind w:left="0" w:right="0" w:firstLine="0"/>
        <w:jc w:val="both"/>
      </w:pPr>
      <w:bookmarkStart w:id="2085" w:name="bookmark2085"/>
      <w:r>
        <w:rPr>
          <w:rFonts w:ascii="Times New Roman" w:eastAsia="Times New Roman" w:hAnsi="Times New Roman" w:cs="Times New Roman"/>
          <w:color w:val="000000"/>
          <w:spacing w:val="0"/>
          <w:w w:val="100"/>
          <w:position w:val="0"/>
        </w:rPr>
        <w:t>4</w:t>
      </w:r>
      <w:bookmarkEnd w:id="2085"/>
      <w:r>
        <w:rPr>
          <w:color w:val="000000"/>
          <w:spacing w:val="0"/>
          <w:w w:val="100"/>
          <w:position w:val="0"/>
        </w:rPr>
        <w:t>、</w:t>
        <w:tab/>
        <w:t>年金计划</w:t>
      </w:r>
    </w:p>
    <w:p>
      <w:pPr>
        <w:pStyle w:val="Style62"/>
        <w:keepNext w:val="0"/>
        <w:keepLines w:val="0"/>
        <w:widowControl w:val="0"/>
        <w:shd w:val="clear" w:color="auto" w:fill="auto"/>
        <w:tabs>
          <w:tab w:pos="378" w:val="left"/>
        </w:tabs>
        <w:bidi w:val="0"/>
        <w:spacing w:before="0" w:line="240" w:lineRule="auto"/>
        <w:ind w:left="0" w:right="0" w:firstLine="0"/>
        <w:jc w:val="both"/>
      </w:pPr>
      <w:bookmarkStart w:id="2086" w:name="bookmark2086"/>
      <w:r>
        <w:rPr>
          <w:rFonts w:ascii="Times New Roman" w:eastAsia="Times New Roman" w:hAnsi="Times New Roman" w:cs="Times New Roman"/>
          <w:color w:val="000000"/>
          <w:spacing w:val="0"/>
          <w:w w:val="100"/>
          <w:position w:val="0"/>
        </w:rPr>
        <w:t>5</w:t>
      </w:r>
      <w:bookmarkEnd w:id="2086"/>
      <w:r>
        <w:rPr>
          <w:color w:val="000000"/>
          <w:spacing w:val="0"/>
          <w:w w:val="100"/>
          <w:position w:val="0"/>
        </w:rPr>
        <w:t>、</w:t>
        <w:tab/>
        <w:t>终止经营</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line="240" w:lineRule="auto"/>
        <w:ind w:left="0" w:right="0" w:firstLine="0"/>
        <w:jc w:val="left"/>
      </w:pPr>
      <w:bookmarkStart w:id="2087" w:name="bookmark2087"/>
      <w:r>
        <w:rPr>
          <w:rFonts w:ascii="Times New Roman" w:eastAsia="Times New Roman" w:hAnsi="Times New Roman" w:cs="Times New Roman"/>
          <w:color w:val="000000"/>
          <w:spacing w:val="0"/>
          <w:w w:val="100"/>
          <w:position w:val="0"/>
        </w:rPr>
        <w:t>6</w:t>
      </w:r>
      <w:bookmarkEnd w:id="2087"/>
      <w:r>
        <w:rPr>
          <w:color w:val="000000"/>
          <w:spacing w:val="0"/>
          <w:w w:val="100"/>
          <w:position w:val="0"/>
        </w:rPr>
        <w:t>、分部信息</w:t>
      </w:r>
    </w:p>
    <w:p>
      <w:pPr>
        <w:pStyle w:val="Style62"/>
        <w:keepNext w:val="0"/>
        <w:keepLines w:val="0"/>
        <w:widowControl w:val="0"/>
        <w:shd w:val="clear" w:color="auto" w:fill="auto"/>
        <w:tabs>
          <w:tab w:pos="493" w:val="left"/>
        </w:tabs>
        <w:bidi w:val="0"/>
        <w:spacing w:before="0" w:line="240" w:lineRule="auto"/>
        <w:ind w:left="0" w:right="0" w:firstLine="0"/>
        <w:jc w:val="left"/>
      </w:pPr>
      <w:bookmarkStart w:id="2088" w:name="bookmark2088"/>
      <w:r>
        <w:rPr>
          <w:color w:val="000000"/>
          <w:spacing w:val="0"/>
          <w:w w:val="100"/>
          <w:position w:val="0"/>
        </w:rPr>
        <w:t>（</w:t>
      </w:r>
      <w:bookmarkEnd w:id="208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62"/>
        <w:keepNext w:val="0"/>
        <w:keepLines w:val="0"/>
        <w:widowControl w:val="0"/>
        <w:shd w:val="clear" w:color="auto" w:fill="auto"/>
        <w:tabs>
          <w:tab w:pos="493" w:val="left"/>
        </w:tabs>
        <w:bidi w:val="0"/>
        <w:spacing w:before="0" w:line="240" w:lineRule="auto"/>
        <w:ind w:left="0" w:right="0" w:firstLine="0"/>
        <w:jc w:val="left"/>
      </w:pPr>
      <w:bookmarkStart w:id="2089" w:name="bookmark2089"/>
      <w:r>
        <w:rPr>
          <w:color w:val="000000"/>
          <w:spacing w:val="0"/>
          <w:w w:val="100"/>
          <w:position w:val="0"/>
        </w:rPr>
        <w:t>（</w:t>
      </w:r>
      <w:bookmarkEnd w:id="208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62"/>
        <w:keepNext w:val="0"/>
        <w:keepLines w:val="0"/>
        <w:widowControl w:val="0"/>
        <w:shd w:val="clear" w:color="auto" w:fill="auto"/>
        <w:tabs>
          <w:tab w:pos="493" w:val="left"/>
        </w:tabs>
        <w:bidi w:val="0"/>
        <w:spacing w:before="0" w:line="240" w:lineRule="auto"/>
        <w:ind w:left="0" w:right="0" w:firstLine="0"/>
        <w:jc w:val="left"/>
      </w:pPr>
      <w:bookmarkStart w:id="2090" w:name="bookmark2090"/>
      <w:r>
        <w:rPr>
          <w:color w:val="000000"/>
          <w:spacing w:val="0"/>
          <w:w w:val="100"/>
          <w:position w:val="0"/>
        </w:rPr>
        <w:t>（</w:t>
      </w:r>
      <w:bookmarkEnd w:id="209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p>
    <w:p>
      <w:pPr>
        <w:pStyle w:val="Style62"/>
        <w:keepNext w:val="0"/>
        <w:keepLines w:val="0"/>
        <w:widowControl w:val="0"/>
        <w:shd w:val="clear" w:color="auto" w:fill="auto"/>
        <w:tabs>
          <w:tab w:pos="493" w:val="left"/>
        </w:tabs>
        <w:bidi w:val="0"/>
        <w:spacing w:before="0" w:line="240" w:lineRule="auto"/>
        <w:ind w:left="0" w:right="0" w:firstLine="0"/>
        <w:jc w:val="left"/>
      </w:pPr>
      <w:bookmarkStart w:id="2091" w:name="bookmark2091"/>
      <w:r>
        <w:rPr>
          <w:color w:val="000000"/>
          <w:spacing w:val="0"/>
          <w:w w:val="100"/>
          <w:position w:val="0"/>
        </w:rPr>
        <w:t>（</w:t>
      </w:r>
      <w:bookmarkEnd w:id="2091"/>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p>
    <w:p>
      <w:pPr>
        <w:pStyle w:val="Style62"/>
        <w:keepNext w:val="0"/>
        <w:keepLines w:val="0"/>
        <w:widowControl w:val="0"/>
        <w:shd w:val="clear" w:color="auto" w:fill="auto"/>
        <w:bidi w:val="0"/>
        <w:spacing w:before="0" w:after="300" w:line="240" w:lineRule="auto"/>
        <w:ind w:left="0" w:right="0" w:firstLine="0"/>
        <w:jc w:val="left"/>
      </w:pPr>
      <w:bookmarkStart w:id="2092" w:name="bookmark2092"/>
      <w:r>
        <w:rPr>
          <w:rFonts w:ascii="Times New Roman" w:eastAsia="Times New Roman" w:hAnsi="Times New Roman" w:cs="Times New Roman"/>
          <w:color w:val="000000"/>
          <w:spacing w:val="0"/>
          <w:w w:val="100"/>
          <w:position w:val="0"/>
        </w:rPr>
        <w:t>7</w:t>
      </w:r>
      <w:bookmarkEnd w:id="2092"/>
      <w:r>
        <w:rPr>
          <w:color w:val="000000"/>
          <w:spacing w:val="0"/>
          <w:w w:val="100"/>
          <w:position w:val="0"/>
        </w:rPr>
        <w:t>、其他对投资者决策有影响的重要交易和事项</w:t>
      </w:r>
    </w:p>
    <w:p>
      <w:pPr>
        <w:pStyle w:val="Style34"/>
        <w:keepNext w:val="0"/>
        <w:keepLines w:val="0"/>
        <w:widowControl w:val="0"/>
        <w:shd w:val="clear" w:color="auto" w:fill="auto"/>
        <w:bidi w:val="0"/>
        <w:spacing w:before="0" w:after="0" w:line="293" w:lineRule="exact"/>
        <w:ind w:left="0" w:right="0" w:firstLine="440"/>
        <w:jc w:val="left"/>
      </w:pPr>
      <w:r>
        <w:rPr>
          <w:color w:val="000000"/>
          <w:spacing w:val="0"/>
          <w:w w:val="100"/>
          <w:position w:val="0"/>
        </w:rPr>
        <w:t>控股股东质押本公司的股份情况</w:t>
      </w:r>
    </w:p>
    <w:p>
      <w:pPr>
        <w:pStyle w:val="Style34"/>
        <w:keepNext w:val="0"/>
        <w:keepLines w:val="0"/>
        <w:widowControl w:val="0"/>
        <w:shd w:val="clear" w:color="auto" w:fill="auto"/>
        <w:bidi w:val="0"/>
        <w:spacing w:before="0" w:after="0" w:line="29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日，鹰高投资公司将其持有的本公司股票</w:t>
      </w:r>
      <w:r>
        <w:rPr>
          <w:rFonts w:ascii="Times New Roman" w:eastAsia="Times New Roman" w:hAnsi="Times New Roman" w:cs="Times New Roman"/>
          <w:color w:val="000000"/>
          <w:spacing w:val="0"/>
          <w:w w:val="100"/>
          <w:position w:val="0"/>
        </w:rPr>
        <w:t>11,000,000</w:t>
      </w:r>
      <w:r>
        <w:rPr>
          <w:color w:val="000000"/>
          <w:spacing w:val="0"/>
          <w:w w:val="100"/>
          <w:position w:val="0"/>
        </w:rPr>
        <w:t>股质押给北京市文化科技融资租赁股份有限公司，用 于为本公司融资进行担保。</w:t>
      </w:r>
    </w:p>
    <w:p>
      <w:pPr>
        <w:pStyle w:val="Style34"/>
        <w:keepNext w:val="0"/>
        <w:keepLines w:val="0"/>
        <w:widowControl w:val="0"/>
        <w:shd w:val="clear" w:color="auto" w:fill="auto"/>
        <w:bidi w:val="0"/>
        <w:spacing w:before="0" w:after="0" w:line="33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日，鹰高投资公司将其持有的本公司股票</w:t>
      </w:r>
      <w:r>
        <w:rPr>
          <w:rFonts w:ascii="Times New Roman" w:eastAsia="Times New Roman" w:hAnsi="Times New Roman" w:cs="Times New Roman"/>
          <w:color w:val="000000"/>
          <w:spacing w:val="0"/>
          <w:w w:val="100"/>
          <w:position w:val="0"/>
        </w:rPr>
        <w:t>10,677,000</w:t>
      </w:r>
      <w:r>
        <w:rPr>
          <w:color w:val="000000"/>
          <w:spacing w:val="0"/>
          <w:w w:val="100"/>
          <w:position w:val="0"/>
        </w:rPr>
        <w:t>股质押给广发证券股份有限公司，用于补充流动资金。</w:t>
      </w:r>
    </w:p>
    <w:p>
      <w:pPr>
        <w:pStyle w:val="Style34"/>
        <w:keepNext w:val="0"/>
        <w:keepLines w:val="0"/>
        <w:widowControl w:val="0"/>
        <w:shd w:val="clear" w:color="auto" w:fill="auto"/>
        <w:bidi w:val="0"/>
        <w:spacing w:before="0" w:after="0" w:line="33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日，鹰高投资公司将其持有的本公司股票</w:t>
      </w:r>
      <w:r>
        <w:rPr>
          <w:rFonts w:ascii="Times New Roman" w:eastAsia="Times New Roman" w:hAnsi="Times New Roman" w:cs="Times New Roman"/>
          <w:color w:val="000000"/>
          <w:spacing w:val="0"/>
          <w:w w:val="100"/>
          <w:position w:val="0"/>
        </w:rPr>
        <w:t>5,000,000</w:t>
      </w:r>
      <w:r>
        <w:rPr>
          <w:color w:val="000000"/>
          <w:spacing w:val="0"/>
          <w:w w:val="100"/>
          <w:position w:val="0"/>
        </w:rPr>
        <w:t>股质押给南洋商业银行</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color w:val="000000"/>
          <w:spacing w:val="0"/>
          <w:w w:val="100"/>
          <w:position w:val="0"/>
        </w:rPr>
        <w:t>，</w:t>
      </w:r>
      <w:r>
        <w:rPr>
          <w:color w:val="000000"/>
          <w:spacing w:val="0"/>
          <w:w w:val="100"/>
          <w:position w:val="0"/>
        </w:rPr>
        <w:t>为本公司借款提 供担保。</w:t>
      </w:r>
    </w:p>
    <w:p>
      <w:pPr>
        <w:pStyle w:val="Style34"/>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日，鹰高投资公司所持本公司股份</w:t>
      </w:r>
      <w:r>
        <w:rPr>
          <w:rFonts w:ascii="Times New Roman" w:eastAsia="Times New Roman" w:hAnsi="Times New Roman" w:cs="Times New Roman"/>
          <w:color w:val="000000"/>
          <w:spacing w:val="0"/>
          <w:w w:val="100"/>
          <w:position w:val="0"/>
        </w:rPr>
        <w:t>104,149,776</w:t>
      </w:r>
      <w:r>
        <w:rPr>
          <w:color w:val="000000"/>
          <w:spacing w:val="0"/>
          <w:w w:val="100"/>
          <w:position w:val="0"/>
        </w:rPr>
        <w:t>股，其中：质押股份</w:t>
      </w:r>
      <w:r>
        <w:rPr>
          <w:rFonts w:ascii="Times New Roman" w:eastAsia="Times New Roman" w:hAnsi="Times New Roman" w:cs="Times New Roman"/>
          <w:color w:val="000000"/>
          <w:spacing w:val="0"/>
          <w:w w:val="100"/>
          <w:position w:val="0"/>
        </w:rPr>
        <w:t>26,677,000</w:t>
      </w:r>
      <w:r>
        <w:rPr>
          <w:color w:val="000000"/>
          <w:spacing w:val="0"/>
          <w:w w:val="100"/>
          <w:position w:val="0"/>
        </w:rPr>
        <w:t>股，占其所持股份总数 比例为</w:t>
      </w:r>
      <w:r>
        <w:rPr>
          <w:rFonts w:ascii="Times New Roman" w:eastAsia="Times New Roman" w:hAnsi="Times New Roman" w:cs="Times New Roman"/>
          <w:color w:val="000000"/>
          <w:spacing w:val="0"/>
          <w:w w:val="100"/>
          <w:position w:val="0"/>
        </w:rPr>
        <w:t>25.61%</w:t>
      </w:r>
      <w:r>
        <w:rPr>
          <w:color w:val="000000"/>
          <w:spacing w:val="0"/>
          <w:w w:val="100"/>
          <w:position w:val="0"/>
        </w:rPr>
        <w:t>，未质押股份总数为</w:t>
      </w:r>
      <w:r>
        <w:rPr>
          <w:rFonts w:ascii="Times New Roman" w:eastAsia="Times New Roman" w:hAnsi="Times New Roman" w:cs="Times New Roman"/>
          <w:color w:val="000000"/>
          <w:spacing w:val="0"/>
          <w:w w:val="100"/>
          <w:position w:val="0"/>
        </w:rPr>
        <w:t>77,472,776.</w:t>
      </w:r>
      <w:r>
        <w:rPr>
          <w:color w:val="000000"/>
          <w:spacing w:val="0"/>
          <w:w w:val="100"/>
          <w:position w:val="0"/>
        </w:rPr>
        <w:t>股</w:t>
      </w:r>
      <w:r>
        <w:rPr>
          <w:color w:val="000000"/>
          <w:spacing w:val="0"/>
          <w:w w:val="100"/>
          <w:position w:val="0"/>
        </w:rPr>
        <w:t>，占其所持股份总数比例为</w:t>
      </w:r>
      <w:r>
        <w:rPr>
          <w:rFonts w:ascii="Times New Roman" w:eastAsia="Times New Roman" w:hAnsi="Times New Roman" w:cs="Times New Roman"/>
          <w:color w:val="000000"/>
          <w:spacing w:val="0"/>
          <w:w w:val="100"/>
          <w:position w:val="0"/>
        </w:rPr>
        <w:t>74.39%</w:t>
      </w:r>
      <w:r>
        <w:rPr>
          <w:color w:val="000000"/>
          <w:spacing w:val="0"/>
          <w:w w:val="100"/>
          <w:position w:val="0"/>
        </w:rPr>
        <w:t>。</w:t>
      </w:r>
      <w:r>
        <w:br w:type="page"/>
      </w:r>
    </w:p>
    <w:p>
      <w:pPr>
        <w:pStyle w:val="Style38"/>
        <w:keepNext/>
        <w:keepLines/>
        <w:widowControl w:val="0"/>
        <w:shd w:val="clear" w:color="auto" w:fill="auto"/>
        <w:bidi w:val="0"/>
        <w:spacing w:before="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8</w:t>
      </w:r>
      <w:bookmarkEnd w:id="2095"/>
      <w:r>
        <w:rPr>
          <w:color w:val="000000"/>
          <w:spacing w:val="0"/>
          <w:w w:val="100"/>
          <w:position w:val="0"/>
        </w:rPr>
        <w:t>、其他</w:t>
      </w:r>
      <w:bookmarkEnd w:id="2093"/>
      <w:bookmarkEnd w:id="2094"/>
      <w:bookmarkEnd w:id="2096"/>
    </w:p>
    <w:p>
      <w:pPr>
        <w:pStyle w:val="Style17"/>
        <w:keepNext/>
        <w:keepLines/>
        <w:widowControl w:val="0"/>
        <w:shd w:val="clear" w:color="auto" w:fill="auto"/>
        <w:bidi w:val="0"/>
        <w:spacing w:before="0" w:after="360" w:line="240" w:lineRule="auto"/>
        <w:ind w:left="0" w:right="0" w:firstLine="0"/>
        <w:jc w:val="left"/>
      </w:pPr>
      <w:bookmarkStart w:id="2097" w:name="bookmark2097"/>
      <w:bookmarkStart w:id="2098" w:name="bookmark2098"/>
      <w:bookmarkStart w:id="2099" w:name="bookmark2099"/>
      <w:r>
        <w:rPr>
          <w:color w:val="000000"/>
          <w:spacing w:val="0"/>
          <w:w w:val="100"/>
          <w:position w:val="0"/>
          <w:sz w:val="24"/>
          <w:szCs w:val="24"/>
        </w:rPr>
        <w:t>十七、母公司财务报表主要项目注释</w:t>
      </w:r>
      <w:bookmarkEnd w:id="2097"/>
      <w:bookmarkEnd w:id="2098"/>
      <w:bookmarkEnd w:id="2099"/>
    </w:p>
    <w:p>
      <w:pPr>
        <w:pStyle w:val="Style38"/>
        <w:keepNext/>
        <w:keepLines/>
        <w:widowControl w:val="0"/>
        <w:shd w:val="clear" w:color="auto" w:fill="auto"/>
        <w:bidi w:val="0"/>
        <w:spacing w:before="0" w:line="240" w:lineRule="auto"/>
        <w:ind w:left="0" w:right="0" w:firstLine="0"/>
        <w:jc w:val="left"/>
      </w:pPr>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00"/>
      <w:bookmarkEnd w:id="2101"/>
      <w:bookmarkEnd w:id="2102"/>
    </w:p>
    <w:p>
      <w:pPr>
        <w:pStyle w:val="Style38"/>
        <w:keepNext/>
        <w:keepLines/>
        <w:widowControl w:val="0"/>
        <w:shd w:val="clear" w:color="auto" w:fill="auto"/>
        <w:bidi w:val="0"/>
        <w:spacing w:before="0" w:line="240" w:lineRule="auto"/>
        <w:ind w:left="0" w:right="0" w:firstLine="0"/>
        <w:jc w:val="left"/>
      </w:pPr>
      <w:bookmarkStart w:id="2100" w:name="bookmark2100"/>
      <w:bookmarkStart w:id="2101" w:name="bookmark2101"/>
      <w:bookmarkStart w:id="2103" w:name="bookmark21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00"/>
      <w:bookmarkEnd w:id="2101"/>
      <w:bookmarkEnd w:id="2103"/>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214,806,</w:t>
            </w:r>
          </w:p>
          <w:p>
            <w:pPr>
              <w:pStyle w:val="Style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460.67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64,866,4</w:t>
            </w:r>
          </w:p>
          <w:p>
            <w:pPr>
              <w:pStyle w:val="Style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149,940,0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285,603,7</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43,970,15</w:t>
            </w:r>
          </w:p>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241,633,64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214,806,</w:t>
            </w:r>
          </w:p>
          <w:p>
            <w:pPr>
              <w:pStyle w:val="Style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460.67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64,866,4</w:t>
            </w:r>
          </w:p>
          <w:p>
            <w:pPr>
              <w:pStyle w:val="Style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149,940,0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285,603,7</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43,970,15</w:t>
            </w:r>
          </w:p>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241,633,64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214,806,</w:t>
            </w:r>
          </w:p>
          <w:p>
            <w:pPr>
              <w:pStyle w:val="Style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460.67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64,866,4</w:t>
            </w:r>
          </w:p>
          <w:p>
            <w:pPr>
              <w:pStyle w:val="Style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47.76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30.20%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149,940,0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285,603,7</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43,970,15</w:t>
            </w:r>
          </w:p>
          <w:p>
            <w:pPr>
              <w:pStyle w:val="Style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rPr>
              <w:t>241,633,64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64,866,447.76</w:t>
      </w:r>
    </w:p>
    <w:p>
      <w:pPr>
        <w:widowControl w:val="0"/>
        <w:spacing w:after="99" w:line="1" w:lineRule="exact"/>
      </w:pPr>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137,910,233.92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4,137,307.02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11,993,277.61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1,199,327.76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7,675,908.80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2,302,772.64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57,227,040.34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57,227,040.34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214,806,460.67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64,866,447.76</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7186"/>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137,910,233.92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11,993,277.61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7,675,908.80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57,227,040.34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36,480,267.81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10,957,917.73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9,788,854.80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214,806,460.67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104" w:name="bookmark2104"/>
      <w:bookmarkStart w:id="2105" w:name="bookmark2105"/>
      <w:bookmarkStart w:id="2106" w:name="bookmark21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04"/>
      <w:bookmarkEnd w:id="2105"/>
      <w:bookmarkEnd w:id="2106"/>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43,970,156.37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20,896,291.39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64,866,447.76</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43,970,156.37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20,896,291.39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64,866,447.76</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62"/>
        <w:keepNext w:val="0"/>
        <w:keepLines w:val="0"/>
        <w:widowControl w:val="0"/>
        <w:shd w:val="clear" w:color="auto" w:fill="auto"/>
        <w:bidi w:val="0"/>
        <w:spacing w:before="0" w:after="680" w:line="240" w:lineRule="auto"/>
        <w:ind w:left="0" w:right="0" w:firstLine="0"/>
        <w:jc w:val="left"/>
      </w:pPr>
      <w:r>
        <w:rPr>
          <w:b w:val="0"/>
          <w:bCs w:val="0"/>
          <w:color w:val="000000"/>
          <w:spacing w:val="0"/>
          <w:w w:val="100"/>
          <w:position w:val="0"/>
        </w:rPr>
        <w:t>本期无收回或转回金额重要的坏账准备。</w:t>
      </w:r>
    </w:p>
    <w:p>
      <w:pPr>
        <w:pStyle w:val="Style38"/>
        <w:keepNext/>
        <w:keepLines/>
        <w:widowControl w:val="0"/>
        <w:shd w:val="clear" w:color="auto" w:fill="auto"/>
        <w:bidi w:val="0"/>
        <w:spacing w:before="0" w:after="380" w:line="240" w:lineRule="auto"/>
        <w:ind w:left="0" w:right="0" w:firstLine="0"/>
        <w:jc w:val="left"/>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07"/>
      <w:bookmarkEnd w:id="2108"/>
      <w:bookmarkEnd w:id="2110"/>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34"/>
        <w:keepNext w:val="0"/>
        <w:keepLines w:val="0"/>
        <w:widowControl w:val="0"/>
        <w:shd w:val="clear" w:color="auto" w:fill="auto"/>
        <w:bidi w:val="0"/>
        <w:spacing w:before="0" w:line="240" w:lineRule="auto"/>
        <w:ind w:left="8940" w:right="0" w:firstLine="0"/>
        <w:jc w:val="left"/>
        <w:sectPr>
          <w:headerReference w:type="default" r:id="rId259"/>
          <w:footerReference w:type="default" r:id="rId260"/>
          <w:headerReference w:type="even" r:id="rId261"/>
          <w:footerReference w:type="even" r:id="rId262"/>
          <w:headerReference w:type="first" r:id="rId263"/>
          <w:footerReference w:type="first" r:id="rId264"/>
          <w:footnotePr>
            <w:pos w:val="pageBottom"/>
            <w:numFmt w:val="decimal"/>
            <w:numRestart w:val="continuous"/>
          </w:footnotePr>
          <w:pgSz w:w="11900" w:h="16840"/>
          <w:pgMar w:top="1153" w:right="570" w:bottom="1436" w:left="554"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62"/>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本期无实际核销的应收账款情况。</w:t>
      </w:r>
    </w:p>
    <w:p>
      <w:pPr>
        <w:pStyle w:val="Style38"/>
        <w:keepNext/>
        <w:keepLines/>
        <w:widowControl w:val="0"/>
        <w:numPr>
          <w:ilvl w:val="0"/>
          <w:numId w:val="185"/>
        </w:numPr>
        <w:shd w:val="clear" w:color="auto" w:fill="auto"/>
        <w:bidi w:val="0"/>
        <w:spacing w:before="0" w:after="420" w:line="240" w:lineRule="auto"/>
        <w:ind w:left="0" w:right="0" w:firstLine="0"/>
        <w:jc w:val="left"/>
      </w:pPr>
      <w:bookmarkStart w:id="2111" w:name="bookmark2111"/>
      <w:bookmarkStart w:id="2112" w:name="bookmark2112"/>
      <w:bookmarkStart w:id="2113" w:name="bookmark2113"/>
      <w:bookmarkStart w:id="2114" w:name="bookmark2114"/>
      <w:bookmarkEnd w:id="2113"/>
      <w:r>
        <w:rPr>
          <w:color w:val="000000"/>
          <w:spacing w:val="0"/>
          <w:w w:val="100"/>
          <w:position w:val="0"/>
        </w:rPr>
        <w:t>按欠款方归集的期末余额前五名的应收账款情况</w:t>
      </w:r>
      <w:bookmarkEnd w:id="2111"/>
      <w:bookmarkEnd w:id="2112"/>
      <w:bookmarkEnd w:id="2114"/>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占应收账款期末余额合计数</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69,605,736.86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2,425,602.30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32,713,749.80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1,045,487.05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24,141,389.72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22,244,086.37</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8,955,710.00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362,383.80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164,416,586.38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8"/>
        <w:keepNext/>
        <w:keepLines/>
        <w:widowControl w:val="0"/>
        <w:numPr>
          <w:ilvl w:val="0"/>
          <w:numId w:val="185"/>
        </w:numPr>
        <w:shd w:val="clear" w:color="auto" w:fill="auto"/>
        <w:tabs>
          <w:tab w:pos="493" w:val="left"/>
        </w:tabs>
        <w:bidi w:val="0"/>
        <w:spacing w:before="0" w:line="240" w:lineRule="auto"/>
        <w:ind w:left="0" w:right="0" w:firstLine="0"/>
        <w:jc w:val="left"/>
      </w:pPr>
      <w:bookmarkStart w:id="2115" w:name="bookmark2115"/>
      <w:bookmarkStart w:id="2116" w:name="bookmark2116"/>
      <w:bookmarkStart w:id="2117" w:name="bookmark2117"/>
      <w:bookmarkStart w:id="2118" w:name="bookmark2118"/>
      <w:bookmarkEnd w:id="2117"/>
      <w:r>
        <w:rPr>
          <w:color w:val="000000"/>
          <w:spacing w:val="0"/>
          <w:w w:val="100"/>
          <w:position w:val="0"/>
        </w:rPr>
        <w:t>因金融资产转移而终止确认的应收账款</w:t>
      </w:r>
      <w:bookmarkEnd w:id="2115"/>
      <w:bookmarkEnd w:id="2116"/>
      <w:bookmarkEnd w:id="2118"/>
    </w:p>
    <w:p>
      <w:pPr>
        <w:pStyle w:val="Style62"/>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本期无因金融资产转移而终止确认的应收账款。</w:t>
      </w:r>
    </w:p>
    <w:p>
      <w:pPr>
        <w:pStyle w:val="Style38"/>
        <w:keepNext/>
        <w:keepLines/>
        <w:widowControl w:val="0"/>
        <w:numPr>
          <w:ilvl w:val="0"/>
          <w:numId w:val="185"/>
        </w:numPr>
        <w:shd w:val="clear" w:color="auto" w:fill="auto"/>
        <w:tabs>
          <w:tab w:pos="493" w:val="left"/>
        </w:tabs>
        <w:bidi w:val="0"/>
        <w:spacing w:before="0" w:line="240" w:lineRule="auto"/>
        <w:ind w:left="0" w:right="0" w:firstLine="0"/>
        <w:jc w:val="left"/>
      </w:pPr>
      <w:bookmarkStart w:id="2119" w:name="bookmark2119"/>
      <w:bookmarkStart w:id="2120" w:name="bookmark2120"/>
      <w:bookmarkStart w:id="2121" w:name="bookmark2121"/>
      <w:bookmarkStart w:id="2122" w:name="bookmark2122"/>
      <w:bookmarkEnd w:id="2121"/>
      <w:r>
        <w:rPr>
          <w:color w:val="000000"/>
          <w:spacing w:val="0"/>
          <w:w w:val="100"/>
          <w:position w:val="0"/>
        </w:rPr>
        <w:t>转移应收账款且继续涉入形成的资产、负债金额</w:t>
      </w:r>
      <w:bookmarkEnd w:id="2119"/>
      <w:bookmarkEnd w:id="2120"/>
      <w:bookmarkEnd w:id="2122"/>
    </w:p>
    <w:p>
      <w:pPr>
        <w:pStyle w:val="Style62"/>
        <w:keepNext w:val="0"/>
        <w:keepLines w:val="0"/>
        <w:widowControl w:val="0"/>
        <w:shd w:val="clear" w:color="auto" w:fill="auto"/>
        <w:bidi w:val="0"/>
        <w:spacing w:before="0" w:after="420" w:line="240" w:lineRule="auto"/>
        <w:ind w:left="0" w:right="0" w:firstLine="0"/>
        <w:jc w:val="left"/>
      </w:pPr>
      <w:r>
        <w:rPr>
          <w:b w:val="0"/>
          <w:bCs w:val="0"/>
          <w:color w:val="000000"/>
          <w:spacing w:val="0"/>
          <w:w w:val="100"/>
          <w:position w:val="0"/>
        </w:rPr>
        <w:t>本期无转移应收账款且继续涉入形成的资产、负债。</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0" w:line="240" w:lineRule="auto"/>
        <w:ind w:left="0" w:right="0" w:firstLine="360"/>
        <w:jc w:val="left"/>
      </w:pPr>
      <w:r>
        <w:rPr>
          <w:b w:val="0"/>
          <w:bCs w:val="0"/>
          <w:color w:val="000000"/>
          <w:spacing w:val="0"/>
          <w:w w:val="100"/>
          <w:position w:val="0"/>
        </w:rPr>
        <w:t>应收关联方账款情况</w:t>
      </w:r>
    </w:p>
    <w:tbl>
      <w:tblPr>
        <w:tblOverlap w:val="never"/>
        <w:jc w:val="left"/>
        <w:tblLayout w:type="fixed"/>
      </w:tblPr>
      <w:tblGrid>
        <w:gridCol w:w="2957"/>
        <w:gridCol w:w="1843"/>
        <w:gridCol w:w="1421"/>
        <w:gridCol w:w="2338"/>
      </w:tblGrid>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占应收账款余额的比例</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北京高伟达保科技有限责任公司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13.50</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中信科技发展有限公司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3,825,365.00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r>
      <w:tr>
        <w:trPr>
          <w:trHeight w:val="35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32,825,365.00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15.28</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23"/>
      <w:bookmarkEnd w:id="2124"/>
      <w:bookmarkEnd w:id="2125"/>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27,000,000.00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22,562,222.31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25,377,806.29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22,562,222.31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52,377,806.29</w:t>
            </w:r>
          </w:p>
        </w:tc>
      </w:tr>
    </w:tbl>
    <w:p>
      <w:pPr>
        <w:pStyle w:val="Style38"/>
        <w:keepNext/>
        <w:keepLines/>
        <w:widowControl w:val="0"/>
        <w:shd w:val="clear" w:color="auto" w:fill="auto"/>
        <w:bidi w:val="0"/>
        <w:spacing w:before="0" w:line="240" w:lineRule="auto"/>
        <w:ind w:left="0" w:right="0" w:firstLine="0"/>
        <w:jc w:val="left"/>
      </w:pPr>
      <w:bookmarkStart w:id="2126" w:name="bookmark2126"/>
      <w:bookmarkStart w:id="2127" w:name="bookmark2127"/>
      <w:bookmarkStart w:id="2128" w:name="bookmark21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26"/>
      <w:bookmarkEnd w:id="2127"/>
      <w:bookmarkEnd w:id="2128"/>
    </w:p>
    <w:p>
      <w:pPr>
        <w:pStyle w:val="Style38"/>
        <w:keepNext/>
        <w:keepLines/>
        <w:widowControl w:val="0"/>
        <w:shd w:val="clear" w:color="auto" w:fill="auto"/>
        <w:bidi w:val="0"/>
        <w:spacing w:before="0" w:line="240" w:lineRule="auto"/>
        <w:ind w:left="0" w:right="0" w:firstLine="0"/>
        <w:jc w:val="left"/>
      </w:pPr>
      <w:bookmarkStart w:id="2126" w:name="bookmark2126"/>
      <w:bookmarkStart w:id="2127" w:name="bookmark2127"/>
      <w:bookmarkStart w:id="2129" w:name="bookmark2129"/>
      <w:bookmarkStart w:id="2130" w:name="bookmark2130"/>
      <w:r>
        <w:rPr>
          <w:rFonts w:ascii="Times New Roman" w:eastAsia="Times New Roman" w:hAnsi="Times New Roman" w:cs="Times New Roman"/>
          <w:color w:val="000000"/>
          <w:spacing w:val="0"/>
          <w:w w:val="100"/>
          <w:position w:val="0"/>
        </w:rPr>
        <w:t>1</w:t>
      </w:r>
      <w:bookmarkEnd w:id="2129"/>
      <w:r>
        <w:rPr>
          <w:color w:val="000000"/>
          <w:spacing w:val="0"/>
          <w:w w:val="100"/>
          <w:position w:val="0"/>
        </w:rPr>
        <w:t>）应收利息分类</w:t>
      </w:r>
      <w:bookmarkEnd w:id="2126"/>
      <w:bookmarkEnd w:id="2127"/>
      <w:bookmarkEnd w:id="2130"/>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2</w:t>
      </w:r>
      <w:bookmarkEnd w:id="2133"/>
      <w:r>
        <w:rPr>
          <w:color w:val="000000"/>
          <w:spacing w:val="0"/>
          <w:w w:val="100"/>
          <w:position w:val="0"/>
        </w:rPr>
        <w:t>）重要逾期利息</w:t>
      </w:r>
      <w:bookmarkEnd w:id="2131"/>
      <w:bookmarkEnd w:id="2132"/>
      <w:bookmarkEnd w:id="2134"/>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是否发生减值及其判断</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3</w:t>
      </w:r>
      <w:bookmarkEnd w:id="2137"/>
      <w:r>
        <w:rPr>
          <w:color w:val="000000"/>
          <w:spacing w:val="0"/>
          <w:w w:val="100"/>
          <w:position w:val="0"/>
        </w:rPr>
        <w:t>）坏账准备计提情况</w:t>
      </w:r>
      <w:bookmarkEnd w:id="2135"/>
      <w:bookmarkEnd w:id="2136"/>
      <w:bookmarkEnd w:id="2138"/>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2139" w:name="bookmark2139"/>
      <w:bookmarkStart w:id="2140" w:name="bookmark2140"/>
      <w:bookmarkStart w:id="2141" w:name="bookmark21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39"/>
      <w:bookmarkEnd w:id="2140"/>
      <w:bookmarkEnd w:id="2141"/>
    </w:p>
    <w:p>
      <w:pPr>
        <w:pStyle w:val="Style38"/>
        <w:keepNext/>
        <w:keepLines/>
        <w:widowControl w:val="0"/>
        <w:shd w:val="clear" w:color="auto" w:fill="auto"/>
        <w:bidi w:val="0"/>
        <w:spacing w:before="0" w:line="240" w:lineRule="auto"/>
        <w:ind w:left="0" w:right="0" w:firstLine="0"/>
        <w:jc w:val="left"/>
      </w:pPr>
      <w:bookmarkStart w:id="2139" w:name="bookmark2139"/>
      <w:bookmarkStart w:id="2140" w:name="bookmark2140"/>
      <w:bookmarkStart w:id="2142" w:name="bookmark2142"/>
      <w:bookmarkStart w:id="2143" w:name="bookmark2143"/>
      <w:r>
        <w:rPr>
          <w:rFonts w:ascii="Times New Roman" w:eastAsia="Times New Roman" w:hAnsi="Times New Roman" w:cs="Times New Roman"/>
          <w:color w:val="000000"/>
          <w:spacing w:val="0"/>
          <w:w w:val="100"/>
          <w:position w:val="0"/>
        </w:rPr>
        <w:t>1</w:t>
      </w:r>
      <w:bookmarkEnd w:id="2142"/>
      <w:r>
        <w:rPr>
          <w:color w:val="000000"/>
          <w:spacing w:val="0"/>
          <w:w w:val="100"/>
          <w:position w:val="0"/>
        </w:rPr>
        <w:t>）应收股利分类</w:t>
      </w:r>
      <w:bookmarkEnd w:id="2139"/>
      <w:bookmarkEnd w:id="2140"/>
      <w:bookmarkEnd w:id="2143"/>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27,000,000.00</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2</w:t>
      </w:r>
      <w:bookmarkEnd w:id="214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44"/>
      <w:bookmarkEnd w:id="2145"/>
      <w:bookmarkEnd w:id="214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是否发生减值及其判断</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3</w:t>
      </w:r>
      <w:bookmarkEnd w:id="2150"/>
      <w:r>
        <w:rPr>
          <w:color w:val="000000"/>
          <w:spacing w:val="0"/>
          <w:w w:val="100"/>
          <w:position w:val="0"/>
        </w:rPr>
        <w:t>）坏账准备计提情况</w:t>
      </w:r>
      <w:bookmarkEnd w:id="2148"/>
      <w:bookmarkEnd w:id="2149"/>
      <w:bookmarkEnd w:id="2151"/>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152" w:name="bookmark2152"/>
      <w:bookmarkStart w:id="2153" w:name="bookmark2153"/>
      <w:bookmarkStart w:id="2154" w:name="bookmark2154"/>
      <w:bookmarkStart w:id="2155" w:name="bookmark2155"/>
      <w:r>
        <w:rPr>
          <w:color w:val="000000"/>
          <w:spacing w:val="0"/>
          <w:w w:val="100"/>
          <w:position w:val="0"/>
        </w:rPr>
        <w:t>（</w:t>
      </w:r>
      <w:bookmarkEnd w:id="215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52"/>
      <w:bookmarkEnd w:id="2153"/>
      <w:bookmarkEnd w:id="2155"/>
    </w:p>
    <w:p>
      <w:pPr>
        <w:pStyle w:val="Style38"/>
        <w:keepNext/>
        <w:keepLines/>
        <w:widowControl w:val="0"/>
        <w:shd w:val="clear" w:color="auto" w:fill="auto"/>
        <w:bidi w:val="0"/>
        <w:spacing w:before="0" w:line="240" w:lineRule="auto"/>
        <w:ind w:left="0" w:right="0" w:firstLine="0"/>
        <w:jc w:val="left"/>
      </w:pPr>
      <w:bookmarkStart w:id="2152" w:name="bookmark2152"/>
      <w:bookmarkStart w:id="2153" w:name="bookmark2153"/>
      <w:bookmarkStart w:id="2156" w:name="bookmark215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52"/>
      <w:bookmarkEnd w:id="2153"/>
      <w:bookmarkEnd w:id="2156"/>
    </w:p>
    <w:p>
      <w:pPr>
        <w:pStyle w:val="Style3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9,205,286.20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9,810,531.90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917,628.93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662,426.00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员工社保公积金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22,400.89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24,546.74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2,188,080.69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7,354.94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23,483,396.71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26,504,859.58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57"/>
      <w:bookmarkEnd w:id="2158"/>
      <w:bookmarkEnd w:id="2159"/>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1,127,053.29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1,127,053.29</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-205,878.89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-205,878.89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921,174.40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921,174.40</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21,629,753.51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1,275,734.90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436,908.30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139,908.30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23,483,396.71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3</w:t>
      </w:r>
      <w:bookmarkEnd w:id="2162"/>
      <w:r>
        <w:rPr>
          <w:color w:val="000000"/>
          <w:spacing w:val="0"/>
          <w:w w:val="100"/>
          <w:position w:val="0"/>
        </w:rPr>
        <w:t>）本期计提、收回或转回的坏账准备情况</w:t>
      </w:r>
      <w:bookmarkEnd w:id="2160"/>
      <w:bookmarkEnd w:id="2161"/>
      <w:bookmarkEnd w:id="2163"/>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line="240" w:lineRule="auto"/>
        <w:ind w:left="8920" w:right="0" w:firstLine="0"/>
        <w:jc w:val="left"/>
        <w:sectPr>
          <w:headerReference w:type="default" r:id="rId265"/>
          <w:footerReference w:type="default" r:id="rId266"/>
          <w:headerReference w:type="even" r:id="rId267"/>
          <w:footerReference w:type="even" r:id="rId268"/>
          <w:headerReference w:type="first" r:id="rId269"/>
          <w:footerReference w:type="first" r:id="rId270"/>
          <w:footnotePr>
            <w:pos w:val="pageBottom"/>
            <w:numFmt w:val="decimal"/>
            <w:numRestart w:val="continuous"/>
          </w:footnotePr>
          <w:pgSz w:w="11900" w:h="16840"/>
          <w:pgMar w:top="1153" w:right="570" w:bottom="1436" w:left="554"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1,127,053.29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-205,878.89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921,174.40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1,127,053.29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-205,878.89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921,174.40</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62"/>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本期无收回或转回金额重要的坏账准备。</w:t>
      </w:r>
    </w:p>
    <w:p>
      <w:pPr>
        <w:pStyle w:val="Style38"/>
        <w:keepNext/>
        <w:keepLines/>
        <w:widowControl w:val="0"/>
        <w:shd w:val="clear" w:color="auto" w:fill="auto"/>
        <w:bidi w:val="0"/>
        <w:spacing w:before="0" w:line="240" w:lineRule="auto"/>
        <w:ind w:left="0" w:right="0" w:firstLine="0"/>
        <w:jc w:val="left"/>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4</w:t>
      </w:r>
      <w:bookmarkEnd w:id="2166"/>
      <w:r>
        <w:rPr>
          <w:color w:val="000000"/>
          <w:spacing w:val="0"/>
          <w:w w:val="100"/>
          <w:position w:val="0"/>
        </w:rPr>
        <w:t>）本期实际核销的其他应收款情况</w:t>
      </w:r>
      <w:bookmarkEnd w:id="2164"/>
      <w:bookmarkEnd w:id="2165"/>
      <w:bookmarkEnd w:id="216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62"/>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本期无实际核销的其他应收款。</w:t>
      </w:r>
    </w:p>
    <w:p>
      <w:pPr>
        <w:pStyle w:val="Style38"/>
        <w:keepNext/>
        <w:keepLines/>
        <w:widowControl w:val="0"/>
        <w:shd w:val="clear" w:color="auto" w:fill="auto"/>
        <w:bidi w:val="0"/>
        <w:spacing w:before="0" w:line="240" w:lineRule="auto"/>
        <w:ind w:left="0" w:right="0" w:firstLine="0"/>
        <w:jc w:val="left"/>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5</w:t>
      </w:r>
      <w:bookmarkEnd w:id="2170"/>
      <w:r>
        <w:rPr>
          <w:color w:val="000000"/>
          <w:spacing w:val="0"/>
          <w:w w:val="100"/>
          <w:position w:val="0"/>
        </w:rPr>
        <w:t>）按欠款方归集的期末余额前五名的其他应收款情况</w:t>
      </w:r>
      <w:bookmarkEnd w:id="2168"/>
      <w:bookmarkEnd w:id="2169"/>
      <w:bookmarkEnd w:id="2171"/>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深圳瑞云互联科技有 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9,850,000.00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北京市文化科技融资 租赁股份有限公司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上海魔力果信息技术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华泰联合证券有限责 任公司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943,396.23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28,301.89</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成都银行股份有限公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772,000.00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55,690.00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17,865,396.23</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233,991.89</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6</w:t>
      </w:r>
      <w:bookmarkEnd w:id="2174"/>
      <w:r>
        <w:rPr>
          <w:color w:val="000000"/>
          <w:spacing w:val="0"/>
          <w:w w:val="100"/>
          <w:position w:val="0"/>
        </w:rPr>
        <w:t>）涉及政府补助的应收款项</w:t>
      </w:r>
      <w:bookmarkEnd w:id="2172"/>
      <w:bookmarkEnd w:id="2173"/>
      <w:bookmarkEnd w:id="217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预计收取的时间、金额</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8"/>
        <w:keepNext/>
        <w:keepLines/>
        <w:widowControl w:val="0"/>
        <w:shd w:val="clear" w:color="auto" w:fill="auto"/>
        <w:tabs>
          <w:tab w:pos="392" w:val="left"/>
        </w:tabs>
        <w:bidi w:val="0"/>
        <w:spacing w:before="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7</w:t>
      </w:r>
      <w:bookmarkEnd w:id="2178"/>
      <w:r>
        <w:rPr>
          <w:color w:val="000000"/>
          <w:spacing w:val="0"/>
          <w:w w:val="100"/>
          <w:position w:val="0"/>
        </w:rPr>
        <w:t>）</w:t>
        <w:tab/>
        <w:t>因金融资产转移而终止确认的其他应收款</w:t>
      </w:r>
      <w:bookmarkEnd w:id="2176"/>
      <w:bookmarkEnd w:id="2177"/>
      <w:bookmarkEnd w:id="2179"/>
    </w:p>
    <w:p>
      <w:pPr>
        <w:pStyle w:val="Style62"/>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本期无转移其他应收款且继续涉入形成的资产、负债。</w:t>
      </w:r>
    </w:p>
    <w:p>
      <w:pPr>
        <w:pStyle w:val="Style38"/>
        <w:keepNext/>
        <w:keepLines/>
        <w:widowControl w:val="0"/>
        <w:shd w:val="clear" w:color="auto" w:fill="auto"/>
        <w:tabs>
          <w:tab w:pos="397" w:val="left"/>
        </w:tabs>
        <w:bidi w:val="0"/>
        <w:spacing w:before="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8</w:t>
      </w:r>
      <w:bookmarkEnd w:id="2182"/>
      <w:r>
        <w:rPr>
          <w:color w:val="000000"/>
          <w:spacing w:val="0"/>
          <w:w w:val="100"/>
          <w:position w:val="0"/>
        </w:rPr>
        <w:t>）</w:t>
        <w:tab/>
        <w:t>转移其他应收款且继续涉入形成的资产、负债金额</w:t>
      </w:r>
      <w:bookmarkEnd w:id="2180"/>
      <w:bookmarkEnd w:id="2181"/>
      <w:bookmarkEnd w:id="2183"/>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120" w:line="240" w:lineRule="auto"/>
        <w:ind w:left="0" w:right="0" w:firstLine="260"/>
        <w:jc w:val="both"/>
      </w:pPr>
      <w:r>
        <w:rPr>
          <w:b w:val="0"/>
          <w:bCs w:val="0"/>
          <w:color w:val="000000"/>
          <w:spacing w:val="0"/>
          <w:w w:val="100"/>
          <w:position w:val="0"/>
        </w:rPr>
        <w:t>对关联方的其他应收款情况</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86"/>
        <w:gridCol w:w="2232"/>
        <w:gridCol w:w="2549"/>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占其他应收款余额的比例</w:t>
            </w: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深圳瑞云互联科技有限公司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41.94</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上海魔力果信息技术有限公司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w:t>
            </w:r>
          </w:p>
        </w:tc>
      </w:tr>
      <w:tr>
        <w:trPr>
          <w:trHeight w:val="3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北京数微科技有限公司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331"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11,156,650.00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47.51</w:t>
            </w:r>
          </w:p>
        </w:tc>
      </w:tr>
    </w:tbl>
    <w:p>
      <w:pPr>
        <w:widowControl w:val="0"/>
        <w:spacing w:after="679" w:line="1" w:lineRule="exact"/>
      </w:pPr>
    </w:p>
    <w:p>
      <w:pPr>
        <w:pStyle w:val="Style38"/>
        <w:keepNext/>
        <w:keepLines/>
        <w:widowControl w:val="0"/>
        <w:shd w:val="clear" w:color="auto" w:fill="auto"/>
        <w:bidi w:val="0"/>
        <w:spacing w:before="0" w:line="240" w:lineRule="auto"/>
        <w:ind w:left="0" w:right="0" w:firstLine="0"/>
        <w:jc w:val="both"/>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3</w:t>
      </w:r>
      <w:bookmarkEnd w:id="2186"/>
      <w:r>
        <w:rPr>
          <w:color w:val="000000"/>
          <w:spacing w:val="0"/>
          <w:w w:val="100"/>
          <w:position w:val="0"/>
        </w:rPr>
        <w:t>、长期股权投资</w:t>
      </w:r>
      <w:bookmarkEnd w:id="2184"/>
      <w:bookmarkEnd w:id="2185"/>
      <w:bookmarkEnd w:id="218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1,173,194,760.14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530,289,058.49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642,905,701.65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1,146,102,805.22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1,146,102,805.22</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对联营、合营企</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12,575,981.52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12,575,981.52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21,024,090.51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21,024,090.51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1,185,770,741.66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530,289,058.49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655,481,683.17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1,167,126,895.73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1,167,126,895.73</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140"/>
        <w:jc w:val="left"/>
      </w:pPr>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88"/>
      <w:bookmarkEnd w:id="2189"/>
      <w:bookmarkEnd w:id="219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江苏高伟达 信息技术有限 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71"/>
          <w:footerReference w:type="default" r:id="rId272"/>
          <w:headerReference w:type="even" r:id="rId273"/>
          <w:footerReference w:type="even" r:id="rId274"/>
          <w:footnotePr>
            <w:pos w:val="pageBottom"/>
            <w:numFmt w:val="decimal"/>
            <w:numRestart w:val="continuous"/>
          </w:footnotePr>
          <w:pgSz w:w="11900" w:h="16840"/>
          <w:pgMar w:top="1153" w:right="570" w:bottom="1436" w:left="554" w:header="0" w:footer="3" w:gutter="0"/>
          <w:cols w:space="720"/>
          <w:noEndnote/>
          <w:rtlGutter w:val="0"/>
          <w:docGrid w:linePitch="360"/>
        </w:sectPr>
      </w:pP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江苏盈达信 息技术有限公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22,072,400.00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32,712,400.00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上海翕振信 息技术有限公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18,438,120.00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29,068,120.00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北京高伟达 钽云科技有限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成都高伟达 信息技术有限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12,470,120.00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12,470,120.00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上海睿民互 联网科技有限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299,999,982.2</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64,287,797.14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235,712,185.08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64,287,797.14</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深圳瑞云互 联科技有限公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11,943,500.79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11,943,500.79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上海瑞车信 息科技有限公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海南坚果创 娱信息技术有 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253,660,888.9</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192,945,696.8</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60,715,192.05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192,945,696.89</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上海魔力果 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321,954.92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321,954.92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喀什尚河信 息科技有限公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116,152,537.5</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116,152,537.5</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深圳市快读 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381,865,255.7</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115,652,537.5</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273,055,564.4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224,462,228.81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273,055,564.46</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1,146,102,805.</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143,244,492.4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116,152,537.5</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530,289,058.4</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642,905,701.65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530,289,058.49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91"/>
      <w:bookmarkEnd w:id="2192"/>
      <w:bookmarkEnd w:id="219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1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期初余额</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tc>
        <w:tc>
          <w:tcPr>
            <w:gridSpan w:val="8"/>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期末余额</w:t>
            </w:r>
          </w:p>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减值准备</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宣告发放</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确认的投 资损益</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中信 科技发展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14,071,76</w:t>
            </w:r>
          </w:p>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-6,608,21</w:t>
            </w:r>
          </w:p>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7,463,551</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北京 高伟达保 科技有限 责任公司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4,475,840</w:t>
            </w:r>
          </w:p>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297,529.8</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4,773,370</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北京 数微科技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2,476,485</w:t>
            </w:r>
          </w:p>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-2,137,42</w:t>
            </w:r>
          </w:p>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339,060.2</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21,024,09</w:t>
            </w:r>
          </w:p>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-8,448,10</w:t>
            </w:r>
          </w:p>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12,575,98</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21,024,09</w:t>
            </w:r>
          </w:p>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-8,448,10</w:t>
            </w:r>
          </w:p>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12,575,98</w:t>
            </w:r>
          </w:p>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numPr>
          <w:ilvl w:val="0"/>
          <w:numId w:val="193"/>
        </w:numPr>
        <w:shd w:val="clear" w:color="auto" w:fill="auto"/>
        <w:bidi w:val="0"/>
        <w:spacing w:before="0" w:line="240" w:lineRule="auto"/>
        <w:ind w:left="0" w:right="0" w:firstLine="0"/>
        <w:jc w:val="left"/>
      </w:pPr>
      <w:bookmarkStart w:id="2194" w:name="bookmark2194"/>
      <w:bookmarkStart w:id="2195" w:name="bookmark2195"/>
      <w:bookmarkStart w:id="2196" w:name="bookmark2196"/>
      <w:bookmarkStart w:id="2197" w:name="bookmark2197"/>
      <w:bookmarkEnd w:id="2196"/>
      <w:r>
        <w:rPr>
          <w:color w:val="000000"/>
          <w:spacing w:val="0"/>
          <w:w w:val="100"/>
          <w:position w:val="0"/>
        </w:rPr>
        <w:t>其他说明</w:t>
      </w:r>
      <w:bookmarkEnd w:id="2194"/>
      <w:bookmarkEnd w:id="2195"/>
      <w:bookmarkEnd w:id="2197"/>
    </w:p>
    <w:p>
      <w:pPr>
        <w:pStyle w:val="Style38"/>
        <w:keepNext/>
        <w:keepLines/>
        <w:widowControl w:val="0"/>
        <w:shd w:val="clear" w:color="auto" w:fill="auto"/>
        <w:bidi w:val="0"/>
        <w:spacing w:before="0" w:line="240" w:lineRule="auto"/>
        <w:ind w:left="0" w:right="0" w:firstLine="0"/>
        <w:jc w:val="left"/>
      </w:pPr>
      <w:bookmarkStart w:id="2194" w:name="bookmark2194"/>
      <w:bookmarkStart w:id="2195" w:name="bookmark2195"/>
      <w:bookmarkStart w:id="2198" w:name="bookmark2198"/>
      <w:bookmarkStart w:id="2199" w:name="bookmark2199"/>
      <w:r>
        <w:rPr>
          <w:rFonts w:ascii="Times New Roman" w:eastAsia="Times New Roman" w:hAnsi="Times New Roman" w:cs="Times New Roman"/>
          <w:color w:val="000000"/>
          <w:spacing w:val="0"/>
          <w:w w:val="100"/>
          <w:position w:val="0"/>
        </w:rPr>
        <w:t>4</w:t>
      </w:r>
      <w:bookmarkEnd w:id="2198"/>
      <w:r>
        <w:rPr>
          <w:color w:val="000000"/>
          <w:spacing w:val="0"/>
          <w:w w:val="100"/>
          <w:position w:val="0"/>
        </w:rPr>
        <w:t>、营业收入和营业成本</w:t>
      </w:r>
      <w:bookmarkEnd w:id="2194"/>
      <w:bookmarkEnd w:id="2195"/>
      <w:bookmarkEnd w:id="219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1,274,622,951.34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1,128,415,829.50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995,433,254.95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876,708,459.84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1,274,622,951.34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1,128,415,829.50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995,433,254.95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876,708,459.84</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ectPr>
          <w:headerReference w:type="default" r:id="rId275"/>
          <w:footerReference w:type="default" r:id="rId276"/>
          <w:headerReference w:type="even" r:id="rId277"/>
          <w:footerReference w:type="even" r:id="rId278"/>
          <w:footnotePr>
            <w:pos w:val="pageBottom"/>
            <w:numFmt w:val="decimal"/>
            <w:numRestart w:val="continuous"/>
          </w:footnotePr>
          <w:pgSz w:w="11900" w:h="16840"/>
          <w:pgMar w:top="1153" w:right="570" w:bottom="1436" w:left="554" w:header="0" w:footer="3" w:gutter="0"/>
          <w:cols w:space="720"/>
          <w:noEndnote/>
          <w:rtlGutter w:val="0"/>
          <w:docGrid w:linePitch="360"/>
        </w:sectPr>
      </w:pP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34"/>
        <w:keepNext w:val="0"/>
        <w:keepLines w:val="0"/>
        <w:widowControl w:val="0"/>
        <w:shd w:val="clear" w:color="auto" w:fill="auto"/>
        <w:bidi w:val="0"/>
        <w:spacing w:before="0" w:line="317" w:lineRule="exact"/>
        <w:ind w:left="0" w:right="0" w:firstLine="0"/>
        <w:jc w:val="left"/>
      </w:pPr>
      <w:r>
        <w:rPr>
          <w:color w:val="000000"/>
          <w:spacing w:val="0"/>
          <w:w w:val="100"/>
          <w:position w:val="0"/>
        </w:rPr>
        <w:t>其他说明：</w:t>
      </w:r>
    </w:p>
    <w:p>
      <w:pPr>
        <w:pStyle w:val="Style6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、公司前五名客户的营业收入情况</w:t>
      </w:r>
    </w:p>
    <w:p>
      <w:pPr>
        <w:pStyle w:val="Style45"/>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3101"/>
        <w:gridCol w:w="3096"/>
        <w:gridCol w:w="3101"/>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645,316,613.14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94,832,253.94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760" w:right="0" w:firstLine="0"/>
              <w:jc w:val="both"/>
            </w:pPr>
            <w:r>
              <w:rPr>
                <w:rFonts w:ascii="Times New Roman" w:eastAsia="Times New Roman" w:hAnsi="Times New Roman" w:cs="Times New Roman"/>
                <w:color w:val="000000"/>
                <w:spacing w:val="0"/>
                <w:w w:val="100"/>
                <w:position w:val="0"/>
              </w:rPr>
              <w:t>7.44</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83,084,849.06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760" w:right="0" w:firstLine="0"/>
              <w:jc w:val="both"/>
            </w:pPr>
            <w:r>
              <w:rPr>
                <w:rFonts w:ascii="Times New Roman" w:eastAsia="Times New Roman" w:hAnsi="Times New Roman" w:cs="Times New Roman"/>
                <w:color w:val="000000"/>
                <w:spacing w:val="0"/>
                <w:w w:val="100"/>
                <w:position w:val="0"/>
              </w:rPr>
              <w:t>6.52</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76,056,031.66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760" w:right="0" w:firstLine="0"/>
              <w:jc w:val="both"/>
            </w:pPr>
            <w:r>
              <w:rPr>
                <w:rFonts w:ascii="Times New Roman" w:eastAsia="Times New Roman" w:hAnsi="Times New Roman" w:cs="Times New Roman"/>
                <w:color w:val="000000"/>
                <w:spacing w:val="0"/>
                <w:w w:val="100"/>
                <w:position w:val="0"/>
              </w:rPr>
              <w:t>5.97</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35,445,822.32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760" w:right="0" w:firstLine="0"/>
              <w:jc w:val="both"/>
            </w:pPr>
            <w:r>
              <w:rPr>
                <w:rFonts w:ascii="Times New Roman" w:eastAsia="Times New Roman" w:hAnsi="Times New Roman" w:cs="Times New Roman"/>
                <w:color w:val="000000"/>
                <w:spacing w:val="0"/>
                <w:w w:val="100"/>
                <w:position w:val="0"/>
              </w:rPr>
              <w:t>2.78</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934,735,570.12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73.34</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主营业务收入</w:t>
      </w:r>
      <w:r>
        <w:rPr>
          <w:rFonts w:ascii="Times New Roman" w:eastAsia="Times New Roman" w:hAnsi="Times New Roman" w:cs="Times New Roman"/>
          <w:color w:val="000000"/>
          <w:spacing w:val="0"/>
          <w:w w:val="100"/>
          <w:position w:val="0"/>
        </w:rPr>
        <w:t>/</w:t>
      </w:r>
      <w:r>
        <w:rPr>
          <w:color w:val="000000"/>
          <w:spacing w:val="0"/>
          <w:w w:val="100"/>
          <w:position w:val="0"/>
        </w:rPr>
        <w:t>主营业务成本情况</w:t>
      </w:r>
      <w:r>
        <w:rPr>
          <w:rFonts w:ascii="Times New Roman" w:eastAsia="Times New Roman" w:hAnsi="Times New Roman" w:cs="Times New Roman"/>
          <w:color w:val="000000"/>
          <w:spacing w:val="0"/>
          <w:w w:val="100"/>
          <w:position w:val="0"/>
        </w:rPr>
        <w:t>(</w:t>
      </w:r>
      <w:r>
        <w:rPr>
          <w:color w:val="000000"/>
          <w:spacing w:val="0"/>
          <w:w w:val="100"/>
          <w:position w:val="0"/>
        </w:rPr>
        <w:t>按业务类别分类</w:t>
      </w:r>
      <w:r>
        <w:rPr>
          <w:rFonts w:ascii="Times New Roman" w:eastAsia="Times New Roman" w:hAnsi="Times New Roman" w:cs="Times New Roman"/>
          <w:color w:val="000000"/>
          <w:spacing w:val="0"/>
          <w:w w:val="100"/>
          <w:position w:val="0"/>
        </w:rPr>
        <w:t>)</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8270" w:right="0" w:firstLine="0"/>
        <w:jc w:val="left"/>
      </w:pPr>
      <w:r>
        <w:rPr>
          <w:color w:val="000000"/>
          <w:spacing w:val="0"/>
          <w:w w:val="100"/>
          <w:position w:val="0"/>
        </w:rPr>
        <w:t>单位：元</w:t>
      </w:r>
    </w:p>
    <w:tbl>
      <w:tblPr>
        <w:tblOverlap w:val="never"/>
        <w:jc w:val="center"/>
        <w:tblLayout w:type="fixed"/>
      </w:tblPr>
      <w:tblGrid>
        <w:gridCol w:w="1632"/>
        <w:gridCol w:w="1930"/>
        <w:gridCol w:w="1934"/>
        <w:gridCol w:w="1930"/>
        <w:gridCol w:w="1939"/>
      </w:tblGrid>
      <w:tr>
        <w:trPr>
          <w:trHeight w:val="437"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业务类别</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440,348,601.58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352,472,197.99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443,992,309.54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353,289,016.79</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834,274,349.76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775,943,631.51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551,440,945.41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523,419,443.05</w:t>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1,274,622,951.34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1,128,415,829.50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995,433,254.95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876,708,459.84</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5</w:t>
      </w:r>
      <w:bookmarkEnd w:id="2202"/>
      <w:r>
        <w:rPr>
          <w:color w:val="000000"/>
          <w:spacing w:val="0"/>
          <w:w w:val="100"/>
          <w:position w:val="0"/>
        </w:rPr>
        <w:t>、投资收益</w:t>
      </w:r>
      <w:bookmarkEnd w:id="2200"/>
      <w:bookmarkEnd w:id="2201"/>
      <w:bookmarkEnd w:id="2203"/>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127,830,017.03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37,220,615.22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-8,448,108.99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-1,446,083.11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1,180,637.44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950,044.23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理财产品持有期间的投资收益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315,514.03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120,878,059.51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36,724,576.34</w:t>
            </w:r>
          </w:p>
        </w:tc>
      </w:tr>
    </w:tbl>
    <w:p>
      <w:pPr>
        <w:spacing w:lineRule="exact" w:line="1"/>
        <w:rPr>
          <w:sz w:val="2"/>
          <w:szCs w:val="2"/>
        </w:rPr>
      </w:pPr>
      <w:r>
        <w:br w:type="page"/>
      </w:r>
    </w:p>
    <w:p>
      <w:pPr>
        <w:pStyle w:val="Style38"/>
        <w:keepNext/>
        <w:keepLines/>
        <w:widowControl w:val="0"/>
        <w:shd w:val="clear" w:color="auto" w:fill="auto"/>
        <w:bidi w:val="0"/>
        <w:spacing w:before="0" w:after="340" w:line="240" w:lineRule="auto"/>
        <w:ind w:left="0" w:right="0" w:firstLine="0"/>
        <w:jc w:val="both"/>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6</w:t>
      </w:r>
      <w:bookmarkEnd w:id="2206"/>
      <w:r>
        <w:rPr>
          <w:color w:val="000000"/>
          <w:spacing w:val="0"/>
          <w:w w:val="100"/>
          <w:position w:val="0"/>
        </w:rPr>
        <w:t>、其他</w:t>
      </w:r>
      <w:bookmarkEnd w:id="2204"/>
      <w:bookmarkEnd w:id="2205"/>
      <w:bookmarkEnd w:id="2207"/>
    </w:p>
    <w:p>
      <w:pPr>
        <w:pStyle w:val="Style17"/>
        <w:keepNext/>
        <w:keepLines/>
        <w:widowControl w:val="0"/>
        <w:shd w:val="clear" w:color="auto" w:fill="auto"/>
        <w:bidi w:val="0"/>
        <w:spacing w:before="0" w:after="340" w:line="240" w:lineRule="auto"/>
        <w:ind w:left="0" w:right="0" w:firstLine="0"/>
        <w:jc w:val="both"/>
      </w:pPr>
      <w:bookmarkStart w:id="2208" w:name="bookmark2208"/>
      <w:bookmarkStart w:id="2209" w:name="bookmark2209"/>
      <w:bookmarkStart w:id="2210" w:name="bookmark2210"/>
      <w:r>
        <w:rPr>
          <w:color w:val="000000"/>
          <w:spacing w:val="0"/>
          <w:w w:val="100"/>
          <w:position w:val="0"/>
          <w:sz w:val="24"/>
          <w:szCs w:val="24"/>
        </w:rPr>
        <w:t>十八、补充资料</w:t>
      </w:r>
      <w:bookmarkEnd w:id="2208"/>
      <w:bookmarkEnd w:id="2209"/>
      <w:bookmarkEnd w:id="2210"/>
    </w:p>
    <w:p>
      <w:pPr>
        <w:pStyle w:val="Style38"/>
        <w:keepNext/>
        <w:keepLines/>
        <w:widowControl w:val="0"/>
        <w:shd w:val="clear" w:color="auto" w:fill="auto"/>
        <w:bidi w:val="0"/>
        <w:spacing w:before="0" w:after="340" w:line="240" w:lineRule="auto"/>
        <w:ind w:left="0" w:right="0" w:firstLine="0"/>
        <w:jc w:val="both"/>
      </w:pPr>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11"/>
      <w:bookmarkEnd w:id="2212"/>
      <w:bookmarkEnd w:id="2213"/>
    </w:p>
    <w:p>
      <w:pPr>
        <w:pStyle w:val="Style3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固定资产处置损益</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4,617,937.13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税收及财政扶持款</w:t>
            </w:r>
          </w:p>
        </w:tc>
      </w:tr>
      <w:tr>
        <w:trPr>
          <w:trHeight w:val="227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26,496,508.77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收购公司未按预期协议实现承诺业绩， 原股东给予上市公司的补偿，及理财产 品收益</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-223,224.71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383,881.73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30,508,403.61</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140" w:line="30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34"/>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both"/>
      </w:pPr>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14"/>
      <w:bookmarkEnd w:id="2215"/>
      <w:bookmarkEnd w:id="2216"/>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w:t>
            </w:r>
          </w:p>
        </w:tc>
      </w:tr>
    </w:tbl>
    <w:p>
      <w:pPr>
        <w:pStyle w:val="Style62"/>
        <w:keepNext w:val="0"/>
        <w:keepLines w:val="0"/>
        <w:widowControl w:val="0"/>
        <w:shd w:val="clear" w:color="auto" w:fill="auto"/>
        <w:tabs>
          <w:tab w:pos="378" w:val="left"/>
        </w:tabs>
        <w:bidi w:val="0"/>
        <w:spacing w:before="0" w:after="300" w:line="326" w:lineRule="exact"/>
        <w:ind w:left="0" w:right="0" w:firstLine="0"/>
        <w:jc w:val="left"/>
      </w:pPr>
      <w:bookmarkStart w:id="2217" w:name="bookmark2217"/>
      <w:r>
        <w:rPr>
          <w:rFonts w:ascii="Times New Roman" w:eastAsia="Times New Roman" w:hAnsi="Times New Roman" w:cs="Times New Roman"/>
          <w:color w:val="000000"/>
          <w:spacing w:val="0"/>
          <w:w w:val="100"/>
          <w:position w:val="0"/>
        </w:rPr>
        <w:t>3</w:t>
      </w:r>
      <w:bookmarkEnd w:id="2217"/>
      <w:r>
        <w:rPr>
          <w:color w:val="000000"/>
          <w:spacing w:val="0"/>
          <w:w w:val="100"/>
          <w:position w:val="0"/>
        </w:rPr>
        <w:t>、</w:t>
        <w:tab/>
        <w:t>境内外会计准则下会计数据差异</w:t>
      </w:r>
    </w:p>
    <w:p>
      <w:pPr>
        <w:pStyle w:val="Style62"/>
        <w:keepNext w:val="0"/>
        <w:keepLines w:val="0"/>
        <w:widowControl w:val="0"/>
        <w:numPr>
          <w:ilvl w:val="0"/>
          <w:numId w:val="195"/>
        </w:numPr>
        <w:shd w:val="clear" w:color="auto" w:fill="auto"/>
        <w:tabs>
          <w:tab w:pos="493" w:val="left"/>
        </w:tabs>
        <w:bidi w:val="0"/>
        <w:spacing w:before="0" w:line="326" w:lineRule="exact"/>
        <w:ind w:left="0" w:right="0" w:firstLine="0"/>
        <w:jc w:val="left"/>
      </w:pPr>
      <w:bookmarkStart w:id="2218" w:name="bookmark2218"/>
      <w:bookmarkEnd w:id="2218"/>
      <w:r>
        <w:rPr>
          <w:color w:val="000000"/>
          <w:spacing w:val="0"/>
          <w:w w:val="100"/>
          <w:position w:val="0"/>
        </w:rPr>
        <w:t>同时按照国际会计准则与按中国会计准则披露的财务报告中净利润和净资产差异情况</w:t>
      </w:r>
    </w:p>
    <w:p>
      <w:pPr>
        <w:pStyle w:val="Style3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numPr>
          <w:ilvl w:val="0"/>
          <w:numId w:val="195"/>
        </w:numPr>
        <w:shd w:val="clear" w:color="auto" w:fill="auto"/>
        <w:tabs>
          <w:tab w:pos="493" w:val="left"/>
        </w:tabs>
        <w:bidi w:val="0"/>
        <w:spacing w:before="0" w:line="326" w:lineRule="exact"/>
        <w:ind w:left="0" w:right="0" w:firstLine="0"/>
        <w:jc w:val="left"/>
      </w:pPr>
      <w:bookmarkStart w:id="2219" w:name="bookmark2219"/>
      <w:bookmarkEnd w:id="2219"/>
      <w:r>
        <w:rPr>
          <w:color w:val="000000"/>
          <w:spacing w:val="0"/>
          <w:w w:val="100"/>
          <w:position w:val="0"/>
        </w:rPr>
        <w:t>同时按照境外会计准则与按中国会计准则披露的财务报告中净利润和净资产差异情况</w:t>
      </w:r>
    </w:p>
    <w:p>
      <w:pPr>
        <w:pStyle w:val="Style3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numPr>
          <w:ilvl w:val="0"/>
          <w:numId w:val="195"/>
        </w:numPr>
        <w:shd w:val="clear" w:color="auto" w:fill="auto"/>
        <w:bidi w:val="0"/>
        <w:spacing w:before="0" w:after="300" w:line="326" w:lineRule="exact"/>
        <w:ind w:left="0" w:right="0" w:firstLine="0"/>
        <w:jc w:val="left"/>
      </w:pPr>
      <w:bookmarkStart w:id="2220" w:name="bookmark2220"/>
      <w:bookmarkEnd w:id="2220"/>
      <w:r>
        <w:rPr>
          <w:color w:val="000000"/>
          <w:spacing w:val="0"/>
          <w:w w:val="100"/>
          <w:position w:val="0"/>
        </w:rPr>
        <w:t xml:space="preserve"> 境内外会计准则下会计数据差异原因说明，对已经境外审计机构审计的数据进行差异调节的，应注 明该境外机构的名称</w:t>
      </w:r>
    </w:p>
    <w:p>
      <w:pPr>
        <w:pStyle w:val="Style62"/>
        <w:keepNext w:val="0"/>
        <w:keepLines w:val="0"/>
        <w:widowControl w:val="0"/>
        <w:shd w:val="clear" w:color="auto" w:fill="auto"/>
        <w:tabs>
          <w:tab w:pos="378" w:val="left"/>
        </w:tabs>
        <w:bidi w:val="0"/>
        <w:spacing w:before="0" w:after="300" w:line="326" w:lineRule="exact"/>
        <w:ind w:left="0" w:right="0" w:firstLine="0"/>
        <w:jc w:val="left"/>
        <w:sectPr>
          <w:headerReference w:type="default" r:id="rId279"/>
          <w:footerReference w:type="default" r:id="rId280"/>
          <w:headerReference w:type="even" r:id="rId281"/>
          <w:footerReference w:type="even" r:id="rId282"/>
          <w:footnotePr>
            <w:pos w:val="pageBottom"/>
            <w:numFmt w:val="decimal"/>
            <w:numRestart w:val="continuous"/>
          </w:footnotePr>
          <w:pgSz w:w="11900" w:h="16840"/>
          <w:pgMar w:top="1153" w:right="570" w:bottom="1436" w:left="554" w:header="0" w:footer="3" w:gutter="0"/>
          <w:cols w:space="720"/>
          <w:noEndnote/>
          <w:rtlGutter w:val="0"/>
          <w:docGrid w:linePitch="360"/>
        </w:sectPr>
      </w:pPr>
      <w:bookmarkStart w:id="2221" w:name="bookmark2221"/>
      <w:r>
        <w:rPr>
          <w:rFonts w:ascii="Times New Roman" w:eastAsia="Times New Roman" w:hAnsi="Times New Roman" w:cs="Times New Roman"/>
          <w:color w:val="000000"/>
          <w:spacing w:val="0"/>
          <w:w w:val="100"/>
          <w:position w:val="0"/>
        </w:rPr>
        <w:t>4</w:t>
      </w:r>
      <w:bookmarkEnd w:id="2221"/>
      <w:r>
        <w:rPr>
          <w:color w:val="000000"/>
          <w:spacing w:val="0"/>
          <w:w w:val="100"/>
          <w:position w:val="0"/>
        </w:rPr>
        <w:t>、</w:t>
        <w:tab/>
        <w:t>其他</w:t>
      </w:r>
    </w:p>
    <w:p>
      <w:pPr>
        <w:pStyle w:val="Style13"/>
        <w:keepNext/>
        <w:keepLines/>
        <w:widowControl w:val="0"/>
        <w:shd w:val="clear" w:color="auto" w:fill="auto"/>
        <w:bidi w:val="0"/>
        <w:spacing w:before="0" w:after="580" w:line="240" w:lineRule="auto"/>
        <w:ind w:left="0" w:right="0" w:firstLine="0"/>
        <w:jc w:val="center"/>
      </w:pPr>
      <w:bookmarkStart w:id="2222" w:name="bookmark2222"/>
      <w:bookmarkStart w:id="2223" w:name="bookmark2223"/>
      <w:bookmarkStart w:id="2224" w:name="bookmark2224"/>
      <w:r>
        <w:rPr>
          <w:color w:val="000000"/>
          <w:spacing w:val="0"/>
          <w:w w:val="100"/>
          <w:position w:val="0"/>
        </w:rPr>
        <w:t>第十三节备查文件目录</w:t>
      </w:r>
      <w:bookmarkEnd w:id="2222"/>
      <w:bookmarkEnd w:id="2223"/>
      <w:bookmarkEnd w:id="2224"/>
    </w:p>
    <w:p>
      <w:pPr>
        <w:pStyle w:val="Style34"/>
        <w:keepNext w:val="0"/>
        <w:keepLines w:val="0"/>
        <w:widowControl w:val="0"/>
        <w:shd w:val="clear" w:color="auto" w:fill="auto"/>
        <w:tabs>
          <w:tab w:pos="430" w:val="left"/>
        </w:tabs>
        <w:bidi w:val="0"/>
        <w:spacing w:before="0" w:line="240" w:lineRule="auto"/>
        <w:ind w:left="0" w:right="0" w:firstLine="0"/>
        <w:jc w:val="left"/>
      </w:pPr>
      <w:bookmarkStart w:id="2225" w:name="bookmark2225"/>
      <w:bookmarkStart w:id="2226" w:name="bookmark2226"/>
      <w:r>
        <w:rPr>
          <w:color w:val="000000"/>
          <w:spacing w:val="0"/>
          <w:w w:val="100"/>
          <w:position w:val="0"/>
        </w:rPr>
        <w:t>一</w:t>
      </w:r>
      <w:bookmarkEnd w:id="2226"/>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年年度报告》文本原件；</w:t>
      </w:r>
      <w:bookmarkEnd w:id="2225"/>
    </w:p>
    <w:p>
      <w:pPr>
        <w:pStyle w:val="Style34"/>
        <w:keepNext w:val="0"/>
        <w:keepLines w:val="0"/>
        <w:widowControl w:val="0"/>
        <w:shd w:val="clear" w:color="auto" w:fill="auto"/>
        <w:tabs>
          <w:tab w:pos="430" w:val="left"/>
        </w:tabs>
        <w:bidi w:val="0"/>
        <w:spacing w:before="0" w:line="240" w:lineRule="auto"/>
        <w:ind w:left="0" w:right="0" w:firstLine="0"/>
        <w:jc w:val="left"/>
      </w:pPr>
      <w:bookmarkStart w:id="2227" w:name="bookmark2227"/>
      <w:r>
        <w:rPr>
          <w:color w:val="000000"/>
          <w:spacing w:val="0"/>
          <w:w w:val="100"/>
          <w:position w:val="0"/>
        </w:rPr>
        <w:t>二</w:t>
      </w:r>
      <w:bookmarkEnd w:id="2227"/>
      <w:r>
        <w:rPr>
          <w:color w:val="000000"/>
          <w:spacing w:val="0"/>
          <w:w w:val="100"/>
          <w:position w:val="0"/>
        </w:rPr>
        <w:t>、</w:t>
        <w:tab/>
        <w:t>载有法定代表人、财务负责人、会计机构负责人签名并盖章的财务报告文本；</w:t>
      </w:r>
    </w:p>
    <w:p>
      <w:pPr>
        <w:pStyle w:val="Style34"/>
        <w:keepNext w:val="0"/>
        <w:keepLines w:val="0"/>
        <w:widowControl w:val="0"/>
        <w:shd w:val="clear" w:color="auto" w:fill="auto"/>
        <w:tabs>
          <w:tab w:pos="430" w:val="left"/>
        </w:tabs>
        <w:bidi w:val="0"/>
        <w:spacing w:before="0" w:line="240" w:lineRule="auto"/>
        <w:ind w:left="0" w:right="0" w:firstLine="0"/>
        <w:jc w:val="left"/>
      </w:pPr>
      <w:bookmarkStart w:id="2228" w:name="bookmark2228"/>
      <w:r>
        <w:rPr>
          <w:color w:val="000000"/>
          <w:spacing w:val="0"/>
          <w:w w:val="100"/>
          <w:position w:val="0"/>
        </w:rPr>
        <w:t>三</w:t>
      </w:r>
      <w:bookmarkEnd w:id="2228"/>
      <w:r>
        <w:rPr>
          <w:color w:val="000000"/>
          <w:spacing w:val="0"/>
          <w:w w:val="100"/>
          <w:position w:val="0"/>
        </w:rPr>
        <w:t>、</w:t>
        <w:tab/>
        <w:t>载有会计师事务所盖章、注册会计师签名并盖章的审计报告文本；</w:t>
      </w:r>
    </w:p>
    <w:p>
      <w:pPr>
        <w:pStyle w:val="Style34"/>
        <w:keepNext w:val="0"/>
        <w:keepLines w:val="0"/>
        <w:widowControl w:val="0"/>
        <w:shd w:val="clear" w:color="auto" w:fill="auto"/>
        <w:tabs>
          <w:tab w:pos="430" w:val="left"/>
        </w:tabs>
        <w:bidi w:val="0"/>
        <w:spacing w:before="0" w:line="240" w:lineRule="auto"/>
        <w:ind w:left="0" w:right="0" w:firstLine="0"/>
        <w:jc w:val="left"/>
      </w:pPr>
      <w:bookmarkStart w:id="2229" w:name="bookmark2229"/>
      <w:r>
        <w:rPr>
          <w:color w:val="000000"/>
          <w:spacing w:val="0"/>
          <w:w w:val="100"/>
          <w:position w:val="0"/>
        </w:rPr>
        <w:t>四</w:t>
      </w:r>
      <w:bookmarkEnd w:id="2229"/>
      <w:r>
        <w:rPr>
          <w:color w:val="000000"/>
          <w:spacing w:val="0"/>
          <w:w w:val="100"/>
          <w:position w:val="0"/>
        </w:rPr>
        <w:t>、</w:t>
        <w:tab/>
        <w:t>报告期内公司在中国证监会指定创业板信息披露媒体上公开披露过的所有文件及公告原稿;</w:t>
      </w:r>
    </w:p>
    <w:sectPr>
      <w:headerReference w:type="default" r:id="rId283"/>
      <w:footerReference w:type="default" r:id="rId284"/>
      <w:headerReference w:type="even" r:id="rId285"/>
      <w:footerReference w:type="even" r:id="rId286"/>
      <w:footnotePr>
        <w:pos w:val="pageBottom"/>
        <w:numFmt w:val="decimal"/>
        <w:numRestart w:val="continuous"/>
      </w:footnotePr>
      <w:type w:val="continuous"/>
      <w:pgSz w:w="11900" w:h="16840"/>
      <w:pgMar w:top="1153" w:right="570" w:bottom="1436" w:left="55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6788785</wp:posOffset>
              </wp:positionH>
              <wp:positionV relativeFrom="page">
                <wp:posOffset>10135235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54999999999995pt;margin-top:798.0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6828155</wp:posOffset>
              </wp:positionH>
              <wp:positionV relativeFrom="page">
                <wp:posOffset>10497820</wp:posOffset>
              </wp:positionV>
              <wp:extent cx="694690" cy="60960"/>
              <wp:wrapNone/>
              <wp:docPr id="6" name="Shape 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32" type="#_x0000_t202" style="position:absolute;margin-left:537.64999999999998pt;margin-top:826.60000000000002pt;width:54.700000000000003pt;height:4.7999999999999998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6398260</wp:posOffset>
              </wp:positionH>
              <wp:positionV relativeFrom="page">
                <wp:posOffset>9973945</wp:posOffset>
              </wp:positionV>
              <wp:extent cx="97790" cy="79375"/>
              <wp:wrapNone/>
              <wp:docPr id="71" name="Shape 7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03.80000000000001pt;margin-top:785.35000000000002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6565900</wp:posOffset>
              </wp:positionH>
              <wp:positionV relativeFrom="page">
                <wp:posOffset>10275570</wp:posOffset>
              </wp:positionV>
              <wp:extent cx="548640" cy="149225"/>
              <wp:wrapNone/>
              <wp:docPr id="73" name="Shape 7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099" type="#_x0000_t202" style="position:absolute;margin-left:517.pt;margin-top:809.10000000000002pt;width:43.200000000000003pt;height:11.75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6492875</wp:posOffset>
              </wp:positionH>
              <wp:positionV relativeFrom="page">
                <wp:posOffset>10509885</wp:posOffset>
              </wp:positionV>
              <wp:extent cx="694690" cy="60960"/>
              <wp:wrapNone/>
              <wp:docPr id="75" name="Shape 7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01" type="#_x0000_t202" style="position:absolute;margin-left:511.25pt;margin-top:827.55000000000007pt;width:54.700000000000003pt;height:4.7999999999999998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4" behindDoc="1" locked="0" layoutInCell="1" allowOverlap="1">
              <wp:simplePos x="0" y="0"/>
              <wp:positionH relativeFrom="page">
                <wp:posOffset>6668770</wp:posOffset>
              </wp:positionH>
              <wp:positionV relativeFrom="page">
                <wp:posOffset>9961245</wp:posOffset>
              </wp:positionV>
              <wp:extent cx="155575" cy="79375"/>
              <wp:wrapNone/>
              <wp:docPr id="929" name="Shape 92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55" type="#_x0000_t202" style="position:absolute;margin-left:525.10000000000002pt;margin-top:784.35000000000002pt;width:12.25pt;height:6.25pt;z-index:-18874334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06" behindDoc="1" locked="0" layoutInCell="1" allowOverlap="1">
              <wp:simplePos x="0" y="0"/>
              <wp:positionH relativeFrom="page">
                <wp:posOffset>6894195</wp:posOffset>
              </wp:positionH>
              <wp:positionV relativeFrom="page">
                <wp:posOffset>10260330</wp:posOffset>
              </wp:positionV>
              <wp:extent cx="548640" cy="219710"/>
              <wp:wrapNone/>
              <wp:docPr id="931" name="Shape 93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57" type="#_x0000_t202" style="position:absolute;margin-left:542.85000000000002pt;margin-top:807.89999999999998pt;width:43.200000000000003pt;height:17.300000000000001pt;z-index:-18874334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08" behindDoc="1" locked="0" layoutInCell="1" allowOverlap="1">
              <wp:simplePos x="0" y="0"/>
              <wp:positionH relativeFrom="page">
                <wp:posOffset>6821170</wp:posOffset>
              </wp:positionH>
              <wp:positionV relativeFrom="page">
                <wp:posOffset>10497820</wp:posOffset>
              </wp:positionV>
              <wp:extent cx="694690" cy="60960"/>
              <wp:wrapNone/>
              <wp:docPr id="933" name="Shape 93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59" type="#_x0000_t202" style="position:absolute;margin-left:537.10000000000002pt;margin-top:826.60000000000002pt;width:54.700000000000003pt;height:4.7999999999999998pt;z-index:-1887433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2" behindDoc="1" locked="0" layoutInCell="1" allowOverlap="1">
              <wp:simplePos x="0" y="0"/>
              <wp:positionH relativeFrom="page">
                <wp:posOffset>6737985</wp:posOffset>
              </wp:positionH>
              <wp:positionV relativeFrom="page">
                <wp:posOffset>9988550</wp:posOffset>
              </wp:positionV>
              <wp:extent cx="103505" cy="79375"/>
              <wp:wrapNone/>
              <wp:docPr id="938" name="Shape 93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64" type="#_x0000_t202" style="position:absolute;margin-left:530.54999999999995pt;margin-top:786.5pt;width:8.1500000000000004pt;height:6.25pt;z-index:-1887433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14" behindDoc="1" locked="0" layoutInCell="1" allowOverlap="1">
              <wp:simplePos x="0" y="0"/>
              <wp:positionH relativeFrom="page">
                <wp:posOffset>6911340</wp:posOffset>
              </wp:positionH>
              <wp:positionV relativeFrom="page">
                <wp:posOffset>10293350</wp:posOffset>
              </wp:positionV>
              <wp:extent cx="548640" cy="149225"/>
              <wp:wrapNone/>
              <wp:docPr id="940" name="Shape 94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66" type="#_x0000_t202" style="position:absolute;margin-left:544.20000000000005pt;margin-top:810.5pt;width:43.200000000000003pt;height:11.75pt;z-index:-18874333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16" behindDoc="1" locked="0" layoutInCell="1" allowOverlap="1">
              <wp:simplePos x="0" y="0"/>
              <wp:positionH relativeFrom="page">
                <wp:posOffset>6838315</wp:posOffset>
              </wp:positionH>
              <wp:positionV relativeFrom="page">
                <wp:posOffset>10528300</wp:posOffset>
              </wp:positionV>
              <wp:extent cx="694690" cy="60960"/>
              <wp:wrapNone/>
              <wp:docPr id="942" name="Shape 94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68" type="#_x0000_t202" style="position:absolute;margin-left:538.45000000000005pt;margin-top:829.pt;width:54.700000000000003pt;height:4.7999999999999998pt;z-index:-1887433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0" behindDoc="1" locked="0" layoutInCell="1" allowOverlap="1">
              <wp:simplePos x="0" y="0"/>
              <wp:positionH relativeFrom="page">
                <wp:posOffset>6737985</wp:posOffset>
              </wp:positionH>
              <wp:positionV relativeFrom="page">
                <wp:posOffset>9988550</wp:posOffset>
              </wp:positionV>
              <wp:extent cx="103505" cy="79375"/>
              <wp:wrapNone/>
              <wp:docPr id="947" name="Shape 9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73" type="#_x0000_t202" style="position:absolute;margin-left:530.54999999999995pt;margin-top:786.5pt;width:8.1500000000000004pt;height:6.25pt;z-index:-1887433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22" behindDoc="1" locked="0" layoutInCell="1" allowOverlap="1">
              <wp:simplePos x="0" y="0"/>
              <wp:positionH relativeFrom="page">
                <wp:posOffset>6911340</wp:posOffset>
              </wp:positionH>
              <wp:positionV relativeFrom="page">
                <wp:posOffset>10293350</wp:posOffset>
              </wp:positionV>
              <wp:extent cx="548640" cy="149225"/>
              <wp:wrapNone/>
              <wp:docPr id="949" name="Shape 94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75" type="#_x0000_t202" style="position:absolute;margin-left:544.20000000000005pt;margin-top:810.5pt;width:43.200000000000003pt;height:11.75pt;z-index:-18874333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24" behindDoc="1" locked="0" layoutInCell="1" allowOverlap="1">
              <wp:simplePos x="0" y="0"/>
              <wp:positionH relativeFrom="page">
                <wp:posOffset>6838315</wp:posOffset>
              </wp:positionH>
              <wp:positionV relativeFrom="page">
                <wp:posOffset>10528300</wp:posOffset>
              </wp:positionV>
              <wp:extent cx="694690" cy="60960"/>
              <wp:wrapNone/>
              <wp:docPr id="951" name="Shape 95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77" type="#_x0000_t202" style="position:absolute;margin-left:538.45000000000005pt;margin-top:829.pt;width:54.700000000000003pt;height:4.7999999999999998pt;z-index:-1887433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8" behindDoc="1" locked="0" layoutInCell="1" allowOverlap="1">
              <wp:simplePos x="0" y="0"/>
              <wp:positionH relativeFrom="page">
                <wp:posOffset>6691630</wp:posOffset>
              </wp:positionH>
              <wp:positionV relativeFrom="page">
                <wp:posOffset>9961245</wp:posOffset>
              </wp:positionV>
              <wp:extent cx="155575" cy="79375"/>
              <wp:wrapNone/>
              <wp:docPr id="956" name="Shape 9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82" type="#_x0000_t202" style="position:absolute;margin-left:526.89999999999998pt;margin-top:784.35000000000002pt;width:12.25pt;height:6.25pt;z-index:-1887433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30" behindDoc="1" locked="0" layoutInCell="1" allowOverlap="1">
              <wp:simplePos x="0" y="0"/>
              <wp:positionH relativeFrom="page">
                <wp:posOffset>6917055</wp:posOffset>
              </wp:positionH>
              <wp:positionV relativeFrom="page">
                <wp:posOffset>10260330</wp:posOffset>
              </wp:positionV>
              <wp:extent cx="548640" cy="219710"/>
              <wp:wrapNone/>
              <wp:docPr id="958" name="Shape 95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84" type="#_x0000_t202" style="position:absolute;margin-left:544.64999999999998pt;margin-top:807.89999999999998pt;width:43.200000000000003pt;height:17.300000000000001pt;z-index:-18874332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32" behindDoc="1" locked="0" layoutInCell="1" allowOverlap="1">
              <wp:simplePos x="0" y="0"/>
              <wp:positionH relativeFrom="page">
                <wp:posOffset>6844030</wp:posOffset>
              </wp:positionH>
              <wp:positionV relativeFrom="page">
                <wp:posOffset>10497820</wp:posOffset>
              </wp:positionV>
              <wp:extent cx="694690" cy="60960"/>
              <wp:wrapNone/>
              <wp:docPr id="960" name="Shape 96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86" type="#_x0000_t202" style="position:absolute;margin-left:538.89999999999998pt;margin-top:826.60000000000002pt;width:54.700000000000003pt;height:4.7999999999999998pt;z-index:-1887433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6" behindDoc="1" locked="0" layoutInCell="1" allowOverlap="1">
              <wp:simplePos x="0" y="0"/>
              <wp:positionH relativeFrom="page">
                <wp:posOffset>6691630</wp:posOffset>
              </wp:positionH>
              <wp:positionV relativeFrom="page">
                <wp:posOffset>9961245</wp:posOffset>
              </wp:positionV>
              <wp:extent cx="155575" cy="79375"/>
              <wp:wrapNone/>
              <wp:docPr id="965" name="Shape 9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91" type="#_x0000_t202" style="position:absolute;margin-left:526.89999999999998pt;margin-top:784.35000000000002pt;width:12.25pt;height:6.25pt;z-index:-1887433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38" behindDoc="1" locked="0" layoutInCell="1" allowOverlap="1">
              <wp:simplePos x="0" y="0"/>
              <wp:positionH relativeFrom="page">
                <wp:posOffset>6917055</wp:posOffset>
              </wp:positionH>
              <wp:positionV relativeFrom="page">
                <wp:posOffset>10260330</wp:posOffset>
              </wp:positionV>
              <wp:extent cx="548640" cy="219710"/>
              <wp:wrapNone/>
              <wp:docPr id="967" name="Shape 96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93" type="#_x0000_t202" style="position:absolute;margin-left:544.64999999999998pt;margin-top:807.89999999999998pt;width:43.200000000000003pt;height:17.300000000000001pt;z-index:-18874331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40" behindDoc="1" locked="0" layoutInCell="1" allowOverlap="1">
              <wp:simplePos x="0" y="0"/>
              <wp:positionH relativeFrom="page">
                <wp:posOffset>6844030</wp:posOffset>
              </wp:positionH>
              <wp:positionV relativeFrom="page">
                <wp:posOffset>10497820</wp:posOffset>
              </wp:positionV>
              <wp:extent cx="694690" cy="60960"/>
              <wp:wrapNone/>
              <wp:docPr id="969" name="Shape 96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95" type="#_x0000_t202" style="position:absolute;margin-left:538.89999999999998pt;margin-top:826.60000000000002pt;width:54.700000000000003pt;height:4.7999999999999998pt;z-index:-1887433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4" behindDoc="1" locked="0" layoutInCell="1" allowOverlap="1">
              <wp:simplePos x="0" y="0"/>
              <wp:positionH relativeFrom="page">
                <wp:posOffset>6737985</wp:posOffset>
              </wp:positionH>
              <wp:positionV relativeFrom="page">
                <wp:posOffset>9988550</wp:posOffset>
              </wp:positionV>
              <wp:extent cx="103505" cy="79375"/>
              <wp:wrapNone/>
              <wp:docPr id="974" name="Shape 97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00" type="#_x0000_t202" style="position:absolute;margin-left:530.54999999999995pt;margin-top:786.5pt;width:8.1500000000000004pt;height:6.25pt;z-index:-1887433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46" behindDoc="1" locked="0" layoutInCell="1" allowOverlap="1">
              <wp:simplePos x="0" y="0"/>
              <wp:positionH relativeFrom="page">
                <wp:posOffset>6911340</wp:posOffset>
              </wp:positionH>
              <wp:positionV relativeFrom="page">
                <wp:posOffset>10293350</wp:posOffset>
              </wp:positionV>
              <wp:extent cx="548640" cy="149225"/>
              <wp:wrapNone/>
              <wp:docPr id="976" name="Shape 97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02" type="#_x0000_t202" style="position:absolute;margin-left:544.20000000000005pt;margin-top:810.5pt;width:43.200000000000003pt;height:11.75pt;z-index:-18874330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48" behindDoc="1" locked="0" layoutInCell="1" allowOverlap="1">
              <wp:simplePos x="0" y="0"/>
              <wp:positionH relativeFrom="page">
                <wp:posOffset>6838315</wp:posOffset>
              </wp:positionH>
              <wp:positionV relativeFrom="page">
                <wp:posOffset>10528300</wp:posOffset>
              </wp:positionV>
              <wp:extent cx="694690" cy="60960"/>
              <wp:wrapNone/>
              <wp:docPr id="978" name="Shape 97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04" type="#_x0000_t202" style="position:absolute;margin-left:538.45000000000005pt;margin-top:829.pt;width:54.700000000000003pt;height:4.7999999999999998pt;z-index:-1887433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2" behindDoc="1" locked="0" layoutInCell="1" allowOverlap="1">
              <wp:simplePos x="0" y="0"/>
              <wp:positionH relativeFrom="page">
                <wp:posOffset>6737985</wp:posOffset>
              </wp:positionH>
              <wp:positionV relativeFrom="page">
                <wp:posOffset>9988550</wp:posOffset>
              </wp:positionV>
              <wp:extent cx="103505" cy="79375"/>
              <wp:wrapNone/>
              <wp:docPr id="983" name="Shape 98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09" type="#_x0000_t202" style="position:absolute;margin-left:530.54999999999995pt;margin-top:786.5pt;width:8.1500000000000004pt;height:6.25pt;z-index:-1887433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54" behindDoc="1" locked="0" layoutInCell="1" allowOverlap="1">
              <wp:simplePos x="0" y="0"/>
              <wp:positionH relativeFrom="page">
                <wp:posOffset>6911340</wp:posOffset>
              </wp:positionH>
              <wp:positionV relativeFrom="page">
                <wp:posOffset>10293350</wp:posOffset>
              </wp:positionV>
              <wp:extent cx="548640" cy="149225"/>
              <wp:wrapNone/>
              <wp:docPr id="985" name="Shape 98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11" type="#_x0000_t202" style="position:absolute;margin-left:544.20000000000005pt;margin-top:810.5pt;width:43.200000000000003pt;height:11.75pt;z-index:-18874329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56" behindDoc="1" locked="0" layoutInCell="1" allowOverlap="1">
              <wp:simplePos x="0" y="0"/>
              <wp:positionH relativeFrom="page">
                <wp:posOffset>6838315</wp:posOffset>
              </wp:positionH>
              <wp:positionV relativeFrom="page">
                <wp:posOffset>10528300</wp:posOffset>
              </wp:positionV>
              <wp:extent cx="694690" cy="60960"/>
              <wp:wrapNone/>
              <wp:docPr id="987" name="Shape 98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13" type="#_x0000_t202" style="position:absolute;margin-left:538.45000000000005pt;margin-top:829.pt;width:54.700000000000003pt;height:4.7999999999999998pt;z-index:-1887432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0" behindDoc="1" locked="0" layoutInCell="1" allowOverlap="1">
              <wp:simplePos x="0" y="0"/>
              <wp:positionH relativeFrom="page">
                <wp:posOffset>6691630</wp:posOffset>
              </wp:positionH>
              <wp:positionV relativeFrom="page">
                <wp:posOffset>9961245</wp:posOffset>
              </wp:positionV>
              <wp:extent cx="155575" cy="79375"/>
              <wp:wrapNone/>
              <wp:docPr id="992" name="Shape 99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18" type="#_x0000_t202" style="position:absolute;margin-left:526.89999999999998pt;margin-top:784.35000000000002pt;width:12.25pt;height:6.25pt;z-index:-1887432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62" behindDoc="1" locked="0" layoutInCell="1" allowOverlap="1">
              <wp:simplePos x="0" y="0"/>
              <wp:positionH relativeFrom="page">
                <wp:posOffset>6917055</wp:posOffset>
              </wp:positionH>
              <wp:positionV relativeFrom="page">
                <wp:posOffset>10260330</wp:posOffset>
              </wp:positionV>
              <wp:extent cx="548640" cy="219710"/>
              <wp:wrapNone/>
              <wp:docPr id="994" name="Shape 99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20" type="#_x0000_t202" style="position:absolute;margin-left:544.64999999999998pt;margin-top:807.89999999999998pt;width:43.200000000000003pt;height:17.300000000000001pt;z-index:-18874329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64" behindDoc="1" locked="0" layoutInCell="1" allowOverlap="1">
              <wp:simplePos x="0" y="0"/>
              <wp:positionH relativeFrom="page">
                <wp:posOffset>6844030</wp:posOffset>
              </wp:positionH>
              <wp:positionV relativeFrom="page">
                <wp:posOffset>10497820</wp:posOffset>
              </wp:positionV>
              <wp:extent cx="694690" cy="60960"/>
              <wp:wrapNone/>
              <wp:docPr id="996" name="Shape 99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22" type="#_x0000_t202" style="position:absolute;margin-left:538.89999999999998pt;margin-top:826.60000000000002pt;width:54.700000000000003pt;height:4.7999999999999998pt;z-index:-1887432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8" behindDoc="1" locked="0" layoutInCell="1" allowOverlap="1">
              <wp:simplePos x="0" y="0"/>
              <wp:positionH relativeFrom="page">
                <wp:posOffset>6691630</wp:posOffset>
              </wp:positionH>
              <wp:positionV relativeFrom="page">
                <wp:posOffset>9961245</wp:posOffset>
              </wp:positionV>
              <wp:extent cx="155575" cy="79375"/>
              <wp:wrapNone/>
              <wp:docPr id="1001" name="Shape 100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27" type="#_x0000_t202" style="position:absolute;margin-left:526.89999999999998pt;margin-top:784.35000000000002pt;width:12.25pt;height:6.25pt;z-index:-18874328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70" behindDoc="1" locked="0" layoutInCell="1" allowOverlap="1">
              <wp:simplePos x="0" y="0"/>
              <wp:positionH relativeFrom="page">
                <wp:posOffset>6917055</wp:posOffset>
              </wp:positionH>
              <wp:positionV relativeFrom="page">
                <wp:posOffset>10260330</wp:posOffset>
              </wp:positionV>
              <wp:extent cx="548640" cy="219710"/>
              <wp:wrapNone/>
              <wp:docPr id="1003" name="Shape 1003"/>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29" type="#_x0000_t202" style="position:absolute;margin-left:544.64999999999998pt;margin-top:807.89999999999998pt;width:43.200000000000003pt;height:17.300000000000001pt;z-index:-18874328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72" behindDoc="1" locked="0" layoutInCell="1" allowOverlap="1">
              <wp:simplePos x="0" y="0"/>
              <wp:positionH relativeFrom="page">
                <wp:posOffset>6844030</wp:posOffset>
              </wp:positionH>
              <wp:positionV relativeFrom="page">
                <wp:posOffset>10497820</wp:posOffset>
              </wp:positionV>
              <wp:extent cx="694690" cy="60960"/>
              <wp:wrapNone/>
              <wp:docPr id="1005" name="Shape 100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31" type="#_x0000_t202" style="position:absolute;margin-left:538.89999999999998pt;margin-top:826.60000000000002pt;width:54.700000000000003pt;height:4.7999999999999998pt;z-index:-18874328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6" behindDoc="1" locked="0" layoutInCell="1" allowOverlap="1">
              <wp:simplePos x="0" y="0"/>
              <wp:positionH relativeFrom="page">
                <wp:posOffset>6737985</wp:posOffset>
              </wp:positionH>
              <wp:positionV relativeFrom="page">
                <wp:posOffset>9988550</wp:posOffset>
              </wp:positionV>
              <wp:extent cx="103505" cy="79375"/>
              <wp:wrapNone/>
              <wp:docPr id="1010" name="Shape 10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36" type="#_x0000_t202" style="position:absolute;margin-left:530.54999999999995pt;margin-top:786.5pt;width:8.1500000000000004pt;height:6.25pt;z-index:-1887432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78" behindDoc="1" locked="0" layoutInCell="1" allowOverlap="1">
              <wp:simplePos x="0" y="0"/>
              <wp:positionH relativeFrom="page">
                <wp:posOffset>6911340</wp:posOffset>
              </wp:positionH>
              <wp:positionV relativeFrom="page">
                <wp:posOffset>10293350</wp:posOffset>
              </wp:positionV>
              <wp:extent cx="548640" cy="149225"/>
              <wp:wrapNone/>
              <wp:docPr id="1012" name="Shape 101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38" type="#_x0000_t202" style="position:absolute;margin-left:544.20000000000005pt;margin-top:810.5pt;width:43.200000000000003pt;height:11.75pt;z-index:-18874327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80" behindDoc="1" locked="0" layoutInCell="1" allowOverlap="1">
              <wp:simplePos x="0" y="0"/>
              <wp:positionH relativeFrom="page">
                <wp:posOffset>6838315</wp:posOffset>
              </wp:positionH>
              <wp:positionV relativeFrom="page">
                <wp:posOffset>10528300</wp:posOffset>
              </wp:positionV>
              <wp:extent cx="694690" cy="60960"/>
              <wp:wrapNone/>
              <wp:docPr id="1014" name="Shape 101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40" type="#_x0000_t202" style="position:absolute;margin-left:538.45000000000005pt;margin-top:829.pt;width:54.700000000000003pt;height:4.7999999999999998pt;z-index:-1887432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6447155</wp:posOffset>
              </wp:positionH>
              <wp:positionV relativeFrom="page">
                <wp:posOffset>9972040</wp:posOffset>
              </wp:positionV>
              <wp:extent cx="45720" cy="79375"/>
              <wp:wrapNone/>
              <wp:docPr id="80" name="Shape 80"/>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07.65000000000003pt;margin-top:785.20000000000005pt;width:3.6000000000000001pt;height:6.25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6565900</wp:posOffset>
              </wp:positionH>
              <wp:positionV relativeFrom="page">
                <wp:posOffset>10273665</wp:posOffset>
              </wp:positionV>
              <wp:extent cx="548640" cy="216535"/>
              <wp:wrapNone/>
              <wp:docPr id="82" name="Shape 8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108" type="#_x0000_t202" style="position:absolute;margin-left:517.pt;margin-top:808.95000000000005pt;width:43.200000000000003pt;height:17.050000000000001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6492875</wp:posOffset>
              </wp:positionH>
              <wp:positionV relativeFrom="page">
                <wp:posOffset>10508615</wp:posOffset>
              </wp:positionV>
              <wp:extent cx="694690" cy="60960"/>
              <wp:wrapNone/>
              <wp:docPr id="84" name="Shape 8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10" type="#_x0000_t202" style="position:absolute;margin-left:511.25pt;margin-top:827.45000000000005pt;width:54.700000000000003pt;height:4.7999999999999998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4" behindDoc="1" locked="0" layoutInCell="1" allowOverlap="1">
              <wp:simplePos x="0" y="0"/>
              <wp:positionH relativeFrom="page">
                <wp:posOffset>6737985</wp:posOffset>
              </wp:positionH>
              <wp:positionV relativeFrom="page">
                <wp:posOffset>9988550</wp:posOffset>
              </wp:positionV>
              <wp:extent cx="103505" cy="79375"/>
              <wp:wrapNone/>
              <wp:docPr id="1019" name="Shape 10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45" type="#_x0000_t202" style="position:absolute;margin-left:530.54999999999995pt;margin-top:786.5pt;width:8.1500000000000004pt;height:6.25pt;z-index:-18874326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86" behindDoc="1" locked="0" layoutInCell="1" allowOverlap="1">
              <wp:simplePos x="0" y="0"/>
              <wp:positionH relativeFrom="page">
                <wp:posOffset>6911340</wp:posOffset>
              </wp:positionH>
              <wp:positionV relativeFrom="page">
                <wp:posOffset>10293350</wp:posOffset>
              </wp:positionV>
              <wp:extent cx="548640" cy="149225"/>
              <wp:wrapNone/>
              <wp:docPr id="1021" name="Shape 102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47" type="#_x0000_t202" style="position:absolute;margin-left:544.20000000000005pt;margin-top:810.5pt;width:43.200000000000003pt;height:11.75pt;z-index:-18874326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88" behindDoc="1" locked="0" layoutInCell="1" allowOverlap="1">
              <wp:simplePos x="0" y="0"/>
              <wp:positionH relativeFrom="page">
                <wp:posOffset>6838315</wp:posOffset>
              </wp:positionH>
              <wp:positionV relativeFrom="page">
                <wp:posOffset>10528300</wp:posOffset>
              </wp:positionV>
              <wp:extent cx="694690" cy="60960"/>
              <wp:wrapNone/>
              <wp:docPr id="1023" name="Shape 102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49" type="#_x0000_t202" style="position:absolute;margin-left:538.45000000000005pt;margin-top:829.pt;width:54.700000000000003pt;height:4.7999999999999998pt;z-index:-1887432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2" behindDoc="1" locked="0" layoutInCell="1" allowOverlap="1">
              <wp:simplePos x="0" y="0"/>
              <wp:positionH relativeFrom="page">
                <wp:posOffset>6737985</wp:posOffset>
              </wp:positionH>
              <wp:positionV relativeFrom="page">
                <wp:posOffset>9988550</wp:posOffset>
              </wp:positionV>
              <wp:extent cx="103505" cy="79375"/>
              <wp:wrapNone/>
              <wp:docPr id="1028" name="Shape 102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54" type="#_x0000_t202" style="position:absolute;margin-left:530.54999999999995pt;margin-top:786.5pt;width:8.1500000000000004pt;height:6.25pt;z-index:-18874326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94" behindDoc="1" locked="0" layoutInCell="1" allowOverlap="1">
              <wp:simplePos x="0" y="0"/>
              <wp:positionH relativeFrom="page">
                <wp:posOffset>6911340</wp:posOffset>
              </wp:positionH>
              <wp:positionV relativeFrom="page">
                <wp:posOffset>10293350</wp:posOffset>
              </wp:positionV>
              <wp:extent cx="548640" cy="149225"/>
              <wp:wrapNone/>
              <wp:docPr id="1030" name="Shape 103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56" type="#_x0000_t202" style="position:absolute;margin-left:544.20000000000005pt;margin-top:810.5pt;width:43.200000000000003pt;height:11.75pt;z-index:-18874325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96" behindDoc="1" locked="0" layoutInCell="1" allowOverlap="1">
              <wp:simplePos x="0" y="0"/>
              <wp:positionH relativeFrom="page">
                <wp:posOffset>6838315</wp:posOffset>
              </wp:positionH>
              <wp:positionV relativeFrom="page">
                <wp:posOffset>10528300</wp:posOffset>
              </wp:positionV>
              <wp:extent cx="694690" cy="60960"/>
              <wp:wrapNone/>
              <wp:docPr id="1032" name="Shape 103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58" type="#_x0000_t202" style="position:absolute;margin-left:538.45000000000005pt;margin-top:829.pt;width:54.700000000000003pt;height:4.7999999999999998pt;z-index:-18874325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0" behindDoc="1" locked="0" layoutInCell="1" allowOverlap="1">
              <wp:simplePos x="0" y="0"/>
              <wp:positionH relativeFrom="page">
                <wp:posOffset>6737985</wp:posOffset>
              </wp:positionH>
              <wp:positionV relativeFrom="page">
                <wp:posOffset>9988550</wp:posOffset>
              </wp:positionV>
              <wp:extent cx="103505" cy="79375"/>
              <wp:wrapNone/>
              <wp:docPr id="1037" name="Shape 103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63" type="#_x0000_t202" style="position:absolute;margin-left:530.54999999999995pt;margin-top:786.5pt;width:8.1500000000000004pt;height:6.25pt;z-index:-18874325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02" behindDoc="1" locked="0" layoutInCell="1" allowOverlap="1">
              <wp:simplePos x="0" y="0"/>
              <wp:positionH relativeFrom="page">
                <wp:posOffset>6911340</wp:posOffset>
              </wp:positionH>
              <wp:positionV relativeFrom="page">
                <wp:posOffset>10293350</wp:posOffset>
              </wp:positionV>
              <wp:extent cx="548640" cy="149225"/>
              <wp:wrapNone/>
              <wp:docPr id="1039" name="Shape 103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65" type="#_x0000_t202" style="position:absolute;margin-left:544.20000000000005pt;margin-top:810.5pt;width:43.200000000000003pt;height:11.75pt;z-index:-18874325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04" behindDoc="1" locked="0" layoutInCell="1" allowOverlap="1">
              <wp:simplePos x="0" y="0"/>
              <wp:positionH relativeFrom="page">
                <wp:posOffset>6838315</wp:posOffset>
              </wp:positionH>
              <wp:positionV relativeFrom="page">
                <wp:posOffset>10528300</wp:posOffset>
              </wp:positionV>
              <wp:extent cx="694690" cy="60960"/>
              <wp:wrapNone/>
              <wp:docPr id="1041" name="Shape 104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67" type="#_x0000_t202" style="position:absolute;margin-left:538.45000000000005pt;margin-top:829.pt;width:54.700000000000003pt;height:4.7999999999999998pt;z-index:-18874324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8" behindDoc="1" locked="0" layoutInCell="1" allowOverlap="1">
              <wp:simplePos x="0" y="0"/>
              <wp:positionH relativeFrom="page">
                <wp:posOffset>6691630</wp:posOffset>
              </wp:positionH>
              <wp:positionV relativeFrom="page">
                <wp:posOffset>9961245</wp:posOffset>
              </wp:positionV>
              <wp:extent cx="155575" cy="79375"/>
              <wp:wrapNone/>
              <wp:docPr id="1046" name="Shape 10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72" type="#_x0000_t202" style="position:absolute;margin-left:526.89999999999998pt;margin-top:784.35000000000002pt;width:12.25pt;height:6.25pt;z-index:-1887432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10" behindDoc="1" locked="0" layoutInCell="1" allowOverlap="1">
              <wp:simplePos x="0" y="0"/>
              <wp:positionH relativeFrom="page">
                <wp:posOffset>6917055</wp:posOffset>
              </wp:positionH>
              <wp:positionV relativeFrom="page">
                <wp:posOffset>10260330</wp:posOffset>
              </wp:positionV>
              <wp:extent cx="548640" cy="219710"/>
              <wp:wrapNone/>
              <wp:docPr id="1048" name="Shape 104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74" type="#_x0000_t202" style="position:absolute;margin-left:544.64999999999998pt;margin-top:807.89999999999998pt;width:43.200000000000003pt;height:17.300000000000001pt;z-index:-18874324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12" behindDoc="1" locked="0" layoutInCell="1" allowOverlap="1">
              <wp:simplePos x="0" y="0"/>
              <wp:positionH relativeFrom="page">
                <wp:posOffset>6844030</wp:posOffset>
              </wp:positionH>
              <wp:positionV relativeFrom="page">
                <wp:posOffset>10497820</wp:posOffset>
              </wp:positionV>
              <wp:extent cx="694690" cy="60960"/>
              <wp:wrapNone/>
              <wp:docPr id="1050" name="Shape 105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76" type="#_x0000_t202" style="position:absolute;margin-left:538.89999999999998pt;margin-top:826.60000000000002pt;width:54.700000000000003pt;height:4.7999999999999998pt;z-index:-1887432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6" behindDoc="1" locked="0" layoutInCell="1" allowOverlap="1">
              <wp:simplePos x="0" y="0"/>
              <wp:positionH relativeFrom="page">
                <wp:posOffset>6737985</wp:posOffset>
              </wp:positionH>
              <wp:positionV relativeFrom="page">
                <wp:posOffset>9988550</wp:posOffset>
              </wp:positionV>
              <wp:extent cx="103505" cy="79375"/>
              <wp:wrapNone/>
              <wp:docPr id="1055" name="Shape 105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81" type="#_x0000_t202" style="position:absolute;margin-left:530.54999999999995pt;margin-top:786.5pt;width:8.1500000000000004pt;height:6.25pt;z-index:-1887432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18" behindDoc="1" locked="0" layoutInCell="1" allowOverlap="1">
              <wp:simplePos x="0" y="0"/>
              <wp:positionH relativeFrom="page">
                <wp:posOffset>6911340</wp:posOffset>
              </wp:positionH>
              <wp:positionV relativeFrom="page">
                <wp:posOffset>10293350</wp:posOffset>
              </wp:positionV>
              <wp:extent cx="548640" cy="149225"/>
              <wp:wrapNone/>
              <wp:docPr id="1057" name="Shape 105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83" type="#_x0000_t202" style="position:absolute;margin-left:544.20000000000005pt;margin-top:810.5pt;width:43.200000000000003pt;height:11.75pt;z-index:-18874323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20" behindDoc="1" locked="0" layoutInCell="1" allowOverlap="1">
              <wp:simplePos x="0" y="0"/>
              <wp:positionH relativeFrom="page">
                <wp:posOffset>6838315</wp:posOffset>
              </wp:positionH>
              <wp:positionV relativeFrom="page">
                <wp:posOffset>10528300</wp:posOffset>
              </wp:positionV>
              <wp:extent cx="694690" cy="60960"/>
              <wp:wrapNone/>
              <wp:docPr id="1059" name="Shape 105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85" type="#_x0000_t202" style="position:absolute;margin-left:538.45000000000005pt;margin-top:829.pt;width:54.700000000000003pt;height:4.7999999999999998pt;z-index:-1887432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4" behindDoc="1" locked="0" layoutInCell="1" allowOverlap="1">
              <wp:simplePos x="0" y="0"/>
              <wp:positionH relativeFrom="page">
                <wp:posOffset>6737985</wp:posOffset>
              </wp:positionH>
              <wp:positionV relativeFrom="page">
                <wp:posOffset>9988550</wp:posOffset>
              </wp:positionV>
              <wp:extent cx="103505" cy="79375"/>
              <wp:wrapNone/>
              <wp:docPr id="1064" name="Shape 10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90" type="#_x0000_t202" style="position:absolute;margin-left:530.54999999999995pt;margin-top:786.5pt;width:8.1500000000000004pt;height:6.25pt;z-index:-1887432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26" behindDoc="1" locked="0" layoutInCell="1" allowOverlap="1">
              <wp:simplePos x="0" y="0"/>
              <wp:positionH relativeFrom="page">
                <wp:posOffset>6911340</wp:posOffset>
              </wp:positionH>
              <wp:positionV relativeFrom="page">
                <wp:posOffset>10293350</wp:posOffset>
              </wp:positionV>
              <wp:extent cx="548640" cy="149225"/>
              <wp:wrapNone/>
              <wp:docPr id="1066" name="Shape 106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92" type="#_x0000_t202" style="position:absolute;margin-left:544.20000000000005pt;margin-top:810.5pt;width:43.200000000000003pt;height:11.75pt;z-index:-18874322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28" behindDoc="1" locked="0" layoutInCell="1" allowOverlap="1">
              <wp:simplePos x="0" y="0"/>
              <wp:positionH relativeFrom="page">
                <wp:posOffset>6838315</wp:posOffset>
              </wp:positionH>
              <wp:positionV relativeFrom="page">
                <wp:posOffset>10528300</wp:posOffset>
              </wp:positionV>
              <wp:extent cx="694690" cy="60960"/>
              <wp:wrapNone/>
              <wp:docPr id="1068" name="Shape 106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94" type="#_x0000_t202" style="position:absolute;margin-left:538.45000000000005pt;margin-top:829.pt;width:54.700000000000003pt;height:4.7999999999999998pt;z-index:-1887432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2" behindDoc="1" locked="0" layoutInCell="1" allowOverlap="1">
              <wp:simplePos x="0" y="0"/>
              <wp:positionH relativeFrom="page">
                <wp:posOffset>6691630</wp:posOffset>
              </wp:positionH>
              <wp:positionV relativeFrom="page">
                <wp:posOffset>9961245</wp:posOffset>
              </wp:positionV>
              <wp:extent cx="155575" cy="79375"/>
              <wp:wrapNone/>
              <wp:docPr id="1073" name="Shape 10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99" type="#_x0000_t202" style="position:absolute;margin-left:526.89999999999998pt;margin-top:784.35000000000002pt;width:12.25pt;height:6.25pt;z-index:-1887432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34" behindDoc="1" locked="0" layoutInCell="1" allowOverlap="1">
              <wp:simplePos x="0" y="0"/>
              <wp:positionH relativeFrom="page">
                <wp:posOffset>6917055</wp:posOffset>
              </wp:positionH>
              <wp:positionV relativeFrom="page">
                <wp:posOffset>10260330</wp:posOffset>
              </wp:positionV>
              <wp:extent cx="548640" cy="219710"/>
              <wp:wrapNone/>
              <wp:docPr id="1075" name="Shape 107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01" type="#_x0000_t202" style="position:absolute;margin-left:544.64999999999998pt;margin-top:807.89999999999998pt;width:43.200000000000003pt;height:17.300000000000001pt;z-index:-18874321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36" behindDoc="1" locked="0" layoutInCell="1" allowOverlap="1">
              <wp:simplePos x="0" y="0"/>
              <wp:positionH relativeFrom="page">
                <wp:posOffset>6844030</wp:posOffset>
              </wp:positionH>
              <wp:positionV relativeFrom="page">
                <wp:posOffset>10497820</wp:posOffset>
              </wp:positionV>
              <wp:extent cx="694690" cy="60960"/>
              <wp:wrapNone/>
              <wp:docPr id="1077" name="Shape 107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03" type="#_x0000_t202" style="position:absolute;margin-left:538.89999999999998pt;margin-top:826.60000000000002pt;width:54.700000000000003pt;height:4.7999999999999998pt;z-index:-1887432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0" behindDoc="1" locked="0" layoutInCell="1" allowOverlap="1">
              <wp:simplePos x="0" y="0"/>
              <wp:positionH relativeFrom="page">
                <wp:posOffset>6776085</wp:posOffset>
              </wp:positionH>
              <wp:positionV relativeFrom="page">
                <wp:posOffset>9961245</wp:posOffset>
              </wp:positionV>
              <wp:extent cx="52070" cy="79375"/>
              <wp:wrapNone/>
              <wp:docPr id="1082" name="Shape 1082"/>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08" type="#_x0000_t202" style="position:absolute;margin-left:533.54999999999995pt;margin-top:784.35000000000002pt;width:4.0999999999999996pt;height:6.25pt;z-index:-1887432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4" behindDoc="1" locked="0" layoutInCell="1" allowOverlap="1">
              <wp:simplePos x="0" y="0"/>
              <wp:positionH relativeFrom="page">
                <wp:posOffset>6776085</wp:posOffset>
              </wp:positionH>
              <wp:positionV relativeFrom="page">
                <wp:posOffset>9961245</wp:posOffset>
              </wp:positionV>
              <wp:extent cx="52070" cy="79375"/>
              <wp:wrapNone/>
              <wp:docPr id="1087" name="Shape 1087"/>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13" type="#_x0000_t202" style="position:absolute;margin-left:533.54999999999995pt;margin-top:784.35000000000002pt;width:4.0999999999999996pt;height:6.25pt;z-index:-1887432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8" behindDoc="1" locked="0" layoutInCell="1" allowOverlap="1">
              <wp:simplePos x="0" y="0"/>
              <wp:positionH relativeFrom="page">
                <wp:posOffset>6737985</wp:posOffset>
              </wp:positionH>
              <wp:positionV relativeFrom="page">
                <wp:posOffset>9988550</wp:posOffset>
              </wp:positionV>
              <wp:extent cx="103505" cy="79375"/>
              <wp:wrapNone/>
              <wp:docPr id="1102" name="Shape 110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28" type="#_x0000_t202" style="position:absolute;margin-left:530.54999999999995pt;margin-top:786.5pt;width:8.1500000000000004pt;height:6.25pt;z-index:-1887432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50" behindDoc="1" locked="0" layoutInCell="1" allowOverlap="1">
              <wp:simplePos x="0" y="0"/>
              <wp:positionH relativeFrom="page">
                <wp:posOffset>6911340</wp:posOffset>
              </wp:positionH>
              <wp:positionV relativeFrom="page">
                <wp:posOffset>10293350</wp:posOffset>
              </wp:positionV>
              <wp:extent cx="548640" cy="149225"/>
              <wp:wrapNone/>
              <wp:docPr id="1104" name="Shape 110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30" type="#_x0000_t202" style="position:absolute;margin-left:544.20000000000005pt;margin-top:810.5pt;width:43.200000000000003pt;height:11.75pt;z-index:-18874320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52" behindDoc="1" locked="0" layoutInCell="1" allowOverlap="1">
              <wp:simplePos x="0" y="0"/>
              <wp:positionH relativeFrom="page">
                <wp:posOffset>6838315</wp:posOffset>
              </wp:positionH>
              <wp:positionV relativeFrom="page">
                <wp:posOffset>10528300</wp:posOffset>
              </wp:positionV>
              <wp:extent cx="694690" cy="60960"/>
              <wp:wrapNone/>
              <wp:docPr id="1106" name="Shape 110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32" type="#_x0000_t202" style="position:absolute;margin-left:538.45000000000005pt;margin-top:829.pt;width:54.700000000000003pt;height:4.7999999999999998pt;z-index:-1887432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6398260</wp:posOffset>
              </wp:positionH>
              <wp:positionV relativeFrom="page">
                <wp:posOffset>9958070</wp:posOffset>
              </wp:positionV>
              <wp:extent cx="94615" cy="79375"/>
              <wp:wrapNone/>
              <wp:docPr id="89" name="Shape 8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503.80000000000001pt;margin-top:784.10000000000002pt;width:7.4500000000000002pt;height:6.25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6492875</wp:posOffset>
              </wp:positionH>
              <wp:positionV relativeFrom="page">
                <wp:posOffset>10497820</wp:posOffset>
              </wp:positionV>
              <wp:extent cx="694690" cy="60960"/>
              <wp:wrapNone/>
              <wp:docPr id="91" name="Shape 9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17" type="#_x0000_t202" style="position:absolute;margin-left:511.25pt;margin-top:826.60000000000002pt;width:54.700000000000003pt;height:4.7999999999999998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6" behindDoc="1" locked="0" layoutInCell="1" allowOverlap="1">
              <wp:simplePos x="0" y="0"/>
              <wp:positionH relativeFrom="page">
                <wp:posOffset>6737985</wp:posOffset>
              </wp:positionH>
              <wp:positionV relativeFrom="page">
                <wp:posOffset>9988550</wp:posOffset>
              </wp:positionV>
              <wp:extent cx="103505" cy="79375"/>
              <wp:wrapNone/>
              <wp:docPr id="1111" name="Shape 11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37" type="#_x0000_t202" style="position:absolute;margin-left:530.54999999999995pt;margin-top:786.5pt;width:8.1500000000000004pt;height:6.25pt;z-index:-1887431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58" behindDoc="1" locked="0" layoutInCell="1" allowOverlap="1">
              <wp:simplePos x="0" y="0"/>
              <wp:positionH relativeFrom="page">
                <wp:posOffset>6911340</wp:posOffset>
              </wp:positionH>
              <wp:positionV relativeFrom="page">
                <wp:posOffset>10293350</wp:posOffset>
              </wp:positionV>
              <wp:extent cx="548640" cy="149225"/>
              <wp:wrapNone/>
              <wp:docPr id="1113" name="Shape 111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39" type="#_x0000_t202" style="position:absolute;margin-left:544.20000000000005pt;margin-top:810.5pt;width:43.200000000000003pt;height:11.75pt;z-index:-18874319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60" behindDoc="1" locked="0" layoutInCell="1" allowOverlap="1">
              <wp:simplePos x="0" y="0"/>
              <wp:positionH relativeFrom="page">
                <wp:posOffset>6838315</wp:posOffset>
              </wp:positionH>
              <wp:positionV relativeFrom="page">
                <wp:posOffset>10528300</wp:posOffset>
              </wp:positionV>
              <wp:extent cx="694690" cy="60960"/>
              <wp:wrapNone/>
              <wp:docPr id="1115" name="Shape 111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41" type="#_x0000_t202" style="position:absolute;margin-left:538.45000000000005pt;margin-top:829.pt;width:54.700000000000003pt;height:4.7999999999999998pt;z-index:-1887431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4" behindDoc="1" locked="0" layoutInCell="1" allowOverlap="1">
              <wp:simplePos x="0" y="0"/>
              <wp:positionH relativeFrom="page">
                <wp:posOffset>6344285</wp:posOffset>
              </wp:positionH>
              <wp:positionV relativeFrom="page">
                <wp:posOffset>9955530</wp:posOffset>
              </wp:positionV>
              <wp:extent cx="155575" cy="79375"/>
              <wp:wrapNone/>
              <wp:docPr id="1120" name="Shape 112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46" type="#_x0000_t202" style="position:absolute;margin-left:499.55000000000001pt;margin-top:783.89999999999998pt;width:12.25pt;height:6.25pt;z-index:-1887431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66" behindDoc="1" locked="0" layoutInCell="1" allowOverlap="1">
              <wp:simplePos x="0" y="0"/>
              <wp:positionH relativeFrom="page">
                <wp:posOffset>6496685</wp:posOffset>
              </wp:positionH>
              <wp:positionV relativeFrom="page">
                <wp:posOffset>10495280</wp:posOffset>
              </wp:positionV>
              <wp:extent cx="694690" cy="60960"/>
              <wp:wrapNone/>
              <wp:docPr id="1122" name="Shape 112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148" type="#_x0000_t202" style="position:absolute;margin-left:511.55000000000001pt;margin-top:826.39999999999998pt;width:54.700000000000003pt;height:4.7999999999999998pt;z-index:-18874318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0" behindDoc="1" locked="0" layoutInCell="1" allowOverlap="1">
              <wp:simplePos x="0" y="0"/>
              <wp:positionH relativeFrom="page">
                <wp:posOffset>6344285</wp:posOffset>
              </wp:positionH>
              <wp:positionV relativeFrom="page">
                <wp:posOffset>9955530</wp:posOffset>
              </wp:positionV>
              <wp:extent cx="155575" cy="79375"/>
              <wp:wrapNone/>
              <wp:docPr id="1127" name="Shape 11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53" type="#_x0000_t202" style="position:absolute;margin-left:499.55000000000001pt;margin-top:783.89999999999998pt;width:12.25pt;height:6.25pt;z-index:-18874318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72" behindDoc="1" locked="0" layoutInCell="1" allowOverlap="1">
              <wp:simplePos x="0" y="0"/>
              <wp:positionH relativeFrom="page">
                <wp:posOffset>6496685</wp:posOffset>
              </wp:positionH>
              <wp:positionV relativeFrom="page">
                <wp:posOffset>10495280</wp:posOffset>
              </wp:positionV>
              <wp:extent cx="694690" cy="60960"/>
              <wp:wrapNone/>
              <wp:docPr id="1129" name="Shape 112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155" type="#_x0000_t202" style="position:absolute;margin-left:511.55000000000001pt;margin-top:826.39999999999998pt;width:54.700000000000003pt;height:4.7999999999999998pt;z-index:-18874318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6" behindDoc="1" locked="0" layoutInCell="1" allowOverlap="1">
              <wp:simplePos x="0" y="0"/>
              <wp:positionH relativeFrom="page">
                <wp:posOffset>6344285</wp:posOffset>
              </wp:positionH>
              <wp:positionV relativeFrom="page">
                <wp:posOffset>9958705</wp:posOffset>
              </wp:positionV>
              <wp:extent cx="152400" cy="79375"/>
              <wp:wrapNone/>
              <wp:docPr id="1134" name="Shape 113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60" type="#_x0000_t202" style="position:absolute;margin-left:499.55000000000001pt;margin-top:784.14999999999998pt;width:12.pt;height:6.25pt;z-index:-1887431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78" behindDoc="1" locked="0" layoutInCell="1" allowOverlap="1">
              <wp:simplePos x="0" y="0"/>
              <wp:positionH relativeFrom="page">
                <wp:posOffset>6569710</wp:posOffset>
              </wp:positionH>
              <wp:positionV relativeFrom="page">
                <wp:posOffset>10260330</wp:posOffset>
              </wp:positionV>
              <wp:extent cx="548640" cy="216535"/>
              <wp:wrapNone/>
              <wp:docPr id="1136" name="Shape 1136"/>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62" type="#_x0000_t202" style="position:absolute;margin-left:517.29999999999995pt;margin-top:807.89999999999998pt;width:43.200000000000003pt;height:17.050000000000001pt;z-index:-18874317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80" behindDoc="1" locked="0" layoutInCell="1" allowOverlap="1">
              <wp:simplePos x="0" y="0"/>
              <wp:positionH relativeFrom="page">
                <wp:posOffset>6496685</wp:posOffset>
              </wp:positionH>
              <wp:positionV relativeFrom="page">
                <wp:posOffset>10495280</wp:posOffset>
              </wp:positionV>
              <wp:extent cx="694690" cy="60960"/>
              <wp:wrapNone/>
              <wp:docPr id="1138" name="Shape 11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64" type="#_x0000_t202" style="position:absolute;margin-left:511.55000000000001pt;margin-top:826.39999999999998pt;width:54.700000000000003pt;height:4.7999999999999998pt;z-index:-1887431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6737985</wp:posOffset>
              </wp:positionH>
              <wp:positionV relativeFrom="page">
                <wp:posOffset>9988550</wp:posOffset>
              </wp:positionV>
              <wp:extent cx="103505" cy="79375"/>
              <wp:wrapNone/>
              <wp:docPr id="1149" name="Shape 114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75" type="#_x0000_t202" style="position:absolute;margin-left:530.54999999999995pt;margin-top:786.5pt;width:8.1500000000000004pt;height:6.25pt;z-index:-18874316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86" behindDoc="1" locked="0" layoutInCell="1" allowOverlap="1">
              <wp:simplePos x="0" y="0"/>
              <wp:positionH relativeFrom="page">
                <wp:posOffset>6911340</wp:posOffset>
              </wp:positionH>
              <wp:positionV relativeFrom="page">
                <wp:posOffset>10293350</wp:posOffset>
              </wp:positionV>
              <wp:extent cx="548640" cy="149225"/>
              <wp:wrapNone/>
              <wp:docPr id="1151" name="Shape 115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77" type="#_x0000_t202" style="position:absolute;margin-left:544.20000000000005pt;margin-top:810.5pt;width:43.200000000000003pt;height:11.75pt;z-index:-18874316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88" behindDoc="1" locked="0" layoutInCell="1" allowOverlap="1">
              <wp:simplePos x="0" y="0"/>
              <wp:positionH relativeFrom="page">
                <wp:posOffset>6838315</wp:posOffset>
              </wp:positionH>
              <wp:positionV relativeFrom="page">
                <wp:posOffset>10528300</wp:posOffset>
              </wp:positionV>
              <wp:extent cx="694690" cy="60960"/>
              <wp:wrapNone/>
              <wp:docPr id="1153" name="Shape 115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79" type="#_x0000_t202" style="position:absolute;margin-left:538.45000000000005pt;margin-top:829.pt;width:54.700000000000003pt;height:4.7999999999999998pt;z-index:-1887431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2" behindDoc="1" locked="0" layoutInCell="1" allowOverlap="1">
              <wp:simplePos x="0" y="0"/>
              <wp:positionH relativeFrom="page">
                <wp:posOffset>6737985</wp:posOffset>
              </wp:positionH>
              <wp:positionV relativeFrom="page">
                <wp:posOffset>9988550</wp:posOffset>
              </wp:positionV>
              <wp:extent cx="103505" cy="79375"/>
              <wp:wrapNone/>
              <wp:docPr id="1158" name="Shape 115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84" type="#_x0000_t202" style="position:absolute;margin-left:530.54999999999995pt;margin-top:786.5pt;width:8.1500000000000004pt;height:6.25pt;z-index:-18874316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94" behindDoc="1" locked="0" layoutInCell="1" allowOverlap="1">
              <wp:simplePos x="0" y="0"/>
              <wp:positionH relativeFrom="page">
                <wp:posOffset>6911340</wp:posOffset>
              </wp:positionH>
              <wp:positionV relativeFrom="page">
                <wp:posOffset>10293350</wp:posOffset>
              </wp:positionV>
              <wp:extent cx="548640" cy="149225"/>
              <wp:wrapNone/>
              <wp:docPr id="1160" name="Shape 116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86" type="#_x0000_t202" style="position:absolute;margin-left:544.20000000000005pt;margin-top:810.5pt;width:43.200000000000003pt;height:11.75pt;z-index:-18874315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96" behindDoc="1" locked="0" layoutInCell="1" allowOverlap="1">
              <wp:simplePos x="0" y="0"/>
              <wp:positionH relativeFrom="page">
                <wp:posOffset>6838315</wp:posOffset>
              </wp:positionH>
              <wp:positionV relativeFrom="page">
                <wp:posOffset>10528300</wp:posOffset>
              </wp:positionV>
              <wp:extent cx="694690" cy="60960"/>
              <wp:wrapNone/>
              <wp:docPr id="1162" name="Shape 116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88" type="#_x0000_t202" style="position:absolute;margin-left:538.45000000000005pt;margin-top:829.pt;width:54.700000000000003pt;height:4.7999999999999998pt;z-index:-18874315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0" behindDoc="1" locked="0" layoutInCell="1" allowOverlap="1">
              <wp:simplePos x="0" y="0"/>
              <wp:positionH relativeFrom="page">
                <wp:posOffset>6344285</wp:posOffset>
              </wp:positionH>
              <wp:positionV relativeFrom="page">
                <wp:posOffset>9955530</wp:posOffset>
              </wp:positionV>
              <wp:extent cx="152400" cy="79375"/>
              <wp:wrapNone/>
              <wp:docPr id="1167" name="Shape 116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93" type="#_x0000_t202" style="position:absolute;margin-left:499.55000000000001pt;margin-top:783.89999999999998pt;width:12.pt;height:6.25pt;z-index:-18874315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02" behindDoc="1" locked="0" layoutInCell="1" allowOverlap="1">
              <wp:simplePos x="0" y="0"/>
              <wp:positionH relativeFrom="page">
                <wp:posOffset>6569710</wp:posOffset>
              </wp:positionH>
              <wp:positionV relativeFrom="page">
                <wp:posOffset>10257790</wp:posOffset>
              </wp:positionV>
              <wp:extent cx="548640" cy="219710"/>
              <wp:wrapNone/>
              <wp:docPr id="1169" name="Shape 116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95" type="#_x0000_t202" style="position:absolute;margin-left:517.29999999999995pt;margin-top:807.70000000000005pt;width:43.200000000000003pt;height:17.300000000000001pt;z-index:-18874315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04" behindDoc="1" locked="0" layoutInCell="1" allowOverlap="1">
              <wp:simplePos x="0" y="0"/>
              <wp:positionH relativeFrom="page">
                <wp:posOffset>6496685</wp:posOffset>
              </wp:positionH>
              <wp:positionV relativeFrom="page">
                <wp:posOffset>10495280</wp:posOffset>
              </wp:positionV>
              <wp:extent cx="694690" cy="60960"/>
              <wp:wrapNone/>
              <wp:docPr id="1171" name="Shape 117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97" type="#_x0000_t202" style="position:absolute;margin-left:511.55000000000001pt;margin-top:826.39999999999998pt;width:54.700000000000003pt;height:4.7999999999999998pt;z-index:-18874314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8" behindDoc="1" locked="0" layoutInCell="1" allowOverlap="1">
              <wp:simplePos x="0" y="0"/>
              <wp:positionH relativeFrom="page">
                <wp:posOffset>6662420</wp:posOffset>
              </wp:positionH>
              <wp:positionV relativeFrom="page">
                <wp:posOffset>9958705</wp:posOffset>
              </wp:positionV>
              <wp:extent cx="158750" cy="79375"/>
              <wp:wrapNone/>
              <wp:docPr id="1176" name="Shape 117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02" type="#_x0000_t202" style="position:absolute;margin-left:524.60000000000002pt;margin-top:784.14999999999998pt;width:12.5pt;height:6.25pt;z-index:-1887431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10" behindDoc="1" locked="0" layoutInCell="1" allowOverlap="1">
              <wp:simplePos x="0" y="0"/>
              <wp:positionH relativeFrom="page">
                <wp:posOffset>6897370</wp:posOffset>
              </wp:positionH>
              <wp:positionV relativeFrom="page">
                <wp:posOffset>10257790</wp:posOffset>
              </wp:positionV>
              <wp:extent cx="554990" cy="155575"/>
              <wp:wrapNone/>
              <wp:docPr id="1178" name="Shape 1178"/>
              <a:graphic xmlns:a="http://schemas.openxmlformats.org/drawingml/2006/main">
                <a:graphicData uri="http://schemas.microsoft.com/office/word/2010/wordprocessingShape">
                  <wps:wsp>
                    <wps:cNvSpPr txBox="1"/>
                    <wps:spPr>
                      <a:xfrm>
                        <a:ext cx="554990" cy="155575"/>
                      </a:xfrm>
                      <a:prstGeom prst="rect"/>
                      <a:noFill/>
                    </wps:spPr>
                    <wps:txbx>
                      <w:txbxContent>
                        <w:p>
                          <w:pPr>
                            <w:widowControl w:val="0"/>
                            <w:rPr>
                              <w:sz w:val="2"/>
                              <w:szCs w:val="2"/>
                            </w:rPr>
                          </w:pPr>
                          <w:r>
                            <w:drawing>
                              <wp:inline>
                                <wp:extent cx="554990" cy="158750"/>
                                <wp:docPr id="1179" name="Picutre 1179"/>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1"/>
                                        <a:stretch/>
                                      </pic:blipFill>
                                      <pic:spPr>
                                        <a:xfrm>
                                          <a:ext cx="554990" cy="158750"/>
                                        </a:xfrm>
                                        <a:prstGeom prst="rect"/>
                                      </pic:spPr>
                                    </pic:pic>
                                  </a:graphicData>
                                </a:graphic>
                              </wp:inline>
                            </w:drawing>
                          </w:r>
                        </w:p>
                      </w:txbxContent>
                    </wps:txbx>
                    <wps:bodyPr lIns="0" tIns="0" rIns="0" bIns="0">
                      <a:noAutoFit/>
                    </wps:bodyPr>
                  </wps:wsp>
                </a:graphicData>
              </a:graphic>
            </wp:anchor>
          </w:drawing>
        </mc:Choice>
        <mc:Fallback>
          <w:pict>
            <v:shape id="_x0000_s2205" type="#_x0000_t202" style="position:absolute;margin-left:543.10000000000002pt;margin-top:807.70000000000005pt;width:43.700000000000003pt;height:12.25pt;z-index:-188743143;mso-wrap-distance-left:0;mso-wrap-distance-right:0;mso-position-horizontal-relative:page;mso-position-vertical-relative:page" wrapcoords="0 0" filled="f" stroked="f">
              <v:textbox inset="0,0,0,0">
                <w:txbxContent>
                  <w:p>
                    <w:pPr>
                      <w:widowControl w:val="0"/>
                      <w:rPr>
                        <w:sz w:val="2"/>
                        <w:szCs w:val="2"/>
                      </w:rPr>
                    </w:pPr>
                    <w:r>
                      <w:drawing>
                        <wp:inline>
                          <wp:extent cx="554990" cy="158750"/>
                          <wp:docPr id="1181" name="Picutre 1181"/>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
                                  <a:stretch/>
                                </pic:blipFill>
                                <pic:spPr>
                                  <a:xfrm>
                                    <a:ext cx="554990" cy="1587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612" behindDoc="1" locked="0" layoutInCell="1" allowOverlap="1">
              <wp:simplePos x="0" y="0"/>
              <wp:positionH relativeFrom="page">
                <wp:posOffset>6827520</wp:posOffset>
              </wp:positionH>
              <wp:positionV relativeFrom="page">
                <wp:posOffset>10495280</wp:posOffset>
              </wp:positionV>
              <wp:extent cx="694690" cy="60960"/>
              <wp:wrapNone/>
              <wp:docPr id="1182" name="Shape 118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208" type="#_x0000_t202" style="position:absolute;margin-left:537.60000000000002pt;margin-top:826.39999999999998pt;width:54.700000000000003pt;height:4.7999999999999998pt;z-index:-1887431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6" behindDoc="1" locked="0" layoutInCell="1" allowOverlap="1">
              <wp:simplePos x="0" y="0"/>
              <wp:positionH relativeFrom="page">
                <wp:posOffset>6662420</wp:posOffset>
              </wp:positionH>
              <wp:positionV relativeFrom="page">
                <wp:posOffset>9958705</wp:posOffset>
              </wp:positionV>
              <wp:extent cx="158750" cy="79375"/>
              <wp:wrapNone/>
              <wp:docPr id="1187" name="Shape 1187"/>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13" type="#_x0000_t202" style="position:absolute;margin-left:524.60000000000002pt;margin-top:784.14999999999998pt;width:12.5pt;height:6.25pt;z-index:-1887431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18" behindDoc="1" locked="0" layoutInCell="1" allowOverlap="1">
              <wp:simplePos x="0" y="0"/>
              <wp:positionH relativeFrom="page">
                <wp:posOffset>6897370</wp:posOffset>
              </wp:positionH>
              <wp:positionV relativeFrom="page">
                <wp:posOffset>10257790</wp:posOffset>
              </wp:positionV>
              <wp:extent cx="554990" cy="155575"/>
              <wp:wrapNone/>
              <wp:docPr id="1189" name="Shape 1189"/>
              <a:graphic xmlns:a="http://schemas.openxmlformats.org/drawingml/2006/main">
                <a:graphicData uri="http://schemas.microsoft.com/office/word/2010/wordprocessingShape">
                  <wps:wsp>
                    <wps:cNvSpPr txBox="1"/>
                    <wps:spPr>
                      <a:xfrm>
                        <a:ext cx="554990" cy="155575"/>
                      </a:xfrm>
                      <a:prstGeom prst="rect"/>
                      <a:noFill/>
                    </wps:spPr>
                    <wps:txbx>
                      <w:txbxContent>
                        <w:p>
                          <w:pPr>
                            <w:widowControl w:val="0"/>
                            <w:rPr>
                              <w:sz w:val="2"/>
                              <w:szCs w:val="2"/>
                            </w:rPr>
                          </w:pPr>
                          <w:r>
                            <w:drawing>
                              <wp:inline>
                                <wp:extent cx="554990" cy="158750"/>
                                <wp:docPr id="1190" name="Picutre 1190"/>
                                <a:graphic xmlns:a="http://schemas.openxmlformats.org/drawingml/2006/main">
                                  <a:graphicData uri="http://schemas.openxmlformats.org/drawingml/2006/picture">
                                    <pic:pic xmlns:pic="http://schemas.openxmlformats.org/drawingml/2006/picture">
                                      <pic:nvPicPr>
                                        <pic:cNvPr id="1190" name="Picture 1190"/>
                                        <pic:cNvPicPr/>
                                      </pic:nvPicPr>
                                      <pic:blipFill>
                                        <a:blip r:embed="rId1"/>
                                        <a:stretch/>
                                      </pic:blipFill>
                                      <pic:spPr>
                                        <a:xfrm>
                                          <a:ext cx="554990" cy="158750"/>
                                        </a:xfrm>
                                        <a:prstGeom prst="rect"/>
                                      </pic:spPr>
                                    </pic:pic>
                                  </a:graphicData>
                                </a:graphic>
                              </wp:inline>
                            </w:drawing>
                          </w:r>
                        </w:p>
                      </w:txbxContent>
                    </wps:txbx>
                    <wps:bodyPr lIns="0" tIns="0" rIns="0" bIns="0">
                      <a:noAutoFit/>
                    </wps:bodyPr>
                  </wps:wsp>
                </a:graphicData>
              </a:graphic>
            </wp:anchor>
          </w:drawing>
        </mc:Choice>
        <mc:Fallback>
          <w:pict>
            <v:shape id="_x0000_s2216" type="#_x0000_t202" style="position:absolute;margin-left:543.10000000000002pt;margin-top:807.70000000000005pt;width:43.700000000000003pt;height:12.25pt;z-index:-188743135;mso-wrap-distance-left:0;mso-wrap-distance-right:0;mso-position-horizontal-relative:page;mso-position-vertical-relative:page" wrapcoords="0 0" filled="f" stroked="f">
              <v:textbox inset="0,0,0,0">
                <w:txbxContent>
                  <w:p>
                    <w:pPr>
                      <w:widowControl w:val="0"/>
                      <w:rPr>
                        <w:sz w:val="2"/>
                        <w:szCs w:val="2"/>
                      </w:rPr>
                    </w:pPr>
                    <w:r>
                      <w:drawing>
                        <wp:inline>
                          <wp:extent cx="554990" cy="158750"/>
                          <wp:docPr id="1192" name="Picutre 1192"/>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1"/>
                                  <a:stretch/>
                                </pic:blipFill>
                                <pic:spPr>
                                  <a:xfrm>
                                    <a:ext cx="554990" cy="1587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620" behindDoc="1" locked="0" layoutInCell="1" allowOverlap="1">
              <wp:simplePos x="0" y="0"/>
              <wp:positionH relativeFrom="page">
                <wp:posOffset>6827520</wp:posOffset>
              </wp:positionH>
              <wp:positionV relativeFrom="page">
                <wp:posOffset>10495280</wp:posOffset>
              </wp:positionV>
              <wp:extent cx="694690" cy="60960"/>
              <wp:wrapNone/>
              <wp:docPr id="1193" name="Shape 119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219" type="#_x0000_t202" style="position:absolute;margin-left:537.60000000000002pt;margin-top:826.39999999999998pt;width:54.700000000000003pt;height:4.7999999999999998pt;z-index:-1887431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4" behindDoc="1" locked="0" layoutInCell="1" allowOverlap="1">
              <wp:simplePos x="0" y="0"/>
              <wp:positionH relativeFrom="page">
                <wp:posOffset>6690360</wp:posOffset>
              </wp:positionH>
              <wp:positionV relativeFrom="page">
                <wp:posOffset>9958705</wp:posOffset>
              </wp:positionV>
              <wp:extent cx="167640" cy="79375"/>
              <wp:wrapNone/>
              <wp:docPr id="1198" name="Shape 1198"/>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24" type="#_x0000_t202" style="position:absolute;margin-left:526.79999999999995pt;margin-top:784.14999999999998pt;width:13.200000000000001pt;height:6.25pt;z-index:-1887431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26" behindDoc="1" locked="0" layoutInCell="1" allowOverlap="1">
              <wp:simplePos x="0" y="0"/>
              <wp:positionH relativeFrom="page">
                <wp:posOffset>6927850</wp:posOffset>
              </wp:positionH>
              <wp:positionV relativeFrom="page">
                <wp:posOffset>10260330</wp:posOffset>
              </wp:positionV>
              <wp:extent cx="548640" cy="216535"/>
              <wp:wrapNone/>
              <wp:docPr id="1200" name="Shape 120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26" type="#_x0000_t202" style="position:absolute;margin-left:545.5pt;margin-top:807.89999999999998pt;width:43.200000000000003pt;height:17.050000000000001pt;z-index:-18874312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28" behindDoc="1" locked="0" layoutInCell="1" allowOverlap="1">
              <wp:simplePos x="0" y="0"/>
              <wp:positionH relativeFrom="page">
                <wp:posOffset>6854825</wp:posOffset>
              </wp:positionH>
              <wp:positionV relativeFrom="page">
                <wp:posOffset>10495280</wp:posOffset>
              </wp:positionV>
              <wp:extent cx="694690" cy="60960"/>
              <wp:wrapNone/>
              <wp:docPr id="1202" name="Shape 120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28" type="#_x0000_t202" style="position:absolute;margin-left:539.75pt;margin-top:826.39999999999998pt;width:54.700000000000003pt;height:4.7999999999999998pt;z-index:-1887431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6398260</wp:posOffset>
              </wp:positionH>
              <wp:positionV relativeFrom="page">
                <wp:posOffset>9973945</wp:posOffset>
              </wp:positionV>
              <wp:extent cx="97790" cy="79375"/>
              <wp:wrapNone/>
              <wp:docPr id="96" name="Shape 9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503.80000000000001pt;margin-top:785.35000000000002pt;width:7.7000000000000002pt;height:6.25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6565900</wp:posOffset>
              </wp:positionH>
              <wp:positionV relativeFrom="page">
                <wp:posOffset>10275570</wp:posOffset>
              </wp:positionV>
              <wp:extent cx="548640" cy="149225"/>
              <wp:wrapNone/>
              <wp:docPr id="98" name="Shape 9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24" type="#_x0000_t202" style="position:absolute;margin-left:517.pt;margin-top:809.10000000000002pt;width:43.200000000000003pt;height:11.75pt;z-index:-1887439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6492875</wp:posOffset>
              </wp:positionH>
              <wp:positionV relativeFrom="page">
                <wp:posOffset>10509885</wp:posOffset>
              </wp:positionV>
              <wp:extent cx="694690" cy="60960"/>
              <wp:wrapNone/>
              <wp:docPr id="100" name="Shape 10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26" type="#_x0000_t202" style="position:absolute;margin-left:511.25pt;margin-top:827.55000000000007pt;width:54.700000000000003pt;height:4.7999999999999998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2" behindDoc="1" locked="0" layoutInCell="1" allowOverlap="1">
              <wp:simplePos x="0" y="0"/>
              <wp:positionH relativeFrom="page">
                <wp:posOffset>6737985</wp:posOffset>
              </wp:positionH>
              <wp:positionV relativeFrom="page">
                <wp:posOffset>9988550</wp:posOffset>
              </wp:positionV>
              <wp:extent cx="103505" cy="79375"/>
              <wp:wrapNone/>
              <wp:docPr id="1207" name="Shape 120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33" type="#_x0000_t202" style="position:absolute;margin-left:530.54999999999995pt;margin-top:786.5pt;width:8.1500000000000004pt;height:6.25pt;z-index:-1887431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34" behindDoc="1" locked="0" layoutInCell="1" allowOverlap="1">
              <wp:simplePos x="0" y="0"/>
              <wp:positionH relativeFrom="page">
                <wp:posOffset>6911340</wp:posOffset>
              </wp:positionH>
              <wp:positionV relativeFrom="page">
                <wp:posOffset>10293350</wp:posOffset>
              </wp:positionV>
              <wp:extent cx="548640" cy="149225"/>
              <wp:wrapNone/>
              <wp:docPr id="1209" name="Shape 120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235" type="#_x0000_t202" style="position:absolute;margin-left:544.20000000000005pt;margin-top:810.5pt;width:43.200000000000003pt;height:11.75pt;z-index:-18874311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36" behindDoc="1" locked="0" layoutInCell="1" allowOverlap="1">
              <wp:simplePos x="0" y="0"/>
              <wp:positionH relativeFrom="page">
                <wp:posOffset>6838315</wp:posOffset>
              </wp:positionH>
              <wp:positionV relativeFrom="page">
                <wp:posOffset>10528300</wp:posOffset>
              </wp:positionV>
              <wp:extent cx="694690" cy="60960"/>
              <wp:wrapNone/>
              <wp:docPr id="1211" name="Shape 121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37" type="#_x0000_t202" style="position:absolute;margin-left:538.45000000000005pt;margin-top:829.pt;width:54.700000000000003pt;height:4.7999999999999998pt;z-index:-1887431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0" behindDoc="1" locked="0" layoutInCell="1" allowOverlap="1">
              <wp:simplePos x="0" y="0"/>
              <wp:positionH relativeFrom="page">
                <wp:posOffset>6737985</wp:posOffset>
              </wp:positionH>
              <wp:positionV relativeFrom="page">
                <wp:posOffset>9988550</wp:posOffset>
              </wp:positionV>
              <wp:extent cx="103505" cy="79375"/>
              <wp:wrapNone/>
              <wp:docPr id="1216" name="Shape 121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42" type="#_x0000_t202" style="position:absolute;margin-left:530.54999999999995pt;margin-top:786.5pt;width:8.1500000000000004pt;height:6.25pt;z-index:-1887431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42" behindDoc="1" locked="0" layoutInCell="1" allowOverlap="1">
              <wp:simplePos x="0" y="0"/>
              <wp:positionH relativeFrom="page">
                <wp:posOffset>6911340</wp:posOffset>
              </wp:positionH>
              <wp:positionV relativeFrom="page">
                <wp:posOffset>10293350</wp:posOffset>
              </wp:positionV>
              <wp:extent cx="548640" cy="149225"/>
              <wp:wrapNone/>
              <wp:docPr id="1218" name="Shape 121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244" type="#_x0000_t202" style="position:absolute;margin-left:544.20000000000005pt;margin-top:810.5pt;width:43.200000000000003pt;height:11.75pt;z-index:-18874311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44" behindDoc="1" locked="0" layoutInCell="1" allowOverlap="1">
              <wp:simplePos x="0" y="0"/>
              <wp:positionH relativeFrom="page">
                <wp:posOffset>6838315</wp:posOffset>
              </wp:positionH>
              <wp:positionV relativeFrom="page">
                <wp:posOffset>10528300</wp:posOffset>
              </wp:positionV>
              <wp:extent cx="694690" cy="60960"/>
              <wp:wrapNone/>
              <wp:docPr id="1220" name="Shape 122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46" type="#_x0000_t202" style="position:absolute;margin-left:538.45000000000005pt;margin-top:829.pt;width:54.700000000000003pt;height:4.7999999999999998pt;z-index:-1887431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8" behindDoc="1" locked="0" layoutInCell="1" allowOverlap="1">
              <wp:simplePos x="0" y="0"/>
              <wp:positionH relativeFrom="page">
                <wp:posOffset>6684010</wp:posOffset>
              </wp:positionH>
              <wp:positionV relativeFrom="page">
                <wp:posOffset>9958705</wp:posOffset>
              </wp:positionV>
              <wp:extent cx="164465" cy="79375"/>
              <wp:wrapNone/>
              <wp:docPr id="1225" name="Shape 1225"/>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51" type="#_x0000_t202" style="position:absolute;margin-left:526.29999999999995pt;margin-top:784.14999999999998pt;width:12.950000000000001pt;height:6.25pt;z-index:-1887431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50" behindDoc="1" locked="0" layoutInCell="1" allowOverlap="1">
              <wp:simplePos x="0" y="0"/>
              <wp:positionH relativeFrom="page">
                <wp:posOffset>6921500</wp:posOffset>
              </wp:positionH>
              <wp:positionV relativeFrom="page">
                <wp:posOffset>10257790</wp:posOffset>
              </wp:positionV>
              <wp:extent cx="548640" cy="219710"/>
              <wp:wrapNone/>
              <wp:docPr id="1227" name="Shape 122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53" type="#_x0000_t202" style="position:absolute;margin-left:545.pt;margin-top:807.70000000000005pt;width:43.200000000000003pt;height:17.300000000000001pt;z-index:-18874310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52" behindDoc="1" locked="0" layoutInCell="1" allowOverlap="1">
              <wp:simplePos x="0" y="0"/>
              <wp:positionH relativeFrom="page">
                <wp:posOffset>6848475</wp:posOffset>
              </wp:positionH>
              <wp:positionV relativeFrom="page">
                <wp:posOffset>10495280</wp:posOffset>
              </wp:positionV>
              <wp:extent cx="694690" cy="60960"/>
              <wp:wrapNone/>
              <wp:docPr id="1229" name="Shape 122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55" type="#_x0000_t202" style="position:absolute;margin-left:539.25pt;margin-top:826.39999999999998pt;width:54.700000000000003pt;height:4.7999999999999998pt;z-index:-1887431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6" behindDoc="1" locked="0" layoutInCell="1" allowOverlap="1">
              <wp:simplePos x="0" y="0"/>
              <wp:positionH relativeFrom="page">
                <wp:posOffset>6684010</wp:posOffset>
              </wp:positionH>
              <wp:positionV relativeFrom="page">
                <wp:posOffset>9958705</wp:posOffset>
              </wp:positionV>
              <wp:extent cx="164465" cy="79375"/>
              <wp:wrapNone/>
              <wp:docPr id="1234" name="Shape 1234"/>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60" type="#_x0000_t202" style="position:absolute;margin-left:526.29999999999995pt;margin-top:784.14999999999998pt;width:12.950000000000001pt;height:6.25pt;z-index:-1887430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58" behindDoc="1" locked="0" layoutInCell="1" allowOverlap="1">
              <wp:simplePos x="0" y="0"/>
              <wp:positionH relativeFrom="page">
                <wp:posOffset>6921500</wp:posOffset>
              </wp:positionH>
              <wp:positionV relativeFrom="page">
                <wp:posOffset>10257790</wp:posOffset>
              </wp:positionV>
              <wp:extent cx="548640" cy="219710"/>
              <wp:wrapNone/>
              <wp:docPr id="1236" name="Shape 123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62" type="#_x0000_t202" style="position:absolute;margin-left:545.pt;margin-top:807.70000000000005pt;width:43.200000000000003pt;height:17.300000000000001pt;z-index:-18874309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60" behindDoc="1" locked="0" layoutInCell="1" allowOverlap="1">
              <wp:simplePos x="0" y="0"/>
              <wp:positionH relativeFrom="page">
                <wp:posOffset>6848475</wp:posOffset>
              </wp:positionH>
              <wp:positionV relativeFrom="page">
                <wp:posOffset>10495280</wp:posOffset>
              </wp:positionV>
              <wp:extent cx="694690" cy="60960"/>
              <wp:wrapNone/>
              <wp:docPr id="1238" name="Shape 12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64" type="#_x0000_t202" style="position:absolute;margin-left:539.25pt;margin-top:826.39999999999998pt;width:54.700000000000003pt;height:4.7999999999999998pt;z-index:-1887430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4" behindDoc="1" locked="0" layoutInCell="1" allowOverlap="1">
              <wp:simplePos x="0" y="0"/>
              <wp:positionH relativeFrom="page">
                <wp:posOffset>6737985</wp:posOffset>
              </wp:positionH>
              <wp:positionV relativeFrom="page">
                <wp:posOffset>9988550</wp:posOffset>
              </wp:positionV>
              <wp:extent cx="103505" cy="79375"/>
              <wp:wrapNone/>
              <wp:docPr id="1243" name="Shape 124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69" type="#_x0000_t202" style="position:absolute;margin-left:530.54999999999995pt;margin-top:786.5pt;width:8.1500000000000004pt;height:6.25pt;z-index:-1887430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66" behindDoc="1" locked="0" layoutInCell="1" allowOverlap="1">
              <wp:simplePos x="0" y="0"/>
              <wp:positionH relativeFrom="page">
                <wp:posOffset>6911340</wp:posOffset>
              </wp:positionH>
              <wp:positionV relativeFrom="page">
                <wp:posOffset>10293350</wp:posOffset>
              </wp:positionV>
              <wp:extent cx="548640" cy="149225"/>
              <wp:wrapNone/>
              <wp:docPr id="1245" name="Shape 124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271" type="#_x0000_t202" style="position:absolute;margin-left:544.20000000000005pt;margin-top:810.5pt;width:43.200000000000003pt;height:11.75pt;z-index:-18874308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68" behindDoc="1" locked="0" layoutInCell="1" allowOverlap="1">
              <wp:simplePos x="0" y="0"/>
              <wp:positionH relativeFrom="page">
                <wp:posOffset>6838315</wp:posOffset>
              </wp:positionH>
              <wp:positionV relativeFrom="page">
                <wp:posOffset>10528300</wp:posOffset>
              </wp:positionV>
              <wp:extent cx="694690" cy="60960"/>
              <wp:wrapNone/>
              <wp:docPr id="1247" name="Shape 124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73" type="#_x0000_t202" style="position:absolute;margin-left:538.45000000000005pt;margin-top:829.pt;width:54.700000000000003pt;height:4.7999999999999998pt;z-index:-18874308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2" behindDoc="1" locked="0" layoutInCell="1" allowOverlap="1">
              <wp:simplePos x="0" y="0"/>
              <wp:positionH relativeFrom="page">
                <wp:posOffset>6684010</wp:posOffset>
              </wp:positionH>
              <wp:positionV relativeFrom="page">
                <wp:posOffset>9958705</wp:posOffset>
              </wp:positionV>
              <wp:extent cx="164465" cy="79375"/>
              <wp:wrapNone/>
              <wp:docPr id="1252" name="Shape 1252"/>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78" type="#_x0000_t202" style="position:absolute;margin-left:526.29999999999995pt;margin-top:784.14999999999998pt;width:12.950000000000001pt;height:6.25pt;z-index:-18874308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74" behindDoc="1" locked="0" layoutInCell="1" allowOverlap="1">
              <wp:simplePos x="0" y="0"/>
              <wp:positionH relativeFrom="page">
                <wp:posOffset>6921500</wp:posOffset>
              </wp:positionH>
              <wp:positionV relativeFrom="page">
                <wp:posOffset>10257790</wp:posOffset>
              </wp:positionV>
              <wp:extent cx="548640" cy="219710"/>
              <wp:wrapNone/>
              <wp:docPr id="1254" name="Shape 125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80" type="#_x0000_t202" style="position:absolute;margin-left:545.pt;margin-top:807.70000000000005pt;width:43.200000000000003pt;height:17.300000000000001pt;z-index:-18874307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76" behindDoc="1" locked="0" layoutInCell="1" allowOverlap="1">
              <wp:simplePos x="0" y="0"/>
              <wp:positionH relativeFrom="page">
                <wp:posOffset>6848475</wp:posOffset>
              </wp:positionH>
              <wp:positionV relativeFrom="page">
                <wp:posOffset>10495280</wp:posOffset>
              </wp:positionV>
              <wp:extent cx="694690" cy="60960"/>
              <wp:wrapNone/>
              <wp:docPr id="1256" name="Shape 125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82" type="#_x0000_t202" style="position:absolute;margin-left:539.25pt;margin-top:826.39999999999998pt;width:54.700000000000003pt;height:4.7999999999999998pt;z-index:-1887430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0" behindDoc="1" locked="0" layoutInCell="1" allowOverlap="1">
              <wp:simplePos x="0" y="0"/>
              <wp:positionH relativeFrom="page">
                <wp:posOffset>6737985</wp:posOffset>
              </wp:positionH>
              <wp:positionV relativeFrom="page">
                <wp:posOffset>9988550</wp:posOffset>
              </wp:positionV>
              <wp:extent cx="103505" cy="79375"/>
              <wp:wrapNone/>
              <wp:docPr id="1261" name="Shape 126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87" type="#_x0000_t202" style="position:absolute;margin-left:530.54999999999995pt;margin-top:786.5pt;width:8.1500000000000004pt;height:6.25pt;z-index:-1887430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82" behindDoc="1" locked="0" layoutInCell="1" allowOverlap="1">
              <wp:simplePos x="0" y="0"/>
              <wp:positionH relativeFrom="page">
                <wp:posOffset>6911340</wp:posOffset>
              </wp:positionH>
              <wp:positionV relativeFrom="page">
                <wp:posOffset>10293350</wp:posOffset>
              </wp:positionV>
              <wp:extent cx="548640" cy="149225"/>
              <wp:wrapNone/>
              <wp:docPr id="1263" name="Shape 126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289" type="#_x0000_t202" style="position:absolute;margin-left:544.20000000000005pt;margin-top:810.5pt;width:43.200000000000003pt;height:11.75pt;z-index:-18874307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84" behindDoc="1" locked="0" layoutInCell="1" allowOverlap="1">
              <wp:simplePos x="0" y="0"/>
              <wp:positionH relativeFrom="page">
                <wp:posOffset>6838315</wp:posOffset>
              </wp:positionH>
              <wp:positionV relativeFrom="page">
                <wp:posOffset>10528300</wp:posOffset>
              </wp:positionV>
              <wp:extent cx="694690" cy="60960"/>
              <wp:wrapNone/>
              <wp:docPr id="1265" name="Shape 126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91" type="#_x0000_t202" style="position:absolute;margin-left:538.45000000000005pt;margin-top:829.pt;width:54.700000000000003pt;height:4.7999999999999998pt;z-index:-18874306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8" behindDoc="1" locked="0" layoutInCell="1" allowOverlap="1">
              <wp:simplePos x="0" y="0"/>
              <wp:positionH relativeFrom="page">
                <wp:posOffset>6737985</wp:posOffset>
              </wp:positionH>
              <wp:positionV relativeFrom="page">
                <wp:posOffset>9988550</wp:posOffset>
              </wp:positionV>
              <wp:extent cx="103505" cy="79375"/>
              <wp:wrapNone/>
              <wp:docPr id="1270" name="Shape 127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296" type="#_x0000_t202" style="position:absolute;margin-left:530.54999999999995pt;margin-top:786.5pt;width:8.1500000000000004pt;height:6.25pt;z-index:-1887430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90" behindDoc="1" locked="0" layoutInCell="1" allowOverlap="1">
              <wp:simplePos x="0" y="0"/>
              <wp:positionH relativeFrom="page">
                <wp:posOffset>6911340</wp:posOffset>
              </wp:positionH>
              <wp:positionV relativeFrom="page">
                <wp:posOffset>10293350</wp:posOffset>
              </wp:positionV>
              <wp:extent cx="548640" cy="149225"/>
              <wp:wrapNone/>
              <wp:docPr id="1272" name="Shape 127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298" type="#_x0000_t202" style="position:absolute;margin-left:544.20000000000005pt;margin-top:810.5pt;width:43.200000000000003pt;height:11.75pt;z-index:-18874306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92" behindDoc="1" locked="0" layoutInCell="1" allowOverlap="1">
              <wp:simplePos x="0" y="0"/>
              <wp:positionH relativeFrom="page">
                <wp:posOffset>6838315</wp:posOffset>
              </wp:positionH>
              <wp:positionV relativeFrom="page">
                <wp:posOffset>10528300</wp:posOffset>
              </wp:positionV>
              <wp:extent cx="694690" cy="60960"/>
              <wp:wrapNone/>
              <wp:docPr id="1274" name="Shape 127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300" type="#_x0000_t202" style="position:absolute;margin-left:538.45000000000005pt;margin-top:829.pt;width:54.700000000000003pt;height:4.7999999999999998pt;z-index:-18874306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6398260</wp:posOffset>
              </wp:positionH>
              <wp:positionV relativeFrom="page">
                <wp:posOffset>9972040</wp:posOffset>
              </wp:positionV>
              <wp:extent cx="94615" cy="79375"/>
              <wp:wrapNone/>
              <wp:docPr id="105" name="Shape 10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503.80000000000001pt;margin-top:785.20000000000005pt;width:7.4500000000000002pt;height:6.25pt;z-index:-1887439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6492875</wp:posOffset>
              </wp:positionH>
              <wp:positionV relativeFrom="page">
                <wp:posOffset>10273665</wp:posOffset>
              </wp:positionV>
              <wp:extent cx="694690" cy="295910"/>
              <wp:wrapNone/>
              <wp:docPr id="107" name="Shape 107"/>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133" type="#_x0000_t202" style="position:absolute;margin-left:511.25pt;margin-top:808.95000000000005pt;width:54.700000000000003pt;height:23.300000000000001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6398260</wp:posOffset>
              </wp:positionH>
              <wp:positionV relativeFrom="page">
                <wp:posOffset>9973945</wp:posOffset>
              </wp:positionV>
              <wp:extent cx="97790" cy="79375"/>
              <wp:wrapNone/>
              <wp:docPr id="112" name="Shape 1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8" type="#_x0000_t202" style="position:absolute;margin-left:503.80000000000001pt;margin-top:785.35000000000002pt;width:7.7000000000000002pt;height:6.25pt;z-index:-1887439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6565900</wp:posOffset>
              </wp:positionH>
              <wp:positionV relativeFrom="page">
                <wp:posOffset>10275570</wp:posOffset>
              </wp:positionV>
              <wp:extent cx="548640" cy="149225"/>
              <wp:wrapNone/>
              <wp:docPr id="114" name="Shape 11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40" type="#_x0000_t202" style="position:absolute;margin-left:517.pt;margin-top:809.10000000000002pt;width:43.200000000000003pt;height:11.75pt;z-index:-1887439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6492875</wp:posOffset>
              </wp:positionH>
              <wp:positionV relativeFrom="page">
                <wp:posOffset>10509885</wp:posOffset>
              </wp:positionV>
              <wp:extent cx="694690" cy="60960"/>
              <wp:wrapNone/>
              <wp:docPr id="116" name="Shape 11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42" type="#_x0000_t202" style="position:absolute;margin-left:511.25pt;margin-top:827.55000000000007pt;width:54.700000000000003pt;height:4.7999999999999998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6398260</wp:posOffset>
              </wp:positionH>
              <wp:positionV relativeFrom="page">
                <wp:posOffset>9973945</wp:posOffset>
              </wp:positionV>
              <wp:extent cx="97790" cy="79375"/>
              <wp:wrapNone/>
              <wp:docPr id="121" name="Shape 1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7" type="#_x0000_t202" style="position:absolute;margin-left:503.80000000000001pt;margin-top:785.35000000000002pt;width:7.7000000000000002pt;height:6.25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6565900</wp:posOffset>
              </wp:positionH>
              <wp:positionV relativeFrom="page">
                <wp:posOffset>10275570</wp:posOffset>
              </wp:positionV>
              <wp:extent cx="548640" cy="149225"/>
              <wp:wrapNone/>
              <wp:docPr id="123" name="Shape 12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49" type="#_x0000_t202" style="position:absolute;margin-left:517.pt;margin-top:809.10000000000002pt;width:43.200000000000003pt;height:11.75pt;z-index:-1887439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6492875</wp:posOffset>
              </wp:positionH>
              <wp:positionV relativeFrom="page">
                <wp:posOffset>10509885</wp:posOffset>
              </wp:positionV>
              <wp:extent cx="694690" cy="60960"/>
              <wp:wrapNone/>
              <wp:docPr id="125" name="Shape 12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51" type="#_x0000_t202" style="position:absolute;margin-left:511.25pt;margin-top:827.55000000000007pt;width:54.700000000000003pt;height:4.7999999999999998pt;z-index:-1887439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6398260</wp:posOffset>
              </wp:positionH>
              <wp:positionV relativeFrom="page">
                <wp:posOffset>9973945</wp:posOffset>
              </wp:positionV>
              <wp:extent cx="97790" cy="79375"/>
              <wp:wrapNone/>
              <wp:docPr id="130" name="Shape 13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503.80000000000001pt;margin-top:785.35000000000002pt;width:7.7000000000000002pt;height:6.25pt;z-index:-1887439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6565900</wp:posOffset>
              </wp:positionH>
              <wp:positionV relativeFrom="page">
                <wp:posOffset>10275570</wp:posOffset>
              </wp:positionV>
              <wp:extent cx="548640" cy="149225"/>
              <wp:wrapNone/>
              <wp:docPr id="132" name="Shape 13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58" type="#_x0000_t202" style="position:absolute;margin-left:517.pt;margin-top:809.10000000000002pt;width:43.200000000000003pt;height:11.75pt;z-index:-1887439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6492875</wp:posOffset>
              </wp:positionH>
              <wp:positionV relativeFrom="page">
                <wp:posOffset>10509885</wp:posOffset>
              </wp:positionV>
              <wp:extent cx="694690" cy="60960"/>
              <wp:wrapNone/>
              <wp:docPr id="134" name="Shape 13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60" type="#_x0000_t202" style="position:absolute;margin-left:511.25pt;margin-top:827.55000000000007pt;width:54.700000000000003pt;height:4.7999999999999998pt;z-index:-1887439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6398260</wp:posOffset>
              </wp:positionH>
              <wp:positionV relativeFrom="page">
                <wp:posOffset>9973945</wp:posOffset>
              </wp:positionV>
              <wp:extent cx="97790" cy="79375"/>
              <wp:wrapNone/>
              <wp:docPr id="139" name="Shape 1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5" type="#_x0000_t202" style="position:absolute;margin-left:503.80000000000001pt;margin-top:785.35000000000002pt;width:7.7000000000000002pt;height:6.25pt;z-index:-1887439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6565900</wp:posOffset>
              </wp:positionH>
              <wp:positionV relativeFrom="page">
                <wp:posOffset>10275570</wp:posOffset>
              </wp:positionV>
              <wp:extent cx="548640" cy="149225"/>
              <wp:wrapNone/>
              <wp:docPr id="141" name="Shape 14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67" type="#_x0000_t202" style="position:absolute;margin-left:517.pt;margin-top:809.10000000000002pt;width:43.200000000000003pt;height:11.75pt;z-index:-1887439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6492875</wp:posOffset>
              </wp:positionH>
              <wp:positionV relativeFrom="page">
                <wp:posOffset>10509885</wp:posOffset>
              </wp:positionV>
              <wp:extent cx="694690" cy="60960"/>
              <wp:wrapNone/>
              <wp:docPr id="143" name="Shape 14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69" type="#_x0000_t202" style="position:absolute;margin-left:511.25pt;margin-top:827.55000000000007pt;width:54.700000000000003pt;height:4.7999999999999998pt;z-index:-1887439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6386195</wp:posOffset>
              </wp:positionH>
              <wp:positionV relativeFrom="page">
                <wp:posOffset>9970770</wp:posOffset>
              </wp:positionV>
              <wp:extent cx="109855" cy="82550"/>
              <wp:wrapNone/>
              <wp:docPr id="148" name="Shape 14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502.85000000000002pt;margin-top:785.10000000000002pt;width:8.6500000000000004pt;height:6.5pt;z-index:-1887439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6565900</wp:posOffset>
              </wp:positionH>
              <wp:positionV relativeFrom="page">
                <wp:posOffset>10272395</wp:posOffset>
              </wp:positionV>
              <wp:extent cx="548640" cy="219710"/>
              <wp:wrapNone/>
              <wp:docPr id="150" name="Shape 15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176" type="#_x0000_t202" style="position:absolute;margin-left:517.pt;margin-top:808.85000000000002pt;width:43.200000000000003pt;height:17.300000000000001pt;z-index:-1887439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6492875</wp:posOffset>
              </wp:positionH>
              <wp:positionV relativeFrom="page">
                <wp:posOffset>10509885</wp:posOffset>
              </wp:positionV>
              <wp:extent cx="694690" cy="60960"/>
              <wp:wrapNone/>
              <wp:docPr id="152" name="Shape 15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78" type="#_x0000_t202" style="position:absolute;margin-left:511.25pt;margin-top:827.55000000000007pt;width:54.700000000000003pt;height:4.7999999999999998pt;z-index:-1887439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6788785</wp:posOffset>
              </wp:positionH>
              <wp:positionV relativeFrom="page">
                <wp:posOffset>10135235</wp:posOffset>
              </wp:positionV>
              <wp:extent cx="30480" cy="79375"/>
              <wp:wrapNone/>
              <wp:docPr id="11" name="Shape 11"/>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4.54999999999995pt;margin-top:798.05000000000007pt;width:2.3999999999999999pt;height:6.25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6828155</wp:posOffset>
              </wp:positionH>
              <wp:positionV relativeFrom="page">
                <wp:posOffset>10497820</wp:posOffset>
              </wp:positionV>
              <wp:extent cx="694690" cy="60960"/>
              <wp:wrapNone/>
              <wp:docPr id="13" name="Shape 1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39" type="#_x0000_t202" style="position:absolute;margin-left:537.64999999999998pt;margin-top:826.60000000000002pt;width:54.700000000000003pt;height:4.7999999999999998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6386195</wp:posOffset>
              </wp:positionH>
              <wp:positionV relativeFrom="page">
                <wp:posOffset>9970770</wp:posOffset>
              </wp:positionV>
              <wp:extent cx="109855" cy="82550"/>
              <wp:wrapNone/>
              <wp:docPr id="157" name="Shape 15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3" type="#_x0000_t202" style="position:absolute;margin-left:502.85000000000002pt;margin-top:785.10000000000002pt;width:8.6500000000000004pt;height:6.5pt;z-index:-1887439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6565900</wp:posOffset>
              </wp:positionH>
              <wp:positionV relativeFrom="page">
                <wp:posOffset>10272395</wp:posOffset>
              </wp:positionV>
              <wp:extent cx="548640" cy="219710"/>
              <wp:wrapNone/>
              <wp:docPr id="159" name="Shape 15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185" type="#_x0000_t202" style="position:absolute;margin-left:517.pt;margin-top:808.85000000000002pt;width:43.200000000000003pt;height:17.300000000000001pt;z-index:-1887439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6492875</wp:posOffset>
              </wp:positionH>
              <wp:positionV relativeFrom="page">
                <wp:posOffset>10509885</wp:posOffset>
              </wp:positionV>
              <wp:extent cx="694690" cy="60960"/>
              <wp:wrapNone/>
              <wp:docPr id="161" name="Shape 16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87" type="#_x0000_t202" style="position:absolute;margin-left:511.25pt;margin-top:827.55000000000007pt;width:54.700000000000003pt;height:4.7999999999999998pt;z-index:-1887439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6398260</wp:posOffset>
              </wp:positionH>
              <wp:positionV relativeFrom="page">
                <wp:posOffset>9973945</wp:posOffset>
              </wp:positionV>
              <wp:extent cx="97790" cy="79375"/>
              <wp:wrapNone/>
              <wp:docPr id="166" name="Shape 1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2" type="#_x0000_t202" style="position:absolute;margin-left:503.80000000000001pt;margin-top:785.35000000000002pt;width:7.7000000000000002pt;height:6.25pt;z-index:-1887439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6565900</wp:posOffset>
              </wp:positionH>
              <wp:positionV relativeFrom="page">
                <wp:posOffset>10275570</wp:posOffset>
              </wp:positionV>
              <wp:extent cx="548640" cy="149225"/>
              <wp:wrapNone/>
              <wp:docPr id="168" name="Shape 16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94" type="#_x0000_t202" style="position:absolute;margin-left:517.pt;margin-top:809.10000000000002pt;width:43.200000000000003pt;height:11.75pt;z-index:-1887439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6492875</wp:posOffset>
              </wp:positionH>
              <wp:positionV relativeFrom="page">
                <wp:posOffset>10509885</wp:posOffset>
              </wp:positionV>
              <wp:extent cx="694690" cy="60960"/>
              <wp:wrapNone/>
              <wp:docPr id="170" name="Shape 17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96" type="#_x0000_t202" style="position:absolute;margin-left:511.25pt;margin-top:827.55000000000007pt;width:54.700000000000003pt;height:4.7999999999999998pt;z-index:-1887439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6386195</wp:posOffset>
              </wp:positionH>
              <wp:positionV relativeFrom="page">
                <wp:posOffset>9970770</wp:posOffset>
              </wp:positionV>
              <wp:extent cx="109855" cy="82550"/>
              <wp:wrapNone/>
              <wp:docPr id="175" name="Shape 17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502.85000000000002pt;margin-top:785.10000000000002pt;width:8.6500000000000004pt;height:6.5pt;z-index:-1887439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6565900</wp:posOffset>
              </wp:positionH>
              <wp:positionV relativeFrom="page">
                <wp:posOffset>10272395</wp:posOffset>
              </wp:positionV>
              <wp:extent cx="548640" cy="219710"/>
              <wp:wrapNone/>
              <wp:docPr id="177" name="Shape 17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203" type="#_x0000_t202" style="position:absolute;margin-left:517.pt;margin-top:808.85000000000002pt;width:43.200000000000003pt;height:17.300000000000001pt;z-index:-1887439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6492875</wp:posOffset>
              </wp:positionH>
              <wp:positionV relativeFrom="page">
                <wp:posOffset>10509885</wp:posOffset>
              </wp:positionV>
              <wp:extent cx="694690" cy="60960"/>
              <wp:wrapNone/>
              <wp:docPr id="179" name="Shape 17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05" type="#_x0000_t202" style="position:absolute;margin-left:511.25pt;margin-top:827.55000000000007pt;width:54.700000000000003pt;height:4.7999999999999998pt;z-index:-1887439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6386195</wp:posOffset>
              </wp:positionH>
              <wp:positionV relativeFrom="page">
                <wp:posOffset>9970770</wp:posOffset>
              </wp:positionV>
              <wp:extent cx="109855" cy="82550"/>
              <wp:wrapNone/>
              <wp:docPr id="184" name="Shape 18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0" type="#_x0000_t202" style="position:absolute;margin-left:502.85000000000002pt;margin-top:785.10000000000002pt;width:8.6500000000000004pt;height:6.5pt;z-index:-1887439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6" behindDoc="1" locked="0" layoutInCell="1" allowOverlap="1">
              <wp:simplePos x="0" y="0"/>
              <wp:positionH relativeFrom="page">
                <wp:posOffset>6565900</wp:posOffset>
              </wp:positionH>
              <wp:positionV relativeFrom="page">
                <wp:posOffset>10272395</wp:posOffset>
              </wp:positionV>
              <wp:extent cx="548640" cy="219710"/>
              <wp:wrapNone/>
              <wp:docPr id="186" name="Shape 18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212" type="#_x0000_t202" style="position:absolute;margin-left:517.pt;margin-top:808.85000000000002pt;width:43.200000000000003pt;height:17.300000000000001pt;z-index:-1887439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6492875</wp:posOffset>
              </wp:positionH>
              <wp:positionV relativeFrom="page">
                <wp:posOffset>10509885</wp:posOffset>
              </wp:positionV>
              <wp:extent cx="694690" cy="60960"/>
              <wp:wrapNone/>
              <wp:docPr id="188" name="Shape 18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14" type="#_x0000_t202" style="position:absolute;margin-left:511.25pt;margin-top:827.55000000000007pt;width:54.700000000000003pt;height:4.7999999999999998pt;z-index:-1887439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6398260</wp:posOffset>
              </wp:positionH>
              <wp:positionV relativeFrom="page">
                <wp:posOffset>9973945</wp:posOffset>
              </wp:positionV>
              <wp:extent cx="97790" cy="79375"/>
              <wp:wrapNone/>
              <wp:docPr id="193" name="Shape 1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9" type="#_x0000_t202" style="position:absolute;margin-left:503.80000000000001pt;margin-top:785.35000000000002pt;width:7.7000000000000002pt;height:6.25pt;z-index:-1887439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6565900</wp:posOffset>
              </wp:positionH>
              <wp:positionV relativeFrom="page">
                <wp:posOffset>10275570</wp:posOffset>
              </wp:positionV>
              <wp:extent cx="548640" cy="149225"/>
              <wp:wrapNone/>
              <wp:docPr id="195" name="Shape 19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21" type="#_x0000_t202" style="position:absolute;margin-left:517.pt;margin-top:809.10000000000002pt;width:43.200000000000003pt;height:11.75pt;z-index:-1887438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56" behindDoc="1" locked="0" layoutInCell="1" allowOverlap="1">
              <wp:simplePos x="0" y="0"/>
              <wp:positionH relativeFrom="page">
                <wp:posOffset>6492875</wp:posOffset>
              </wp:positionH>
              <wp:positionV relativeFrom="page">
                <wp:posOffset>10509885</wp:posOffset>
              </wp:positionV>
              <wp:extent cx="694690" cy="60960"/>
              <wp:wrapNone/>
              <wp:docPr id="197" name="Shape 19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23" type="#_x0000_t202" style="position:absolute;margin-left:511.25pt;margin-top:827.55000000000007pt;width:54.700000000000003pt;height:4.7999999999999998pt;z-index:-1887438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6398260</wp:posOffset>
              </wp:positionH>
              <wp:positionV relativeFrom="page">
                <wp:posOffset>9973945</wp:posOffset>
              </wp:positionV>
              <wp:extent cx="97790" cy="79375"/>
              <wp:wrapNone/>
              <wp:docPr id="202" name="Shape 20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8" type="#_x0000_t202" style="position:absolute;margin-left:503.80000000000001pt;margin-top:785.35000000000002pt;width:7.7000000000000002pt;height:6.25pt;z-index:-1887438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2" behindDoc="1" locked="0" layoutInCell="1" allowOverlap="1">
              <wp:simplePos x="0" y="0"/>
              <wp:positionH relativeFrom="page">
                <wp:posOffset>6565900</wp:posOffset>
              </wp:positionH>
              <wp:positionV relativeFrom="page">
                <wp:posOffset>10275570</wp:posOffset>
              </wp:positionV>
              <wp:extent cx="548640" cy="149225"/>
              <wp:wrapNone/>
              <wp:docPr id="204" name="Shape 20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30" type="#_x0000_t202" style="position:absolute;margin-left:517.pt;margin-top:809.10000000000002pt;width:43.200000000000003pt;height:11.75pt;z-index:-1887438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6492875</wp:posOffset>
              </wp:positionH>
              <wp:positionV relativeFrom="page">
                <wp:posOffset>10509885</wp:posOffset>
              </wp:positionV>
              <wp:extent cx="694690" cy="60960"/>
              <wp:wrapNone/>
              <wp:docPr id="206" name="Shape 20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32" type="#_x0000_t202" style="position:absolute;margin-left:511.25pt;margin-top:827.55000000000007pt;width:54.700000000000003pt;height:4.7999999999999998pt;z-index:-1887438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6398260</wp:posOffset>
              </wp:positionH>
              <wp:positionV relativeFrom="page">
                <wp:posOffset>9973945</wp:posOffset>
              </wp:positionV>
              <wp:extent cx="97790" cy="79375"/>
              <wp:wrapNone/>
              <wp:docPr id="211" name="Shape 2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7" type="#_x0000_t202" style="position:absolute;margin-left:503.80000000000001pt;margin-top:785.35000000000002pt;width:7.7000000000000002pt;height:6.25pt;z-index:-1887438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6565900</wp:posOffset>
              </wp:positionH>
              <wp:positionV relativeFrom="page">
                <wp:posOffset>10275570</wp:posOffset>
              </wp:positionV>
              <wp:extent cx="548640" cy="149225"/>
              <wp:wrapNone/>
              <wp:docPr id="213" name="Shape 21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39" type="#_x0000_t202" style="position:absolute;margin-left:517.pt;margin-top:809.10000000000002pt;width:43.200000000000003pt;height:11.75pt;z-index:-1887438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6492875</wp:posOffset>
              </wp:positionH>
              <wp:positionV relativeFrom="page">
                <wp:posOffset>10509885</wp:posOffset>
              </wp:positionV>
              <wp:extent cx="694690" cy="60960"/>
              <wp:wrapNone/>
              <wp:docPr id="215" name="Shape 21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41" type="#_x0000_t202" style="position:absolute;margin-left:511.25pt;margin-top:827.55000000000007pt;width:54.700000000000003pt;height:4.7999999999999998pt;z-index:-1887438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6727825</wp:posOffset>
              </wp:positionH>
              <wp:positionV relativeFrom="page">
                <wp:posOffset>9961245</wp:posOffset>
              </wp:positionV>
              <wp:extent cx="103505" cy="79375"/>
              <wp:wrapNone/>
              <wp:docPr id="220" name="Shape 2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46" type="#_x0000_t202" style="position:absolute;margin-left:529.75pt;margin-top:784.35000000000002pt;width:8.1500000000000004pt;height:6.25pt;z-index:-1887438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6831330</wp:posOffset>
              </wp:positionH>
              <wp:positionV relativeFrom="page">
                <wp:posOffset>10500995</wp:posOffset>
              </wp:positionV>
              <wp:extent cx="692150" cy="60960"/>
              <wp:wrapNone/>
              <wp:docPr id="222" name="Shape 222"/>
              <a:graphic xmlns:a="http://schemas.openxmlformats.org/drawingml/2006/main">
                <a:graphicData uri="http://schemas.microsoft.com/office/word/2010/wordprocessingShape">
                  <wps:wsp>
                    <wps:cNvSpPr txBox="1"/>
                    <wps:spPr>
                      <a:xfrm>
                        <a:ext cx="69215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www.cnlnfo.a5m.cn</w:t>
                          </w:r>
                        </w:p>
                      </w:txbxContent>
                    </wps:txbx>
                    <wps:bodyPr wrap="none" lIns="0" tIns="0" rIns="0" bIns="0">
                      <a:spAutoFit/>
                    </wps:bodyPr>
                  </wps:wsp>
                </a:graphicData>
              </a:graphic>
            </wp:anchor>
          </w:drawing>
        </mc:Choice>
        <mc:Fallback>
          <w:pict>
            <v:shape id="_x0000_s1248" type="#_x0000_t202" style="position:absolute;margin-left:537.89999999999998pt;margin-top:826.85000000000002pt;width:54.5pt;height:4.7999999999999998pt;z-index:-18874387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www.cnlnfo.a5m.cn</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6727825</wp:posOffset>
              </wp:positionH>
              <wp:positionV relativeFrom="page">
                <wp:posOffset>9961245</wp:posOffset>
              </wp:positionV>
              <wp:extent cx="103505" cy="79375"/>
              <wp:wrapNone/>
              <wp:docPr id="227" name="Shape 2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3" type="#_x0000_t202" style="position:absolute;margin-left:529.75pt;margin-top:784.35000000000002pt;width:8.1500000000000004pt;height:6.25pt;z-index:-18874387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6831330</wp:posOffset>
              </wp:positionH>
              <wp:positionV relativeFrom="page">
                <wp:posOffset>10500995</wp:posOffset>
              </wp:positionV>
              <wp:extent cx="692150" cy="60960"/>
              <wp:wrapNone/>
              <wp:docPr id="229" name="Shape 229"/>
              <a:graphic xmlns:a="http://schemas.openxmlformats.org/drawingml/2006/main">
                <a:graphicData uri="http://schemas.microsoft.com/office/word/2010/wordprocessingShape">
                  <wps:wsp>
                    <wps:cNvSpPr txBox="1"/>
                    <wps:spPr>
                      <a:xfrm>
                        <a:ext cx="69215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www.cnlnfo.a5m.cn</w:t>
                          </w:r>
                        </w:p>
                      </w:txbxContent>
                    </wps:txbx>
                    <wps:bodyPr wrap="none" lIns="0" tIns="0" rIns="0" bIns="0">
                      <a:spAutoFit/>
                    </wps:bodyPr>
                  </wps:wsp>
                </a:graphicData>
              </a:graphic>
            </wp:anchor>
          </w:drawing>
        </mc:Choice>
        <mc:Fallback>
          <w:pict>
            <v:shape id="_x0000_s1255" type="#_x0000_t202" style="position:absolute;margin-left:537.89999999999998pt;margin-top:826.85000000000002pt;width:54.5pt;height:4.7999999999999998pt;z-index:-18874386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www.cnlnfo.a5m.cn</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6727825</wp:posOffset>
              </wp:positionH>
              <wp:positionV relativeFrom="page">
                <wp:posOffset>9961245</wp:posOffset>
              </wp:positionV>
              <wp:extent cx="100330" cy="79375"/>
              <wp:wrapNone/>
              <wp:docPr id="235" name="Shape 23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1" type="#_x0000_t202" style="position:absolute;margin-left:529.75pt;margin-top:784.35000000000002pt;width:7.9000000000000004pt;height:6.25pt;z-index:-1887438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6837680</wp:posOffset>
              </wp:positionH>
              <wp:positionV relativeFrom="page">
                <wp:posOffset>10262870</wp:posOffset>
              </wp:positionV>
              <wp:extent cx="692150" cy="298450"/>
              <wp:wrapNone/>
              <wp:docPr id="237" name="Shape 237"/>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www.cnlnto.ccm.cn</w:t>
                          </w:r>
                        </w:p>
                      </w:txbxContent>
                    </wps:txbx>
                    <wps:bodyPr wrap="none" lIns="0" tIns="0" rIns="0" bIns="0">
                      <a:spAutoFit/>
                    </wps:bodyPr>
                  </wps:wsp>
                </a:graphicData>
              </a:graphic>
            </wp:anchor>
          </w:drawing>
        </mc:Choice>
        <mc:Fallback>
          <w:pict>
            <v:shape id="_x0000_s1263" type="#_x0000_t202" style="position:absolute;margin-left:538.39999999999998pt;margin-top:808.10000000000002pt;width:54.5pt;height:23.5pt;z-index:-18874386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www.cnlnto.ccm.cn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6776085</wp:posOffset>
              </wp:positionH>
              <wp:positionV relativeFrom="page">
                <wp:posOffset>9961245</wp:posOffset>
              </wp:positionV>
              <wp:extent cx="52070" cy="79375"/>
              <wp:wrapNone/>
              <wp:docPr id="18" name="Shape 18"/>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533.54999999999995pt;margin-top:784.35000000000002pt;width:4.0999999999999996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6727825</wp:posOffset>
              </wp:positionH>
              <wp:positionV relativeFrom="page">
                <wp:posOffset>9961245</wp:posOffset>
              </wp:positionV>
              <wp:extent cx="100330" cy="79375"/>
              <wp:wrapNone/>
              <wp:docPr id="242" name="Shape 24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8" type="#_x0000_t202" style="position:absolute;margin-left:529.75pt;margin-top:784.35000000000002pt;width:7.9000000000000004pt;height:6.25pt;z-index:-18874385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6837680</wp:posOffset>
              </wp:positionH>
              <wp:positionV relativeFrom="page">
                <wp:posOffset>10262870</wp:posOffset>
              </wp:positionV>
              <wp:extent cx="692150" cy="298450"/>
              <wp:wrapNone/>
              <wp:docPr id="244" name="Shape 244"/>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www.cnlnto.ccm.cn</w:t>
                          </w:r>
                        </w:p>
                      </w:txbxContent>
                    </wps:txbx>
                    <wps:bodyPr wrap="none" lIns="0" tIns="0" rIns="0" bIns="0">
                      <a:spAutoFit/>
                    </wps:bodyPr>
                  </wps:wsp>
                </a:graphicData>
              </a:graphic>
            </wp:anchor>
          </w:drawing>
        </mc:Choice>
        <mc:Fallback>
          <w:pict>
            <v:shape id="_x0000_s1270" type="#_x0000_t202" style="position:absolute;margin-left:538.39999999999998pt;margin-top:808.10000000000002pt;width:54.5pt;height:23.5pt;z-index:-18874385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www.cnlnto.ccm.cn</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6721475</wp:posOffset>
              </wp:positionH>
              <wp:positionV relativeFrom="page">
                <wp:posOffset>9961245</wp:posOffset>
              </wp:positionV>
              <wp:extent cx="109855" cy="79375"/>
              <wp:wrapNone/>
              <wp:docPr id="249" name="Shape 24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5" type="#_x0000_t202" style="position:absolute;margin-left:529.25pt;margin-top:784.35000000000002pt;width:8.6500000000000004pt;height:6.25pt;z-index:-18874385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6828155</wp:posOffset>
              </wp:positionH>
              <wp:positionV relativeFrom="page">
                <wp:posOffset>10262870</wp:posOffset>
              </wp:positionV>
              <wp:extent cx="694690" cy="295910"/>
              <wp:wrapNone/>
              <wp:docPr id="251" name="Shape 251"/>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277" type="#_x0000_t202" style="position:absolute;margin-left:537.64999999999998pt;margin-top:808.10000000000002pt;width:54.700000000000003pt;height:23.300000000000001pt;z-index:-18874385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6398260</wp:posOffset>
              </wp:positionH>
              <wp:positionV relativeFrom="page">
                <wp:posOffset>9973945</wp:posOffset>
              </wp:positionV>
              <wp:extent cx="97790" cy="79375"/>
              <wp:wrapNone/>
              <wp:docPr id="266" name="Shape 2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2" type="#_x0000_t202" style="position:absolute;margin-left:503.80000000000001pt;margin-top:785.35000000000002pt;width:7.7000000000000002pt;height:6.25pt;z-index:-1887438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6565900</wp:posOffset>
              </wp:positionH>
              <wp:positionV relativeFrom="page">
                <wp:posOffset>10275570</wp:posOffset>
              </wp:positionV>
              <wp:extent cx="548640" cy="149225"/>
              <wp:wrapNone/>
              <wp:docPr id="268" name="Shape 26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94" type="#_x0000_t202" style="position:absolute;margin-left:517.pt;margin-top:809.10000000000002pt;width:43.200000000000003pt;height:11.75pt;z-index:-1887438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10" behindDoc="1" locked="0" layoutInCell="1" allowOverlap="1">
              <wp:simplePos x="0" y="0"/>
              <wp:positionH relativeFrom="page">
                <wp:posOffset>6492875</wp:posOffset>
              </wp:positionH>
              <wp:positionV relativeFrom="page">
                <wp:posOffset>10509885</wp:posOffset>
              </wp:positionV>
              <wp:extent cx="694690" cy="60960"/>
              <wp:wrapNone/>
              <wp:docPr id="270" name="Shape 27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96" type="#_x0000_t202" style="position:absolute;margin-left:511.25pt;margin-top:827.55000000000007pt;width:54.700000000000003pt;height:4.7999999999999998pt;z-index:-1887438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6398260</wp:posOffset>
              </wp:positionH>
              <wp:positionV relativeFrom="page">
                <wp:posOffset>9973945</wp:posOffset>
              </wp:positionV>
              <wp:extent cx="97790" cy="79375"/>
              <wp:wrapNone/>
              <wp:docPr id="275" name="Shape 2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1" type="#_x0000_t202" style="position:absolute;margin-left:503.80000000000001pt;margin-top:785.35000000000002pt;width:7.7000000000000002pt;height:6.25pt;z-index:-1887438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6" behindDoc="1" locked="0" layoutInCell="1" allowOverlap="1">
              <wp:simplePos x="0" y="0"/>
              <wp:positionH relativeFrom="page">
                <wp:posOffset>6565900</wp:posOffset>
              </wp:positionH>
              <wp:positionV relativeFrom="page">
                <wp:posOffset>10275570</wp:posOffset>
              </wp:positionV>
              <wp:extent cx="548640" cy="149225"/>
              <wp:wrapNone/>
              <wp:docPr id="277" name="Shape 27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03" type="#_x0000_t202" style="position:absolute;margin-left:517.pt;margin-top:809.10000000000002pt;width:43.200000000000003pt;height:11.75pt;z-index:-1887438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6492875</wp:posOffset>
              </wp:positionH>
              <wp:positionV relativeFrom="page">
                <wp:posOffset>10509885</wp:posOffset>
              </wp:positionV>
              <wp:extent cx="694690" cy="60960"/>
              <wp:wrapNone/>
              <wp:docPr id="279" name="Shape 27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05" type="#_x0000_t202" style="position:absolute;margin-left:511.25pt;margin-top:827.55000000000007pt;width:54.700000000000003pt;height:4.7999999999999998pt;z-index:-1887438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6386195</wp:posOffset>
              </wp:positionH>
              <wp:positionV relativeFrom="page">
                <wp:posOffset>9970770</wp:posOffset>
              </wp:positionV>
              <wp:extent cx="109855" cy="82550"/>
              <wp:wrapNone/>
              <wp:docPr id="284" name="Shape 28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0" type="#_x0000_t202" style="position:absolute;margin-left:502.85000000000002pt;margin-top:785.10000000000002pt;width:8.6500000000000004pt;height:6.5pt;z-index:-1887438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4" behindDoc="1" locked="0" layoutInCell="1" allowOverlap="1">
              <wp:simplePos x="0" y="0"/>
              <wp:positionH relativeFrom="page">
                <wp:posOffset>6565900</wp:posOffset>
              </wp:positionH>
              <wp:positionV relativeFrom="page">
                <wp:posOffset>10272395</wp:posOffset>
              </wp:positionV>
              <wp:extent cx="548640" cy="219710"/>
              <wp:wrapNone/>
              <wp:docPr id="286" name="Shape 28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312" type="#_x0000_t202" style="position:absolute;margin-left:517.pt;margin-top:808.85000000000002pt;width:43.200000000000003pt;height:17.300000000000001pt;z-index:-1887438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6492875</wp:posOffset>
              </wp:positionH>
              <wp:positionV relativeFrom="page">
                <wp:posOffset>10509885</wp:posOffset>
              </wp:positionV>
              <wp:extent cx="694690" cy="60960"/>
              <wp:wrapNone/>
              <wp:docPr id="288" name="Shape 28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14" type="#_x0000_t202" style="position:absolute;margin-left:511.25pt;margin-top:827.55000000000007pt;width:54.700000000000003pt;height:4.7999999999999998pt;z-index:-1887438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6386195</wp:posOffset>
              </wp:positionH>
              <wp:positionV relativeFrom="page">
                <wp:posOffset>9970770</wp:posOffset>
              </wp:positionV>
              <wp:extent cx="109855" cy="82550"/>
              <wp:wrapNone/>
              <wp:docPr id="294" name="Shape 29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0" type="#_x0000_t202" style="position:absolute;margin-left:502.85000000000002pt;margin-top:785.10000000000002pt;width:8.6500000000000004pt;height:6.5pt;z-index:-1887438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6565900</wp:posOffset>
              </wp:positionH>
              <wp:positionV relativeFrom="page">
                <wp:posOffset>10272395</wp:posOffset>
              </wp:positionV>
              <wp:extent cx="548640" cy="219710"/>
              <wp:wrapNone/>
              <wp:docPr id="296" name="Shape 29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322" type="#_x0000_t202" style="position:absolute;margin-left:517.pt;margin-top:808.85000000000002pt;width:43.200000000000003pt;height:17.300000000000001pt;z-index:-1887438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6492875</wp:posOffset>
              </wp:positionH>
              <wp:positionV relativeFrom="page">
                <wp:posOffset>10509885</wp:posOffset>
              </wp:positionV>
              <wp:extent cx="694690" cy="60960"/>
              <wp:wrapNone/>
              <wp:docPr id="298" name="Shape 29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24" type="#_x0000_t202" style="position:absolute;margin-left:511.25pt;margin-top:827.55000000000007pt;width:54.700000000000003pt;height:4.7999999999999998pt;z-index:-1887438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6398260</wp:posOffset>
              </wp:positionH>
              <wp:positionV relativeFrom="page">
                <wp:posOffset>9973945</wp:posOffset>
              </wp:positionV>
              <wp:extent cx="97790" cy="79375"/>
              <wp:wrapNone/>
              <wp:docPr id="303" name="Shape 30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9" type="#_x0000_t202" style="position:absolute;margin-left:503.80000000000001pt;margin-top:785.35000000000002pt;width:7.7000000000000002pt;height:6.25pt;z-index:-1887438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0" behindDoc="1" locked="0" layoutInCell="1" allowOverlap="1">
              <wp:simplePos x="0" y="0"/>
              <wp:positionH relativeFrom="page">
                <wp:posOffset>6565900</wp:posOffset>
              </wp:positionH>
              <wp:positionV relativeFrom="page">
                <wp:posOffset>10275570</wp:posOffset>
              </wp:positionV>
              <wp:extent cx="548640" cy="149225"/>
              <wp:wrapNone/>
              <wp:docPr id="305" name="Shape 30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31" type="#_x0000_t202" style="position:absolute;margin-left:517.pt;margin-top:809.10000000000002pt;width:43.200000000000003pt;height:11.75pt;z-index:-1887438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6492875</wp:posOffset>
              </wp:positionH>
              <wp:positionV relativeFrom="page">
                <wp:posOffset>10509885</wp:posOffset>
              </wp:positionV>
              <wp:extent cx="694690" cy="60960"/>
              <wp:wrapNone/>
              <wp:docPr id="307" name="Shape 30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33" type="#_x0000_t202" style="position:absolute;margin-left:511.25pt;margin-top:827.55000000000007pt;width:54.700000000000003pt;height:4.7999999999999998pt;z-index:-1887438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6386195</wp:posOffset>
              </wp:positionH>
              <wp:positionV relativeFrom="page">
                <wp:posOffset>9970770</wp:posOffset>
              </wp:positionV>
              <wp:extent cx="109855" cy="82550"/>
              <wp:wrapNone/>
              <wp:docPr id="314" name="Shape 31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0" type="#_x0000_t202" style="position:absolute;margin-left:502.85000000000002pt;margin-top:785.10000000000002pt;width:8.6500000000000004pt;height:6.5pt;z-index:-1887438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8" behindDoc="1" locked="0" layoutInCell="1" allowOverlap="1">
              <wp:simplePos x="0" y="0"/>
              <wp:positionH relativeFrom="page">
                <wp:posOffset>6565900</wp:posOffset>
              </wp:positionH>
              <wp:positionV relativeFrom="page">
                <wp:posOffset>10272395</wp:posOffset>
              </wp:positionV>
              <wp:extent cx="548640" cy="219710"/>
              <wp:wrapNone/>
              <wp:docPr id="316" name="Shape 31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342" type="#_x0000_t202" style="position:absolute;margin-left:517.pt;margin-top:808.85000000000002pt;width:43.200000000000003pt;height:17.300000000000001pt;z-index:-1887438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950" behindDoc="1" locked="0" layoutInCell="1" allowOverlap="1">
              <wp:simplePos x="0" y="0"/>
              <wp:positionH relativeFrom="page">
                <wp:posOffset>6492875</wp:posOffset>
              </wp:positionH>
              <wp:positionV relativeFrom="page">
                <wp:posOffset>10509885</wp:posOffset>
              </wp:positionV>
              <wp:extent cx="694690" cy="60960"/>
              <wp:wrapNone/>
              <wp:docPr id="318" name="Shape 31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44" type="#_x0000_t202" style="position:absolute;margin-left:511.25pt;margin-top:827.55000000000007pt;width:54.700000000000003pt;height:4.7999999999999998pt;z-index:-1887438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6386195</wp:posOffset>
              </wp:positionH>
              <wp:positionV relativeFrom="page">
                <wp:posOffset>9970770</wp:posOffset>
              </wp:positionV>
              <wp:extent cx="109855" cy="82550"/>
              <wp:wrapNone/>
              <wp:docPr id="323" name="Shape 32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9" type="#_x0000_t202" style="position:absolute;margin-left:502.85000000000002pt;margin-top:785.10000000000002pt;width:8.6500000000000004pt;height:6.5pt;z-index:-1887437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6" behindDoc="1" locked="0" layoutInCell="1" allowOverlap="1">
              <wp:simplePos x="0" y="0"/>
              <wp:positionH relativeFrom="page">
                <wp:posOffset>6565900</wp:posOffset>
              </wp:positionH>
              <wp:positionV relativeFrom="page">
                <wp:posOffset>10272395</wp:posOffset>
              </wp:positionV>
              <wp:extent cx="548640" cy="219710"/>
              <wp:wrapNone/>
              <wp:docPr id="325" name="Shape 32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351" type="#_x0000_t202" style="position:absolute;margin-left:517.pt;margin-top:808.85000000000002pt;width:43.200000000000003pt;height:17.300000000000001pt;z-index:-1887437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958" behindDoc="1" locked="0" layoutInCell="1" allowOverlap="1">
              <wp:simplePos x="0" y="0"/>
              <wp:positionH relativeFrom="page">
                <wp:posOffset>6492875</wp:posOffset>
              </wp:positionH>
              <wp:positionV relativeFrom="page">
                <wp:posOffset>10509885</wp:posOffset>
              </wp:positionV>
              <wp:extent cx="694690" cy="60960"/>
              <wp:wrapNone/>
              <wp:docPr id="327" name="Shape 32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53" type="#_x0000_t202" style="position:absolute;margin-left:511.25pt;margin-top:827.55000000000007pt;width:54.700000000000003pt;height:4.7999999999999998pt;z-index:-1887437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6398260</wp:posOffset>
              </wp:positionH>
              <wp:positionV relativeFrom="page">
                <wp:posOffset>9973945</wp:posOffset>
              </wp:positionV>
              <wp:extent cx="97790" cy="79375"/>
              <wp:wrapNone/>
              <wp:docPr id="332" name="Shape 3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8" type="#_x0000_t202" style="position:absolute;margin-left:503.80000000000001pt;margin-top:785.35000000000002pt;width:7.7000000000000002pt;height:6.25pt;z-index:-1887437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6565900</wp:posOffset>
              </wp:positionH>
              <wp:positionV relativeFrom="page">
                <wp:posOffset>10275570</wp:posOffset>
              </wp:positionV>
              <wp:extent cx="548640" cy="149225"/>
              <wp:wrapNone/>
              <wp:docPr id="334" name="Shape 33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60" type="#_x0000_t202" style="position:absolute;margin-left:517.pt;margin-top:809.10000000000002pt;width:43.200000000000003pt;height:11.75pt;z-index:-1887437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66" behindDoc="1" locked="0" layoutInCell="1" allowOverlap="1">
              <wp:simplePos x="0" y="0"/>
              <wp:positionH relativeFrom="page">
                <wp:posOffset>6492875</wp:posOffset>
              </wp:positionH>
              <wp:positionV relativeFrom="page">
                <wp:posOffset>10509885</wp:posOffset>
              </wp:positionV>
              <wp:extent cx="694690" cy="60960"/>
              <wp:wrapNone/>
              <wp:docPr id="336" name="Shape 33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62" type="#_x0000_t202" style="position:absolute;margin-left:511.25pt;margin-top:827.55000000000007pt;width:54.700000000000003pt;height:4.7999999999999998pt;z-index:-1887437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6776085</wp:posOffset>
              </wp:positionH>
              <wp:positionV relativeFrom="page">
                <wp:posOffset>9961245</wp:posOffset>
              </wp:positionV>
              <wp:extent cx="52070" cy="79375"/>
              <wp:wrapNone/>
              <wp:docPr id="23" name="Shape 23"/>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33.54999999999995pt;margin-top:784.35000000000002pt;width:4.0999999999999996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6398260</wp:posOffset>
              </wp:positionH>
              <wp:positionV relativeFrom="page">
                <wp:posOffset>9973945</wp:posOffset>
              </wp:positionV>
              <wp:extent cx="97790" cy="79375"/>
              <wp:wrapNone/>
              <wp:docPr id="341" name="Shape 3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7" type="#_x0000_t202" style="position:absolute;margin-left:503.80000000000001pt;margin-top:785.35000000000002pt;width:7.7000000000000002pt;height:6.25pt;z-index:-1887437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2" behindDoc="1" locked="0" layoutInCell="1" allowOverlap="1">
              <wp:simplePos x="0" y="0"/>
              <wp:positionH relativeFrom="page">
                <wp:posOffset>6565900</wp:posOffset>
              </wp:positionH>
              <wp:positionV relativeFrom="page">
                <wp:posOffset>10275570</wp:posOffset>
              </wp:positionV>
              <wp:extent cx="548640" cy="149225"/>
              <wp:wrapNone/>
              <wp:docPr id="343" name="Shape 34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69" type="#_x0000_t202" style="position:absolute;margin-left:517.pt;margin-top:809.10000000000002pt;width:43.200000000000003pt;height:11.75pt;z-index:-1887437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74" behindDoc="1" locked="0" layoutInCell="1" allowOverlap="1">
              <wp:simplePos x="0" y="0"/>
              <wp:positionH relativeFrom="page">
                <wp:posOffset>6492875</wp:posOffset>
              </wp:positionH>
              <wp:positionV relativeFrom="page">
                <wp:posOffset>10509885</wp:posOffset>
              </wp:positionV>
              <wp:extent cx="694690" cy="60960"/>
              <wp:wrapNone/>
              <wp:docPr id="345" name="Shape 34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71" type="#_x0000_t202" style="position:absolute;margin-left:511.25pt;margin-top:827.55000000000007pt;width:54.700000000000003pt;height:4.7999999999999998pt;z-index:-1887437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6714490</wp:posOffset>
              </wp:positionH>
              <wp:positionV relativeFrom="page">
                <wp:posOffset>9958070</wp:posOffset>
              </wp:positionV>
              <wp:extent cx="103505" cy="82550"/>
              <wp:wrapNone/>
              <wp:docPr id="350" name="Shape 350"/>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76" type="#_x0000_t202" style="position:absolute;margin-left:528.70000000000005pt;margin-top:784.10000000000002pt;width:8.1500000000000004pt;height:6.5pt;z-index:-18874377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80" behindDoc="1" locked="0" layoutInCell="1" allowOverlap="1">
              <wp:simplePos x="0" y="0"/>
              <wp:positionH relativeFrom="page">
                <wp:posOffset>6814820</wp:posOffset>
              </wp:positionH>
              <wp:positionV relativeFrom="page">
                <wp:posOffset>10262870</wp:posOffset>
              </wp:positionV>
              <wp:extent cx="694690" cy="295910"/>
              <wp:wrapNone/>
              <wp:docPr id="352" name="Shape 352"/>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378" type="#_x0000_t202" style="position:absolute;margin-left:536.60000000000002pt;margin-top:808.10000000000002pt;width:54.700000000000003pt;height:23.300000000000001pt;z-index:-1887437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6700520</wp:posOffset>
              </wp:positionH>
              <wp:positionV relativeFrom="page">
                <wp:posOffset>9961245</wp:posOffset>
              </wp:positionV>
              <wp:extent cx="103505" cy="79375"/>
              <wp:wrapNone/>
              <wp:docPr id="357" name="Shape 35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83" type="#_x0000_t202" style="position:absolute;margin-left:527.60000000000002pt;margin-top:784.35000000000002pt;width:8.1500000000000004pt;height:6.25pt;z-index:-18874376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6874510</wp:posOffset>
              </wp:positionH>
              <wp:positionV relativeFrom="page">
                <wp:posOffset>10260330</wp:posOffset>
              </wp:positionV>
              <wp:extent cx="548640" cy="219710"/>
              <wp:wrapNone/>
              <wp:docPr id="359" name="Shape 35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385" type="#_x0000_t202" style="position:absolute;margin-left:541.29999999999995pt;margin-top:807.89999999999998pt;width:43.200000000000003pt;height:17.300000000000001pt;z-index:-18874376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988" behindDoc="1" locked="0" layoutInCell="1" allowOverlap="1">
              <wp:simplePos x="0" y="0"/>
              <wp:positionH relativeFrom="page">
                <wp:posOffset>6800850</wp:posOffset>
              </wp:positionH>
              <wp:positionV relativeFrom="page">
                <wp:posOffset>10497820</wp:posOffset>
              </wp:positionV>
              <wp:extent cx="694690" cy="60960"/>
              <wp:wrapNone/>
              <wp:docPr id="361" name="Shape 36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87" type="#_x0000_t202" style="position:absolute;margin-left:535.5pt;margin-top:826.60000000000002pt;width:54.700000000000003pt;height:4.7999999999999998pt;z-index:-1887437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6700520</wp:posOffset>
              </wp:positionH>
              <wp:positionV relativeFrom="page">
                <wp:posOffset>9961245</wp:posOffset>
              </wp:positionV>
              <wp:extent cx="103505" cy="79375"/>
              <wp:wrapNone/>
              <wp:docPr id="366" name="Shape 36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92" type="#_x0000_t202" style="position:absolute;margin-left:527.60000000000002pt;margin-top:784.35000000000002pt;width:8.1500000000000004pt;height:6.25pt;z-index:-18874376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94" behindDoc="1" locked="0" layoutInCell="1" allowOverlap="1">
              <wp:simplePos x="0" y="0"/>
              <wp:positionH relativeFrom="page">
                <wp:posOffset>6874510</wp:posOffset>
              </wp:positionH>
              <wp:positionV relativeFrom="page">
                <wp:posOffset>10260330</wp:posOffset>
              </wp:positionV>
              <wp:extent cx="548640" cy="219710"/>
              <wp:wrapNone/>
              <wp:docPr id="368" name="Shape 36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394" type="#_x0000_t202" style="position:absolute;margin-left:541.29999999999995pt;margin-top:807.89999999999998pt;width:43.200000000000003pt;height:17.300000000000001pt;z-index:-18874375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996" behindDoc="1" locked="0" layoutInCell="1" allowOverlap="1">
              <wp:simplePos x="0" y="0"/>
              <wp:positionH relativeFrom="page">
                <wp:posOffset>6800850</wp:posOffset>
              </wp:positionH>
              <wp:positionV relativeFrom="page">
                <wp:posOffset>10497820</wp:posOffset>
              </wp:positionV>
              <wp:extent cx="694690" cy="60960"/>
              <wp:wrapNone/>
              <wp:docPr id="370" name="Shape 37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96" type="#_x0000_t202" style="position:absolute;margin-left:535.5pt;margin-top:826.60000000000002pt;width:54.700000000000003pt;height:4.7999999999999998pt;z-index:-18874375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6398260</wp:posOffset>
              </wp:positionH>
              <wp:positionV relativeFrom="page">
                <wp:posOffset>9973945</wp:posOffset>
              </wp:positionV>
              <wp:extent cx="97790" cy="79375"/>
              <wp:wrapNone/>
              <wp:docPr id="379" name="Shape 37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5" type="#_x0000_t202" style="position:absolute;margin-left:503.80000000000001pt;margin-top:785.35000000000002pt;width:7.7000000000000002pt;height:6.25pt;z-index:-1887437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2" behindDoc="1" locked="0" layoutInCell="1" allowOverlap="1">
              <wp:simplePos x="0" y="0"/>
              <wp:positionH relativeFrom="page">
                <wp:posOffset>6565900</wp:posOffset>
              </wp:positionH>
              <wp:positionV relativeFrom="page">
                <wp:posOffset>10275570</wp:posOffset>
              </wp:positionV>
              <wp:extent cx="548640" cy="149225"/>
              <wp:wrapNone/>
              <wp:docPr id="381" name="Shape 38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07" type="#_x0000_t202" style="position:absolute;margin-left:517.pt;margin-top:809.10000000000002pt;width:43.200000000000003pt;height:11.75pt;z-index:-1887437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04" behindDoc="1" locked="0" layoutInCell="1" allowOverlap="1">
              <wp:simplePos x="0" y="0"/>
              <wp:positionH relativeFrom="page">
                <wp:posOffset>6492875</wp:posOffset>
              </wp:positionH>
              <wp:positionV relativeFrom="page">
                <wp:posOffset>10509885</wp:posOffset>
              </wp:positionV>
              <wp:extent cx="694690" cy="60960"/>
              <wp:wrapNone/>
              <wp:docPr id="383" name="Shape 38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09" type="#_x0000_t202" style="position:absolute;margin-left:511.25pt;margin-top:827.55000000000007pt;width:54.700000000000003pt;height:4.7999999999999998pt;z-index:-1887437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6398260</wp:posOffset>
              </wp:positionH>
              <wp:positionV relativeFrom="page">
                <wp:posOffset>9973945</wp:posOffset>
              </wp:positionV>
              <wp:extent cx="97790" cy="79375"/>
              <wp:wrapNone/>
              <wp:docPr id="388" name="Shape 3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4" type="#_x0000_t202" style="position:absolute;margin-left:503.80000000000001pt;margin-top:785.35000000000002pt;width:7.7000000000000002pt;height:6.25pt;z-index:-1887437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0" behindDoc="1" locked="0" layoutInCell="1" allowOverlap="1">
              <wp:simplePos x="0" y="0"/>
              <wp:positionH relativeFrom="page">
                <wp:posOffset>6565900</wp:posOffset>
              </wp:positionH>
              <wp:positionV relativeFrom="page">
                <wp:posOffset>10275570</wp:posOffset>
              </wp:positionV>
              <wp:extent cx="548640" cy="149225"/>
              <wp:wrapNone/>
              <wp:docPr id="390" name="Shape 39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16" type="#_x0000_t202" style="position:absolute;margin-left:517.pt;margin-top:809.10000000000002pt;width:43.200000000000003pt;height:11.75pt;z-index:-1887437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12" behindDoc="1" locked="0" layoutInCell="1" allowOverlap="1">
              <wp:simplePos x="0" y="0"/>
              <wp:positionH relativeFrom="page">
                <wp:posOffset>6492875</wp:posOffset>
              </wp:positionH>
              <wp:positionV relativeFrom="page">
                <wp:posOffset>10509885</wp:posOffset>
              </wp:positionV>
              <wp:extent cx="694690" cy="60960"/>
              <wp:wrapNone/>
              <wp:docPr id="392" name="Shape 39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18" type="#_x0000_t202" style="position:absolute;margin-left:511.25pt;margin-top:827.55000000000007pt;width:54.700000000000003pt;height:4.7999999999999998pt;z-index:-1887437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6700520</wp:posOffset>
              </wp:positionH>
              <wp:positionV relativeFrom="page">
                <wp:posOffset>9961245</wp:posOffset>
              </wp:positionV>
              <wp:extent cx="103505" cy="79375"/>
              <wp:wrapNone/>
              <wp:docPr id="403" name="Shape 40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29" type="#_x0000_t202" style="position:absolute;margin-left:527.60000000000002pt;margin-top:784.35000000000002pt;width:8.1500000000000004pt;height:6.25pt;z-index:-1887437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18" behindDoc="1" locked="0" layoutInCell="1" allowOverlap="1">
              <wp:simplePos x="0" y="0"/>
              <wp:positionH relativeFrom="page">
                <wp:posOffset>6874510</wp:posOffset>
              </wp:positionH>
              <wp:positionV relativeFrom="page">
                <wp:posOffset>10260330</wp:posOffset>
              </wp:positionV>
              <wp:extent cx="548640" cy="219710"/>
              <wp:wrapNone/>
              <wp:docPr id="405" name="Shape 40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431" type="#_x0000_t202" style="position:absolute;margin-left:541.29999999999995pt;margin-top:807.89999999999998pt;width:43.200000000000003pt;height:17.300000000000001pt;z-index:-18874373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020" behindDoc="1" locked="0" layoutInCell="1" allowOverlap="1">
              <wp:simplePos x="0" y="0"/>
              <wp:positionH relativeFrom="page">
                <wp:posOffset>6800850</wp:posOffset>
              </wp:positionH>
              <wp:positionV relativeFrom="page">
                <wp:posOffset>10497820</wp:posOffset>
              </wp:positionV>
              <wp:extent cx="694690" cy="60960"/>
              <wp:wrapNone/>
              <wp:docPr id="407" name="Shape 40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33" type="#_x0000_t202" style="position:absolute;margin-left:535.5pt;margin-top:826.60000000000002pt;width:54.700000000000003pt;height:4.7999999999999998pt;z-index:-1887437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6700520</wp:posOffset>
              </wp:positionH>
              <wp:positionV relativeFrom="page">
                <wp:posOffset>9961245</wp:posOffset>
              </wp:positionV>
              <wp:extent cx="103505" cy="79375"/>
              <wp:wrapNone/>
              <wp:docPr id="412" name="Shape 41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38" type="#_x0000_t202" style="position:absolute;margin-left:527.60000000000002pt;margin-top:784.35000000000002pt;width:8.1500000000000004pt;height:6.25pt;z-index:-1887437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26" behindDoc="1" locked="0" layoutInCell="1" allowOverlap="1">
              <wp:simplePos x="0" y="0"/>
              <wp:positionH relativeFrom="page">
                <wp:posOffset>6874510</wp:posOffset>
              </wp:positionH>
              <wp:positionV relativeFrom="page">
                <wp:posOffset>10260330</wp:posOffset>
              </wp:positionV>
              <wp:extent cx="548640" cy="219710"/>
              <wp:wrapNone/>
              <wp:docPr id="414" name="Shape 41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440" type="#_x0000_t202" style="position:absolute;margin-left:541.29999999999995pt;margin-top:807.89999999999998pt;width:43.200000000000003pt;height:17.300000000000001pt;z-index:-18874372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028" behindDoc="1" locked="0" layoutInCell="1" allowOverlap="1">
              <wp:simplePos x="0" y="0"/>
              <wp:positionH relativeFrom="page">
                <wp:posOffset>6800850</wp:posOffset>
              </wp:positionH>
              <wp:positionV relativeFrom="page">
                <wp:posOffset>10497820</wp:posOffset>
              </wp:positionV>
              <wp:extent cx="694690" cy="60960"/>
              <wp:wrapNone/>
              <wp:docPr id="416" name="Shape 41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42" type="#_x0000_t202" style="position:absolute;margin-left:535.5pt;margin-top:826.60000000000002pt;width:54.700000000000003pt;height:4.7999999999999998pt;z-index:-1887437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6776085</wp:posOffset>
              </wp:positionH>
              <wp:positionV relativeFrom="page">
                <wp:posOffset>9961245</wp:posOffset>
              </wp:positionV>
              <wp:extent cx="52070" cy="79375"/>
              <wp:wrapNone/>
              <wp:docPr id="421" name="Shape 421"/>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7" type="#_x0000_t202" style="position:absolute;margin-left:533.54999999999995pt;margin-top:784.35000000000002pt;width:4.0999999999999996pt;height:6.25pt;z-index:-1887437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6776085</wp:posOffset>
              </wp:positionH>
              <wp:positionV relativeFrom="page">
                <wp:posOffset>9961245</wp:posOffset>
              </wp:positionV>
              <wp:extent cx="52070" cy="79375"/>
              <wp:wrapNone/>
              <wp:docPr id="426" name="Shape 426"/>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2" type="#_x0000_t202" style="position:absolute;margin-left:533.54999999999995pt;margin-top:784.35000000000002pt;width:4.0999999999999996pt;height:6.25pt;z-index:-1887437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6443980</wp:posOffset>
              </wp:positionH>
              <wp:positionV relativeFrom="page">
                <wp:posOffset>9972040</wp:posOffset>
              </wp:positionV>
              <wp:extent cx="42545" cy="79375"/>
              <wp:wrapNone/>
              <wp:docPr id="34" name="Shape 34"/>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07.40000000000003pt;margin-top:785.20000000000005pt;width:3.3500000000000001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6489700</wp:posOffset>
              </wp:positionH>
              <wp:positionV relativeFrom="page">
                <wp:posOffset>10271125</wp:posOffset>
              </wp:positionV>
              <wp:extent cx="694690" cy="298450"/>
              <wp:wrapNone/>
              <wp:docPr id="36" name="Shape 36"/>
              <a:graphic xmlns:a="http://schemas.openxmlformats.org/drawingml/2006/main">
                <a:graphicData uri="http://schemas.microsoft.com/office/word/2010/wordprocessingShape">
                  <wps:wsp>
                    <wps:cNvSpPr txBox="1"/>
                    <wps:spPr>
                      <a:xfrm>
                        <a:ext cx="694690" cy="2984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wps:txbx>
                    <wps:bodyPr wrap="none" lIns="0" tIns="0" rIns="0" bIns="0">
                      <a:spAutoFit/>
                    </wps:bodyPr>
                  </wps:wsp>
                </a:graphicData>
              </a:graphic>
            </wp:anchor>
          </w:drawing>
        </mc:Choice>
        <mc:Fallback>
          <w:pict>
            <v:shape id="_x0000_s1062" type="#_x0000_t202" style="position:absolute;margin-left:511.pt;margin-top:808.75pt;width:54.700000000000003pt;height:23.5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6737985</wp:posOffset>
              </wp:positionH>
              <wp:positionV relativeFrom="page">
                <wp:posOffset>9988550</wp:posOffset>
              </wp:positionV>
              <wp:extent cx="103505" cy="79375"/>
              <wp:wrapNone/>
              <wp:docPr id="431" name="Shape 43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57" type="#_x0000_t202" style="position:absolute;margin-left:530.54999999999995pt;margin-top:786.5pt;width:8.1500000000000004pt;height:6.25pt;z-index:-1887437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42" behindDoc="1" locked="0" layoutInCell="1" allowOverlap="1">
              <wp:simplePos x="0" y="0"/>
              <wp:positionH relativeFrom="page">
                <wp:posOffset>6911340</wp:posOffset>
              </wp:positionH>
              <wp:positionV relativeFrom="page">
                <wp:posOffset>10293350</wp:posOffset>
              </wp:positionV>
              <wp:extent cx="548640" cy="149225"/>
              <wp:wrapNone/>
              <wp:docPr id="433" name="Shape 43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59" type="#_x0000_t202" style="position:absolute;margin-left:544.20000000000005pt;margin-top:810.5pt;width:43.200000000000003pt;height:11.75pt;z-index:-18874371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44" behindDoc="1" locked="0" layoutInCell="1" allowOverlap="1">
              <wp:simplePos x="0" y="0"/>
              <wp:positionH relativeFrom="page">
                <wp:posOffset>6838315</wp:posOffset>
              </wp:positionH>
              <wp:positionV relativeFrom="page">
                <wp:posOffset>10528300</wp:posOffset>
              </wp:positionV>
              <wp:extent cx="694690" cy="60960"/>
              <wp:wrapNone/>
              <wp:docPr id="435" name="Shape 43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61" type="#_x0000_t202" style="position:absolute;margin-left:538.45000000000005pt;margin-top:829.pt;width:54.700000000000003pt;height:4.7999999999999998pt;z-index:-1887437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6737985</wp:posOffset>
              </wp:positionH>
              <wp:positionV relativeFrom="page">
                <wp:posOffset>9988550</wp:posOffset>
              </wp:positionV>
              <wp:extent cx="103505" cy="79375"/>
              <wp:wrapNone/>
              <wp:docPr id="440" name="Shape 44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66" type="#_x0000_t202" style="position:absolute;margin-left:530.54999999999995pt;margin-top:786.5pt;width:8.1500000000000004pt;height:6.25pt;z-index:-1887437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50" behindDoc="1" locked="0" layoutInCell="1" allowOverlap="1">
              <wp:simplePos x="0" y="0"/>
              <wp:positionH relativeFrom="page">
                <wp:posOffset>6911340</wp:posOffset>
              </wp:positionH>
              <wp:positionV relativeFrom="page">
                <wp:posOffset>10293350</wp:posOffset>
              </wp:positionV>
              <wp:extent cx="548640" cy="149225"/>
              <wp:wrapNone/>
              <wp:docPr id="442" name="Shape 44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68" type="#_x0000_t202" style="position:absolute;margin-left:544.20000000000005pt;margin-top:810.5pt;width:43.200000000000003pt;height:11.75pt;z-index:-18874370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52" behindDoc="1" locked="0" layoutInCell="1" allowOverlap="1">
              <wp:simplePos x="0" y="0"/>
              <wp:positionH relativeFrom="page">
                <wp:posOffset>6838315</wp:posOffset>
              </wp:positionH>
              <wp:positionV relativeFrom="page">
                <wp:posOffset>10528300</wp:posOffset>
              </wp:positionV>
              <wp:extent cx="694690" cy="60960"/>
              <wp:wrapNone/>
              <wp:docPr id="444" name="Shape 44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70" type="#_x0000_t202" style="position:absolute;margin-left:538.45000000000005pt;margin-top:829.pt;width:54.700000000000003pt;height:4.7999999999999998pt;z-index:-1887437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6737985</wp:posOffset>
              </wp:positionH>
              <wp:positionV relativeFrom="page">
                <wp:posOffset>9988550</wp:posOffset>
              </wp:positionV>
              <wp:extent cx="103505" cy="79375"/>
              <wp:wrapNone/>
              <wp:docPr id="449" name="Shape 44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75" type="#_x0000_t202" style="position:absolute;margin-left:530.54999999999995pt;margin-top:786.5pt;width:8.1500000000000004pt;height:6.25pt;z-index:-1887436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58" behindDoc="1" locked="0" layoutInCell="1" allowOverlap="1">
              <wp:simplePos x="0" y="0"/>
              <wp:positionH relativeFrom="page">
                <wp:posOffset>6911340</wp:posOffset>
              </wp:positionH>
              <wp:positionV relativeFrom="page">
                <wp:posOffset>10293350</wp:posOffset>
              </wp:positionV>
              <wp:extent cx="548640" cy="149225"/>
              <wp:wrapNone/>
              <wp:docPr id="451" name="Shape 45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77" type="#_x0000_t202" style="position:absolute;margin-left:544.20000000000005pt;margin-top:810.5pt;width:43.200000000000003pt;height:11.75pt;z-index:-18874369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60" behindDoc="1" locked="0" layoutInCell="1" allowOverlap="1">
              <wp:simplePos x="0" y="0"/>
              <wp:positionH relativeFrom="page">
                <wp:posOffset>6838315</wp:posOffset>
              </wp:positionH>
              <wp:positionV relativeFrom="page">
                <wp:posOffset>10528300</wp:posOffset>
              </wp:positionV>
              <wp:extent cx="694690" cy="60960"/>
              <wp:wrapNone/>
              <wp:docPr id="453" name="Shape 45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79" type="#_x0000_t202" style="position:absolute;margin-left:538.45000000000005pt;margin-top:829.pt;width:54.700000000000003pt;height:4.7999999999999998pt;z-index:-1887436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6737985</wp:posOffset>
              </wp:positionH>
              <wp:positionV relativeFrom="page">
                <wp:posOffset>9988550</wp:posOffset>
              </wp:positionV>
              <wp:extent cx="103505" cy="79375"/>
              <wp:wrapNone/>
              <wp:docPr id="458" name="Shape 45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84" type="#_x0000_t202" style="position:absolute;margin-left:530.54999999999995pt;margin-top:786.5pt;width:8.1500000000000004pt;height:6.25pt;z-index:-1887436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66" behindDoc="1" locked="0" layoutInCell="1" allowOverlap="1">
              <wp:simplePos x="0" y="0"/>
              <wp:positionH relativeFrom="page">
                <wp:posOffset>6911340</wp:posOffset>
              </wp:positionH>
              <wp:positionV relativeFrom="page">
                <wp:posOffset>10293350</wp:posOffset>
              </wp:positionV>
              <wp:extent cx="548640" cy="149225"/>
              <wp:wrapNone/>
              <wp:docPr id="460" name="Shape 46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86" type="#_x0000_t202" style="position:absolute;margin-left:544.20000000000005pt;margin-top:810.5pt;width:43.200000000000003pt;height:11.75pt;z-index:-18874368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68" behindDoc="1" locked="0" layoutInCell="1" allowOverlap="1">
              <wp:simplePos x="0" y="0"/>
              <wp:positionH relativeFrom="page">
                <wp:posOffset>6838315</wp:posOffset>
              </wp:positionH>
              <wp:positionV relativeFrom="page">
                <wp:posOffset>10528300</wp:posOffset>
              </wp:positionV>
              <wp:extent cx="694690" cy="60960"/>
              <wp:wrapNone/>
              <wp:docPr id="462" name="Shape 46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88" type="#_x0000_t202" style="position:absolute;margin-left:538.45000000000005pt;margin-top:829.pt;width:54.700000000000003pt;height:4.7999999999999998pt;z-index:-18874368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6737985</wp:posOffset>
              </wp:positionH>
              <wp:positionV relativeFrom="page">
                <wp:posOffset>9958070</wp:posOffset>
              </wp:positionV>
              <wp:extent cx="103505" cy="79375"/>
              <wp:wrapNone/>
              <wp:docPr id="467" name="Shape 46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93" type="#_x0000_t202" style="position:absolute;margin-left:530.54999999999995pt;margin-top:784.10000000000002pt;width:8.1500000000000004pt;height:6.25pt;z-index:-18874368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74" behindDoc="1" locked="0" layoutInCell="1" allowOverlap="1">
              <wp:simplePos x="0" y="0"/>
              <wp:positionH relativeFrom="page">
                <wp:posOffset>6838315</wp:posOffset>
              </wp:positionH>
              <wp:positionV relativeFrom="page">
                <wp:posOffset>10497820</wp:posOffset>
              </wp:positionV>
              <wp:extent cx="694690" cy="60960"/>
              <wp:wrapNone/>
              <wp:docPr id="469" name="Shape 46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495" type="#_x0000_t202" style="position:absolute;margin-left:538.45000000000005pt;margin-top:826.60000000000002pt;width:54.700000000000003pt;height:4.7999999999999998pt;z-index:-18874367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6398260</wp:posOffset>
              </wp:positionH>
              <wp:positionV relativeFrom="page">
                <wp:posOffset>9958070</wp:posOffset>
              </wp:positionV>
              <wp:extent cx="94615" cy="79375"/>
              <wp:wrapNone/>
              <wp:docPr id="474" name="Shape 47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0" type="#_x0000_t202" style="position:absolute;margin-left:503.80000000000001pt;margin-top:784.10000000000002pt;width:7.4500000000000002pt;height:6.25pt;z-index:-1887436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0" behindDoc="1" locked="0" layoutInCell="1" allowOverlap="1">
              <wp:simplePos x="0" y="0"/>
              <wp:positionH relativeFrom="page">
                <wp:posOffset>6492875</wp:posOffset>
              </wp:positionH>
              <wp:positionV relativeFrom="page">
                <wp:posOffset>10497820</wp:posOffset>
              </wp:positionV>
              <wp:extent cx="694690" cy="60960"/>
              <wp:wrapNone/>
              <wp:docPr id="476" name="Shape 47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02" type="#_x0000_t202" style="position:absolute;margin-left:511.25pt;margin-top:826.60000000000002pt;width:54.700000000000003pt;height:4.7999999999999998pt;z-index:-1887436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6398260</wp:posOffset>
              </wp:positionH>
              <wp:positionV relativeFrom="page">
                <wp:posOffset>9958070</wp:posOffset>
              </wp:positionV>
              <wp:extent cx="94615" cy="79375"/>
              <wp:wrapNone/>
              <wp:docPr id="481" name="Shape 48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7" type="#_x0000_t202" style="position:absolute;margin-left:503.80000000000001pt;margin-top:784.10000000000002pt;width:7.4500000000000002pt;height:6.25pt;z-index:-1887436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6" behindDoc="1" locked="0" layoutInCell="1" allowOverlap="1">
              <wp:simplePos x="0" y="0"/>
              <wp:positionH relativeFrom="page">
                <wp:posOffset>6492875</wp:posOffset>
              </wp:positionH>
              <wp:positionV relativeFrom="page">
                <wp:posOffset>10497820</wp:posOffset>
              </wp:positionV>
              <wp:extent cx="694690" cy="60960"/>
              <wp:wrapNone/>
              <wp:docPr id="483" name="Shape 48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09" type="#_x0000_t202" style="position:absolute;margin-left:511.25pt;margin-top:826.60000000000002pt;width:54.700000000000003pt;height:4.7999999999999998pt;z-index:-1887436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6737985</wp:posOffset>
              </wp:positionH>
              <wp:positionV relativeFrom="page">
                <wp:posOffset>9988550</wp:posOffset>
              </wp:positionV>
              <wp:extent cx="103505" cy="79375"/>
              <wp:wrapNone/>
              <wp:docPr id="488" name="Shape 48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14" type="#_x0000_t202" style="position:absolute;margin-left:530.54999999999995pt;margin-top:786.5pt;width:8.1500000000000004pt;height:6.25pt;z-index:-18874366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92" behindDoc="1" locked="0" layoutInCell="1" allowOverlap="1">
              <wp:simplePos x="0" y="0"/>
              <wp:positionH relativeFrom="page">
                <wp:posOffset>6911340</wp:posOffset>
              </wp:positionH>
              <wp:positionV relativeFrom="page">
                <wp:posOffset>10293350</wp:posOffset>
              </wp:positionV>
              <wp:extent cx="548640" cy="149225"/>
              <wp:wrapNone/>
              <wp:docPr id="490" name="Shape 49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16" type="#_x0000_t202" style="position:absolute;margin-left:544.20000000000005pt;margin-top:810.5pt;width:43.200000000000003pt;height:11.75pt;z-index:-18874366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94" behindDoc="1" locked="0" layoutInCell="1" allowOverlap="1">
              <wp:simplePos x="0" y="0"/>
              <wp:positionH relativeFrom="page">
                <wp:posOffset>6838315</wp:posOffset>
              </wp:positionH>
              <wp:positionV relativeFrom="page">
                <wp:posOffset>10528300</wp:posOffset>
              </wp:positionV>
              <wp:extent cx="694690" cy="60960"/>
              <wp:wrapNone/>
              <wp:docPr id="492" name="Shape 49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18" type="#_x0000_t202" style="position:absolute;margin-left:538.45000000000005pt;margin-top:829.pt;width:54.700000000000003pt;height:4.7999999999999998pt;z-index:-18874365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6737985</wp:posOffset>
              </wp:positionH>
              <wp:positionV relativeFrom="page">
                <wp:posOffset>9988550</wp:posOffset>
              </wp:positionV>
              <wp:extent cx="103505" cy="79375"/>
              <wp:wrapNone/>
              <wp:docPr id="497" name="Shape 49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23" type="#_x0000_t202" style="position:absolute;margin-left:530.54999999999995pt;margin-top:786.5pt;width:8.1500000000000004pt;height:6.25pt;z-index:-18874365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00" behindDoc="1" locked="0" layoutInCell="1" allowOverlap="1">
              <wp:simplePos x="0" y="0"/>
              <wp:positionH relativeFrom="page">
                <wp:posOffset>6911340</wp:posOffset>
              </wp:positionH>
              <wp:positionV relativeFrom="page">
                <wp:posOffset>10293350</wp:posOffset>
              </wp:positionV>
              <wp:extent cx="548640" cy="149225"/>
              <wp:wrapNone/>
              <wp:docPr id="499" name="Shape 49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25" type="#_x0000_t202" style="position:absolute;margin-left:544.20000000000005pt;margin-top:810.5pt;width:43.200000000000003pt;height:11.75pt;z-index:-18874365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02" behindDoc="1" locked="0" layoutInCell="1" allowOverlap="1">
              <wp:simplePos x="0" y="0"/>
              <wp:positionH relativeFrom="page">
                <wp:posOffset>6838315</wp:posOffset>
              </wp:positionH>
              <wp:positionV relativeFrom="page">
                <wp:posOffset>10528300</wp:posOffset>
              </wp:positionV>
              <wp:extent cx="694690" cy="60960"/>
              <wp:wrapNone/>
              <wp:docPr id="501" name="Shape 50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27" type="#_x0000_t202" style="position:absolute;margin-left:538.45000000000005pt;margin-top:829.pt;width:54.700000000000003pt;height:4.7999999999999998pt;z-index:-18874365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6776085</wp:posOffset>
              </wp:positionH>
              <wp:positionV relativeFrom="page">
                <wp:posOffset>9961245</wp:posOffset>
              </wp:positionV>
              <wp:extent cx="52070" cy="79375"/>
              <wp:wrapNone/>
              <wp:docPr id="507" name="Shape 507"/>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3" type="#_x0000_t202" style="position:absolute;margin-left:533.54999999999995pt;margin-top:784.35000000000002pt;width:4.0999999999999996pt;height:6.25pt;z-index:-1887436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6440805</wp:posOffset>
              </wp:positionH>
              <wp:positionV relativeFrom="page">
                <wp:posOffset>9972040</wp:posOffset>
              </wp:positionV>
              <wp:extent cx="52070" cy="79375"/>
              <wp:wrapNone/>
              <wp:docPr id="41" name="Shape 41"/>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07.15000000000003pt;margin-top:785.20000000000005pt;width:4.0999999999999996pt;height:6.25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6492875</wp:posOffset>
              </wp:positionH>
              <wp:positionV relativeFrom="page">
                <wp:posOffset>10271125</wp:posOffset>
              </wp:positionV>
              <wp:extent cx="694690" cy="298450"/>
              <wp:wrapNone/>
              <wp:docPr id="43" name="Shape 43"/>
              <a:graphic xmlns:a="http://schemas.openxmlformats.org/drawingml/2006/main">
                <a:graphicData uri="http://schemas.microsoft.com/office/word/2010/wordprocessingShape">
                  <wps:wsp>
                    <wps:cNvSpPr txBox="1"/>
                    <wps:spPr>
                      <a:xfrm>
                        <a:ext cx="694690" cy="2984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www,cninfacom.cn</w:t>
                          </w:r>
                        </w:p>
                      </w:txbxContent>
                    </wps:txbx>
                    <wps:bodyPr wrap="none" lIns="0" tIns="0" rIns="0" bIns="0">
                      <a:spAutoFit/>
                    </wps:bodyPr>
                  </wps:wsp>
                </a:graphicData>
              </a:graphic>
            </wp:anchor>
          </w:drawing>
        </mc:Choice>
        <mc:Fallback>
          <w:pict>
            <v:shape id="_x0000_s1069" type="#_x0000_t202" style="position:absolute;margin-left:511.25pt;margin-top:808.75pt;width:54.700000000000003pt;height:23.5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www,cninfacom.cn</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6776085</wp:posOffset>
              </wp:positionH>
              <wp:positionV relativeFrom="page">
                <wp:posOffset>9961245</wp:posOffset>
              </wp:positionV>
              <wp:extent cx="52070" cy="79375"/>
              <wp:wrapNone/>
              <wp:docPr id="512" name="Shape 512"/>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8" type="#_x0000_t202" style="position:absolute;margin-left:533.54999999999995pt;margin-top:784.35000000000002pt;width:4.0999999999999996pt;height:6.25pt;z-index:-1887436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6737985</wp:posOffset>
              </wp:positionH>
              <wp:positionV relativeFrom="page">
                <wp:posOffset>9988550</wp:posOffset>
              </wp:positionV>
              <wp:extent cx="103505" cy="79375"/>
              <wp:wrapNone/>
              <wp:docPr id="517" name="Shape 51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43" type="#_x0000_t202" style="position:absolute;margin-left:530.54999999999995pt;margin-top:786.5pt;width:8.1500000000000004pt;height:6.25pt;z-index:-18874363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16" behindDoc="1" locked="0" layoutInCell="1" allowOverlap="1">
              <wp:simplePos x="0" y="0"/>
              <wp:positionH relativeFrom="page">
                <wp:posOffset>6911340</wp:posOffset>
              </wp:positionH>
              <wp:positionV relativeFrom="page">
                <wp:posOffset>10293350</wp:posOffset>
              </wp:positionV>
              <wp:extent cx="548640" cy="149225"/>
              <wp:wrapNone/>
              <wp:docPr id="519" name="Shape 51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45" type="#_x0000_t202" style="position:absolute;margin-left:544.20000000000005pt;margin-top:810.5pt;width:43.200000000000003pt;height:11.75pt;z-index:-1887436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18" behindDoc="1" locked="0" layoutInCell="1" allowOverlap="1">
              <wp:simplePos x="0" y="0"/>
              <wp:positionH relativeFrom="page">
                <wp:posOffset>6838315</wp:posOffset>
              </wp:positionH>
              <wp:positionV relativeFrom="page">
                <wp:posOffset>10528300</wp:posOffset>
              </wp:positionV>
              <wp:extent cx="694690" cy="60960"/>
              <wp:wrapNone/>
              <wp:docPr id="521" name="Shape 52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47" type="#_x0000_t202" style="position:absolute;margin-left:538.45000000000005pt;margin-top:829.pt;width:54.700000000000003pt;height:4.7999999999999998pt;z-index:-18874363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6737985</wp:posOffset>
              </wp:positionH>
              <wp:positionV relativeFrom="page">
                <wp:posOffset>9988550</wp:posOffset>
              </wp:positionV>
              <wp:extent cx="103505" cy="79375"/>
              <wp:wrapNone/>
              <wp:docPr id="526" name="Shape 52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52" type="#_x0000_t202" style="position:absolute;margin-left:530.54999999999995pt;margin-top:786.5pt;width:8.1500000000000004pt;height:6.25pt;z-index:-18874363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24" behindDoc="1" locked="0" layoutInCell="1" allowOverlap="1">
              <wp:simplePos x="0" y="0"/>
              <wp:positionH relativeFrom="page">
                <wp:posOffset>6911340</wp:posOffset>
              </wp:positionH>
              <wp:positionV relativeFrom="page">
                <wp:posOffset>10293350</wp:posOffset>
              </wp:positionV>
              <wp:extent cx="548640" cy="149225"/>
              <wp:wrapNone/>
              <wp:docPr id="528" name="Shape 52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54" type="#_x0000_t202" style="position:absolute;margin-left:544.20000000000005pt;margin-top:810.5pt;width:43.200000000000003pt;height:11.75pt;z-index:-1887436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26" behindDoc="1" locked="0" layoutInCell="1" allowOverlap="1">
              <wp:simplePos x="0" y="0"/>
              <wp:positionH relativeFrom="page">
                <wp:posOffset>6838315</wp:posOffset>
              </wp:positionH>
              <wp:positionV relativeFrom="page">
                <wp:posOffset>10528300</wp:posOffset>
              </wp:positionV>
              <wp:extent cx="694690" cy="60960"/>
              <wp:wrapNone/>
              <wp:docPr id="530" name="Shape 53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56" type="#_x0000_t202" style="position:absolute;margin-left:538.45000000000005pt;margin-top:829.pt;width:54.700000000000003pt;height:4.7999999999999998pt;z-index:-18874362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6673215</wp:posOffset>
              </wp:positionH>
              <wp:positionV relativeFrom="page">
                <wp:posOffset>9961245</wp:posOffset>
              </wp:positionV>
              <wp:extent cx="146050" cy="79375"/>
              <wp:wrapNone/>
              <wp:docPr id="535" name="Shape 53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61" type="#_x0000_t202" style="position:absolute;margin-left:525.45000000000005pt;margin-top:784.35000000000002pt;width:11.5pt;height:6.25pt;z-index:-18874362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32" behindDoc="1" locked="0" layoutInCell="1" allowOverlap="1">
              <wp:simplePos x="0" y="0"/>
              <wp:positionH relativeFrom="page">
                <wp:posOffset>6898640</wp:posOffset>
              </wp:positionH>
              <wp:positionV relativeFrom="page">
                <wp:posOffset>10260330</wp:posOffset>
              </wp:positionV>
              <wp:extent cx="548640" cy="219710"/>
              <wp:wrapNone/>
              <wp:docPr id="537" name="Shape 53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63" type="#_x0000_t202" style="position:absolute;margin-left:543.20000000000005pt;margin-top:807.89999999999998pt;width:43.200000000000003pt;height:17.300000000000001pt;z-index:-1887436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34" behindDoc="1" locked="0" layoutInCell="1" allowOverlap="1">
              <wp:simplePos x="0" y="0"/>
              <wp:positionH relativeFrom="page">
                <wp:posOffset>6825615</wp:posOffset>
              </wp:positionH>
              <wp:positionV relativeFrom="page">
                <wp:posOffset>10497820</wp:posOffset>
              </wp:positionV>
              <wp:extent cx="694690" cy="60960"/>
              <wp:wrapNone/>
              <wp:docPr id="539" name="Shape 53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65" type="#_x0000_t202" style="position:absolute;margin-left:537.45000000000005pt;margin-top:826.60000000000002pt;width:54.700000000000003pt;height:4.7999999999999998pt;z-index:-18874361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6737985</wp:posOffset>
              </wp:positionH>
              <wp:positionV relativeFrom="page">
                <wp:posOffset>9988550</wp:posOffset>
              </wp:positionV>
              <wp:extent cx="103505" cy="79375"/>
              <wp:wrapNone/>
              <wp:docPr id="544" name="Shape 54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70" type="#_x0000_t202" style="position:absolute;margin-left:530.54999999999995pt;margin-top:786.5pt;width:8.1500000000000004pt;height:6.25pt;z-index:-18874361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40" behindDoc="1" locked="0" layoutInCell="1" allowOverlap="1">
              <wp:simplePos x="0" y="0"/>
              <wp:positionH relativeFrom="page">
                <wp:posOffset>6911340</wp:posOffset>
              </wp:positionH>
              <wp:positionV relativeFrom="page">
                <wp:posOffset>10293350</wp:posOffset>
              </wp:positionV>
              <wp:extent cx="548640" cy="149225"/>
              <wp:wrapNone/>
              <wp:docPr id="546" name="Shape 54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72" type="#_x0000_t202" style="position:absolute;margin-left:544.20000000000005pt;margin-top:810.5pt;width:43.200000000000003pt;height:11.75pt;z-index:-1887436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42" behindDoc="1" locked="0" layoutInCell="1" allowOverlap="1">
              <wp:simplePos x="0" y="0"/>
              <wp:positionH relativeFrom="page">
                <wp:posOffset>6838315</wp:posOffset>
              </wp:positionH>
              <wp:positionV relativeFrom="page">
                <wp:posOffset>10528300</wp:posOffset>
              </wp:positionV>
              <wp:extent cx="694690" cy="60960"/>
              <wp:wrapNone/>
              <wp:docPr id="548" name="Shape 54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74" type="#_x0000_t202" style="position:absolute;margin-left:538.45000000000005pt;margin-top:829.pt;width:54.700000000000003pt;height:4.7999999999999998pt;z-index:-18874361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6737985</wp:posOffset>
              </wp:positionH>
              <wp:positionV relativeFrom="page">
                <wp:posOffset>9988550</wp:posOffset>
              </wp:positionV>
              <wp:extent cx="103505" cy="79375"/>
              <wp:wrapNone/>
              <wp:docPr id="553" name="Shape 55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79" type="#_x0000_t202" style="position:absolute;margin-left:530.54999999999995pt;margin-top:786.5pt;width:8.1500000000000004pt;height:6.25pt;z-index:-18874360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48" behindDoc="1" locked="0" layoutInCell="1" allowOverlap="1">
              <wp:simplePos x="0" y="0"/>
              <wp:positionH relativeFrom="page">
                <wp:posOffset>6911340</wp:posOffset>
              </wp:positionH>
              <wp:positionV relativeFrom="page">
                <wp:posOffset>10293350</wp:posOffset>
              </wp:positionV>
              <wp:extent cx="548640" cy="149225"/>
              <wp:wrapNone/>
              <wp:docPr id="555" name="Shape 55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81" type="#_x0000_t202" style="position:absolute;margin-left:544.20000000000005pt;margin-top:810.5pt;width:43.200000000000003pt;height:11.75pt;z-index:-1887436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50" behindDoc="1" locked="0" layoutInCell="1" allowOverlap="1">
              <wp:simplePos x="0" y="0"/>
              <wp:positionH relativeFrom="page">
                <wp:posOffset>6838315</wp:posOffset>
              </wp:positionH>
              <wp:positionV relativeFrom="page">
                <wp:posOffset>10528300</wp:posOffset>
              </wp:positionV>
              <wp:extent cx="694690" cy="60960"/>
              <wp:wrapNone/>
              <wp:docPr id="557" name="Shape 55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83" type="#_x0000_t202" style="position:absolute;margin-left:538.45000000000005pt;margin-top:829.pt;width:54.700000000000003pt;height:4.7999999999999998pt;z-index:-18874360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6737985</wp:posOffset>
              </wp:positionH>
              <wp:positionV relativeFrom="page">
                <wp:posOffset>9988550</wp:posOffset>
              </wp:positionV>
              <wp:extent cx="103505" cy="79375"/>
              <wp:wrapNone/>
              <wp:docPr id="562" name="Shape 56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88" type="#_x0000_t202" style="position:absolute;margin-left:530.54999999999995pt;margin-top:786.5pt;width:8.1500000000000004pt;height:6.25pt;z-index:-18874359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56" behindDoc="1" locked="0" layoutInCell="1" allowOverlap="1">
              <wp:simplePos x="0" y="0"/>
              <wp:positionH relativeFrom="page">
                <wp:posOffset>6911340</wp:posOffset>
              </wp:positionH>
              <wp:positionV relativeFrom="page">
                <wp:posOffset>10293350</wp:posOffset>
              </wp:positionV>
              <wp:extent cx="548640" cy="149225"/>
              <wp:wrapNone/>
              <wp:docPr id="564" name="Shape 56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90" type="#_x0000_t202" style="position:absolute;margin-left:544.20000000000005pt;margin-top:810.5pt;width:43.200000000000003pt;height:11.75pt;z-index:-1887435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6838315</wp:posOffset>
              </wp:positionH>
              <wp:positionV relativeFrom="page">
                <wp:posOffset>10528300</wp:posOffset>
              </wp:positionV>
              <wp:extent cx="694690" cy="60960"/>
              <wp:wrapNone/>
              <wp:docPr id="566" name="Shape 56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92" type="#_x0000_t202" style="position:absolute;margin-left:538.45000000000005pt;margin-top:829.pt;width:54.700000000000003pt;height:4.7999999999999998pt;z-index:-18874359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6661150</wp:posOffset>
              </wp:positionH>
              <wp:positionV relativeFrom="page">
                <wp:posOffset>9961245</wp:posOffset>
              </wp:positionV>
              <wp:extent cx="152400" cy="79375"/>
              <wp:wrapNone/>
              <wp:docPr id="571" name="Shape 57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97" type="#_x0000_t202" style="position:absolute;margin-left:524.5pt;margin-top:784.35000000000002pt;width:12.pt;height:6.25pt;z-index:-18874359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64" behindDoc="1" locked="0" layoutInCell="1" allowOverlap="1">
              <wp:simplePos x="0" y="0"/>
              <wp:positionH relativeFrom="page">
                <wp:posOffset>6813550</wp:posOffset>
              </wp:positionH>
              <wp:positionV relativeFrom="page">
                <wp:posOffset>10497820</wp:posOffset>
              </wp:positionV>
              <wp:extent cx="694690" cy="60960"/>
              <wp:wrapNone/>
              <wp:docPr id="573" name="Shape 57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599" type="#_x0000_t202" style="position:absolute;margin-left:536.5pt;margin-top:826.60000000000002pt;width:54.700000000000003pt;height:4.7999999999999998pt;z-index:-1887435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6776085</wp:posOffset>
              </wp:positionH>
              <wp:positionV relativeFrom="page">
                <wp:posOffset>9961245</wp:posOffset>
              </wp:positionV>
              <wp:extent cx="52070" cy="79375"/>
              <wp:wrapNone/>
              <wp:docPr id="578" name="Shape 578"/>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4" type="#_x0000_t202" style="position:absolute;margin-left:533.54999999999995pt;margin-top:784.35000000000002pt;width:4.0999999999999996pt;height:6.25pt;z-index:-1887435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6776085</wp:posOffset>
              </wp:positionH>
              <wp:positionV relativeFrom="page">
                <wp:posOffset>9961245</wp:posOffset>
              </wp:positionV>
              <wp:extent cx="52070" cy="79375"/>
              <wp:wrapNone/>
              <wp:docPr id="583" name="Shape 583"/>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9" type="#_x0000_t202" style="position:absolute;margin-left:533.54999999999995pt;margin-top:784.35000000000002pt;width:4.0999999999999996pt;height:6.25pt;z-index:-1887435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6398260</wp:posOffset>
              </wp:positionH>
              <wp:positionV relativeFrom="page">
                <wp:posOffset>9958070</wp:posOffset>
              </wp:positionV>
              <wp:extent cx="94615" cy="79375"/>
              <wp:wrapNone/>
              <wp:docPr id="48" name="Shape 4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03.80000000000001pt;margin-top:784.10000000000002pt;width:7.4500000000000002pt;height:6.25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6492875</wp:posOffset>
              </wp:positionH>
              <wp:positionV relativeFrom="page">
                <wp:posOffset>10497820</wp:posOffset>
              </wp:positionV>
              <wp:extent cx="694690" cy="60960"/>
              <wp:wrapNone/>
              <wp:docPr id="50" name="Shape 5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76" type="#_x0000_t202" style="position:absolute;margin-left:511.25pt;margin-top:826.60000000000002pt;width:54.700000000000003pt;height:4.7999999999999998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6644640</wp:posOffset>
              </wp:positionH>
              <wp:positionV relativeFrom="page">
                <wp:posOffset>9961245</wp:posOffset>
              </wp:positionV>
              <wp:extent cx="152400" cy="79375"/>
              <wp:wrapNone/>
              <wp:docPr id="588" name="Shape 58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14" type="#_x0000_t202" style="position:absolute;margin-left:523.20000000000005pt;margin-top:784.35000000000002pt;width:12.pt;height:6.25pt;z-index:-1887435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78" behindDoc="1" locked="0" layoutInCell="1" allowOverlap="1">
              <wp:simplePos x="0" y="0"/>
              <wp:positionH relativeFrom="page">
                <wp:posOffset>6793865</wp:posOffset>
              </wp:positionH>
              <wp:positionV relativeFrom="page">
                <wp:posOffset>10262870</wp:posOffset>
              </wp:positionV>
              <wp:extent cx="694690" cy="295910"/>
              <wp:wrapNone/>
              <wp:docPr id="590" name="Shape 590"/>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616" type="#_x0000_t202" style="position:absolute;margin-left:534.95000000000005pt;margin-top:808.10000000000002pt;width:54.700000000000003pt;height:23.300000000000001pt;z-index:-18874357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6644640</wp:posOffset>
              </wp:positionH>
              <wp:positionV relativeFrom="page">
                <wp:posOffset>9961245</wp:posOffset>
              </wp:positionV>
              <wp:extent cx="152400" cy="79375"/>
              <wp:wrapNone/>
              <wp:docPr id="595" name="Shape 59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21" type="#_x0000_t202" style="position:absolute;margin-left:523.20000000000005pt;margin-top:784.35000000000002pt;width:12.pt;height:6.25pt;z-index:-18874357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6793865</wp:posOffset>
              </wp:positionH>
              <wp:positionV relativeFrom="page">
                <wp:posOffset>10262870</wp:posOffset>
              </wp:positionV>
              <wp:extent cx="694690" cy="295910"/>
              <wp:wrapNone/>
              <wp:docPr id="597" name="Shape 597"/>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623" type="#_x0000_t202" style="position:absolute;margin-left:534.95000000000005pt;margin-top:808.10000000000002pt;width:54.700000000000003pt;height:23.300000000000001pt;z-index:-18874356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6737985</wp:posOffset>
              </wp:positionH>
              <wp:positionV relativeFrom="page">
                <wp:posOffset>9988550</wp:posOffset>
              </wp:positionV>
              <wp:extent cx="103505" cy="79375"/>
              <wp:wrapNone/>
              <wp:docPr id="602" name="Shape 60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28" type="#_x0000_t202" style="position:absolute;margin-left:530.54999999999995pt;margin-top:786.5pt;width:8.1500000000000004pt;height:6.25pt;z-index:-1887435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90" behindDoc="1" locked="0" layoutInCell="1" allowOverlap="1">
              <wp:simplePos x="0" y="0"/>
              <wp:positionH relativeFrom="page">
                <wp:posOffset>6911340</wp:posOffset>
              </wp:positionH>
              <wp:positionV relativeFrom="page">
                <wp:posOffset>10293350</wp:posOffset>
              </wp:positionV>
              <wp:extent cx="548640" cy="149225"/>
              <wp:wrapNone/>
              <wp:docPr id="604" name="Shape 60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30" type="#_x0000_t202" style="position:absolute;margin-left:544.20000000000005pt;margin-top:810.5pt;width:43.200000000000003pt;height:11.75pt;z-index:-18874356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92" behindDoc="1" locked="0" layoutInCell="1" allowOverlap="1">
              <wp:simplePos x="0" y="0"/>
              <wp:positionH relativeFrom="page">
                <wp:posOffset>6838315</wp:posOffset>
              </wp:positionH>
              <wp:positionV relativeFrom="page">
                <wp:posOffset>10528300</wp:posOffset>
              </wp:positionV>
              <wp:extent cx="694690" cy="60960"/>
              <wp:wrapNone/>
              <wp:docPr id="606" name="Shape 60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32" type="#_x0000_t202" style="position:absolute;margin-left:538.45000000000005pt;margin-top:829.pt;width:54.700000000000003pt;height:4.7999999999999998pt;z-index:-18874356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6694805</wp:posOffset>
              </wp:positionH>
              <wp:positionV relativeFrom="page">
                <wp:posOffset>9961245</wp:posOffset>
              </wp:positionV>
              <wp:extent cx="149225" cy="79375"/>
              <wp:wrapNone/>
              <wp:docPr id="611" name="Shape 611"/>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37" type="#_x0000_t202" style="position:absolute;margin-left:527.14999999999998pt;margin-top:784.35000000000002pt;width:11.75pt;height:6.25pt;z-index:-18874355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98" behindDoc="1" locked="0" layoutInCell="1" allowOverlap="1">
              <wp:simplePos x="0" y="0"/>
              <wp:positionH relativeFrom="page">
                <wp:posOffset>6917055</wp:posOffset>
              </wp:positionH>
              <wp:positionV relativeFrom="page">
                <wp:posOffset>10260330</wp:posOffset>
              </wp:positionV>
              <wp:extent cx="548640" cy="219710"/>
              <wp:wrapNone/>
              <wp:docPr id="613" name="Shape 613"/>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39" type="#_x0000_t202" style="position:absolute;margin-left:544.64999999999998pt;margin-top:807.89999999999998pt;width:43.200000000000003pt;height:17.300000000000001pt;z-index:-18874355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00" behindDoc="1" locked="0" layoutInCell="1" allowOverlap="1">
              <wp:simplePos x="0" y="0"/>
              <wp:positionH relativeFrom="page">
                <wp:posOffset>6844030</wp:posOffset>
              </wp:positionH>
              <wp:positionV relativeFrom="page">
                <wp:posOffset>10497820</wp:posOffset>
              </wp:positionV>
              <wp:extent cx="694690" cy="60960"/>
              <wp:wrapNone/>
              <wp:docPr id="615" name="Shape 61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41" type="#_x0000_t202" style="position:absolute;margin-left:538.89999999999998pt;margin-top:826.60000000000002pt;width:54.700000000000003pt;height:4.7999999999999998pt;z-index:-18874355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6694805</wp:posOffset>
              </wp:positionH>
              <wp:positionV relativeFrom="page">
                <wp:posOffset>9961245</wp:posOffset>
              </wp:positionV>
              <wp:extent cx="149225" cy="79375"/>
              <wp:wrapNone/>
              <wp:docPr id="620" name="Shape 620"/>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46" type="#_x0000_t202" style="position:absolute;margin-left:527.14999999999998pt;margin-top:784.35000000000002pt;width:11.75pt;height:6.25pt;z-index:-18874354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06" behindDoc="1" locked="0" layoutInCell="1" allowOverlap="1">
              <wp:simplePos x="0" y="0"/>
              <wp:positionH relativeFrom="page">
                <wp:posOffset>6917055</wp:posOffset>
              </wp:positionH>
              <wp:positionV relativeFrom="page">
                <wp:posOffset>10260330</wp:posOffset>
              </wp:positionV>
              <wp:extent cx="548640" cy="219710"/>
              <wp:wrapNone/>
              <wp:docPr id="622" name="Shape 622"/>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48" type="#_x0000_t202" style="position:absolute;margin-left:544.64999999999998pt;margin-top:807.89999999999998pt;width:43.200000000000003pt;height:17.300000000000001pt;z-index:-18874354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08" behindDoc="1" locked="0" layoutInCell="1" allowOverlap="1">
              <wp:simplePos x="0" y="0"/>
              <wp:positionH relativeFrom="page">
                <wp:posOffset>6844030</wp:posOffset>
              </wp:positionH>
              <wp:positionV relativeFrom="page">
                <wp:posOffset>10497820</wp:posOffset>
              </wp:positionV>
              <wp:extent cx="694690" cy="60960"/>
              <wp:wrapNone/>
              <wp:docPr id="624" name="Shape 62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50" type="#_x0000_t202" style="position:absolute;margin-left:538.89999999999998pt;margin-top:826.60000000000002pt;width:54.700000000000003pt;height:4.7999999999999998pt;z-index:-1887435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6737985</wp:posOffset>
              </wp:positionH>
              <wp:positionV relativeFrom="page">
                <wp:posOffset>9988550</wp:posOffset>
              </wp:positionV>
              <wp:extent cx="103505" cy="79375"/>
              <wp:wrapNone/>
              <wp:docPr id="629" name="Shape 6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55" type="#_x0000_t202" style="position:absolute;margin-left:530.54999999999995pt;margin-top:786.5pt;width:8.1500000000000004pt;height:6.25pt;z-index:-1887435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14" behindDoc="1" locked="0" layoutInCell="1" allowOverlap="1">
              <wp:simplePos x="0" y="0"/>
              <wp:positionH relativeFrom="page">
                <wp:posOffset>6911340</wp:posOffset>
              </wp:positionH>
              <wp:positionV relativeFrom="page">
                <wp:posOffset>10293350</wp:posOffset>
              </wp:positionV>
              <wp:extent cx="548640" cy="149225"/>
              <wp:wrapNone/>
              <wp:docPr id="631" name="Shape 63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57" type="#_x0000_t202" style="position:absolute;margin-left:544.20000000000005pt;margin-top:810.5pt;width:43.200000000000003pt;height:11.75pt;z-index:-18874353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6838315</wp:posOffset>
              </wp:positionH>
              <wp:positionV relativeFrom="page">
                <wp:posOffset>10528300</wp:posOffset>
              </wp:positionV>
              <wp:extent cx="694690" cy="60960"/>
              <wp:wrapNone/>
              <wp:docPr id="633" name="Shape 63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59" type="#_x0000_t202" style="position:absolute;margin-left:538.45000000000005pt;margin-top:829.pt;width:54.700000000000003pt;height:4.7999999999999998pt;z-index:-1887435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6737985</wp:posOffset>
              </wp:positionH>
              <wp:positionV relativeFrom="page">
                <wp:posOffset>9988550</wp:posOffset>
              </wp:positionV>
              <wp:extent cx="103505" cy="79375"/>
              <wp:wrapNone/>
              <wp:docPr id="638" name="Shape 63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64" type="#_x0000_t202" style="position:absolute;margin-left:530.54999999999995pt;margin-top:786.5pt;width:8.1500000000000004pt;height:6.25pt;z-index:-1887435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22" behindDoc="1" locked="0" layoutInCell="1" allowOverlap="1">
              <wp:simplePos x="0" y="0"/>
              <wp:positionH relativeFrom="page">
                <wp:posOffset>6911340</wp:posOffset>
              </wp:positionH>
              <wp:positionV relativeFrom="page">
                <wp:posOffset>10293350</wp:posOffset>
              </wp:positionV>
              <wp:extent cx="548640" cy="149225"/>
              <wp:wrapNone/>
              <wp:docPr id="640" name="Shape 64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66" type="#_x0000_t202" style="position:absolute;margin-left:544.20000000000005pt;margin-top:810.5pt;width:43.200000000000003pt;height:11.75pt;z-index:-18874353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24" behindDoc="1" locked="0" layoutInCell="1" allowOverlap="1">
              <wp:simplePos x="0" y="0"/>
              <wp:positionH relativeFrom="page">
                <wp:posOffset>6838315</wp:posOffset>
              </wp:positionH>
              <wp:positionV relativeFrom="page">
                <wp:posOffset>10528300</wp:posOffset>
              </wp:positionV>
              <wp:extent cx="694690" cy="60960"/>
              <wp:wrapNone/>
              <wp:docPr id="642" name="Shape 64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68" type="#_x0000_t202" style="position:absolute;margin-left:538.45000000000005pt;margin-top:829.pt;width:54.700000000000003pt;height:4.7999999999999998pt;z-index:-1887435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6696075</wp:posOffset>
              </wp:positionH>
              <wp:positionV relativeFrom="page">
                <wp:posOffset>9961245</wp:posOffset>
              </wp:positionV>
              <wp:extent cx="155575" cy="79375"/>
              <wp:wrapNone/>
              <wp:docPr id="647" name="Shape 6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73" type="#_x0000_t202" style="position:absolute;margin-left:527.25pt;margin-top:784.35000000000002pt;width:12.25pt;height:6.25pt;z-index:-1887435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30" behindDoc="1" locked="0" layoutInCell="1" allowOverlap="1">
              <wp:simplePos x="0" y="0"/>
              <wp:positionH relativeFrom="page">
                <wp:posOffset>6922135</wp:posOffset>
              </wp:positionH>
              <wp:positionV relativeFrom="page">
                <wp:posOffset>10262870</wp:posOffset>
              </wp:positionV>
              <wp:extent cx="548640" cy="216535"/>
              <wp:wrapNone/>
              <wp:docPr id="649" name="Shape 64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75" type="#_x0000_t202" style="position:absolute;margin-left:545.04999999999995pt;margin-top:808.10000000000002pt;width:43.200000000000003pt;height:17.050000000000001pt;z-index:-18874352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32" behindDoc="1" locked="0" layoutInCell="1" allowOverlap="1">
              <wp:simplePos x="0" y="0"/>
              <wp:positionH relativeFrom="page">
                <wp:posOffset>6848475</wp:posOffset>
              </wp:positionH>
              <wp:positionV relativeFrom="page">
                <wp:posOffset>10497820</wp:posOffset>
              </wp:positionV>
              <wp:extent cx="694690" cy="60960"/>
              <wp:wrapNone/>
              <wp:docPr id="651" name="Shape 65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77" type="#_x0000_t202" style="position:absolute;margin-left:539.25pt;margin-top:826.60000000000002pt;width:54.700000000000003pt;height:4.7999999999999998pt;z-index:-1887435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6737985</wp:posOffset>
              </wp:positionH>
              <wp:positionV relativeFrom="page">
                <wp:posOffset>9988550</wp:posOffset>
              </wp:positionV>
              <wp:extent cx="103505" cy="79375"/>
              <wp:wrapNone/>
              <wp:docPr id="657" name="Shape 65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83" type="#_x0000_t202" style="position:absolute;margin-left:530.54999999999995pt;margin-top:786.5pt;width:8.1500000000000004pt;height:6.25pt;z-index:-1887435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38" behindDoc="1" locked="0" layoutInCell="1" allowOverlap="1">
              <wp:simplePos x="0" y="0"/>
              <wp:positionH relativeFrom="page">
                <wp:posOffset>6911340</wp:posOffset>
              </wp:positionH>
              <wp:positionV relativeFrom="page">
                <wp:posOffset>10293350</wp:posOffset>
              </wp:positionV>
              <wp:extent cx="548640" cy="149225"/>
              <wp:wrapNone/>
              <wp:docPr id="659" name="Shape 65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85" type="#_x0000_t202" style="position:absolute;margin-left:544.20000000000005pt;margin-top:810.5pt;width:43.200000000000003pt;height:11.75pt;z-index:-18874351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40" behindDoc="1" locked="0" layoutInCell="1" allowOverlap="1">
              <wp:simplePos x="0" y="0"/>
              <wp:positionH relativeFrom="page">
                <wp:posOffset>6838315</wp:posOffset>
              </wp:positionH>
              <wp:positionV relativeFrom="page">
                <wp:posOffset>10528300</wp:posOffset>
              </wp:positionV>
              <wp:extent cx="694690" cy="60960"/>
              <wp:wrapNone/>
              <wp:docPr id="661" name="Shape 66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87" type="#_x0000_t202" style="position:absolute;margin-left:538.45000000000005pt;margin-top:829.pt;width:54.700000000000003pt;height:4.7999999999999998pt;z-index:-1887435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6737985</wp:posOffset>
              </wp:positionH>
              <wp:positionV relativeFrom="page">
                <wp:posOffset>9988550</wp:posOffset>
              </wp:positionV>
              <wp:extent cx="103505" cy="79375"/>
              <wp:wrapNone/>
              <wp:docPr id="666" name="Shape 66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92" type="#_x0000_t202" style="position:absolute;margin-left:530.54999999999995pt;margin-top:786.5pt;width:8.1500000000000004pt;height:6.25pt;z-index:-1887435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46" behindDoc="1" locked="0" layoutInCell="1" allowOverlap="1">
              <wp:simplePos x="0" y="0"/>
              <wp:positionH relativeFrom="page">
                <wp:posOffset>6911340</wp:posOffset>
              </wp:positionH>
              <wp:positionV relativeFrom="page">
                <wp:posOffset>10293350</wp:posOffset>
              </wp:positionV>
              <wp:extent cx="548640" cy="149225"/>
              <wp:wrapNone/>
              <wp:docPr id="668" name="Shape 66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94" type="#_x0000_t202" style="position:absolute;margin-left:544.20000000000005pt;margin-top:810.5pt;width:43.200000000000003pt;height:11.75pt;z-index:-18874350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48" behindDoc="1" locked="0" layoutInCell="1" allowOverlap="1">
              <wp:simplePos x="0" y="0"/>
              <wp:positionH relativeFrom="page">
                <wp:posOffset>6838315</wp:posOffset>
              </wp:positionH>
              <wp:positionV relativeFrom="page">
                <wp:posOffset>10528300</wp:posOffset>
              </wp:positionV>
              <wp:extent cx="694690" cy="60960"/>
              <wp:wrapNone/>
              <wp:docPr id="670" name="Shape 67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96" type="#_x0000_t202" style="position:absolute;margin-left:538.45000000000005pt;margin-top:829.pt;width:54.700000000000003pt;height:4.7999999999999998pt;z-index:-1887435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6398260</wp:posOffset>
              </wp:positionH>
              <wp:positionV relativeFrom="page">
                <wp:posOffset>9958070</wp:posOffset>
              </wp:positionV>
              <wp:extent cx="94615" cy="79375"/>
              <wp:wrapNone/>
              <wp:docPr id="55" name="Shape 5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03.80000000000001pt;margin-top:784.10000000000002pt;width:7.4500000000000002pt;height:6.25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6492875</wp:posOffset>
              </wp:positionH>
              <wp:positionV relativeFrom="page">
                <wp:posOffset>10497820</wp:posOffset>
              </wp:positionV>
              <wp:extent cx="694690" cy="60960"/>
              <wp:wrapNone/>
              <wp:docPr id="57" name="Shape 5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83" type="#_x0000_t202" style="position:absolute;margin-left:511.25pt;margin-top:826.60000000000002pt;width:54.700000000000003pt;height:4.7999999999999998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6737985</wp:posOffset>
              </wp:positionH>
              <wp:positionV relativeFrom="page">
                <wp:posOffset>9988550</wp:posOffset>
              </wp:positionV>
              <wp:extent cx="103505" cy="79375"/>
              <wp:wrapNone/>
              <wp:docPr id="683" name="Shape 68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09" type="#_x0000_t202" style="position:absolute;margin-left:530.54999999999995pt;margin-top:786.5pt;width:8.1500000000000004pt;height:6.25pt;z-index:-1887435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54" behindDoc="1" locked="0" layoutInCell="1" allowOverlap="1">
              <wp:simplePos x="0" y="0"/>
              <wp:positionH relativeFrom="page">
                <wp:posOffset>6911340</wp:posOffset>
              </wp:positionH>
              <wp:positionV relativeFrom="page">
                <wp:posOffset>10293350</wp:posOffset>
              </wp:positionV>
              <wp:extent cx="548640" cy="149225"/>
              <wp:wrapNone/>
              <wp:docPr id="685" name="Shape 68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11" type="#_x0000_t202" style="position:absolute;margin-left:544.20000000000005pt;margin-top:810.5pt;width:43.200000000000003pt;height:11.75pt;z-index:-18874349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56" behindDoc="1" locked="0" layoutInCell="1" allowOverlap="1">
              <wp:simplePos x="0" y="0"/>
              <wp:positionH relativeFrom="page">
                <wp:posOffset>6838315</wp:posOffset>
              </wp:positionH>
              <wp:positionV relativeFrom="page">
                <wp:posOffset>10528300</wp:posOffset>
              </wp:positionV>
              <wp:extent cx="694690" cy="60960"/>
              <wp:wrapNone/>
              <wp:docPr id="687" name="Shape 68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13" type="#_x0000_t202" style="position:absolute;margin-left:538.45000000000005pt;margin-top:829.pt;width:54.700000000000003pt;height:4.7999999999999998pt;z-index:-1887434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6737985</wp:posOffset>
              </wp:positionH>
              <wp:positionV relativeFrom="page">
                <wp:posOffset>9988550</wp:posOffset>
              </wp:positionV>
              <wp:extent cx="103505" cy="79375"/>
              <wp:wrapNone/>
              <wp:docPr id="692" name="Shape 69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18" type="#_x0000_t202" style="position:absolute;margin-left:530.54999999999995pt;margin-top:786.5pt;width:8.1500000000000004pt;height:6.25pt;z-index:-1887434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62" behindDoc="1" locked="0" layoutInCell="1" allowOverlap="1">
              <wp:simplePos x="0" y="0"/>
              <wp:positionH relativeFrom="page">
                <wp:posOffset>6911340</wp:posOffset>
              </wp:positionH>
              <wp:positionV relativeFrom="page">
                <wp:posOffset>10293350</wp:posOffset>
              </wp:positionV>
              <wp:extent cx="548640" cy="149225"/>
              <wp:wrapNone/>
              <wp:docPr id="694" name="Shape 69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20" type="#_x0000_t202" style="position:absolute;margin-left:544.20000000000005pt;margin-top:810.5pt;width:43.200000000000003pt;height:11.75pt;z-index:-18874349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64" behindDoc="1" locked="0" layoutInCell="1" allowOverlap="1">
              <wp:simplePos x="0" y="0"/>
              <wp:positionH relativeFrom="page">
                <wp:posOffset>6838315</wp:posOffset>
              </wp:positionH>
              <wp:positionV relativeFrom="page">
                <wp:posOffset>10528300</wp:posOffset>
              </wp:positionV>
              <wp:extent cx="694690" cy="60960"/>
              <wp:wrapNone/>
              <wp:docPr id="696" name="Shape 69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22" type="#_x0000_t202" style="position:absolute;margin-left:538.45000000000005pt;margin-top:829.pt;width:54.700000000000003pt;height:4.7999999999999998pt;z-index:-1887434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6668770</wp:posOffset>
              </wp:positionH>
              <wp:positionV relativeFrom="page">
                <wp:posOffset>9961245</wp:posOffset>
              </wp:positionV>
              <wp:extent cx="155575" cy="79375"/>
              <wp:wrapNone/>
              <wp:docPr id="701" name="Shape 70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27" type="#_x0000_t202" style="position:absolute;margin-left:525.10000000000002pt;margin-top:784.35000000000002pt;width:12.25pt;height:6.25pt;z-index:-18874348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70" behindDoc="1" locked="0" layoutInCell="1" allowOverlap="1">
              <wp:simplePos x="0" y="0"/>
              <wp:positionH relativeFrom="page">
                <wp:posOffset>6821170</wp:posOffset>
              </wp:positionH>
              <wp:positionV relativeFrom="page">
                <wp:posOffset>10262870</wp:posOffset>
              </wp:positionV>
              <wp:extent cx="694690" cy="295910"/>
              <wp:wrapNone/>
              <wp:docPr id="703" name="Shape 703"/>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729" type="#_x0000_t202" style="position:absolute;margin-left:537.10000000000002pt;margin-top:808.10000000000002pt;width:54.700000000000003pt;height:23.300000000000001pt;z-index:-18874348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6667500</wp:posOffset>
              </wp:positionH>
              <wp:positionV relativeFrom="page">
                <wp:posOffset>9961245</wp:posOffset>
              </wp:positionV>
              <wp:extent cx="158750" cy="79375"/>
              <wp:wrapNone/>
              <wp:docPr id="744" name="Shape 744"/>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70" type="#_x0000_t202" style="position:absolute;margin-left:525.pt;margin-top:784.35000000000002pt;width:12.5pt;height:6.25pt;z-index:-18874347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76" behindDoc="1" locked="0" layoutInCell="1" allowOverlap="1">
              <wp:simplePos x="0" y="0"/>
              <wp:positionH relativeFrom="page">
                <wp:posOffset>6892925</wp:posOffset>
              </wp:positionH>
              <wp:positionV relativeFrom="page">
                <wp:posOffset>10260330</wp:posOffset>
              </wp:positionV>
              <wp:extent cx="548640" cy="219710"/>
              <wp:wrapNone/>
              <wp:docPr id="746" name="Shape 74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72" type="#_x0000_t202" style="position:absolute;margin-left:542.75pt;margin-top:807.89999999999998pt;width:43.200000000000003pt;height:17.300000000000001pt;z-index:-1887434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78" behindDoc="1" locked="0" layoutInCell="1" allowOverlap="1">
              <wp:simplePos x="0" y="0"/>
              <wp:positionH relativeFrom="page">
                <wp:posOffset>6819900</wp:posOffset>
              </wp:positionH>
              <wp:positionV relativeFrom="page">
                <wp:posOffset>10497820</wp:posOffset>
              </wp:positionV>
              <wp:extent cx="694690" cy="60960"/>
              <wp:wrapNone/>
              <wp:docPr id="748" name="Shape 74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74" type="#_x0000_t202" style="position:absolute;margin-left:537.pt;margin-top:826.60000000000002pt;width:54.700000000000003pt;height:4.7999999999999998pt;z-index:-18874347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6668770</wp:posOffset>
              </wp:positionH>
              <wp:positionV relativeFrom="page">
                <wp:posOffset>9961245</wp:posOffset>
              </wp:positionV>
              <wp:extent cx="155575" cy="79375"/>
              <wp:wrapNone/>
              <wp:docPr id="753" name="Shape 7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79" type="#_x0000_t202" style="position:absolute;margin-left:525.10000000000002pt;margin-top:784.35000000000002pt;width:12.25pt;height:6.25pt;z-index:-18874347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84" behindDoc="1" locked="0" layoutInCell="1" allowOverlap="1">
              <wp:simplePos x="0" y="0"/>
              <wp:positionH relativeFrom="page">
                <wp:posOffset>6821170</wp:posOffset>
              </wp:positionH>
              <wp:positionV relativeFrom="page">
                <wp:posOffset>10262870</wp:posOffset>
              </wp:positionV>
              <wp:extent cx="694690" cy="295910"/>
              <wp:wrapNone/>
              <wp:docPr id="755" name="Shape 755"/>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781" type="#_x0000_t202" style="position:absolute;margin-left:537.10000000000002pt;margin-top:808.10000000000002pt;width:54.700000000000003pt;height:23.300000000000001pt;z-index:-18874346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6667500</wp:posOffset>
              </wp:positionH>
              <wp:positionV relativeFrom="page">
                <wp:posOffset>9961245</wp:posOffset>
              </wp:positionV>
              <wp:extent cx="155575" cy="79375"/>
              <wp:wrapNone/>
              <wp:docPr id="760" name="Shape 7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86" type="#_x0000_t202" style="position:absolute;margin-left:525.pt;margin-top:784.35000000000002pt;width:12.25pt;height:6.25pt;z-index:-1887434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90" behindDoc="1" locked="0" layoutInCell="1" allowOverlap="1">
              <wp:simplePos x="0" y="0"/>
              <wp:positionH relativeFrom="page">
                <wp:posOffset>6892925</wp:posOffset>
              </wp:positionH>
              <wp:positionV relativeFrom="page">
                <wp:posOffset>10262870</wp:posOffset>
              </wp:positionV>
              <wp:extent cx="548640" cy="216535"/>
              <wp:wrapNone/>
              <wp:docPr id="762" name="Shape 76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88" type="#_x0000_t202" style="position:absolute;margin-left:542.75pt;margin-top:808.10000000000002pt;width:43.200000000000003pt;height:17.050000000000001pt;z-index:-18874346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92" behindDoc="1" locked="0" layoutInCell="1" allowOverlap="1">
              <wp:simplePos x="0" y="0"/>
              <wp:positionH relativeFrom="page">
                <wp:posOffset>6819900</wp:posOffset>
              </wp:positionH>
              <wp:positionV relativeFrom="page">
                <wp:posOffset>10497820</wp:posOffset>
              </wp:positionV>
              <wp:extent cx="694690" cy="60960"/>
              <wp:wrapNone/>
              <wp:docPr id="764" name="Shape 76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90" type="#_x0000_t202" style="position:absolute;margin-left:537.pt;margin-top:826.60000000000002pt;width:54.700000000000003pt;height:4.7999999999999998pt;z-index:-18874346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6737985</wp:posOffset>
              </wp:positionH>
              <wp:positionV relativeFrom="page">
                <wp:posOffset>9988550</wp:posOffset>
              </wp:positionV>
              <wp:extent cx="103505" cy="79375"/>
              <wp:wrapNone/>
              <wp:docPr id="769" name="Shape 7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95" type="#_x0000_t202" style="position:absolute;margin-left:530.54999999999995pt;margin-top:786.5pt;width:8.1500000000000004pt;height:6.25pt;z-index:-18874345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98" behindDoc="1" locked="0" layoutInCell="1" allowOverlap="1">
              <wp:simplePos x="0" y="0"/>
              <wp:positionH relativeFrom="page">
                <wp:posOffset>6911340</wp:posOffset>
              </wp:positionH>
              <wp:positionV relativeFrom="page">
                <wp:posOffset>10293350</wp:posOffset>
              </wp:positionV>
              <wp:extent cx="548640" cy="149225"/>
              <wp:wrapNone/>
              <wp:docPr id="771" name="Shape 77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97" type="#_x0000_t202" style="position:absolute;margin-left:544.20000000000005pt;margin-top:810.5pt;width:43.200000000000003pt;height:11.75pt;z-index:-18874345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00" behindDoc="1" locked="0" layoutInCell="1" allowOverlap="1">
              <wp:simplePos x="0" y="0"/>
              <wp:positionH relativeFrom="page">
                <wp:posOffset>6838315</wp:posOffset>
              </wp:positionH>
              <wp:positionV relativeFrom="page">
                <wp:posOffset>10528300</wp:posOffset>
              </wp:positionV>
              <wp:extent cx="694690" cy="60960"/>
              <wp:wrapNone/>
              <wp:docPr id="773" name="Shape 77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99" type="#_x0000_t202" style="position:absolute;margin-left:538.45000000000005pt;margin-top:829.pt;width:54.700000000000003pt;height:4.7999999999999998pt;z-index:-18874345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6737985</wp:posOffset>
              </wp:positionH>
              <wp:positionV relativeFrom="page">
                <wp:posOffset>9988550</wp:posOffset>
              </wp:positionV>
              <wp:extent cx="103505" cy="79375"/>
              <wp:wrapNone/>
              <wp:docPr id="778" name="Shape 77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04" type="#_x0000_t202" style="position:absolute;margin-left:530.54999999999995pt;margin-top:786.5pt;width:8.1500000000000004pt;height:6.25pt;z-index:-18874344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06" behindDoc="1" locked="0" layoutInCell="1" allowOverlap="1">
              <wp:simplePos x="0" y="0"/>
              <wp:positionH relativeFrom="page">
                <wp:posOffset>6911340</wp:posOffset>
              </wp:positionH>
              <wp:positionV relativeFrom="page">
                <wp:posOffset>10293350</wp:posOffset>
              </wp:positionV>
              <wp:extent cx="548640" cy="149225"/>
              <wp:wrapNone/>
              <wp:docPr id="780" name="Shape 78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06" type="#_x0000_t202" style="position:absolute;margin-left:544.20000000000005pt;margin-top:810.5pt;width:43.200000000000003pt;height:11.75pt;z-index:-18874344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08" behindDoc="1" locked="0" layoutInCell="1" allowOverlap="1">
              <wp:simplePos x="0" y="0"/>
              <wp:positionH relativeFrom="page">
                <wp:posOffset>6838315</wp:posOffset>
              </wp:positionH>
              <wp:positionV relativeFrom="page">
                <wp:posOffset>10528300</wp:posOffset>
              </wp:positionV>
              <wp:extent cx="694690" cy="60960"/>
              <wp:wrapNone/>
              <wp:docPr id="782" name="Shape 78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08" type="#_x0000_t202" style="position:absolute;margin-left:538.45000000000005pt;margin-top:829.pt;width:54.700000000000003pt;height:4.7999999999999998pt;z-index:-1887434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6737985</wp:posOffset>
              </wp:positionH>
              <wp:positionV relativeFrom="page">
                <wp:posOffset>9988550</wp:posOffset>
              </wp:positionV>
              <wp:extent cx="103505" cy="79375"/>
              <wp:wrapNone/>
              <wp:docPr id="787" name="Shape 78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13" type="#_x0000_t202" style="position:absolute;margin-left:530.54999999999995pt;margin-top:786.5pt;width:8.1500000000000004pt;height:6.25pt;z-index:-1887434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14" behindDoc="1" locked="0" layoutInCell="1" allowOverlap="1">
              <wp:simplePos x="0" y="0"/>
              <wp:positionH relativeFrom="page">
                <wp:posOffset>6911340</wp:posOffset>
              </wp:positionH>
              <wp:positionV relativeFrom="page">
                <wp:posOffset>10293350</wp:posOffset>
              </wp:positionV>
              <wp:extent cx="548640" cy="149225"/>
              <wp:wrapNone/>
              <wp:docPr id="789" name="Shape 78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15" type="#_x0000_t202" style="position:absolute;margin-left:544.20000000000005pt;margin-top:810.5pt;width:43.200000000000003pt;height:11.75pt;z-index:-18874343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16" behindDoc="1" locked="0" layoutInCell="1" allowOverlap="1">
              <wp:simplePos x="0" y="0"/>
              <wp:positionH relativeFrom="page">
                <wp:posOffset>6838315</wp:posOffset>
              </wp:positionH>
              <wp:positionV relativeFrom="page">
                <wp:posOffset>10528300</wp:posOffset>
              </wp:positionV>
              <wp:extent cx="694690" cy="60960"/>
              <wp:wrapNone/>
              <wp:docPr id="791" name="Shape 79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17" type="#_x0000_t202" style="position:absolute;margin-left:538.45000000000005pt;margin-top:829.pt;width:54.700000000000003pt;height:4.7999999999999998pt;z-index:-1887434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6667500</wp:posOffset>
              </wp:positionH>
              <wp:positionV relativeFrom="page">
                <wp:posOffset>9961245</wp:posOffset>
              </wp:positionV>
              <wp:extent cx="158750" cy="79375"/>
              <wp:wrapNone/>
              <wp:docPr id="796" name="Shape 79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22" type="#_x0000_t202" style="position:absolute;margin-left:525.pt;margin-top:784.35000000000002pt;width:12.5pt;height:6.25pt;z-index:-1887434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22" behindDoc="1" locked="0" layoutInCell="1" allowOverlap="1">
              <wp:simplePos x="0" y="0"/>
              <wp:positionH relativeFrom="page">
                <wp:posOffset>6892925</wp:posOffset>
              </wp:positionH>
              <wp:positionV relativeFrom="page">
                <wp:posOffset>10260330</wp:posOffset>
              </wp:positionV>
              <wp:extent cx="548640" cy="219710"/>
              <wp:wrapNone/>
              <wp:docPr id="798" name="Shape 79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24" type="#_x0000_t202" style="position:absolute;margin-left:542.75pt;margin-top:807.89999999999998pt;width:43.200000000000003pt;height:17.300000000000001pt;z-index:-18874343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24" behindDoc="1" locked="0" layoutInCell="1" allowOverlap="1">
              <wp:simplePos x="0" y="0"/>
              <wp:positionH relativeFrom="page">
                <wp:posOffset>6819900</wp:posOffset>
              </wp:positionH>
              <wp:positionV relativeFrom="page">
                <wp:posOffset>10497820</wp:posOffset>
              </wp:positionV>
              <wp:extent cx="694690" cy="60960"/>
              <wp:wrapNone/>
              <wp:docPr id="800" name="Shape 80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26" type="#_x0000_t202" style="position:absolute;margin-left:537.pt;margin-top:826.60000000000002pt;width:54.700000000000003pt;height:4.7999999999999998pt;z-index:-1887434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6398260</wp:posOffset>
              </wp:positionH>
              <wp:positionV relativeFrom="page">
                <wp:posOffset>9973945</wp:posOffset>
              </wp:positionV>
              <wp:extent cx="97790" cy="79375"/>
              <wp:wrapNone/>
              <wp:docPr id="62" name="Shape 6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03.80000000000001pt;margin-top:785.35000000000002pt;width:7.7000000000000002pt;height:6.25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6565900</wp:posOffset>
              </wp:positionH>
              <wp:positionV relativeFrom="page">
                <wp:posOffset>10275570</wp:posOffset>
              </wp:positionV>
              <wp:extent cx="548640" cy="149225"/>
              <wp:wrapNone/>
              <wp:docPr id="64" name="Shape 6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090" type="#_x0000_t202" style="position:absolute;margin-left:517.pt;margin-top:809.10000000000002pt;width:43.200000000000003pt;height:11.75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6492875</wp:posOffset>
              </wp:positionH>
              <wp:positionV relativeFrom="page">
                <wp:posOffset>10509885</wp:posOffset>
              </wp:positionV>
              <wp:extent cx="694690" cy="60960"/>
              <wp:wrapNone/>
              <wp:docPr id="66" name="Shape 6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92" type="#_x0000_t202" style="position:absolute;margin-left:511.25pt;margin-top:827.55000000000007pt;width:54.700000000000003pt;height:4.7999999999999998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6737985</wp:posOffset>
              </wp:positionH>
              <wp:positionV relativeFrom="page">
                <wp:posOffset>9988550</wp:posOffset>
              </wp:positionV>
              <wp:extent cx="103505" cy="79375"/>
              <wp:wrapNone/>
              <wp:docPr id="805" name="Shape 80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31" type="#_x0000_t202" style="position:absolute;margin-left:530.54999999999995pt;margin-top:786.5pt;width:8.1500000000000004pt;height:6.25pt;z-index:-1887434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30" behindDoc="1" locked="0" layoutInCell="1" allowOverlap="1">
              <wp:simplePos x="0" y="0"/>
              <wp:positionH relativeFrom="page">
                <wp:posOffset>6911340</wp:posOffset>
              </wp:positionH>
              <wp:positionV relativeFrom="page">
                <wp:posOffset>10293350</wp:posOffset>
              </wp:positionV>
              <wp:extent cx="548640" cy="149225"/>
              <wp:wrapNone/>
              <wp:docPr id="807" name="Shape 80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33" type="#_x0000_t202" style="position:absolute;margin-left:544.20000000000005pt;margin-top:810.5pt;width:43.200000000000003pt;height:11.75pt;z-index:-18874342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32" behindDoc="1" locked="0" layoutInCell="1" allowOverlap="1">
              <wp:simplePos x="0" y="0"/>
              <wp:positionH relativeFrom="page">
                <wp:posOffset>6838315</wp:posOffset>
              </wp:positionH>
              <wp:positionV relativeFrom="page">
                <wp:posOffset>10528300</wp:posOffset>
              </wp:positionV>
              <wp:extent cx="694690" cy="60960"/>
              <wp:wrapNone/>
              <wp:docPr id="809" name="Shape 80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35" type="#_x0000_t202" style="position:absolute;margin-left:538.45000000000005pt;margin-top:829.pt;width:54.700000000000003pt;height:4.7999999999999998pt;z-index:-1887434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6737985</wp:posOffset>
              </wp:positionH>
              <wp:positionV relativeFrom="page">
                <wp:posOffset>9988550</wp:posOffset>
              </wp:positionV>
              <wp:extent cx="103505" cy="79375"/>
              <wp:wrapNone/>
              <wp:docPr id="814" name="Shape 8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40" type="#_x0000_t202" style="position:absolute;margin-left:530.54999999999995pt;margin-top:786.5pt;width:8.1500000000000004pt;height:6.25pt;z-index:-1887434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38" behindDoc="1" locked="0" layoutInCell="1" allowOverlap="1">
              <wp:simplePos x="0" y="0"/>
              <wp:positionH relativeFrom="page">
                <wp:posOffset>6911340</wp:posOffset>
              </wp:positionH>
              <wp:positionV relativeFrom="page">
                <wp:posOffset>10293350</wp:posOffset>
              </wp:positionV>
              <wp:extent cx="548640" cy="149225"/>
              <wp:wrapNone/>
              <wp:docPr id="816" name="Shape 81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42" type="#_x0000_t202" style="position:absolute;margin-left:544.20000000000005pt;margin-top:810.5pt;width:43.200000000000003pt;height:11.75pt;z-index:-18874341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40" behindDoc="1" locked="0" layoutInCell="1" allowOverlap="1">
              <wp:simplePos x="0" y="0"/>
              <wp:positionH relativeFrom="page">
                <wp:posOffset>6838315</wp:posOffset>
              </wp:positionH>
              <wp:positionV relativeFrom="page">
                <wp:posOffset>10528300</wp:posOffset>
              </wp:positionV>
              <wp:extent cx="694690" cy="60960"/>
              <wp:wrapNone/>
              <wp:docPr id="818" name="Shape 81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44" type="#_x0000_t202" style="position:absolute;margin-left:538.45000000000005pt;margin-top:829.pt;width:54.700000000000003pt;height:4.7999999999999998pt;z-index:-1887434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6737985</wp:posOffset>
              </wp:positionH>
              <wp:positionV relativeFrom="page">
                <wp:posOffset>9988550</wp:posOffset>
              </wp:positionV>
              <wp:extent cx="103505" cy="79375"/>
              <wp:wrapNone/>
              <wp:docPr id="823" name="Shape 8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49" type="#_x0000_t202" style="position:absolute;margin-left:530.54999999999995pt;margin-top:786.5pt;width:8.1500000000000004pt;height:6.25pt;z-index:-1887434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46" behindDoc="1" locked="0" layoutInCell="1" allowOverlap="1">
              <wp:simplePos x="0" y="0"/>
              <wp:positionH relativeFrom="page">
                <wp:posOffset>6911340</wp:posOffset>
              </wp:positionH>
              <wp:positionV relativeFrom="page">
                <wp:posOffset>10293350</wp:posOffset>
              </wp:positionV>
              <wp:extent cx="548640" cy="149225"/>
              <wp:wrapNone/>
              <wp:docPr id="825" name="Shape 82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51" type="#_x0000_t202" style="position:absolute;margin-left:544.20000000000005pt;margin-top:810.5pt;width:43.200000000000003pt;height:11.75pt;z-index:-18874340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48" behindDoc="1" locked="0" layoutInCell="1" allowOverlap="1">
              <wp:simplePos x="0" y="0"/>
              <wp:positionH relativeFrom="page">
                <wp:posOffset>6838315</wp:posOffset>
              </wp:positionH>
              <wp:positionV relativeFrom="page">
                <wp:posOffset>10528300</wp:posOffset>
              </wp:positionV>
              <wp:extent cx="694690" cy="60960"/>
              <wp:wrapNone/>
              <wp:docPr id="827" name="Shape 82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53" type="#_x0000_t202" style="position:absolute;margin-left:538.45000000000005pt;margin-top:829.pt;width:54.700000000000003pt;height:4.7999999999999998pt;z-index:-1887434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6737985</wp:posOffset>
              </wp:positionH>
              <wp:positionV relativeFrom="page">
                <wp:posOffset>9988550</wp:posOffset>
              </wp:positionV>
              <wp:extent cx="103505" cy="79375"/>
              <wp:wrapNone/>
              <wp:docPr id="832" name="Shape 83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58" type="#_x0000_t202" style="position:absolute;margin-left:530.54999999999995pt;margin-top:786.5pt;width:8.1500000000000004pt;height:6.25pt;z-index:-1887434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54" behindDoc="1" locked="0" layoutInCell="1" allowOverlap="1">
              <wp:simplePos x="0" y="0"/>
              <wp:positionH relativeFrom="page">
                <wp:posOffset>6911340</wp:posOffset>
              </wp:positionH>
              <wp:positionV relativeFrom="page">
                <wp:posOffset>10293350</wp:posOffset>
              </wp:positionV>
              <wp:extent cx="548640" cy="149225"/>
              <wp:wrapNone/>
              <wp:docPr id="834" name="Shape 83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60" type="#_x0000_t202" style="position:absolute;margin-left:544.20000000000005pt;margin-top:810.5pt;width:43.200000000000003pt;height:11.75pt;z-index:-18874339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56" behindDoc="1" locked="0" layoutInCell="1" allowOverlap="1">
              <wp:simplePos x="0" y="0"/>
              <wp:positionH relativeFrom="page">
                <wp:posOffset>6838315</wp:posOffset>
              </wp:positionH>
              <wp:positionV relativeFrom="page">
                <wp:posOffset>10528300</wp:posOffset>
              </wp:positionV>
              <wp:extent cx="694690" cy="60960"/>
              <wp:wrapNone/>
              <wp:docPr id="836" name="Shape 83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62" type="#_x0000_t202" style="position:absolute;margin-left:538.45000000000005pt;margin-top:829.pt;width:54.700000000000003pt;height:4.7999999999999998pt;z-index:-1887433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6667500</wp:posOffset>
              </wp:positionH>
              <wp:positionV relativeFrom="page">
                <wp:posOffset>9961245</wp:posOffset>
              </wp:positionV>
              <wp:extent cx="158750" cy="79375"/>
              <wp:wrapNone/>
              <wp:docPr id="841" name="Shape 841"/>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67" type="#_x0000_t202" style="position:absolute;margin-left:525.pt;margin-top:784.35000000000002pt;width:12.5pt;height:6.25pt;z-index:-1887433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62" behindDoc="1" locked="0" layoutInCell="1" allowOverlap="1">
              <wp:simplePos x="0" y="0"/>
              <wp:positionH relativeFrom="page">
                <wp:posOffset>6892925</wp:posOffset>
              </wp:positionH>
              <wp:positionV relativeFrom="page">
                <wp:posOffset>10260330</wp:posOffset>
              </wp:positionV>
              <wp:extent cx="548640" cy="219710"/>
              <wp:wrapNone/>
              <wp:docPr id="843" name="Shape 843"/>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69" type="#_x0000_t202" style="position:absolute;margin-left:542.75pt;margin-top:807.89999999999998pt;width:43.200000000000003pt;height:17.300000000000001pt;z-index:-18874339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64" behindDoc="1" locked="0" layoutInCell="1" allowOverlap="1">
              <wp:simplePos x="0" y="0"/>
              <wp:positionH relativeFrom="page">
                <wp:posOffset>6819900</wp:posOffset>
              </wp:positionH>
              <wp:positionV relativeFrom="page">
                <wp:posOffset>10497820</wp:posOffset>
              </wp:positionV>
              <wp:extent cx="694690" cy="60960"/>
              <wp:wrapNone/>
              <wp:docPr id="845" name="Shape 84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71" type="#_x0000_t202" style="position:absolute;margin-left:537.pt;margin-top:826.60000000000002pt;width:54.700000000000003pt;height:4.7999999999999998pt;z-index:-1887433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6668770</wp:posOffset>
              </wp:positionH>
              <wp:positionV relativeFrom="page">
                <wp:posOffset>9961245</wp:posOffset>
              </wp:positionV>
              <wp:extent cx="146050" cy="79375"/>
              <wp:wrapNone/>
              <wp:docPr id="850" name="Shape 85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76" type="#_x0000_t202" style="position:absolute;margin-left:525.10000000000002pt;margin-top:784.35000000000002pt;width:11.5pt;height:6.25pt;z-index:-18874338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70" behindDoc="1" locked="0" layoutInCell="1" allowOverlap="1">
              <wp:simplePos x="0" y="0"/>
              <wp:positionH relativeFrom="page">
                <wp:posOffset>6821170</wp:posOffset>
              </wp:positionH>
              <wp:positionV relativeFrom="page">
                <wp:posOffset>10262870</wp:posOffset>
              </wp:positionV>
              <wp:extent cx="694690" cy="295910"/>
              <wp:wrapNone/>
              <wp:docPr id="852" name="Shape 852"/>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878" type="#_x0000_t202" style="position:absolute;margin-left:537.10000000000002pt;margin-top:808.10000000000002pt;width:54.700000000000003pt;height:23.300000000000001pt;z-index:-18874338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6668770</wp:posOffset>
              </wp:positionH>
              <wp:positionV relativeFrom="page">
                <wp:posOffset>9961245</wp:posOffset>
              </wp:positionV>
              <wp:extent cx="146050" cy="79375"/>
              <wp:wrapNone/>
              <wp:docPr id="857" name="Shape 85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83" type="#_x0000_t202" style="position:absolute;margin-left:525.10000000000002pt;margin-top:784.35000000000002pt;width:11.5pt;height:6.25pt;z-index:-18874337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76" behindDoc="1" locked="0" layoutInCell="1" allowOverlap="1">
              <wp:simplePos x="0" y="0"/>
              <wp:positionH relativeFrom="page">
                <wp:posOffset>6821170</wp:posOffset>
              </wp:positionH>
              <wp:positionV relativeFrom="page">
                <wp:posOffset>10262870</wp:posOffset>
              </wp:positionV>
              <wp:extent cx="694690" cy="295910"/>
              <wp:wrapNone/>
              <wp:docPr id="859" name="Shape 859"/>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885" type="#_x0000_t202" style="position:absolute;margin-left:537.10000000000002pt;margin-top:808.10000000000002pt;width:54.700000000000003pt;height:23.300000000000001pt;z-index:-1887433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6737985</wp:posOffset>
              </wp:positionH>
              <wp:positionV relativeFrom="page">
                <wp:posOffset>9988550</wp:posOffset>
              </wp:positionV>
              <wp:extent cx="103505" cy="79375"/>
              <wp:wrapNone/>
              <wp:docPr id="902" name="Shape 90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28" type="#_x0000_t202" style="position:absolute;margin-left:530.54999999999995pt;margin-top:786.5pt;width:8.1500000000000004pt;height:6.25pt;z-index:-1887433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82" behindDoc="1" locked="0" layoutInCell="1" allowOverlap="1">
              <wp:simplePos x="0" y="0"/>
              <wp:positionH relativeFrom="page">
                <wp:posOffset>6911340</wp:posOffset>
              </wp:positionH>
              <wp:positionV relativeFrom="page">
                <wp:posOffset>10293350</wp:posOffset>
              </wp:positionV>
              <wp:extent cx="548640" cy="149225"/>
              <wp:wrapNone/>
              <wp:docPr id="904" name="Shape 90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30" type="#_x0000_t202" style="position:absolute;margin-left:544.20000000000005pt;margin-top:810.5pt;width:43.200000000000003pt;height:11.75pt;z-index:-18874337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84" behindDoc="1" locked="0" layoutInCell="1" allowOverlap="1">
              <wp:simplePos x="0" y="0"/>
              <wp:positionH relativeFrom="page">
                <wp:posOffset>6838315</wp:posOffset>
              </wp:positionH>
              <wp:positionV relativeFrom="page">
                <wp:posOffset>10528300</wp:posOffset>
              </wp:positionV>
              <wp:extent cx="694690" cy="60960"/>
              <wp:wrapNone/>
              <wp:docPr id="906" name="Shape 90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32" type="#_x0000_t202" style="position:absolute;margin-left:538.45000000000005pt;margin-top:829.pt;width:54.700000000000003pt;height:4.7999999999999998pt;z-index:-18874336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8" behindDoc="1" locked="0" layoutInCell="1" allowOverlap="1">
              <wp:simplePos x="0" y="0"/>
              <wp:positionH relativeFrom="page">
                <wp:posOffset>6737985</wp:posOffset>
              </wp:positionH>
              <wp:positionV relativeFrom="page">
                <wp:posOffset>9988550</wp:posOffset>
              </wp:positionV>
              <wp:extent cx="103505" cy="79375"/>
              <wp:wrapNone/>
              <wp:docPr id="911" name="Shape 9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37" type="#_x0000_t202" style="position:absolute;margin-left:530.54999999999995pt;margin-top:786.5pt;width:8.1500000000000004pt;height:6.25pt;z-index:-1887433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90" behindDoc="1" locked="0" layoutInCell="1" allowOverlap="1">
              <wp:simplePos x="0" y="0"/>
              <wp:positionH relativeFrom="page">
                <wp:posOffset>6911340</wp:posOffset>
              </wp:positionH>
              <wp:positionV relativeFrom="page">
                <wp:posOffset>10293350</wp:posOffset>
              </wp:positionV>
              <wp:extent cx="548640" cy="149225"/>
              <wp:wrapNone/>
              <wp:docPr id="913" name="Shape 91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39" type="#_x0000_t202" style="position:absolute;margin-left:544.20000000000005pt;margin-top:810.5pt;width:43.200000000000003pt;height:11.75pt;z-index:-18874336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92" behindDoc="1" locked="0" layoutInCell="1" allowOverlap="1">
              <wp:simplePos x="0" y="0"/>
              <wp:positionH relativeFrom="page">
                <wp:posOffset>6838315</wp:posOffset>
              </wp:positionH>
              <wp:positionV relativeFrom="page">
                <wp:posOffset>10528300</wp:posOffset>
              </wp:positionV>
              <wp:extent cx="694690" cy="60960"/>
              <wp:wrapNone/>
              <wp:docPr id="915" name="Shape 91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41" type="#_x0000_t202" style="position:absolute;margin-left:538.45000000000005pt;margin-top:829.pt;width:54.700000000000003pt;height:4.7999999999999998pt;z-index:-18874336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6" behindDoc="1" locked="0" layoutInCell="1" allowOverlap="1">
              <wp:simplePos x="0" y="0"/>
              <wp:positionH relativeFrom="page">
                <wp:posOffset>6737985</wp:posOffset>
              </wp:positionH>
              <wp:positionV relativeFrom="page">
                <wp:posOffset>9988550</wp:posOffset>
              </wp:positionV>
              <wp:extent cx="103505" cy="79375"/>
              <wp:wrapNone/>
              <wp:docPr id="920" name="Shape 9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46" type="#_x0000_t202" style="position:absolute;margin-left:530.54999999999995pt;margin-top:786.5pt;width:8.1500000000000004pt;height:6.25pt;z-index:-18874335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98" behindDoc="1" locked="0" layoutInCell="1" allowOverlap="1">
              <wp:simplePos x="0" y="0"/>
              <wp:positionH relativeFrom="page">
                <wp:posOffset>6911340</wp:posOffset>
              </wp:positionH>
              <wp:positionV relativeFrom="page">
                <wp:posOffset>10293350</wp:posOffset>
              </wp:positionV>
              <wp:extent cx="548640" cy="149225"/>
              <wp:wrapNone/>
              <wp:docPr id="922" name="Shape 92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48" type="#_x0000_t202" style="position:absolute;margin-left:544.20000000000005pt;margin-top:810.5pt;width:43.200000000000003pt;height:11.75pt;z-index:-18874335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00" behindDoc="1" locked="0" layoutInCell="1" allowOverlap="1">
              <wp:simplePos x="0" y="0"/>
              <wp:positionH relativeFrom="page">
                <wp:posOffset>6838315</wp:posOffset>
              </wp:positionH>
              <wp:positionV relativeFrom="page">
                <wp:posOffset>10528300</wp:posOffset>
              </wp:positionV>
              <wp:extent cx="694690" cy="60960"/>
              <wp:wrapNone/>
              <wp:docPr id="924" name="Shape 92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50" type="#_x0000_t202" style="position:absolute;margin-left:538.45000000000005pt;margin-top:829.pt;width:54.700000000000003pt;height:4.7999999999999998pt;z-index:-18874335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4499610</wp:posOffset>
              </wp:positionH>
              <wp:positionV relativeFrom="page">
                <wp:posOffset>478790</wp:posOffset>
              </wp:positionV>
              <wp:extent cx="2328545" cy="106680"/>
              <wp:wrapNone/>
              <wp:docPr id="1" name="Shape 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4.30000000000001pt;margin-top:37.700000000000003pt;width:183.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4164330</wp:posOffset>
              </wp:positionH>
              <wp:positionV relativeFrom="page">
                <wp:posOffset>564515</wp:posOffset>
              </wp:positionV>
              <wp:extent cx="2328545" cy="106680"/>
              <wp:wrapNone/>
              <wp:docPr id="68" name="Shape 6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4" type="#_x0000_t202" style="position:absolute;margin-left:327.90000000000003pt;margin-top:44.450000000000003pt;width:183.34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2" behindDoc="1" locked="0" layoutInCell="1" allowOverlap="1">
              <wp:simplePos x="0" y="0"/>
              <wp:positionH relativeFrom="page">
                <wp:posOffset>4491990</wp:posOffset>
              </wp:positionH>
              <wp:positionV relativeFrom="page">
                <wp:posOffset>564515</wp:posOffset>
              </wp:positionV>
              <wp:extent cx="2328545" cy="106680"/>
              <wp:wrapNone/>
              <wp:docPr id="926" name="Shape 92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52" type="#_x0000_t202" style="position:absolute;margin-left:353.69999999999999pt;margin-top:44.450000000000003pt;width:183.34999999999999pt;height:8.4000000000000004pt;z-index:-18874335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928" name="Shape 9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4509770</wp:posOffset>
              </wp:positionH>
              <wp:positionV relativeFrom="page">
                <wp:posOffset>561975</wp:posOffset>
              </wp:positionV>
              <wp:extent cx="2328545" cy="106680"/>
              <wp:wrapNone/>
              <wp:docPr id="935" name="Shape 93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61" type="#_x0000_t202" style="position:absolute;margin-left:355.10000000000002pt;margin-top:44.25pt;width:183.34999999999999pt;height:8.4000000000000004pt;z-index:-18874334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937" name="Shape 9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8" behindDoc="1" locked="0" layoutInCell="1" allowOverlap="1">
              <wp:simplePos x="0" y="0"/>
              <wp:positionH relativeFrom="page">
                <wp:posOffset>4509770</wp:posOffset>
              </wp:positionH>
              <wp:positionV relativeFrom="page">
                <wp:posOffset>561975</wp:posOffset>
              </wp:positionV>
              <wp:extent cx="2328545" cy="106680"/>
              <wp:wrapNone/>
              <wp:docPr id="944" name="Shape 94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70" type="#_x0000_t202" style="position:absolute;margin-left:355.10000000000002pt;margin-top:44.25pt;width:183.34999999999999pt;height:8.4000000000000004pt;z-index:-18874333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946" name="Shape 9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6" behindDoc="1" locked="0" layoutInCell="1" allowOverlap="1">
              <wp:simplePos x="0" y="0"/>
              <wp:positionH relativeFrom="page">
                <wp:posOffset>4514850</wp:posOffset>
              </wp:positionH>
              <wp:positionV relativeFrom="page">
                <wp:posOffset>564515</wp:posOffset>
              </wp:positionV>
              <wp:extent cx="2328545" cy="106680"/>
              <wp:wrapNone/>
              <wp:docPr id="953" name="Shape 95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79" type="#_x0000_t202" style="position:absolute;margin-left:355.5pt;margin-top:44.450000000000003pt;width:183.34999999999999pt;height:8.4000000000000004pt;z-index:-18874332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63310" cy="0"/>
              <wp:wrapNone/>
              <wp:docPr id="955" name="Shape 9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6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4" behindDoc="1" locked="0" layoutInCell="1" allowOverlap="1">
              <wp:simplePos x="0" y="0"/>
              <wp:positionH relativeFrom="page">
                <wp:posOffset>4514850</wp:posOffset>
              </wp:positionH>
              <wp:positionV relativeFrom="page">
                <wp:posOffset>564515</wp:posOffset>
              </wp:positionV>
              <wp:extent cx="2328545" cy="106680"/>
              <wp:wrapNone/>
              <wp:docPr id="962" name="Shape 96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88" type="#_x0000_t202" style="position:absolute;margin-left:355.5pt;margin-top:44.450000000000003pt;width:183.34999999999999pt;height:8.4000000000000004pt;z-index:-18874331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63310" cy="0"/>
              <wp:wrapNone/>
              <wp:docPr id="964" name="Shape 9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2" behindDoc="1" locked="0" layoutInCell="1" allowOverlap="1">
              <wp:simplePos x="0" y="0"/>
              <wp:positionH relativeFrom="page">
                <wp:posOffset>4509770</wp:posOffset>
              </wp:positionH>
              <wp:positionV relativeFrom="page">
                <wp:posOffset>561975</wp:posOffset>
              </wp:positionV>
              <wp:extent cx="2328545" cy="106680"/>
              <wp:wrapNone/>
              <wp:docPr id="971" name="Shape 97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97" type="#_x0000_t202" style="position:absolute;margin-left:355.10000000000002pt;margin-top:44.25pt;width:183.34999999999999pt;height:8.4000000000000004pt;z-index:-18874331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973" name="Shape 9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0" behindDoc="1" locked="0" layoutInCell="1" allowOverlap="1">
              <wp:simplePos x="0" y="0"/>
              <wp:positionH relativeFrom="page">
                <wp:posOffset>4509770</wp:posOffset>
              </wp:positionH>
              <wp:positionV relativeFrom="page">
                <wp:posOffset>561975</wp:posOffset>
              </wp:positionV>
              <wp:extent cx="2328545" cy="106680"/>
              <wp:wrapNone/>
              <wp:docPr id="980" name="Shape 98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06" type="#_x0000_t202" style="position:absolute;margin-left:355.10000000000002pt;margin-top:44.25pt;width:183.34999999999999pt;height:8.4000000000000004pt;z-index:-18874330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982" name="Shape 9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8" behindDoc="1" locked="0" layoutInCell="1" allowOverlap="1">
              <wp:simplePos x="0" y="0"/>
              <wp:positionH relativeFrom="page">
                <wp:posOffset>4514850</wp:posOffset>
              </wp:positionH>
              <wp:positionV relativeFrom="page">
                <wp:posOffset>564515</wp:posOffset>
              </wp:positionV>
              <wp:extent cx="2328545" cy="106680"/>
              <wp:wrapNone/>
              <wp:docPr id="989" name="Shape 98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15" type="#_x0000_t202" style="position:absolute;margin-left:355.5pt;margin-top:44.450000000000003pt;width:183.34999999999999pt;height:8.4000000000000004pt;z-index:-18874329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63310" cy="0"/>
              <wp:wrapNone/>
              <wp:docPr id="991" name="Shape 9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6" behindDoc="1" locked="0" layoutInCell="1" allowOverlap="1">
              <wp:simplePos x="0" y="0"/>
              <wp:positionH relativeFrom="page">
                <wp:posOffset>4514850</wp:posOffset>
              </wp:positionH>
              <wp:positionV relativeFrom="page">
                <wp:posOffset>564515</wp:posOffset>
              </wp:positionV>
              <wp:extent cx="2328545" cy="106680"/>
              <wp:wrapNone/>
              <wp:docPr id="998" name="Shape 99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24" type="#_x0000_t202" style="position:absolute;margin-left:355.5pt;margin-top:44.450000000000003pt;width:183.34999999999999pt;height:8.4000000000000004pt;z-index:-18874328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63310" cy="0"/>
              <wp:wrapNone/>
              <wp:docPr id="1000" name="Shape 10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4" behindDoc="1" locked="0" layoutInCell="1" allowOverlap="1">
              <wp:simplePos x="0" y="0"/>
              <wp:positionH relativeFrom="page">
                <wp:posOffset>4509770</wp:posOffset>
              </wp:positionH>
              <wp:positionV relativeFrom="page">
                <wp:posOffset>561975</wp:posOffset>
              </wp:positionV>
              <wp:extent cx="2328545" cy="106680"/>
              <wp:wrapNone/>
              <wp:docPr id="1007" name="Shape 100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33" type="#_x0000_t202" style="position:absolute;margin-left:355.10000000000002pt;margin-top:44.25pt;width:183.34999999999999pt;height:8.4000000000000004pt;z-index:-18874327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009" name="Shape 10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4164330</wp:posOffset>
              </wp:positionH>
              <wp:positionV relativeFrom="page">
                <wp:posOffset>575310</wp:posOffset>
              </wp:positionV>
              <wp:extent cx="2328545" cy="106680"/>
              <wp:wrapNone/>
              <wp:docPr id="77" name="Shape 7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3" type="#_x0000_t202" style="position:absolute;margin-left:327.90000000000003pt;margin-top:45.300000000000004pt;width:183.34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2" behindDoc="1" locked="0" layoutInCell="1" allowOverlap="1">
              <wp:simplePos x="0" y="0"/>
              <wp:positionH relativeFrom="page">
                <wp:posOffset>4509770</wp:posOffset>
              </wp:positionH>
              <wp:positionV relativeFrom="page">
                <wp:posOffset>561975</wp:posOffset>
              </wp:positionV>
              <wp:extent cx="2328545" cy="106680"/>
              <wp:wrapNone/>
              <wp:docPr id="1016" name="Shape 101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42" type="#_x0000_t202" style="position:absolute;margin-left:355.10000000000002pt;margin-top:44.25pt;width:183.34999999999999pt;height:8.4000000000000004pt;z-index:-18874327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018" name="Shape 10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0" behindDoc="1" locked="0" layoutInCell="1" allowOverlap="1">
              <wp:simplePos x="0" y="0"/>
              <wp:positionH relativeFrom="page">
                <wp:posOffset>4509770</wp:posOffset>
              </wp:positionH>
              <wp:positionV relativeFrom="page">
                <wp:posOffset>561975</wp:posOffset>
              </wp:positionV>
              <wp:extent cx="2328545" cy="106680"/>
              <wp:wrapNone/>
              <wp:docPr id="1025" name="Shape 102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51" type="#_x0000_t202" style="position:absolute;margin-left:355.10000000000002pt;margin-top:44.25pt;width:183.34999999999999pt;height:8.4000000000000004pt;z-index:-18874326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027" name="Shape 10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8" behindDoc="1" locked="0" layoutInCell="1" allowOverlap="1">
              <wp:simplePos x="0" y="0"/>
              <wp:positionH relativeFrom="page">
                <wp:posOffset>4509770</wp:posOffset>
              </wp:positionH>
              <wp:positionV relativeFrom="page">
                <wp:posOffset>561975</wp:posOffset>
              </wp:positionV>
              <wp:extent cx="2328545" cy="106680"/>
              <wp:wrapNone/>
              <wp:docPr id="1034" name="Shape 103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60" type="#_x0000_t202" style="position:absolute;margin-left:355.10000000000002pt;margin-top:44.25pt;width:183.34999999999999pt;height:8.4000000000000004pt;z-index:-18874325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036" name="Shape 10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6" behindDoc="1" locked="0" layoutInCell="1" allowOverlap="1">
              <wp:simplePos x="0" y="0"/>
              <wp:positionH relativeFrom="page">
                <wp:posOffset>4514850</wp:posOffset>
              </wp:positionH>
              <wp:positionV relativeFrom="page">
                <wp:posOffset>564515</wp:posOffset>
              </wp:positionV>
              <wp:extent cx="2328545" cy="106680"/>
              <wp:wrapNone/>
              <wp:docPr id="1043" name="Shape 104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69" type="#_x0000_t202" style="position:absolute;margin-left:355.5pt;margin-top:44.450000000000003pt;width:183.34999999999999pt;height:8.4000000000000004pt;z-index:-18874324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63310" cy="0"/>
              <wp:wrapNone/>
              <wp:docPr id="1045" name="Shape 10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4" behindDoc="1" locked="0" layoutInCell="1" allowOverlap="1">
              <wp:simplePos x="0" y="0"/>
              <wp:positionH relativeFrom="page">
                <wp:posOffset>4509770</wp:posOffset>
              </wp:positionH>
              <wp:positionV relativeFrom="page">
                <wp:posOffset>561975</wp:posOffset>
              </wp:positionV>
              <wp:extent cx="2328545" cy="106680"/>
              <wp:wrapNone/>
              <wp:docPr id="1052" name="Shape 105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78" type="#_x0000_t202" style="position:absolute;margin-left:355.10000000000002pt;margin-top:44.25pt;width:183.34999999999999pt;height:8.4000000000000004pt;z-index:-18874323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054" name="Shape 10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2" behindDoc="1" locked="0" layoutInCell="1" allowOverlap="1">
              <wp:simplePos x="0" y="0"/>
              <wp:positionH relativeFrom="page">
                <wp:posOffset>4509770</wp:posOffset>
              </wp:positionH>
              <wp:positionV relativeFrom="page">
                <wp:posOffset>561975</wp:posOffset>
              </wp:positionV>
              <wp:extent cx="2328545" cy="106680"/>
              <wp:wrapNone/>
              <wp:docPr id="1061" name="Shape 106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87" type="#_x0000_t202" style="position:absolute;margin-left:355.10000000000002pt;margin-top:44.25pt;width:183.34999999999999pt;height:8.4000000000000004pt;z-index:-18874323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063" name="Shape 10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0" behindDoc="1" locked="0" layoutInCell="1" allowOverlap="1">
              <wp:simplePos x="0" y="0"/>
              <wp:positionH relativeFrom="page">
                <wp:posOffset>4514850</wp:posOffset>
              </wp:positionH>
              <wp:positionV relativeFrom="page">
                <wp:posOffset>564515</wp:posOffset>
              </wp:positionV>
              <wp:extent cx="2328545" cy="106680"/>
              <wp:wrapNone/>
              <wp:docPr id="1070" name="Shape 107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96" type="#_x0000_t202" style="position:absolute;margin-left:355.5pt;margin-top:44.450000000000003pt;width:183.34999999999999pt;height:8.4000000000000004pt;z-index:-18874322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63310" cy="0"/>
              <wp:wrapNone/>
              <wp:docPr id="1072" name="Shape 10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8" behindDoc="1" locked="0" layoutInCell="1" allowOverlap="1">
              <wp:simplePos x="0" y="0"/>
              <wp:positionH relativeFrom="page">
                <wp:posOffset>4499610</wp:posOffset>
              </wp:positionH>
              <wp:positionV relativeFrom="page">
                <wp:posOffset>564515</wp:posOffset>
              </wp:positionV>
              <wp:extent cx="2328545" cy="106680"/>
              <wp:wrapNone/>
              <wp:docPr id="1079" name="Shape 107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2105" type="#_x0000_t202" style="position:absolute;margin-left:354.30000000000001pt;margin-top:44.450000000000003pt;width:183.34999999999999pt;height:8.4000000000000004pt;z-index:-1887432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081" name="Shape 10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2" behindDoc="1" locked="0" layoutInCell="1" allowOverlap="1">
              <wp:simplePos x="0" y="0"/>
              <wp:positionH relativeFrom="page">
                <wp:posOffset>4499610</wp:posOffset>
              </wp:positionH>
              <wp:positionV relativeFrom="page">
                <wp:posOffset>564515</wp:posOffset>
              </wp:positionV>
              <wp:extent cx="2328545" cy="106680"/>
              <wp:wrapNone/>
              <wp:docPr id="1084" name="Shape 108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2110" type="#_x0000_t202" style="position:absolute;margin-left:354.30000000000001pt;margin-top:44.450000000000003pt;width:183.34999999999999pt;height:8.4000000000000004pt;z-index:-1887432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086" name="Shape 10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6" behindDoc="1" locked="0" layoutInCell="1" allowOverlap="1">
              <wp:simplePos x="0" y="0"/>
              <wp:positionH relativeFrom="page">
                <wp:posOffset>4509770</wp:posOffset>
              </wp:positionH>
              <wp:positionV relativeFrom="page">
                <wp:posOffset>561975</wp:posOffset>
              </wp:positionV>
              <wp:extent cx="2328545" cy="106680"/>
              <wp:wrapNone/>
              <wp:docPr id="1099" name="Shape 109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25" type="#_x0000_t202" style="position:absolute;margin-left:355.10000000000002pt;margin-top:44.25pt;width:183.34999999999999pt;height:8.4000000000000004pt;z-index:-18874320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101" name="Shape 11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4164330</wp:posOffset>
              </wp:positionH>
              <wp:positionV relativeFrom="page">
                <wp:posOffset>288925</wp:posOffset>
              </wp:positionV>
              <wp:extent cx="2328545" cy="106680"/>
              <wp:wrapNone/>
              <wp:docPr id="86" name="Shape 8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2" type="#_x0000_t202" style="position:absolute;margin-left:327.90000000000003pt;margin-top:22.75pt;width:183.34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430530</wp:posOffset>
              </wp:positionV>
              <wp:extent cx="6163310" cy="0"/>
              <wp:wrapNone/>
              <wp:docPr id="88" name="Shape 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33.899999999999999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4" behindDoc="1" locked="0" layoutInCell="1" allowOverlap="1">
              <wp:simplePos x="0" y="0"/>
              <wp:positionH relativeFrom="page">
                <wp:posOffset>4509770</wp:posOffset>
              </wp:positionH>
              <wp:positionV relativeFrom="page">
                <wp:posOffset>561975</wp:posOffset>
              </wp:positionV>
              <wp:extent cx="2328545" cy="106680"/>
              <wp:wrapNone/>
              <wp:docPr id="1108" name="Shape 110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34" type="#_x0000_t202" style="position:absolute;margin-left:355.10000000000002pt;margin-top:44.25pt;width:183.34999999999999pt;height:8.4000000000000004pt;z-index:-18874319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110" name="Shape 1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2" behindDoc="1" locked="0" layoutInCell="1" allowOverlap="1">
              <wp:simplePos x="0" y="0"/>
              <wp:positionH relativeFrom="page">
                <wp:posOffset>4168140</wp:posOffset>
              </wp:positionH>
              <wp:positionV relativeFrom="page">
                <wp:posOffset>561975</wp:posOffset>
              </wp:positionV>
              <wp:extent cx="2328545" cy="106680"/>
              <wp:wrapNone/>
              <wp:docPr id="1117" name="Shape 111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43" type="#_x0000_t202" style="position:absolute;margin-left:328.19999999999999pt;margin-top:44.25pt;width:183.34999999999999pt;height:8.4000000000000004pt;z-index:-18874319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360680</wp:posOffset>
              </wp:positionH>
              <wp:positionV relativeFrom="page">
                <wp:posOffset>703580</wp:posOffset>
              </wp:positionV>
              <wp:extent cx="6163310" cy="0"/>
              <wp:wrapNone/>
              <wp:docPr id="1119" name="Shape 11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400000000000002pt;margin-top:55.399999999999999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8" behindDoc="1" locked="0" layoutInCell="1" allowOverlap="1">
              <wp:simplePos x="0" y="0"/>
              <wp:positionH relativeFrom="page">
                <wp:posOffset>4168140</wp:posOffset>
              </wp:positionH>
              <wp:positionV relativeFrom="page">
                <wp:posOffset>561975</wp:posOffset>
              </wp:positionV>
              <wp:extent cx="2328545" cy="106680"/>
              <wp:wrapNone/>
              <wp:docPr id="1124" name="Shape 112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50" type="#_x0000_t202" style="position:absolute;margin-left:328.19999999999999pt;margin-top:44.25pt;width:183.34999999999999pt;height:8.4000000000000004pt;z-index:-18874318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360680</wp:posOffset>
              </wp:positionH>
              <wp:positionV relativeFrom="page">
                <wp:posOffset>703580</wp:posOffset>
              </wp:positionV>
              <wp:extent cx="6163310" cy="0"/>
              <wp:wrapNone/>
              <wp:docPr id="1126" name="Shape 11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400000000000002pt;margin-top:55.399999999999999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4" behindDoc="1" locked="0" layoutInCell="1" allowOverlap="1">
              <wp:simplePos x="0" y="0"/>
              <wp:positionH relativeFrom="page">
                <wp:posOffset>4168140</wp:posOffset>
              </wp:positionH>
              <wp:positionV relativeFrom="page">
                <wp:posOffset>561975</wp:posOffset>
              </wp:positionV>
              <wp:extent cx="2328545" cy="106680"/>
              <wp:wrapNone/>
              <wp:docPr id="1131" name="Shape 113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57" type="#_x0000_t202" style="position:absolute;margin-left:328.19999999999999pt;margin-top:44.25pt;width:183.34999999999999pt;height:8.4000000000000004pt;z-index:-18874317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360680</wp:posOffset>
              </wp:positionH>
              <wp:positionV relativeFrom="page">
                <wp:posOffset>703580</wp:posOffset>
              </wp:positionV>
              <wp:extent cx="6163310" cy="0"/>
              <wp:wrapNone/>
              <wp:docPr id="1133" name="Shape 11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400000000000002pt;margin-top:55.399999999999999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2" behindDoc="1" locked="0" layoutInCell="1" allowOverlap="1">
              <wp:simplePos x="0" y="0"/>
              <wp:positionH relativeFrom="page">
                <wp:posOffset>4509770</wp:posOffset>
              </wp:positionH>
              <wp:positionV relativeFrom="page">
                <wp:posOffset>561975</wp:posOffset>
              </wp:positionV>
              <wp:extent cx="2328545" cy="106680"/>
              <wp:wrapNone/>
              <wp:docPr id="1146" name="Shape 114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72" type="#_x0000_t202" style="position:absolute;margin-left:355.10000000000002pt;margin-top:44.25pt;width:183.34999999999999pt;height:8.4000000000000004pt;z-index:-18874317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148" name="Shape 11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0" behindDoc="1" locked="0" layoutInCell="1" allowOverlap="1">
              <wp:simplePos x="0" y="0"/>
              <wp:positionH relativeFrom="page">
                <wp:posOffset>4509770</wp:posOffset>
              </wp:positionH>
              <wp:positionV relativeFrom="page">
                <wp:posOffset>561975</wp:posOffset>
              </wp:positionV>
              <wp:extent cx="2328545" cy="106680"/>
              <wp:wrapNone/>
              <wp:docPr id="1155" name="Shape 115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81" type="#_x0000_t202" style="position:absolute;margin-left:355.10000000000002pt;margin-top:44.25pt;width:183.34999999999999pt;height:8.4000000000000004pt;z-index:-18874316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157" name="Shape 1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8" behindDoc="1" locked="0" layoutInCell="1" allowOverlap="1">
              <wp:simplePos x="0" y="0"/>
              <wp:positionH relativeFrom="page">
                <wp:posOffset>4168140</wp:posOffset>
              </wp:positionH>
              <wp:positionV relativeFrom="page">
                <wp:posOffset>561975</wp:posOffset>
              </wp:positionV>
              <wp:extent cx="2328545" cy="106680"/>
              <wp:wrapNone/>
              <wp:docPr id="1164" name="Shape 116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90" type="#_x0000_t202" style="position:absolute;margin-left:328.19999999999999pt;margin-top:44.25pt;width:183.34999999999999pt;height:8.4000000000000004pt;z-index:-18874315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360680</wp:posOffset>
              </wp:positionH>
              <wp:positionV relativeFrom="page">
                <wp:posOffset>703580</wp:posOffset>
              </wp:positionV>
              <wp:extent cx="6163310" cy="0"/>
              <wp:wrapNone/>
              <wp:docPr id="1166" name="Shape 11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400000000000002pt;margin-top:55.399999999999999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6" behindDoc="1" locked="0" layoutInCell="1" allowOverlap="1">
              <wp:simplePos x="0" y="0"/>
              <wp:positionH relativeFrom="page">
                <wp:posOffset>4498340</wp:posOffset>
              </wp:positionH>
              <wp:positionV relativeFrom="page">
                <wp:posOffset>561975</wp:posOffset>
              </wp:positionV>
              <wp:extent cx="2328545" cy="106680"/>
              <wp:wrapNone/>
              <wp:docPr id="1173" name="Shape 117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99" type="#_x0000_t202" style="position:absolute;margin-left:354.19999999999999pt;margin-top:44.25pt;width:183.34999999999999pt;height:8.4000000000000004pt;z-index:-18874314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703580</wp:posOffset>
              </wp:positionV>
              <wp:extent cx="6163310" cy="0"/>
              <wp:wrapNone/>
              <wp:docPr id="1175" name="Shape 11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399999999999999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4" behindDoc="1" locked="0" layoutInCell="1" allowOverlap="1">
              <wp:simplePos x="0" y="0"/>
              <wp:positionH relativeFrom="page">
                <wp:posOffset>4498340</wp:posOffset>
              </wp:positionH>
              <wp:positionV relativeFrom="page">
                <wp:posOffset>561975</wp:posOffset>
              </wp:positionV>
              <wp:extent cx="2328545" cy="106680"/>
              <wp:wrapNone/>
              <wp:docPr id="1184" name="Shape 118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10" type="#_x0000_t202" style="position:absolute;margin-left:354.19999999999999pt;margin-top:44.25pt;width:183.34999999999999pt;height:8.4000000000000004pt;z-index:-18874313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703580</wp:posOffset>
              </wp:positionV>
              <wp:extent cx="6163310" cy="0"/>
              <wp:wrapNone/>
              <wp:docPr id="1186" name="Shape 11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399999999999999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2" behindDoc="1" locked="0" layoutInCell="1" allowOverlap="1">
              <wp:simplePos x="0" y="0"/>
              <wp:positionH relativeFrom="page">
                <wp:posOffset>4526280</wp:posOffset>
              </wp:positionH>
              <wp:positionV relativeFrom="page">
                <wp:posOffset>561975</wp:posOffset>
              </wp:positionV>
              <wp:extent cx="2328545" cy="106680"/>
              <wp:wrapNone/>
              <wp:docPr id="1195" name="Shape 119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21" type="#_x0000_t202" style="position:absolute;margin-left:356.40000000000003pt;margin-top:44.25pt;width:183.34999999999999pt;height:8.4000000000000004pt;z-index:-18874313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703580</wp:posOffset>
              </wp:positionV>
              <wp:extent cx="6163310" cy="0"/>
              <wp:wrapNone/>
              <wp:docPr id="1197" name="Shape 11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399999999999999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4164330</wp:posOffset>
              </wp:positionH>
              <wp:positionV relativeFrom="page">
                <wp:posOffset>564515</wp:posOffset>
              </wp:positionV>
              <wp:extent cx="2328545" cy="106680"/>
              <wp:wrapNone/>
              <wp:docPr id="93" name="Shape 9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9" type="#_x0000_t202" style="position:absolute;margin-left:327.90000000000003pt;margin-top:44.450000000000003pt;width:183.34999999999999pt;height:8.4000000000000004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95" name="Shape 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0" behindDoc="1" locked="0" layoutInCell="1" allowOverlap="1">
              <wp:simplePos x="0" y="0"/>
              <wp:positionH relativeFrom="page">
                <wp:posOffset>4509770</wp:posOffset>
              </wp:positionH>
              <wp:positionV relativeFrom="page">
                <wp:posOffset>561975</wp:posOffset>
              </wp:positionV>
              <wp:extent cx="2328545" cy="106680"/>
              <wp:wrapNone/>
              <wp:docPr id="1204" name="Shape 120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30" type="#_x0000_t202" style="position:absolute;margin-left:355.10000000000002pt;margin-top:44.25pt;width:183.34999999999999pt;height:8.4000000000000004pt;z-index:-18874312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206" name="Shape 12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8" behindDoc="1" locked="0" layoutInCell="1" allowOverlap="1">
              <wp:simplePos x="0" y="0"/>
              <wp:positionH relativeFrom="page">
                <wp:posOffset>4509770</wp:posOffset>
              </wp:positionH>
              <wp:positionV relativeFrom="page">
                <wp:posOffset>561975</wp:posOffset>
              </wp:positionV>
              <wp:extent cx="2328545" cy="106680"/>
              <wp:wrapNone/>
              <wp:docPr id="1213" name="Shape 121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39" type="#_x0000_t202" style="position:absolute;margin-left:355.10000000000002pt;margin-top:44.25pt;width:183.34999999999999pt;height:8.4000000000000004pt;z-index:-18874311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215" name="Shape 12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6" behindDoc="1" locked="0" layoutInCell="1" allowOverlap="1">
              <wp:simplePos x="0" y="0"/>
              <wp:positionH relativeFrom="page">
                <wp:posOffset>4519930</wp:posOffset>
              </wp:positionH>
              <wp:positionV relativeFrom="page">
                <wp:posOffset>561975</wp:posOffset>
              </wp:positionV>
              <wp:extent cx="2328545" cy="106680"/>
              <wp:wrapNone/>
              <wp:docPr id="1222" name="Shape 122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48" type="#_x0000_t202" style="position:absolute;margin-left:355.90000000000003pt;margin-top:44.25pt;width:183.34999999999999pt;height:8.4000000000000004pt;z-index:-18874310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703580</wp:posOffset>
              </wp:positionV>
              <wp:extent cx="6163310" cy="0"/>
              <wp:wrapNone/>
              <wp:docPr id="1224" name="Shape 12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49999999999999pt;margin-top:55.399999999999999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4" behindDoc="1" locked="0" layoutInCell="1" allowOverlap="1">
              <wp:simplePos x="0" y="0"/>
              <wp:positionH relativeFrom="page">
                <wp:posOffset>4519930</wp:posOffset>
              </wp:positionH>
              <wp:positionV relativeFrom="page">
                <wp:posOffset>561975</wp:posOffset>
              </wp:positionV>
              <wp:extent cx="2328545" cy="106680"/>
              <wp:wrapNone/>
              <wp:docPr id="1231" name="Shape 123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57" type="#_x0000_t202" style="position:absolute;margin-left:355.90000000000003pt;margin-top:44.25pt;width:183.34999999999999pt;height:8.4000000000000004pt;z-index:-18874309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703580</wp:posOffset>
              </wp:positionV>
              <wp:extent cx="6163310" cy="0"/>
              <wp:wrapNone/>
              <wp:docPr id="1233" name="Shape 12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49999999999999pt;margin-top:55.399999999999999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2" behindDoc="1" locked="0" layoutInCell="1" allowOverlap="1">
              <wp:simplePos x="0" y="0"/>
              <wp:positionH relativeFrom="page">
                <wp:posOffset>4509770</wp:posOffset>
              </wp:positionH>
              <wp:positionV relativeFrom="page">
                <wp:posOffset>561975</wp:posOffset>
              </wp:positionV>
              <wp:extent cx="2328545" cy="106680"/>
              <wp:wrapNone/>
              <wp:docPr id="1240" name="Shape 124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66" type="#_x0000_t202" style="position:absolute;margin-left:355.10000000000002pt;margin-top:44.25pt;width:183.34999999999999pt;height:8.4000000000000004pt;z-index:-18874309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242" name="Shape 12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0" behindDoc="1" locked="0" layoutInCell="1" allowOverlap="1">
              <wp:simplePos x="0" y="0"/>
              <wp:positionH relativeFrom="page">
                <wp:posOffset>4519930</wp:posOffset>
              </wp:positionH>
              <wp:positionV relativeFrom="page">
                <wp:posOffset>561975</wp:posOffset>
              </wp:positionV>
              <wp:extent cx="2328545" cy="106680"/>
              <wp:wrapNone/>
              <wp:docPr id="1249" name="Shape 124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75" type="#_x0000_t202" style="position:absolute;margin-left:355.90000000000003pt;margin-top:44.25pt;width:183.34999999999999pt;height:8.4000000000000004pt;z-index:-18874308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703580</wp:posOffset>
              </wp:positionV>
              <wp:extent cx="6163310" cy="0"/>
              <wp:wrapNone/>
              <wp:docPr id="1251" name="Shape 12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49999999999999pt;margin-top:55.399999999999999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8" behindDoc="1" locked="0" layoutInCell="1" allowOverlap="1">
              <wp:simplePos x="0" y="0"/>
              <wp:positionH relativeFrom="page">
                <wp:posOffset>4509770</wp:posOffset>
              </wp:positionH>
              <wp:positionV relativeFrom="page">
                <wp:posOffset>561975</wp:posOffset>
              </wp:positionV>
              <wp:extent cx="2328545" cy="106680"/>
              <wp:wrapNone/>
              <wp:docPr id="1258" name="Shape 125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84" type="#_x0000_t202" style="position:absolute;margin-left:355.10000000000002pt;margin-top:44.25pt;width:183.34999999999999pt;height:8.4000000000000004pt;z-index:-18874307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260" name="Shape 12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6" behindDoc="1" locked="0" layoutInCell="1" allowOverlap="1">
              <wp:simplePos x="0" y="0"/>
              <wp:positionH relativeFrom="page">
                <wp:posOffset>4509770</wp:posOffset>
              </wp:positionH>
              <wp:positionV relativeFrom="page">
                <wp:posOffset>561975</wp:posOffset>
              </wp:positionV>
              <wp:extent cx="2328545" cy="106680"/>
              <wp:wrapNone/>
              <wp:docPr id="1267" name="Shape 126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93" type="#_x0000_t202" style="position:absolute;margin-left:355.10000000000002pt;margin-top:44.25pt;width:183.34999999999999pt;height:8.4000000000000004pt;z-index:-18874306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269" name="Shape 12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4164330</wp:posOffset>
              </wp:positionH>
              <wp:positionV relativeFrom="page">
                <wp:posOffset>575310</wp:posOffset>
              </wp:positionV>
              <wp:extent cx="2328545" cy="106680"/>
              <wp:wrapNone/>
              <wp:docPr id="102" name="Shape 10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28" type="#_x0000_t202" style="position:absolute;margin-left:327.90000000000003pt;margin-top:45.300000000000004pt;width:183.34999999999999pt;height:8.4000000000000004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104" name="Shape 1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4164330</wp:posOffset>
              </wp:positionH>
              <wp:positionV relativeFrom="page">
                <wp:posOffset>564515</wp:posOffset>
              </wp:positionV>
              <wp:extent cx="2328545" cy="106680"/>
              <wp:wrapNone/>
              <wp:docPr id="109" name="Shape 10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5" type="#_x0000_t202" style="position:absolute;margin-left:327.90000000000003pt;margin-top:44.450000000000003pt;width:183.34999999999999pt;height:8.4000000000000004pt;z-index:-1887439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111" name="Shape 1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4164330</wp:posOffset>
              </wp:positionH>
              <wp:positionV relativeFrom="page">
                <wp:posOffset>564515</wp:posOffset>
              </wp:positionV>
              <wp:extent cx="2328545" cy="106680"/>
              <wp:wrapNone/>
              <wp:docPr id="118" name="Shape 11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44" type="#_x0000_t202" style="position:absolute;margin-left:327.90000000000003pt;margin-top:44.450000000000003pt;width:183.34999999999999pt;height:8.4000000000000004pt;z-index:-1887439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4164330</wp:posOffset>
              </wp:positionH>
              <wp:positionV relativeFrom="page">
                <wp:posOffset>564515</wp:posOffset>
              </wp:positionV>
              <wp:extent cx="2328545" cy="106680"/>
              <wp:wrapNone/>
              <wp:docPr id="127" name="Shape 12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53" type="#_x0000_t202" style="position:absolute;margin-left:327.90000000000003pt;margin-top:44.450000000000003pt;width:183.34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129" name="Shape 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4164330</wp:posOffset>
              </wp:positionH>
              <wp:positionV relativeFrom="page">
                <wp:posOffset>564515</wp:posOffset>
              </wp:positionV>
              <wp:extent cx="2328545" cy="106680"/>
              <wp:wrapNone/>
              <wp:docPr id="136" name="Shape 13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62" type="#_x0000_t202" style="position:absolute;margin-left:327.90000000000003pt;margin-top:44.450000000000003pt;width:183.34999999999999pt;height:8.4000000000000004pt;z-index:-1887439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138" name="Shape 1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4164330</wp:posOffset>
              </wp:positionH>
              <wp:positionV relativeFrom="page">
                <wp:posOffset>564515</wp:posOffset>
              </wp:positionV>
              <wp:extent cx="2328545" cy="106680"/>
              <wp:wrapNone/>
              <wp:docPr id="145" name="Shape 14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71" type="#_x0000_t202" style="position:absolute;margin-left:327.90000000000003pt;margin-top:44.450000000000003pt;width:183.34999999999999pt;height:8.4000000000000004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718185</wp:posOffset>
              </wp:positionV>
              <wp:extent cx="6163310" cy="0"/>
              <wp:wrapNone/>
              <wp:docPr id="147" name="Shape 1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550000000000004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4499610</wp:posOffset>
              </wp:positionH>
              <wp:positionV relativeFrom="page">
                <wp:posOffset>478790</wp:posOffset>
              </wp:positionV>
              <wp:extent cx="2328545" cy="106680"/>
              <wp:wrapNone/>
              <wp:docPr id="8" name="Shape 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4" type="#_x0000_t202" style="position:absolute;margin-left:354.30000000000001pt;margin-top:37.700000000000003pt;width:183.34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623570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4164330</wp:posOffset>
              </wp:positionH>
              <wp:positionV relativeFrom="page">
                <wp:posOffset>564515</wp:posOffset>
              </wp:positionV>
              <wp:extent cx="2328545" cy="106680"/>
              <wp:wrapNone/>
              <wp:docPr id="154" name="Shape 15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80" type="#_x0000_t202" style="position:absolute;margin-left:327.90000000000003pt;margin-top:44.450000000000003pt;width:183.34999999999999pt;height:8.4000000000000004pt;z-index:-1887439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718185</wp:posOffset>
              </wp:positionV>
              <wp:extent cx="6163310" cy="0"/>
              <wp:wrapNone/>
              <wp:docPr id="156" name="Shape 1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550000000000004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4164330</wp:posOffset>
              </wp:positionH>
              <wp:positionV relativeFrom="page">
                <wp:posOffset>564515</wp:posOffset>
              </wp:positionV>
              <wp:extent cx="2328545" cy="106680"/>
              <wp:wrapNone/>
              <wp:docPr id="163" name="Shape 16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89" type="#_x0000_t202" style="position:absolute;margin-left:327.90000000000003pt;margin-top:44.450000000000003pt;width:183.34999999999999pt;height:8.4000000000000004pt;z-index:-1887439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165" name="Shape 1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4164330</wp:posOffset>
              </wp:positionH>
              <wp:positionV relativeFrom="page">
                <wp:posOffset>564515</wp:posOffset>
              </wp:positionV>
              <wp:extent cx="2328545" cy="106680"/>
              <wp:wrapNone/>
              <wp:docPr id="172" name="Shape 17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98" type="#_x0000_t202" style="position:absolute;margin-left:327.90000000000003pt;margin-top:44.450000000000003pt;width:183.34999999999999pt;height:8.4000000000000004pt;z-index:-1887439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718185</wp:posOffset>
              </wp:positionV>
              <wp:extent cx="6163310" cy="0"/>
              <wp:wrapNone/>
              <wp:docPr id="174" name="Shape 1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550000000000004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4164330</wp:posOffset>
              </wp:positionH>
              <wp:positionV relativeFrom="page">
                <wp:posOffset>564515</wp:posOffset>
              </wp:positionV>
              <wp:extent cx="2328545" cy="106680"/>
              <wp:wrapNone/>
              <wp:docPr id="181" name="Shape 18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07" type="#_x0000_t202" style="position:absolute;margin-left:327.90000000000003pt;margin-top:44.450000000000003pt;width:183.34999999999999pt;height:8.4000000000000004pt;z-index:-1887439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718185</wp:posOffset>
              </wp:positionV>
              <wp:extent cx="6163310" cy="0"/>
              <wp:wrapNone/>
              <wp:docPr id="183" name="Shape 1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550000000000004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4164330</wp:posOffset>
              </wp:positionH>
              <wp:positionV relativeFrom="page">
                <wp:posOffset>564515</wp:posOffset>
              </wp:positionV>
              <wp:extent cx="2328545" cy="106680"/>
              <wp:wrapNone/>
              <wp:docPr id="190" name="Shape 19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16" type="#_x0000_t202" style="position:absolute;margin-left:327.90000000000003pt;margin-top:44.450000000000003pt;width:183.34999999999999pt;height:8.4000000000000004pt;z-index:-1887439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192" name="Shape 1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4164330</wp:posOffset>
              </wp:positionH>
              <wp:positionV relativeFrom="page">
                <wp:posOffset>564515</wp:posOffset>
              </wp:positionV>
              <wp:extent cx="2328545" cy="106680"/>
              <wp:wrapNone/>
              <wp:docPr id="199" name="Shape 19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25" type="#_x0000_t202" style="position:absolute;margin-left:327.90000000000003pt;margin-top:44.450000000000003pt;width:183.34999999999999pt;height:8.4000000000000004pt;z-index:-1887438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201" name="Shape 2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4164330</wp:posOffset>
              </wp:positionH>
              <wp:positionV relativeFrom="page">
                <wp:posOffset>564515</wp:posOffset>
              </wp:positionV>
              <wp:extent cx="2328545" cy="106680"/>
              <wp:wrapNone/>
              <wp:docPr id="208" name="Shape 20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34" type="#_x0000_t202" style="position:absolute;margin-left:327.90000000000003pt;margin-top:44.450000000000003pt;width:183.34999999999999pt;height:8.4000000000000004pt;z-index:-1887438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210" name="Shape 2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4499610</wp:posOffset>
              </wp:positionH>
              <wp:positionV relativeFrom="page">
                <wp:posOffset>564515</wp:posOffset>
              </wp:positionV>
              <wp:extent cx="2328545" cy="106680"/>
              <wp:wrapNone/>
              <wp:docPr id="217" name="Shape 21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3" type="#_x0000_t202" style="position:absolute;margin-left:354.30000000000001pt;margin-top:44.450000000000003pt;width:183.34999999999999pt;height:8.4000000000000004pt;z-index:-18874387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19" name="Shape 2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4499610</wp:posOffset>
              </wp:positionH>
              <wp:positionV relativeFrom="page">
                <wp:posOffset>564515</wp:posOffset>
              </wp:positionV>
              <wp:extent cx="2328545" cy="106680"/>
              <wp:wrapNone/>
              <wp:docPr id="224" name="Shape 22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0" type="#_x0000_t202" style="position:absolute;margin-left:354.30000000000001pt;margin-top:44.450000000000003pt;width:183.34999999999999pt;height:8.4000000000000004pt;z-index:-1887438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26" name="Shape 2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4505960</wp:posOffset>
              </wp:positionH>
              <wp:positionV relativeFrom="page">
                <wp:posOffset>564515</wp:posOffset>
              </wp:positionV>
              <wp:extent cx="2328545" cy="106680"/>
              <wp:wrapNone/>
              <wp:docPr id="232" name="Shape 23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8" type="#_x0000_t202" style="position:absolute;margin-left:354.80000000000001pt;margin-top:44.450000000000003pt;width:183.34999999999999pt;height:8.4000000000000004pt;z-index:-18874386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234" name="Shape 2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4499610</wp:posOffset>
              </wp:positionH>
              <wp:positionV relativeFrom="page">
                <wp:posOffset>564515</wp:posOffset>
              </wp:positionV>
              <wp:extent cx="2328545" cy="106680"/>
              <wp:wrapNone/>
              <wp:docPr id="15" name="Shape 1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1" type="#_x0000_t202" style="position:absolute;margin-left:354.30000000000001pt;margin-top:44.450000000000003pt;width:183.3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4505960</wp:posOffset>
              </wp:positionH>
              <wp:positionV relativeFrom="page">
                <wp:posOffset>564515</wp:posOffset>
              </wp:positionV>
              <wp:extent cx="2328545" cy="106680"/>
              <wp:wrapNone/>
              <wp:docPr id="239" name="Shape 23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5" type="#_x0000_t202" style="position:absolute;margin-left:354.80000000000001pt;margin-top:44.450000000000003pt;width:183.34999999999999pt;height:8.4000000000000004pt;z-index:-18874386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241" name="Shape 2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4499610</wp:posOffset>
              </wp:positionH>
              <wp:positionV relativeFrom="page">
                <wp:posOffset>564515</wp:posOffset>
              </wp:positionV>
              <wp:extent cx="2328545" cy="106680"/>
              <wp:wrapNone/>
              <wp:docPr id="246" name="Shape 24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2" type="#_x0000_t202" style="position:absolute;margin-left:354.30000000000001pt;margin-top:44.450000000000003pt;width:183.34999999999999pt;height:8.4000000000000004pt;z-index:-18874385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48" name="Shape 2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4164330</wp:posOffset>
              </wp:positionH>
              <wp:positionV relativeFrom="page">
                <wp:posOffset>564515</wp:posOffset>
              </wp:positionV>
              <wp:extent cx="2328545" cy="106680"/>
              <wp:wrapNone/>
              <wp:docPr id="263" name="Shape 26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89" type="#_x0000_t202" style="position:absolute;margin-left:327.90000000000003pt;margin-top:44.450000000000003pt;width:183.34999999999999pt;height:8.4000000000000004pt;z-index:-1887438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265" name="Shape 2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4164330</wp:posOffset>
              </wp:positionH>
              <wp:positionV relativeFrom="page">
                <wp:posOffset>564515</wp:posOffset>
              </wp:positionV>
              <wp:extent cx="2328545" cy="106680"/>
              <wp:wrapNone/>
              <wp:docPr id="272" name="Shape 27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98" type="#_x0000_t202" style="position:absolute;margin-left:327.90000000000003pt;margin-top:44.450000000000003pt;width:183.34999999999999pt;height:8.4000000000000004pt;z-index:-1887438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274" name="Shape 2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4164330</wp:posOffset>
              </wp:positionH>
              <wp:positionV relativeFrom="page">
                <wp:posOffset>564515</wp:posOffset>
              </wp:positionV>
              <wp:extent cx="2328545" cy="106680"/>
              <wp:wrapNone/>
              <wp:docPr id="281" name="Shape 28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07" type="#_x0000_t202" style="position:absolute;margin-left:327.90000000000003pt;margin-top:44.450000000000003pt;width:183.34999999999999pt;height:8.4000000000000004pt;z-index:-1887438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718185</wp:posOffset>
              </wp:positionV>
              <wp:extent cx="6163310" cy="0"/>
              <wp:wrapNone/>
              <wp:docPr id="283" name="Shape 2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550000000000004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4164330</wp:posOffset>
              </wp:positionH>
              <wp:positionV relativeFrom="page">
                <wp:posOffset>564515</wp:posOffset>
              </wp:positionV>
              <wp:extent cx="2328545" cy="106680"/>
              <wp:wrapNone/>
              <wp:docPr id="291" name="Shape 29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17" type="#_x0000_t202" style="position:absolute;margin-left:327.90000000000003pt;margin-top:44.450000000000003pt;width:183.34999999999999pt;height:8.4000000000000004pt;z-index:-1887438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718185</wp:posOffset>
              </wp:positionV>
              <wp:extent cx="6163310" cy="0"/>
              <wp:wrapNone/>
              <wp:docPr id="293" name="Shape 2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550000000000004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4164330</wp:posOffset>
              </wp:positionH>
              <wp:positionV relativeFrom="page">
                <wp:posOffset>564515</wp:posOffset>
              </wp:positionV>
              <wp:extent cx="2328545" cy="106680"/>
              <wp:wrapNone/>
              <wp:docPr id="300" name="Shape 30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26" type="#_x0000_t202" style="position:absolute;margin-left:327.90000000000003pt;margin-top:44.450000000000003pt;width:183.34999999999999pt;height:8.4000000000000004pt;z-index:-1887438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302" name="Shape 3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4164330</wp:posOffset>
              </wp:positionH>
              <wp:positionV relativeFrom="page">
                <wp:posOffset>564515</wp:posOffset>
              </wp:positionV>
              <wp:extent cx="2328545" cy="106680"/>
              <wp:wrapNone/>
              <wp:docPr id="311" name="Shape 31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37" type="#_x0000_t202" style="position:absolute;margin-left:327.90000000000003pt;margin-top:44.450000000000003pt;width:183.34999999999999pt;height:8.4000000000000004pt;z-index:-1887438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718185</wp:posOffset>
              </wp:positionV>
              <wp:extent cx="6163310" cy="0"/>
              <wp:wrapNone/>
              <wp:docPr id="313" name="Shape 3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550000000000004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4164330</wp:posOffset>
              </wp:positionH>
              <wp:positionV relativeFrom="page">
                <wp:posOffset>564515</wp:posOffset>
              </wp:positionV>
              <wp:extent cx="2328545" cy="106680"/>
              <wp:wrapNone/>
              <wp:docPr id="320" name="Shape 32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46" type="#_x0000_t202" style="position:absolute;margin-left:327.90000000000003pt;margin-top:44.450000000000003pt;width:183.34999999999999pt;height:8.4000000000000004pt;z-index:-1887438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718185</wp:posOffset>
              </wp:positionV>
              <wp:extent cx="6163310" cy="0"/>
              <wp:wrapNone/>
              <wp:docPr id="322" name="Shape 3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550000000000004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4164330</wp:posOffset>
              </wp:positionH>
              <wp:positionV relativeFrom="page">
                <wp:posOffset>564515</wp:posOffset>
              </wp:positionV>
              <wp:extent cx="2328545" cy="106680"/>
              <wp:wrapNone/>
              <wp:docPr id="329" name="Shape 32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55" type="#_x0000_t202" style="position:absolute;margin-left:327.90000000000003pt;margin-top:44.450000000000003pt;width:183.34999999999999pt;height:8.4000000000000004pt;z-index:-1887437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331" name="Shape 3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4499610</wp:posOffset>
              </wp:positionH>
              <wp:positionV relativeFrom="page">
                <wp:posOffset>564515</wp:posOffset>
              </wp:positionV>
              <wp:extent cx="2328545" cy="106680"/>
              <wp:wrapNone/>
              <wp:docPr id="20" name="Shape 2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6" type="#_x0000_t202" style="position:absolute;margin-left:354.30000000000001pt;margin-top:44.450000000000003pt;width:183.3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4164330</wp:posOffset>
              </wp:positionH>
              <wp:positionV relativeFrom="page">
                <wp:posOffset>564515</wp:posOffset>
              </wp:positionV>
              <wp:extent cx="2328545" cy="106680"/>
              <wp:wrapNone/>
              <wp:docPr id="338" name="Shape 33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64" type="#_x0000_t202" style="position:absolute;margin-left:327.90000000000003pt;margin-top:44.450000000000003pt;width:183.34999999999999pt;height:8.4000000000000004pt;z-index:-1887437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340" name="Shape 3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4486275</wp:posOffset>
              </wp:positionH>
              <wp:positionV relativeFrom="page">
                <wp:posOffset>564515</wp:posOffset>
              </wp:positionV>
              <wp:extent cx="2328545" cy="106680"/>
              <wp:wrapNone/>
              <wp:docPr id="347" name="Shape 34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3" type="#_x0000_t202" style="position:absolute;margin-left:353.25pt;margin-top:44.450000000000003pt;width:183.34999999999999pt;height:8.4000000000000004pt;z-index:-1887437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706120</wp:posOffset>
              </wp:positionV>
              <wp:extent cx="6163310" cy="0"/>
              <wp:wrapNone/>
              <wp:docPr id="349" name="Shape 3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4472305</wp:posOffset>
              </wp:positionH>
              <wp:positionV relativeFrom="page">
                <wp:posOffset>564515</wp:posOffset>
              </wp:positionV>
              <wp:extent cx="2328545" cy="106680"/>
              <wp:wrapNone/>
              <wp:docPr id="354" name="Shape 35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0" type="#_x0000_t202" style="position:absolute;margin-left:352.15000000000003pt;margin-top:44.450000000000003pt;width:183.34999999999999pt;height:8.4000000000000004pt;z-index:-18874377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706120</wp:posOffset>
              </wp:positionV>
              <wp:extent cx="6163310" cy="0"/>
              <wp:wrapNone/>
              <wp:docPr id="356" name="Shape 3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99999999999999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4472305</wp:posOffset>
              </wp:positionH>
              <wp:positionV relativeFrom="page">
                <wp:posOffset>564515</wp:posOffset>
              </wp:positionV>
              <wp:extent cx="2328545" cy="106680"/>
              <wp:wrapNone/>
              <wp:docPr id="363" name="Shape 36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9" type="#_x0000_t202" style="position:absolute;margin-left:352.15000000000003pt;margin-top:44.450000000000003pt;width:183.34999999999999pt;height:8.4000000000000004pt;z-index:-18874376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706120</wp:posOffset>
              </wp:positionV>
              <wp:extent cx="6163310" cy="0"/>
              <wp:wrapNone/>
              <wp:docPr id="365" name="Shape 3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99999999999999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4164330</wp:posOffset>
              </wp:positionH>
              <wp:positionV relativeFrom="page">
                <wp:posOffset>564515</wp:posOffset>
              </wp:positionV>
              <wp:extent cx="2328545" cy="106680"/>
              <wp:wrapNone/>
              <wp:docPr id="376" name="Shape 37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02" type="#_x0000_t202" style="position:absolute;margin-left:327.90000000000003pt;margin-top:44.450000000000003pt;width:183.34999999999999pt;height:8.4000000000000004pt;z-index:-1887437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378" name="Shape 3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4164330</wp:posOffset>
              </wp:positionH>
              <wp:positionV relativeFrom="page">
                <wp:posOffset>564515</wp:posOffset>
              </wp:positionV>
              <wp:extent cx="2328545" cy="106680"/>
              <wp:wrapNone/>
              <wp:docPr id="385" name="Shape 38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11" type="#_x0000_t202" style="position:absolute;margin-left:327.90000000000003pt;margin-top:44.450000000000003pt;width:183.34999999999999pt;height:8.4000000000000004pt;z-index:-1887437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387" name="Shape 3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4472305</wp:posOffset>
              </wp:positionH>
              <wp:positionV relativeFrom="page">
                <wp:posOffset>564515</wp:posOffset>
              </wp:positionV>
              <wp:extent cx="2328545" cy="106680"/>
              <wp:wrapNone/>
              <wp:docPr id="400" name="Shape 40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26" type="#_x0000_t202" style="position:absolute;margin-left:352.15000000000003pt;margin-top:44.450000000000003pt;width:183.34999999999999pt;height:8.4000000000000004pt;z-index:-18874373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706120</wp:posOffset>
              </wp:positionV>
              <wp:extent cx="6163310" cy="0"/>
              <wp:wrapNone/>
              <wp:docPr id="402" name="Shape 4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99999999999999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4472305</wp:posOffset>
              </wp:positionH>
              <wp:positionV relativeFrom="page">
                <wp:posOffset>564515</wp:posOffset>
              </wp:positionV>
              <wp:extent cx="2328545" cy="106680"/>
              <wp:wrapNone/>
              <wp:docPr id="409" name="Shape 40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5" type="#_x0000_t202" style="position:absolute;margin-left:352.15000000000003pt;margin-top:44.450000000000003pt;width:183.34999999999999pt;height:8.4000000000000004pt;z-index:-18874373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706120</wp:posOffset>
              </wp:positionV>
              <wp:extent cx="6163310" cy="0"/>
              <wp:wrapNone/>
              <wp:docPr id="411" name="Shape 4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99999999999999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4499610</wp:posOffset>
              </wp:positionH>
              <wp:positionV relativeFrom="page">
                <wp:posOffset>564515</wp:posOffset>
              </wp:positionV>
              <wp:extent cx="2328545" cy="106680"/>
              <wp:wrapNone/>
              <wp:docPr id="418" name="Shape 41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44" type="#_x0000_t202" style="position:absolute;margin-left:354.30000000000001pt;margin-top:44.450000000000003pt;width:183.34999999999999pt;height:8.4000000000000004pt;z-index:-1887437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20" name="Shape 4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4499610</wp:posOffset>
              </wp:positionH>
              <wp:positionV relativeFrom="page">
                <wp:posOffset>564515</wp:posOffset>
              </wp:positionV>
              <wp:extent cx="2328545" cy="106680"/>
              <wp:wrapNone/>
              <wp:docPr id="423" name="Shape 42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49" type="#_x0000_t202" style="position:absolute;margin-left:354.30000000000001pt;margin-top:44.450000000000003pt;width:183.34999999999999pt;height:8.4000000000000004pt;z-index:-1887437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25" name="Shape 4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4161155</wp:posOffset>
              </wp:positionH>
              <wp:positionV relativeFrom="page">
                <wp:posOffset>575310</wp:posOffset>
              </wp:positionV>
              <wp:extent cx="2328545" cy="106680"/>
              <wp:wrapNone/>
              <wp:docPr id="31" name="Shape 3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7" type="#_x0000_t202" style="position:absolute;margin-left:327.65000000000003pt;margin-top:45.300000000000004pt;width:183.3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354330</wp:posOffset>
              </wp:positionH>
              <wp:positionV relativeFrom="page">
                <wp:posOffset>716915</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7.900000000000002pt;margin-top:56.450000000000003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4509770</wp:posOffset>
              </wp:positionH>
              <wp:positionV relativeFrom="page">
                <wp:posOffset>561975</wp:posOffset>
              </wp:positionV>
              <wp:extent cx="2328545" cy="106680"/>
              <wp:wrapNone/>
              <wp:docPr id="428" name="Shape 42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4" type="#_x0000_t202" style="position:absolute;margin-left:355.10000000000002pt;margin-top:44.25pt;width:183.34999999999999pt;height:8.4000000000000004pt;z-index:-18874371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430" name="Shape 4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4509770</wp:posOffset>
              </wp:positionH>
              <wp:positionV relativeFrom="page">
                <wp:posOffset>561975</wp:posOffset>
              </wp:positionV>
              <wp:extent cx="2328545" cy="106680"/>
              <wp:wrapNone/>
              <wp:docPr id="437" name="Shape 43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3" type="#_x0000_t202" style="position:absolute;margin-left:355.10000000000002pt;margin-top:44.25pt;width:183.34999999999999pt;height:8.4000000000000004pt;z-index:-18874370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439" name="Shape 4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4509770</wp:posOffset>
              </wp:positionH>
              <wp:positionV relativeFrom="page">
                <wp:posOffset>561975</wp:posOffset>
              </wp:positionV>
              <wp:extent cx="2328545" cy="106680"/>
              <wp:wrapNone/>
              <wp:docPr id="446" name="Shape 44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72" type="#_x0000_t202" style="position:absolute;margin-left:355.10000000000002pt;margin-top:44.25pt;width:183.34999999999999pt;height:8.4000000000000004pt;z-index:-18874369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448" name="Shape 4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4509770</wp:posOffset>
              </wp:positionH>
              <wp:positionV relativeFrom="page">
                <wp:posOffset>561975</wp:posOffset>
              </wp:positionV>
              <wp:extent cx="2328545" cy="106680"/>
              <wp:wrapNone/>
              <wp:docPr id="455" name="Shape 45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1" type="#_x0000_t202" style="position:absolute;margin-left:355.10000000000002pt;margin-top:44.25pt;width:183.34999999999999pt;height:8.4000000000000004pt;z-index:-18874369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457" name="Shape 4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4509770</wp:posOffset>
              </wp:positionH>
              <wp:positionV relativeFrom="page">
                <wp:posOffset>564515</wp:posOffset>
              </wp:positionV>
              <wp:extent cx="2328545" cy="106680"/>
              <wp:wrapNone/>
              <wp:docPr id="464" name="Shape 46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0" type="#_x0000_t202" style="position:absolute;margin-left:355.10000000000002pt;margin-top:44.450000000000003pt;width:183.34999999999999pt;height:8.4000000000000004pt;z-index:-18874368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466" name="Shape 4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4164330</wp:posOffset>
              </wp:positionH>
              <wp:positionV relativeFrom="page">
                <wp:posOffset>288925</wp:posOffset>
              </wp:positionV>
              <wp:extent cx="2328545" cy="106680"/>
              <wp:wrapNone/>
              <wp:docPr id="471" name="Shape 47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97" type="#_x0000_t202" style="position:absolute;margin-left:327.90000000000003pt;margin-top:22.75pt;width:183.34999999999999pt;height:8.4000000000000004pt;z-index:-1887436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430530</wp:posOffset>
              </wp:positionV>
              <wp:extent cx="6163310" cy="0"/>
              <wp:wrapNone/>
              <wp:docPr id="473" name="Shape 4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33.899999999999999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4164330</wp:posOffset>
              </wp:positionH>
              <wp:positionV relativeFrom="page">
                <wp:posOffset>288925</wp:posOffset>
              </wp:positionV>
              <wp:extent cx="2328545" cy="106680"/>
              <wp:wrapNone/>
              <wp:docPr id="478" name="Shape 47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04" type="#_x0000_t202" style="position:absolute;margin-left:327.90000000000003pt;margin-top:22.75pt;width:183.34999999999999pt;height:8.4000000000000004pt;z-index:-1887436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430530</wp:posOffset>
              </wp:positionV>
              <wp:extent cx="6163310" cy="0"/>
              <wp:wrapNone/>
              <wp:docPr id="480" name="Shape 4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33.899999999999999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4509770</wp:posOffset>
              </wp:positionH>
              <wp:positionV relativeFrom="page">
                <wp:posOffset>561975</wp:posOffset>
              </wp:positionV>
              <wp:extent cx="2328545" cy="106680"/>
              <wp:wrapNone/>
              <wp:docPr id="485" name="Shape 48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1" type="#_x0000_t202" style="position:absolute;margin-left:355.10000000000002pt;margin-top:44.25pt;width:183.34999999999999pt;height:8.4000000000000004pt;z-index:-1887436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487" name="Shape 4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4509770</wp:posOffset>
              </wp:positionH>
              <wp:positionV relativeFrom="page">
                <wp:posOffset>561975</wp:posOffset>
              </wp:positionV>
              <wp:extent cx="2328545" cy="106680"/>
              <wp:wrapNone/>
              <wp:docPr id="494" name="Shape 49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0" type="#_x0000_t202" style="position:absolute;margin-left:355.10000000000002pt;margin-top:44.25pt;width:183.34999999999999pt;height:8.4000000000000004pt;z-index:-18874365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496" name="Shape 4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4499610</wp:posOffset>
              </wp:positionH>
              <wp:positionV relativeFrom="page">
                <wp:posOffset>564515</wp:posOffset>
              </wp:positionV>
              <wp:extent cx="2328545" cy="106680"/>
              <wp:wrapNone/>
              <wp:docPr id="504" name="Shape 50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30" type="#_x0000_t202" style="position:absolute;margin-left:354.30000000000001pt;margin-top:44.450000000000003pt;width:183.34999999999999pt;height:8.4000000000000004pt;z-index:-1887436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06" name="Shape 5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4164330</wp:posOffset>
              </wp:positionH>
              <wp:positionV relativeFrom="page">
                <wp:posOffset>575310</wp:posOffset>
              </wp:positionV>
              <wp:extent cx="2328545" cy="106680"/>
              <wp:wrapNone/>
              <wp:docPr id="38" name="Shape 3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4" type="#_x0000_t202" style="position:absolute;margin-left:327.90000000000003pt;margin-top:45.300000000000004pt;width:183.34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4499610</wp:posOffset>
              </wp:positionH>
              <wp:positionV relativeFrom="page">
                <wp:posOffset>564515</wp:posOffset>
              </wp:positionV>
              <wp:extent cx="2328545" cy="106680"/>
              <wp:wrapNone/>
              <wp:docPr id="509" name="Shape 50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35" type="#_x0000_t202" style="position:absolute;margin-left:354.30000000000001pt;margin-top:44.450000000000003pt;width:183.34999999999999pt;height:8.4000000000000004pt;z-index:-1887436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11" name="Shape 5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4509770</wp:posOffset>
              </wp:positionH>
              <wp:positionV relativeFrom="page">
                <wp:posOffset>561975</wp:posOffset>
              </wp:positionV>
              <wp:extent cx="2328545" cy="106680"/>
              <wp:wrapNone/>
              <wp:docPr id="514" name="Shape 51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40" type="#_x0000_t202" style="position:absolute;margin-left:355.10000000000002pt;margin-top:44.25pt;width:183.34999999999999pt;height:8.4000000000000004pt;z-index:-1887436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516" name="Shape 5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4509770</wp:posOffset>
              </wp:positionH>
              <wp:positionV relativeFrom="page">
                <wp:posOffset>561975</wp:posOffset>
              </wp:positionV>
              <wp:extent cx="2328545" cy="106680"/>
              <wp:wrapNone/>
              <wp:docPr id="523" name="Shape 52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49" type="#_x0000_t202" style="position:absolute;margin-left:355.10000000000002pt;margin-top:44.25pt;width:183.34999999999999pt;height:8.4000000000000004pt;z-index:-1887436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525" name="Shape 5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4497070</wp:posOffset>
              </wp:positionH>
              <wp:positionV relativeFrom="page">
                <wp:posOffset>564515</wp:posOffset>
              </wp:positionV>
              <wp:extent cx="2328545" cy="106680"/>
              <wp:wrapNone/>
              <wp:docPr id="532" name="Shape 53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58" type="#_x0000_t202" style="position:absolute;margin-left:354.10000000000002pt;margin-top:44.450000000000003pt;width:183.34999999999999pt;height:8.4000000000000004pt;z-index:-1887436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534" name="Shape 5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4509770</wp:posOffset>
              </wp:positionH>
              <wp:positionV relativeFrom="page">
                <wp:posOffset>561975</wp:posOffset>
              </wp:positionV>
              <wp:extent cx="2328545" cy="106680"/>
              <wp:wrapNone/>
              <wp:docPr id="541" name="Shape 54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7" type="#_x0000_t202" style="position:absolute;margin-left:355.10000000000002pt;margin-top:44.25pt;width:183.34999999999999pt;height:8.4000000000000004pt;z-index:-1887436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543" name="Shape 5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4509770</wp:posOffset>
              </wp:positionH>
              <wp:positionV relativeFrom="page">
                <wp:posOffset>561975</wp:posOffset>
              </wp:positionV>
              <wp:extent cx="2328545" cy="106680"/>
              <wp:wrapNone/>
              <wp:docPr id="550" name="Shape 55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6" type="#_x0000_t202" style="position:absolute;margin-left:355.10000000000002pt;margin-top:44.25pt;width:183.34999999999999pt;height:8.4000000000000004pt;z-index:-1887436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552" name="Shape 5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4509770</wp:posOffset>
              </wp:positionH>
              <wp:positionV relativeFrom="page">
                <wp:posOffset>561975</wp:posOffset>
              </wp:positionV>
              <wp:extent cx="2328545" cy="106680"/>
              <wp:wrapNone/>
              <wp:docPr id="559" name="Shape 55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5" type="#_x0000_t202" style="position:absolute;margin-left:355.10000000000002pt;margin-top:44.25pt;width:183.34999999999999pt;height:8.4000000000000004pt;z-index:-1887436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561" name="Shape 5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4484370</wp:posOffset>
              </wp:positionH>
              <wp:positionV relativeFrom="page">
                <wp:posOffset>564515</wp:posOffset>
              </wp:positionV>
              <wp:extent cx="2328545" cy="106680"/>
              <wp:wrapNone/>
              <wp:docPr id="568" name="Shape 56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4" type="#_x0000_t202" style="position:absolute;margin-left:353.10000000000002pt;margin-top:44.450000000000003pt;width:183.34999999999999pt;height:8.4000000000000004pt;z-index:-1887435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570" name="Shape 5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4499610</wp:posOffset>
              </wp:positionH>
              <wp:positionV relativeFrom="page">
                <wp:posOffset>564515</wp:posOffset>
              </wp:positionV>
              <wp:extent cx="2328545" cy="106680"/>
              <wp:wrapNone/>
              <wp:docPr id="575" name="Shape 57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01" type="#_x0000_t202" style="position:absolute;margin-left:354.30000000000001pt;margin-top:44.450000000000003pt;width:183.34999999999999pt;height:8.4000000000000004pt;z-index:-1887435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77" name="Shape 5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4499610</wp:posOffset>
              </wp:positionH>
              <wp:positionV relativeFrom="page">
                <wp:posOffset>564515</wp:posOffset>
              </wp:positionV>
              <wp:extent cx="2328545" cy="106680"/>
              <wp:wrapNone/>
              <wp:docPr id="580" name="Shape 58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06" type="#_x0000_t202" style="position:absolute;margin-left:354.30000000000001pt;margin-top:44.450000000000003pt;width:183.34999999999999pt;height:8.4000000000000004pt;z-index:-1887435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82" name="Shape 5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4164330</wp:posOffset>
              </wp:positionH>
              <wp:positionV relativeFrom="page">
                <wp:posOffset>288925</wp:posOffset>
              </wp:positionV>
              <wp:extent cx="2328545" cy="106680"/>
              <wp:wrapNone/>
              <wp:docPr id="45" name="Shape 4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1" type="#_x0000_t202" style="position:absolute;margin-left:327.90000000000003pt;margin-top:22.75pt;width:183.3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430530</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33.899999999999999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4465320</wp:posOffset>
              </wp:positionH>
              <wp:positionV relativeFrom="page">
                <wp:posOffset>564515</wp:posOffset>
              </wp:positionV>
              <wp:extent cx="2328545" cy="106680"/>
              <wp:wrapNone/>
              <wp:docPr id="585" name="Shape 58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11" type="#_x0000_t202" style="position:absolute;margin-left:351.60000000000002pt;margin-top:44.450000000000003pt;width:183.34999999999999pt;height:8.4000000000000004pt;z-index:-18874357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706120</wp:posOffset>
              </wp:positionV>
              <wp:extent cx="6163310" cy="0"/>
              <wp:wrapNone/>
              <wp:docPr id="587" name="Shape 5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50000000000001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4465320</wp:posOffset>
              </wp:positionH>
              <wp:positionV relativeFrom="page">
                <wp:posOffset>564515</wp:posOffset>
              </wp:positionV>
              <wp:extent cx="2328545" cy="106680"/>
              <wp:wrapNone/>
              <wp:docPr id="592" name="Shape 59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18" type="#_x0000_t202" style="position:absolute;margin-left:351.60000000000002pt;margin-top:44.450000000000003pt;width:183.34999999999999pt;height:8.4000000000000004pt;z-index:-1887435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706120</wp:posOffset>
              </wp:positionV>
              <wp:extent cx="6163310" cy="0"/>
              <wp:wrapNone/>
              <wp:docPr id="594" name="Shape 5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50000000000001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4509770</wp:posOffset>
              </wp:positionH>
              <wp:positionV relativeFrom="page">
                <wp:posOffset>561975</wp:posOffset>
              </wp:positionV>
              <wp:extent cx="2328545" cy="106680"/>
              <wp:wrapNone/>
              <wp:docPr id="599" name="Shape 59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25" type="#_x0000_t202" style="position:absolute;margin-left:355.10000000000002pt;margin-top:44.25pt;width:183.34999999999999pt;height:8.4000000000000004pt;z-index:-18874356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601" name="Shape 6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4515485</wp:posOffset>
              </wp:positionH>
              <wp:positionV relativeFrom="page">
                <wp:posOffset>564515</wp:posOffset>
              </wp:positionV>
              <wp:extent cx="2328545" cy="106680"/>
              <wp:wrapNone/>
              <wp:docPr id="608" name="Shape 60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34" type="#_x0000_t202" style="position:absolute;margin-left:355.55000000000001pt;margin-top:44.450000000000003pt;width:183.34999999999999pt;height:8.4000000000000004pt;z-index:-18874355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706120</wp:posOffset>
              </wp:positionV>
              <wp:extent cx="6163310" cy="0"/>
              <wp:wrapNone/>
              <wp:docPr id="610" name="Shape 6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4515485</wp:posOffset>
              </wp:positionH>
              <wp:positionV relativeFrom="page">
                <wp:posOffset>564515</wp:posOffset>
              </wp:positionV>
              <wp:extent cx="2328545" cy="106680"/>
              <wp:wrapNone/>
              <wp:docPr id="617" name="Shape 61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43" type="#_x0000_t202" style="position:absolute;margin-left:355.55000000000001pt;margin-top:44.450000000000003pt;width:183.34999999999999pt;height:8.4000000000000004pt;z-index:-18874355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706120</wp:posOffset>
              </wp:positionV>
              <wp:extent cx="6163310" cy="0"/>
              <wp:wrapNone/>
              <wp:docPr id="619" name="Shape 6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4509770</wp:posOffset>
              </wp:positionH>
              <wp:positionV relativeFrom="page">
                <wp:posOffset>561975</wp:posOffset>
              </wp:positionV>
              <wp:extent cx="2328545" cy="106680"/>
              <wp:wrapNone/>
              <wp:docPr id="626" name="Shape 62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52" type="#_x0000_t202" style="position:absolute;margin-left:355.10000000000002pt;margin-top:44.25pt;width:183.34999999999999pt;height:8.4000000000000004pt;z-index:-18874354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628" name="Shape 6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4509770</wp:posOffset>
              </wp:positionH>
              <wp:positionV relativeFrom="page">
                <wp:posOffset>561975</wp:posOffset>
              </wp:positionV>
              <wp:extent cx="2328545" cy="106680"/>
              <wp:wrapNone/>
              <wp:docPr id="635" name="Shape 63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1" type="#_x0000_t202" style="position:absolute;margin-left:355.10000000000002pt;margin-top:44.25pt;width:183.34999999999999pt;height:8.4000000000000004pt;z-index:-18874353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637" name="Shape 6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4519930</wp:posOffset>
              </wp:positionH>
              <wp:positionV relativeFrom="page">
                <wp:posOffset>564515</wp:posOffset>
              </wp:positionV>
              <wp:extent cx="2328545" cy="106680"/>
              <wp:wrapNone/>
              <wp:docPr id="644" name="Shape 64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70" type="#_x0000_t202" style="position:absolute;margin-left:355.90000000000003pt;margin-top:44.450000000000003pt;width:183.34999999999999pt;height:8.4000000000000004pt;z-index:-18874352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706120</wp:posOffset>
              </wp:positionV>
              <wp:extent cx="6163310" cy="0"/>
              <wp:wrapNone/>
              <wp:docPr id="646" name="Shape 6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49999999999999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4509770</wp:posOffset>
              </wp:positionH>
              <wp:positionV relativeFrom="page">
                <wp:posOffset>561975</wp:posOffset>
              </wp:positionV>
              <wp:extent cx="2328545" cy="106680"/>
              <wp:wrapNone/>
              <wp:docPr id="654" name="Shape 65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0" type="#_x0000_t202" style="position:absolute;margin-left:355.10000000000002pt;margin-top:44.25pt;width:183.34999999999999pt;height:8.4000000000000004pt;z-index:-18874351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656" name="Shape 6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4509770</wp:posOffset>
              </wp:positionH>
              <wp:positionV relativeFrom="page">
                <wp:posOffset>561975</wp:posOffset>
              </wp:positionV>
              <wp:extent cx="2328545" cy="106680"/>
              <wp:wrapNone/>
              <wp:docPr id="663" name="Shape 66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9" type="#_x0000_t202" style="position:absolute;margin-left:355.10000000000002pt;margin-top:44.25pt;width:183.34999999999999pt;height:8.4000000000000004pt;z-index:-18874351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665" name="Shape 6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4164330</wp:posOffset>
              </wp:positionH>
              <wp:positionV relativeFrom="page">
                <wp:posOffset>288925</wp:posOffset>
              </wp:positionV>
              <wp:extent cx="2328545" cy="106680"/>
              <wp:wrapNone/>
              <wp:docPr id="52" name="Shape 5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8" type="#_x0000_t202" style="position:absolute;margin-left:327.90000000000003pt;margin-top:22.75pt;width:183.34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430530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33.899999999999999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4509770</wp:posOffset>
              </wp:positionH>
              <wp:positionV relativeFrom="page">
                <wp:posOffset>561975</wp:posOffset>
              </wp:positionV>
              <wp:extent cx="2328545" cy="106680"/>
              <wp:wrapNone/>
              <wp:docPr id="680" name="Shape 68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06" type="#_x0000_t202" style="position:absolute;margin-left:355.10000000000002pt;margin-top:44.25pt;width:183.34999999999999pt;height:8.4000000000000004pt;z-index:-18874350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682" name="Shape 6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4509770</wp:posOffset>
              </wp:positionH>
              <wp:positionV relativeFrom="page">
                <wp:posOffset>561975</wp:posOffset>
              </wp:positionV>
              <wp:extent cx="2328545" cy="106680"/>
              <wp:wrapNone/>
              <wp:docPr id="689" name="Shape 68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15" type="#_x0000_t202" style="position:absolute;margin-left:355.10000000000002pt;margin-top:44.25pt;width:183.34999999999999pt;height:8.4000000000000004pt;z-index:-18874349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691" name="Shape 6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4492625</wp:posOffset>
              </wp:positionH>
              <wp:positionV relativeFrom="page">
                <wp:posOffset>564515</wp:posOffset>
              </wp:positionV>
              <wp:extent cx="2328545" cy="106680"/>
              <wp:wrapNone/>
              <wp:docPr id="698" name="Shape 69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24" type="#_x0000_t202" style="position:absolute;margin-left:353.75pt;margin-top:44.450000000000003pt;width:183.34999999999999pt;height:8.4000000000000004pt;z-index:-18874348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700" name="Shape 7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4491355</wp:posOffset>
              </wp:positionH>
              <wp:positionV relativeFrom="page">
                <wp:posOffset>564515</wp:posOffset>
              </wp:positionV>
              <wp:extent cx="2328545" cy="106680"/>
              <wp:wrapNone/>
              <wp:docPr id="741" name="Shape 74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67" type="#_x0000_t202" style="position:absolute;margin-left:353.65000000000003pt;margin-top:44.450000000000003pt;width:183.34999999999999pt;height:8.4000000000000004pt;z-index:-18874348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743" name="Shape 7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4492625</wp:posOffset>
              </wp:positionH>
              <wp:positionV relativeFrom="page">
                <wp:posOffset>564515</wp:posOffset>
              </wp:positionV>
              <wp:extent cx="2328545" cy="106680"/>
              <wp:wrapNone/>
              <wp:docPr id="750" name="Shape 75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76" type="#_x0000_t202" style="position:absolute;margin-left:353.75pt;margin-top:44.450000000000003pt;width:183.34999999999999pt;height:8.4000000000000004pt;z-index:-1887434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752" name="Shape 7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4491355</wp:posOffset>
              </wp:positionH>
              <wp:positionV relativeFrom="page">
                <wp:posOffset>564515</wp:posOffset>
              </wp:positionV>
              <wp:extent cx="2328545" cy="106680"/>
              <wp:wrapNone/>
              <wp:docPr id="757" name="Shape 75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83" type="#_x0000_t202" style="position:absolute;margin-left:353.65000000000003pt;margin-top:44.450000000000003pt;width:183.34999999999999pt;height:8.4000000000000004pt;z-index:-18874346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759" name="Shape 7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4509770</wp:posOffset>
              </wp:positionH>
              <wp:positionV relativeFrom="page">
                <wp:posOffset>561975</wp:posOffset>
              </wp:positionV>
              <wp:extent cx="2328545" cy="106680"/>
              <wp:wrapNone/>
              <wp:docPr id="766" name="Shape 766"/>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92" type="#_x0000_t202" style="position:absolute;margin-left:355.10000000000002pt;margin-top:44.25pt;width:183.34999999999999pt;height:8.4000000000000004pt;z-index:-18874345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768" name="Shape 7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4509770</wp:posOffset>
              </wp:positionH>
              <wp:positionV relativeFrom="page">
                <wp:posOffset>561975</wp:posOffset>
              </wp:positionV>
              <wp:extent cx="2328545" cy="106680"/>
              <wp:wrapNone/>
              <wp:docPr id="775" name="Shape 775"/>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01" type="#_x0000_t202" style="position:absolute;margin-left:355.10000000000002pt;margin-top:44.25pt;width:183.34999999999999pt;height:8.4000000000000004pt;z-index:-18874345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777" name="Shape 7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4509770</wp:posOffset>
              </wp:positionH>
              <wp:positionV relativeFrom="page">
                <wp:posOffset>561975</wp:posOffset>
              </wp:positionV>
              <wp:extent cx="2328545" cy="106680"/>
              <wp:wrapNone/>
              <wp:docPr id="784" name="Shape 78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10" type="#_x0000_t202" style="position:absolute;margin-left:355.10000000000002pt;margin-top:44.25pt;width:183.34999999999999pt;height:8.4000000000000004pt;z-index:-18874344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786" name="Shape 7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4491355</wp:posOffset>
              </wp:positionH>
              <wp:positionV relativeFrom="page">
                <wp:posOffset>564515</wp:posOffset>
              </wp:positionV>
              <wp:extent cx="2328545" cy="106680"/>
              <wp:wrapNone/>
              <wp:docPr id="793" name="Shape 79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19" type="#_x0000_t202" style="position:absolute;margin-left:353.65000000000003pt;margin-top:44.450000000000003pt;width:183.34999999999999pt;height:8.4000000000000004pt;z-index:-18874343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795" name="Shape 7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4164330</wp:posOffset>
              </wp:positionH>
              <wp:positionV relativeFrom="page">
                <wp:posOffset>564515</wp:posOffset>
              </wp:positionV>
              <wp:extent cx="2328545" cy="106680"/>
              <wp:wrapNone/>
              <wp:docPr id="59" name="Shape 5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5" type="#_x0000_t202" style="position:absolute;margin-left:327.90000000000003pt;margin-top:44.450000000000003pt;width:183.3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高伟达软件股份有限公司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356870</wp:posOffset>
              </wp:positionH>
              <wp:positionV relativeFrom="page">
                <wp:posOffset>716915</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100000000000001pt;margin-top:56.450000000000003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4509770</wp:posOffset>
              </wp:positionH>
              <wp:positionV relativeFrom="page">
                <wp:posOffset>561975</wp:posOffset>
              </wp:positionV>
              <wp:extent cx="2328545" cy="106680"/>
              <wp:wrapNone/>
              <wp:docPr id="802" name="Shape 80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28" type="#_x0000_t202" style="position:absolute;margin-left:355.10000000000002pt;margin-top:44.25pt;width:183.34999999999999pt;height:8.4000000000000004pt;z-index:-18874342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804" name="Shape 8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4509770</wp:posOffset>
              </wp:positionH>
              <wp:positionV relativeFrom="page">
                <wp:posOffset>561975</wp:posOffset>
              </wp:positionV>
              <wp:extent cx="2328545" cy="106680"/>
              <wp:wrapNone/>
              <wp:docPr id="811" name="Shape 81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37" type="#_x0000_t202" style="position:absolute;margin-left:355.10000000000002pt;margin-top:44.25pt;width:183.34999999999999pt;height:8.4000000000000004pt;z-index:-18874341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813" name="Shape 8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2" behindDoc="1" locked="0" layoutInCell="1" allowOverlap="1">
              <wp:simplePos x="0" y="0"/>
              <wp:positionH relativeFrom="page">
                <wp:posOffset>4509770</wp:posOffset>
              </wp:positionH>
              <wp:positionV relativeFrom="page">
                <wp:posOffset>561975</wp:posOffset>
              </wp:positionV>
              <wp:extent cx="2328545" cy="106680"/>
              <wp:wrapNone/>
              <wp:docPr id="820" name="Shape 820"/>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46" type="#_x0000_t202" style="position:absolute;margin-left:355.10000000000002pt;margin-top:44.25pt;width:183.34999999999999pt;height:8.4000000000000004pt;z-index:-18874341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822" name="Shape 8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4509770</wp:posOffset>
              </wp:positionH>
              <wp:positionV relativeFrom="page">
                <wp:posOffset>561975</wp:posOffset>
              </wp:positionV>
              <wp:extent cx="2328545" cy="106680"/>
              <wp:wrapNone/>
              <wp:docPr id="829" name="Shape 82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55" type="#_x0000_t202" style="position:absolute;margin-left:355.10000000000002pt;margin-top:44.25pt;width:183.34999999999999pt;height:8.4000000000000004pt;z-index:-18874340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831" name="Shape 8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8" behindDoc="1" locked="0" layoutInCell="1" allowOverlap="1">
              <wp:simplePos x="0" y="0"/>
              <wp:positionH relativeFrom="page">
                <wp:posOffset>4491355</wp:posOffset>
              </wp:positionH>
              <wp:positionV relativeFrom="page">
                <wp:posOffset>564515</wp:posOffset>
              </wp:positionV>
              <wp:extent cx="2328545" cy="106680"/>
              <wp:wrapNone/>
              <wp:docPr id="838" name="Shape 83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64" type="#_x0000_t202" style="position:absolute;margin-left:353.65000000000003pt;margin-top:44.450000000000003pt;width:183.34999999999999pt;height:8.4000000000000004pt;z-index:-18874339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840" name="Shape 8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4492625</wp:posOffset>
              </wp:positionH>
              <wp:positionV relativeFrom="page">
                <wp:posOffset>564515</wp:posOffset>
              </wp:positionV>
              <wp:extent cx="2328545" cy="106680"/>
              <wp:wrapNone/>
              <wp:docPr id="847" name="Shape 84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73" type="#_x0000_t202" style="position:absolute;margin-left:353.75pt;margin-top:44.450000000000003pt;width:183.34999999999999pt;height:8.4000000000000004pt;z-index:-18874338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849" name="Shape 8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4492625</wp:posOffset>
              </wp:positionH>
              <wp:positionV relativeFrom="page">
                <wp:posOffset>564515</wp:posOffset>
              </wp:positionV>
              <wp:extent cx="2328545" cy="106680"/>
              <wp:wrapNone/>
              <wp:docPr id="854" name="Shape 85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80" type="#_x0000_t202" style="position:absolute;margin-left:353.75pt;margin-top:44.450000000000003pt;width:183.34999999999999pt;height:8.4000000000000004pt;z-index:-18874338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856" name="Shape 8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4509770</wp:posOffset>
              </wp:positionH>
              <wp:positionV relativeFrom="page">
                <wp:posOffset>561975</wp:posOffset>
              </wp:positionV>
              <wp:extent cx="2328545" cy="106680"/>
              <wp:wrapNone/>
              <wp:docPr id="899" name="Shape 89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25" type="#_x0000_t202" style="position:absolute;margin-left:355.10000000000002pt;margin-top:44.25pt;width:183.34999999999999pt;height:8.4000000000000004pt;z-index:-18874337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901" name="Shape 9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4509770</wp:posOffset>
              </wp:positionH>
              <wp:positionV relativeFrom="page">
                <wp:posOffset>561975</wp:posOffset>
              </wp:positionV>
              <wp:extent cx="2328545" cy="106680"/>
              <wp:wrapNone/>
              <wp:docPr id="908" name="Shape 90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34" type="#_x0000_t202" style="position:absolute;margin-left:355.10000000000002pt;margin-top:44.25pt;width:183.34999999999999pt;height:8.4000000000000004pt;z-index:-18874336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910" name="Shape 9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4" behindDoc="1" locked="0" layoutInCell="1" allowOverlap="1">
              <wp:simplePos x="0" y="0"/>
              <wp:positionH relativeFrom="page">
                <wp:posOffset>4509770</wp:posOffset>
              </wp:positionH>
              <wp:positionV relativeFrom="page">
                <wp:posOffset>561975</wp:posOffset>
              </wp:positionV>
              <wp:extent cx="2328545" cy="106680"/>
              <wp:wrapNone/>
              <wp:docPr id="917" name="Shape 91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43" type="#_x0000_t202" style="position:absolute;margin-left:355.10000000000002pt;margin-top:44.25pt;width:183.34999999999999pt;height:8.4000000000000004pt;z-index:-18874335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高伟达软件股份有限公司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919" name="Shape 9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8"/>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7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3"/>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标题 #1_"/>
    <w:basedOn w:val="DefaultParagraphFont"/>
    <w:link w:val="Style7"/>
    <w:rPr>
      <w:rFonts w:ascii="SimHei" w:eastAsia="SimHei" w:hAnsi="SimHei" w:cs="SimHei"/>
      <w:b w:val="0"/>
      <w:bCs w:val="0"/>
      <w:i w:val="0"/>
      <w:iCs w:val="0"/>
      <w:smallCaps w:val="0"/>
      <w:strike w:val="0"/>
      <w:color w:val="2B2423"/>
      <w:sz w:val="32"/>
      <w:szCs w:val="32"/>
      <w:u w:val="none"/>
      <w:shd w:val="clear" w:color="auto" w:fill="auto"/>
    </w:rPr>
  </w:style>
  <w:style w:type="character" w:customStyle="1" w:styleId="CharStyle10">
    <w:name w:val="其他_"/>
    <w:basedOn w:val="DefaultParagraphFont"/>
    <w:link w:val="Style9"/>
    <w:rPr>
      <w:rFonts w:ascii="SimSun" w:eastAsia="SimSun" w:hAnsi="SimSun" w:cs="SimSun"/>
      <w:b w:val="0"/>
      <w:bCs w:val="0"/>
      <w:i w:val="0"/>
      <w:iCs w:val="0"/>
      <w:smallCaps w:val="0"/>
      <w:strike w:val="0"/>
      <w:sz w:val="18"/>
      <w:szCs w:val="18"/>
      <w:u w:val="none"/>
      <w:shd w:val="clear" w:color="auto" w:fill="auto"/>
    </w:rPr>
  </w:style>
  <w:style w:type="character" w:customStyle="1" w:styleId="CharStyle14">
    <w:name w:val="标题 #2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8">
    <w:name w:val="标题 #3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正文文本 (3)_"/>
    <w:basedOn w:val="DefaultParagraphFont"/>
    <w:link w:val="Style20"/>
    <w:rPr>
      <w:rFonts w:ascii="SimHei" w:eastAsia="SimHei" w:hAnsi="SimHei" w:cs="SimHei"/>
      <w:b w:val="0"/>
      <w:bCs w:val="0"/>
      <w:i w:val="0"/>
      <w:iCs w:val="0"/>
      <w:smallCaps w:val="0"/>
      <w:strike w:val="0"/>
      <w:color w:val="A2A2A2"/>
      <w:sz w:val="12"/>
      <w:szCs w:val="12"/>
      <w:u w:val="none"/>
      <w:shd w:val="clear" w:color="auto" w:fill="auto"/>
    </w:rPr>
  </w:style>
  <w:style w:type="character" w:customStyle="1" w:styleId="CharStyle23">
    <w:name w:val="正文文本 (2)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30">
    <w:name w:val="目录_"/>
    <w:basedOn w:val="DefaultParagraphFont"/>
    <w:link w:val="Style29"/>
    <w:rPr>
      <w:rFonts w:ascii="SimSun" w:eastAsia="SimSun" w:hAnsi="SimSun" w:cs="SimSun"/>
      <w:b w:val="0"/>
      <w:bCs w:val="0"/>
      <w:i w:val="0"/>
      <w:iCs w:val="0"/>
      <w:smallCaps w:val="0"/>
      <w:strike w:val="0"/>
      <w:sz w:val="28"/>
      <w:szCs w:val="28"/>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6">
    <w:name w:val="表格标题_"/>
    <w:basedOn w:val="DefaultParagraphFont"/>
    <w:link w:val="Style45"/>
    <w:rPr>
      <w:rFonts w:ascii="SimSun" w:eastAsia="SimSun" w:hAnsi="SimSun" w:cs="SimSun"/>
      <w:b w:val="0"/>
      <w:bCs w:val="0"/>
      <w:i w:val="0"/>
      <w:iCs w:val="0"/>
      <w:smallCaps w:val="0"/>
      <w:strike w:val="0"/>
      <w:sz w:val="18"/>
      <w:szCs w:val="18"/>
      <w:u w:val="none"/>
      <w:shd w:val="clear" w:color="auto" w:fill="auto"/>
    </w:rPr>
  </w:style>
  <w:style w:type="character" w:customStyle="1" w:styleId="CharStyle55">
    <w:name w:val="页眉或页脚_"/>
    <w:basedOn w:val="DefaultParagraphFont"/>
    <w:link w:val="Style54"/>
    <w:rPr>
      <w:rFonts w:ascii="SimSun" w:eastAsia="SimSun" w:hAnsi="SimSun" w:cs="SimSun"/>
      <w:b w:val="0"/>
      <w:bCs w:val="0"/>
      <w:i w:val="0"/>
      <w:iCs w:val="0"/>
      <w:smallCaps w:val="0"/>
      <w:strike w:val="0"/>
      <w:sz w:val="18"/>
      <w:szCs w:val="18"/>
      <w:u w:val="none"/>
      <w:shd w:val="clear" w:color="auto" w:fill="auto"/>
    </w:rPr>
  </w:style>
  <w:style w:type="character" w:customStyle="1" w:styleId="CharStyle61">
    <w:name w:val="正文文本 (8)_"/>
    <w:basedOn w:val="DefaultParagraphFont"/>
    <w:link w:val="Style60"/>
    <w:rPr>
      <w:rFonts w:ascii="SimSun" w:eastAsia="SimSun" w:hAnsi="SimSun" w:cs="SimSun"/>
      <w:b/>
      <w:bCs/>
      <w:i w:val="0"/>
      <w:iCs w:val="0"/>
      <w:smallCaps w:val="0"/>
      <w:strike w:val="0"/>
      <w:u w:val="none"/>
      <w:shd w:val="clear" w:color="auto" w:fill="auto"/>
    </w:rPr>
  </w:style>
  <w:style w:type="character" w:customStyle="1" w:styleId="CharStyle63">
    <w:name w:val="正文文本 (6)_"/>
    <w:basedOn w:val="DefaultParagraphFont"/>
    <w:link w:val="Style62"/>
    <w:rPr>
      <w:rFonts w:ascii="SimSun" w:eastAsia="SimSun" w:hAnsi="SimSun" w:cs="SimSun"/>
      <w:b/>
      <w:bCs/>
      <w:i w:val="0"/>
      <w:iCs w:val="0"/>
      <w:smallCaps w:val="0"/>
      <w:strike w:val="0"/>
      <w:sz w:val="20"/>
      <w:szCs w:val="20"/>
      <w:u w:val="none"/>
      <w:shd w:val="clear" w:color="auto" w:fill="auto"/>
    </w:rPr>
  </w:style>
  <w:style w:type="character" w:customStyle="1" w:styleId="CharStyle69">
    <w:name w:val="正文文本 (7)_"/>
    <w:basedOn w:val="DefaultParagraphFont"/>
    <w:link w:val="Style6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3">
    <w:name w:val="正文文本 (9)_"/>
    <w:basedOn w:val="DefaultParagraphFont"/>
    <w:link w:val="Style72"/>
    <w:rPr>
      <w:rFonts w:ascii="Arial" w:eastAsia="Arial" w:hAnsi="Arial" w:cs="Arial"/>
      <w:b/>
      <w:bCs/>
      <w:i w:val="0"/>
      <w:iCs w:val="0"/>
      <w:smallCaps w:val="0"/>
      <w:strike w:val="0"/>
      <w:color w:val="A2A2A2"/>
      <w:sz w:val="11"/>
      <w:szCs w:val="11"/>
      <w:u w:val="none"/>
      <w:shd w:val="clear" w:color="auto" w:fill="auto"/>
    </w:rPr>
  </w:style>
  <w:style w:type="character" w:customStyle="1" w:styleId="CharStyle78">
    <w:name w:val="图片标题_"/>
    <w:basedOn w:val="DefaultParagraphFont"/>
    <w:link w:val="Style77"/>
    <w:rPr>
      <w:rFonts w:ascii="Arial" w:eastAsia="Arial" w:hAnsi="Arial" w:cs="Arial"/>
      <w:b/>
      <w:bCs/>
      <w:i w:val="0"/>
      <w:iCs w:val="0"/>
      <w:smallCaps w:val="0"/>
      <w:strike w:val="0"/>
      <w:color w:val="A2A2A2"/>
      <w:sz w:val="11"/>
      <w:szCs w:val="11"/>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标题 #1"/>
    <w:basedOn w:val="Normal"/>
    <w:link w:val="CharStyle8"/>
    <w:pPr>
      <w:widowControl w:val="0"/>
      <w:shd w:val="clear" w:color="auto" w:fill="auto"/>
      <w:outlineLvl w:val="0"/>
    </w:pPr>
    <w:rPr>
      <w:rFonts w:ascii="SimHei" w:eastAsia="SimHei" w:hAnsi="SimHei" w:cs="SimHei"/>
      <w:b w:val="0"/>
      <w:bCs w:val="0"/>
      <w:i w:val="0"/>
      <w:iCs w:val="0"/>
      <w:smallCaps w:val="0"/>
      <w:strike w:val="0"/>
      <w:color w:val="2B2423"/>
      <w:sz w:val="32"/>
      <w:szCs w:val="32"/>
      <w:u w:val="none"/>
      <w:shd w:val="clear" w:color="auto" w:fill="auto"/>
    </w:rPr>
  </w:style>
  <w:style w:type="paragraph" w:customStyle="1" w:styleId="Style9">
    <w:name w:val="其他"/>
    <w:basedOn w:val="Normal"/>
    <w:link w:val="CharStyle10"/>
    <w:pPr>
      <w:widowControl w:val="0"/>
      <w:shd w:val="clear" w:color="auto" w:fill="auto"/>
      <w:spacing w:after="10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13">
    <w:name w:val="标题 #2"/>
    <w:basedOn w:val="Normal"/>
    <w:link w:val="CharStyle14"/>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标题 #3"/>
    <w:basedOn w:val="Normal"/>
    <w:link w:val="CharStyle18"/>
    <w:pPr>
      <w:widowControl w:val="0"/>
      <w:shd w:val="clear" w:color="auto" w:fill="auto"/>
      <w:spacing w:after="350"/>
      <w:outlineLvl w:val="2"/>
    </w:pPr>
    <w:rPr>
      <w:rFonts w:ascii="SimSun" w:eastAsia="SimSun" w:hAnsi="SimSun" w:cs="SimSun"/>
      <w:b/>
      <w:bCs/>
      <w:i w:val="0"/>
      <w:iCs w:val="0"/>
      <w:smallCaps w:val="0"/>
      <w:strike w:val="0"/>
      <w:u w:val="none"/>
      <w:shd w:val="clear" w:color="auto" w:fill="auto"/>
    </w:rPr>
  </w:style>
  <w:style w:type="paragraph" w:customStyle="1" w:styleId="Style20">
    <w:name w:val="正文文本 (3)"/>
    <w:basedOn w:val="Normal"/>
    <w:link w:val="CharStyle21"/>
    <w:pPr>
      <w:widowControl w:val="0"/>
      <w:shd w:val="clear" w:color="auto" w:fill="auto"/>
      <w:ind w:right="170"/>
      <w:jc w:val="right"/>
    </w:pPr>
    <w:rPr>
      <w:rFonts w:ascii="SimHei" w:eastAsia="SimHei" w:hAnsi="SimHei" w:cs="SimHei"/>
      <w:b w:val="0"/>
      <w:bCs w:val="0"/>
      <w:i w:val="0"/>
      <w:iCs w:val="0"/>
      <w:smallCaps w:val="0"/>
      <w:strike w:val="0"/>
      <w:color w:val="A2A2A2"/>
      <w:sz w:val="12"/>
      <w:szCs w:val="12"/>
      <w:u w:val="none"/>
      <w:shd w:val="clear" w:color="auto" w:fill="auto"/>
    </w:rPr>
  </w:style>
  <w:style w:type="paragraph" w:customStyle="1" w:styleId="Style22">
    <w:name w:val="正文文本 (2)"/>
    <w:basedOn w:val="Normal"/>
    <w:link w:val="CharStyle23"/>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9">
    <w:name w:val="目录"/>
    <w:basedOn w:val="Normal"/>
    <w:link w:val="CharStyle30"/>
    <w:pPr>
      <w:widowControl w:val="0"/>
      <w:shd w:val="clear" w:color="auto" w:fill="auto"/>
      <w:spacing w:after="320"/>
    </w:pPr>
    <w:rPr>
      <w:rFonts w:ascii="SimSun" w:eastAsia="SimSun" w:hAnsi="SimSun" w:cs="SimSun"/>
      <w:b w:val="0"/>
      <w:bCs w:val="0"/>
      <w:i w:val="0"/>
      <w:iCs w:val="0"/>
      <w:smallCaps w:val="0"/>
      <w:strike w:val="0"/>
      <w:sz w:val="28"/>
      <w:szCs w:val="28"/>
      <w:u w:val="none"/>
      <w:shd w:val="clear" w:color="auto" w:fill="auto"/>
    </w:rPr>
  </w:style>
  <w:style w:type="paragraph" w:customStyle="1" w:styleId="Style34">
    <w:name w:val="正文文本"/>
    <w:basedOn w:val="Normal"/>
    <w:link w:val="CharStyle35"/>
    <w:pPr>
      <w:widowControl w:val="0"/>
      <w:shd w:val="clear" w:color="auto" w:fill="auto"/>
      <w:spacing w:after="10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8">
    <w:name w:val="标题 #4"/>
    <w:basedOn w:val="Normal"/>
    <w:link w:val="CharStyle39"/>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表格标题"/>
    <w:basedOn w:val="Normal"/>
    <w:link w:val="CharStyle4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4">
    <w:name w:val="页眉或页脚"/>
    <w:basedOn w:val="Normal"/>
    <w:link w:val="CharStyle5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0">
    <w:name w:val="正文文本 (8)"/>
    <w:basedOn w:val="Normal"/>
    <w:link w:val="CharStyle61"/>
    <w:pPr>
      <w:widowControl w:val="0"/>
      <w:shd w:val="clear" w:color="auto" w:fill="auto"/>
    </w:pPr>
    <w:rPr>
      <w:rFonts w:ascii="SimSun" w:eastAsia="SimSun" w:hAnsi="SimSun" w:cs="SimSun"/>
      <w:b/>
      <w:bCs/>
      <w:i w:val="0"/>
      <w:iCs w:val="0"/>
      <w:smallCaps w:val="0"/>
      <w:strike w:val="0"/>
      <w:u w:val="none"/>
      <w:shd w:val="clear" w:color="auto" w:fill="auto"/>
    </w:rPr>
  </w:style>
  <w:style w:type="paragraph" w:customStyle="1" w:styleId="Style62">
    <w:name w:val="正文文本 (6)"/>
    <w:basedOn w:val="Normal"/>
    <w:link w:val="CharStyle63"/>
    <w:pPr>
      <w:widowControl w:val="0"/>
      <w:shd w:val="clear" w:color="auto" w:fill="auto"/>
      <w:spacing w:after="360"/>
      <w:ind w:firstLine="70"/>
    </w:pPr>
    <w:rPr>
      <w:rFonts w:ascii="SimSun" w:eastAsia="SimSun" w:hAnsi="SimSun" w:cs="SimSun"/>
      <w:b/>
      <w:bCs/>
      <w:i w:val="0"/>
      <w:iCs w:val="0"/>
      <w:smallCaps w:val="0"/>
      <w:strike w:val="0"/>
      <w:sz w:val="20"/>
      <w:szCs w:val="20"/>
      <w:u w:val="none"/>
      <w:shd w:val="clear" w:color="auto" w:fill="auto"/>
    </w:rPr>
  </w:style>
  <w:style w:type="paragraph" w:customStyle="1" w:styleId="Style68">
    <w:name w:val="正文文本 (7)"/>
    <w:basedOn w:val="Normal"/>
    <w:link w:val="CharStyle69"/>
    <w:pPr>
      <w:widowControl w:val="0"/>
      <w:shd w:val="clear" w:color="auto" w:fill="auto"/>
      <w:spacing w:line="499" w:lineRule="exact"/>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2">
    <w:name w:val="正文文本 (9)"/>
    <w:basedOn w:val="Normal"/>
    <w:link w:val="CharStyle73"/>
    <w:pPr>
      <w:widowControl w:val="0"/>
      <w:shd w:val="clear" w:color="auto" w:fill="auto"/>
      <w:jc w:val="right"/>
    </w:pPr>
    <w:rPr>
      <w:rFonts w:ascii="Arial" w:eastAsia="Arial" w:hAnsi="Arial" w:cs="Arial"/>
      <w:b/>
      <w:bCs/>
      <w:i w:val="0"/>
      <w:iCs w:val="0"/>
      <w:smallCaps w:val="0"/>
      <w:strike w:val="0"/>
      <w:color w:val="A2A2A2"/>
      <w:sz w:val="11"/>
      <w:szCs w:val="11"/>
      <w:u w:val="none"/>
      <w:shd w:val="clear" w:color="auto" w:fill="auto"/>
    </w:rPr>
  </w:style>
  <w:style w:type="paragraph" w:customStyle="1" w:styleId="Style77">
    <w:name w:val="图片标题"/>
    <w:basedOn w:val="Normal"/>
    <w:link w:val="CharStyle78"/>
    <w:pPr>
      <w:widowControl w:val="0"/>
      <w:shd w:val="clear" w:color="auto" w:fill="auto"/>
      <w:jc w:val="center"/>
    </w:pPr>
    <w:rPr>
      <w:rFonts w:ascii="Arial" w:eastAsia="Arial" w:hAnsi="Arial" w:cs="Arial"/>
      <w:b/>
      <w:bCs/>
      <w:i w:val="0"/>
      <w:iCs w:val="0"/>
      <w:smallCaps w:val="0"/>
      <w:strike w:val="0"/>
      <w:color w:val="A2A2A2"/>
      <w:sz w:val="11"/>
      <w:szCs w:val="11"/>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image" Target="media/image1.jpeg"/><Relationship Id="rId62" Type="http://schemas.openxmlformats.org/officeDocument/2006/relationships/image" Target="media/image1.jpeg" TargetMode="Externa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image" Target="media/image2.jpeg"/><Relationship Id="rId76" Type="http://schemas.openxmlformats.org/officeDocument/2006/relationships/image" Target="media/image2.jpeg" TargetMode="Externa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header" Target="header52.xml"/><Relationship Id="rId112" Type="http://schemas.openxmlformats.org/officeDocument/2006/relationships/footer" Target="footer52.xml"/><Relationship Id="rId113" Type="http://schemas.openxmlformats.org/officeDocument/2006/relationships/header" Target="header53.xml"/><Relationship Id="rId114" Type="http://schemas.openxmlformats.org/officeDocument/2006/relationships/footer" Target="footer53.xml"/><Relationship Id="rId115" Type="http://schemas.openxmlformats.org/officeDocument/2006/relationships/header" Target="header54.xml"/><Relationship Id="rId116" Type="http://schemas.openxmlformats.org/officeDocument/2006/relationships/footer" Target="footer54.xml"/><Relationship Id="rId117" Type="http://schemas.openxmlformats.org/officeDocument/2006/relationships/header" Target="header55.xml"/><Relationship Id="rId118" Type="http://schemas.openxmlformats.org/officeDocument/2006/relationships/footer" Target="footer55.xml"/><Relationship Id="rId119" Type="http://schemas.openxmlformats.org/officeDocument/2006/relationships/header" Target="header56.xml"/><Relationship Id="rId120" Type="http://schemas.openxmlformats.org/officeDocument/2006/relationships/footer" Target="footer56.xml"/><Relationship Id="rId121" Type="http://schemas.openxmlformats.org/officeDocument/2006/relationships/header" Target="header57.xml"/><Relationship Id="rId122" Type="http://schemas.openxmlformats.org/officeDocument/2006/relationships/footer" Target="footer57.xm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image" Target="media/image3.jpeg"/><Relationship Id="rId126" Type="http://schemas.openxmlformats.org/officeDocument/2006/relationships/image" Target="media/image3.jpeg" TargetMode="External"/><Relationship Id="rId127" Type="http://schemas.openxmlformats.org/officeDocument/2006/relationships/header" Target="header59.xml"/><Relationship Id="rId128" Type="http://schemas.openxmlformats.org/officeDocument/2006/relationships/footer" Target="footer59.xml"/><Relationship Id="rId129" Type="http://schemas.openxmlformats.org/officeDocument/2006/relationships/header" Target="header60.xml"/><Relationship Id="rId130" Type="http://schemas.openxmlformats.org/officeDocument/2006/relationships/footer" Target="footer60.xml"/><Relationship Id="rId131" Type="http://schemas.openxmlformats.org/officeDocument/2006/relationships/header" Target="header61.xml"/><Relationship Id="rId132" Type="http://schemas.openxmlformats.org/officeDocument/2006/relationships/footer" Target="footer61.xml"/><Relationship Id="rId133" Type="http://schemas.openxmlformats.org/officeDocument/2006/relationships/header" Target="header62.xml"/><Relationship Id="rId134" Type="http://schemas.openxmlformats.org/officeDocument/2006/relationships/footer" Target="footer62.xml"/><Relationship Id="rId135" Type="http://schemas.openxmlformats.org/officeDocument/2006/relationships/header" Target="header63.xml"/><Relationship Id="rId136" Type="http://schemas.openxmlformats.org/officeDocument/2006/relationships/footer" Target="footer63.xml"/><Relationship Id="rId137" Type="http://schemas.openxmlformats.org/officeDocument/2006/relationships/header" Target="header64.xml"/><Relationship Id="rId138" Type="http://schemas.openxmlformats.org/officeDocument/2006/relationships/footer" Target="footer64.xml"/><Relationship Id="rId139" Type="http://schemas.openxmlformats.org/officeDocument/2006/relationships/header" Target="header65.xml"/><Relationship Id="rId140" Type="http://schemas.openxmlformats.org/officeDocument/2006/relationships/footer" Target="footer65.xml"/><Relationship Id="rId141" Type="http://schemas.openxmlformats.org/officeDocument/2006/relationships/header" Target="header66.xml"/><Relationship Id="rId142" Type="http://schemas.openxmlformats.org/officeDocument/2006/relationships/footer" Target="footer66.xml"/><Relationship Id="rId143" Type="http://schemas.openxmlformats.org/officeDocument/2006/relationships/header" Target="header67.xml"/><Relationship Id="rId144" Type="http://schemas.openxmlformats.org/officeDocument/2006/relationships/footer" Target="footer67.xml"/><Relationship Id="rId145" Type="http://schemas.openxmlformats.org/officeDocument/2006/relationships/header" Target="header68.xml"/><Relationship Id="rId146" Type="http://schemas.openxmlformats.org/officeDocument/2006/relationships/footer" Target="footer68.xml"/><Relationship Id="rId147" Type="http://schemas.openxmlformats.org/officeDocument/2006/relationships/header" Target="header69.xml"/><Relationship Id="rId148" Type="http://schemas.openxmlformats.org/officeDocument/2006/relationships/footer" Target="footer69.xml"/><Relationship Id="rId149" Type="http://schemas.openxmlformats.org/officeDocument/2006/relationships/header" Target="header70.xml"/><Relationship Id="rId150" Type="http://schemas.openxmlformats.org/officeDocument/2006/relationships/footer" Target="footer70.xml"/><Relationship Id="rId151" Type="http://schemas.openxmlformats.org/officeDocument/2006/relationships/header" Target="header71.xml"/><Relationship Id="rId152" Type="http://schemas.openxmlformats.org/officeDocument/2006/relationships/footer" Target="footer71.xml"/><Relationship Id="rId153" Type="http://schemas.openxmlformats.org/officeDocument/2006/relationships/header" Target="header72.xml"/><Relationship Id="rId154" Type="http://schemas.openxmlformats.org/officeDocument/2006/relationships/footer" Target="footer72.xml"/><Relationship Id="rId155" Type="http://schemas.openxmlformats.org/officeDocument/2006/relationships/header" Target="header73.xml"/><Relationship Id="rId156" Type="http://schemas.openxmlformats.org/officeDocument/2006/relationships/footer" Target="footer73.xml"/><Relationship Id="rId157" Type="http://schemas.openxmlformats.org/officeDocument/2006/relationships/header" Target="header74.xml"/><Relationship Id="rId158" Type="http://schemas.openxmlformats.org/officeDocument/2006/relationships/footer" Target="footer74.xml"/><Relationship Id="rId159" Type="http://schemas.openxmlformats.org/officeDocument/2006/relationships/header" Target="header75.xml"/><Relationship Id="rId160" Type="http://schemas.openxmlformats.org/officeDocument/2006/relationships/footer" Target="footer75.xml"/><Relationship Id="rId161" Type="http://schemas.openxmlformats.org/officeDocument/2006/relationships/header" Target="header76.xml"/><Relationship Id="rId162" Type="http://schemas.openxmlformats.org/officeDocument/2006/relationships/footer" Target="footer76.xml"/><Relationship Id="rId163" Type="http://schemas.openxmlformats.org/officeDocument/2006/relationships/header" Target="header77.xml"/><Relationship Id="rId164" Type="http://schemas.openxmlformats.org/officeDocument/2006/relationships/footer" Target="footer77.xml"/><Relationship Id="rId165" Type="http://schemas.openxmlformats.org/officeDocument/2006/relationships/image" Target="media/image4.jpeg"/><Relationship Id="rId166" Type="http://schemas.openxmlformats.org/officeDocument/2006/relationships/image" Target="media/image4.jpeg" TargetMode="External"/><Relationship Id="rId167" Type="http://schemas.openxmlformats.org/officeDocument/2006/relationships/header" Target="header78.xml"/><Relationship Id="rId168" Type="http://schemas.openxmlformats.org/officeDocument/2006/relationships/footer" Target="footer78.xml"/><Relationship Id="rId169" Type="http://schemas.openxmlformats.org/officeDocument/2006/relationships/header" Target="header79.xml"/><Relationship Id="rId170" Type="http://schemas.openxmlformats.org/officeDocument/2006/relationships/footer" Target="footer79.xml"/><Relationship Id="rId171" Type="http://schemas.openxmlformats.org/officeDocument/2006/relationships/header" Target="header80.xml"/><Relationship Id="rId172" Type="http://schemas.openxmlformats.org/officeDocument/2006/relationships/footer" Target="footer80.xml"/><Relationship Id="rId173" Type="http://schemas.openxmlformats.org/officeDocument/2006/relationships/header" Target="header81.xml"/><Relationship Id="rId174" Type="http://schemas.openxmlformats.org/officeDocument/2006/relationships/footer" Target="footer81.xml"/><Relationship Id="rId175" Type="http://schemas.openxmlformats.org/officeDocument/2006/relationships/header" Target="header82.xml"/><Relationship Id="rId176" Type="http://schemas.openxmlformats.org/officeDocument/2006/relationships/footer" Target="footer82.xml"/><Relationship Id="rId177" Type="http://schemas.openxmlformats.org/officeDocument/2006/relationships/header" Target="header83.xml"/><Relationship Id="rId178" Type="http://schemas.openxmlformats.org/officeDocument/2006/relationships/footer" Target="footer83.xml"/><Relationship Id="rId179" Type="http://schemas.openxmlformats.org/officeDocument/2006/relationships/header" Target="header84.xml"/><Relationship Id="rId180" Type="http://schemas.openxmlformats.org/officeDocument/2006/relationships/footer" Target="footer84.xml"/><Relationship Id="rId181" Type="http://schemas.openxmlformats.org/officeDocument/2006/relationships/header" Target="header85.xml"/><Relationship Id="rId182" Type="http://schemas.openxmlformats.org/officeDocument/2006/relationships/footer" Target="footer85.xml"/><Relationship Id="rId183" Type="http://schemas.openxmlformats.org/officeDocument/2006/relationships/header" Target="header86.xml"/><Relationship Id="rId184" Type="http://schemas.openxmlformats.org/officeDocument/2006/relationships/footer" Target="footer86.xml"/><Relationship Id="rId185" Type="http://schemas.openxmlformats.org/officeDocument/2006/relationships/header" Target="header87.xml"/><Relationship Id="rId186" Type="http://schemas.openxmlformats.org/officeDocument/2006/relationships/footer" Target="footer87.xml"/><Relationship Id="rId187" Type="http://schemas.openxmlformats.org/officeDocument/2006/relationships/header" Target="header88.xml"/><Relationship Id="rId188" Type="http://schemas.openxmlformats.org/officeDocument/2006/relationships/footer" Target="footer88.xml"/><Relationship Id="rId189" Type="http://schemas.openxmlformats.org/officeDocument/2006/relationships/header" Target="header89.xml"/><Relationship Id="rId190" Type="http://schemas.openxmlformats.org/officeDocument/2006/relationships/footer" Target="footer89.xml"/><Relationship Id="rId191" Type="http://schemas.openxmlformats.org/officeDocument/2006/relationships/header" Target="header90.xml"/><Relationship Id="rId192" Type="http://schemas.openxmlformats.org/officeDocument/2006/relationships/footer" Target="footer90.xml"/><Relationship Id="rId193" Type="http://schemas.openxmlformats.org/officeDocument/2006/relationships/header" Target="header91.xml"/><Relationship Id="rId194" Type="http://schemas.openxmlformats.org/officeDocument/2006/relationships/footer" Target="footer91.xml"/><Relationship Id="rId195" Type="http://schemas.openxmlformats.org/officeDocument/2006/relationships/header" Target="header92.xml"/><Relationship Id="rId196" Type="http://schemas.openxmlformats.org/officeDocument/2006/relationships/footer" Target="footer92.xml"/><Relationship Id="rId197" Type="http://schemas.openxmlformats.org/officeDocument/2006/relationships/header" Target="header93.xml"/><Relationship Id="rId198" Type="http://schemas.openxmlformats.org/officeDocument/2006/relationships/footer" Target="footer93.xml"/><Relationship Id="rId199" Type="http://schemas.openxmlformats.org/officeDocument/2006/relationships/header" Target="header94.xml"/><Relationship Id="rId200" Type="http://schemas.openxmlformats.org/officeDocument/2006/relationships/footer" Target="footer94.xml"/><Relationship Id="rId201" Type="http://schemas.openxmlformats.org/officeDocument/2006/relationships/header" Target="header95.xml"/><Relationship Id="rId202" Type="http://schemas.openxmlformats.org/officeDocument/2006/relationships/footer" Target="footer95.xml"/><Relationship Id="rId203" Type="http://schemas.openxmlformats.org/officeDocument/2006/relationships/header" Target="header96.xml"/><Relationship Id="rId204" Type="http://schemas.openxmlformats.org/officeDocument/2006/relationships/footer" Target="footer96.xml"/><Relationship Id="rId205" Type="http://schemas.openxmlformats.org/officeDocument/2006/relationships/header" Target="header97.xml"/><Relationship Id="rId206" Type="http://schemas.openxmlformats.org/officeDocument/2006/relationships/footer" Target="footer97.xml"/><Relationship Id="rId207" Type="http://schemas.openxmlformats.org/officeDocument/2006/relationships/header" Target="header98.xml"/><Relationship Id="rId208" Type="http://schemas.openxmlformats.org/officeDocument/2006/relationships/footer" Target="footer98.xml"/><Relationship Id="rId209" Type="http://schemas.openxmlformats.org/officeDocument/2006/relationships/header" Target="header99.xml"/><Relationship Id="rId210" Type="http://schemas.openxmlformats.org/officeDocument/2006/relationships/footer" Target="footer99.xml"/><Relationship Id="rId211" Type="http://schemas.openxmlformats.org/officeDocument/2006/relationships/header" Target="header100.xml"/><Relationship Id="rId212" Type="http://schemas.openxmlformats.org/officeDocument/2006/relationships/footer" Target="footer100.xml"/><Relationship Id="rId213" Type="http://schemas.openxmlformats.org/officeDocument/2006/relationships/header" Target="header101.xml"/><Relationship Id="rId214" Type="http://schemas.openxmlformats.org/officeDocument/2006/relationships/footer" Target="footer101.xml"/><Relationship Id="rId215" Type="http://schemas.openxmlformats.org/officeDocument/2006/relationships/header" Target="header102.xml"/><Relationship Id="rId216" Type="http://schemas.openxmlformats.org/officeDocument/2006/relationships/footer" Target="footer102.xml"/><Relationship Id="rId217" Type="http://schemas.openxmlformats.org/officeDocument/2006/relationships/header" Target="header103.xml"/><Relationship Id="rId218" Type="http://schemas.openxmlformats.org/officeDocument/2006/relationships/footer" Target="footer103.xml"/><Relationship Id="rId219" Type="http://schemas.openxmlformats.org/officeDocument/2006/relationships/header" Target="header104.xml"/><Relationship Id="rId220" Type="http://schemas.openxmlformats.org/officeDocument/2006/relationships/footer" Target="footer104.xml"/><Relationship Id="rId221" Type="http://schemas.openxmlformats.org/officeDocument/2006/relationships/header" Target="header105.xml"/><Relationship Id="rId222" Type="http://schemas.openxmlformats.org/officeDocument/2006/relationships/footer" Target="footer105.xml"/><Relationship Id="rId223" Type="http://schemas.openxmlformats.org/officeDocument/2006/relationships/header" Target="header106.xml"/><Relationship Id="rId224" Type="http://schemas.openxmlformats.org/officeDocument/2006/relationships/footer" Target="footer106.xml"/><Relationship Id="rId225" Type="http://schemas.openxmlformats.org/officeDocument/2006/relationships/header" Target="header107.xml"/><Relationship Id="rId226" Type="http://schemas.openxmlformats.org/officeDocument/2006/relationships/footer" Target="footer107.xml"/><Relationship Id="rId227" Type="http://schemas.openxmlformats.org/officeDocument/2006/relationships/header" Target="header108.xml"/><Relationship Id="rId228" Type="http://schemas.openxmlformats.org/officeDocument/2006/relationships/footer" Target="footer108.xml"/><Relationship Id="rId229" Type="http://schemas.openxmlformats.org/officeDocument/2006/relationships/header" Target="header109.xml"/><Relationship Id="rId230" Type="http://schemas.openxmlformats.org/officeDocument/2006/relationships/footer" Target="footer109.xml"/><Relationship Id="rId231" Type="http://schemas.openxmlformats.org/officeDocument/2006/relationships/header" Target="header110.xml"/><Relationship Id="rId232" Type="http://schemas.openxmlformats.org/officeDocument/2006/relationships/footer" Target="footer110.xml"/><Relationship Id="rId233" Type="http://schemas.openxmlformats.org/officeDocument/2006/relationships/header" Target="header111.xml"/><Relationship Id="rId234" Type="http://schemas.openxmlformats.org/officeDocument/2006/relationships/footer" Target="footer111.xml"/><Relationship Id="rId235" Type="http://schemas.openxmlformats.org/officeDocument/2006/relationships/header" Target="header112.xml"/><Relationship Id="rId236" Type="http://schemas.openxmlformats.org/officeDocument/2006/relationships/footer" Target="footer112.xml"/><Relationship Id="rId237" Type="http://schemas.openxmlformats.org/officeDocument/2006/relationships/header" Target="header113.xml"/><Relationship Id="rId238" Type="http://schemas.openxmlformats.org/officeDocument/2006/relationships/footer" Target="footer113.xml"/><Relationship Id="rId239" Type="http://schemas.openxmlformats.org/officeDocument/2006/relationships/header" Target="header114.xml"/><Relationship Id="rId240" Type="http://schemas.openxmlformats.org/officeDocument/2006/relationships/footer" Target="footer114.xml"/><Relationship Id="rId241" Type="http://schemas.openxmlformats.org/officeDocument/2006/relationships/header" Target="header115.xml"/><Relationship Id="rId242" Type="http://schemas.openxmlformats.org/officeDocument/2006/relationships/footer" Target="footer115.xml"/><Relationship Id="rId243" Type="http://schemas.openxmlformats.org/officeDocument/2006/relationships/header" Target="header116.xml"/><Relationship Id="rId244" Type="http://schemas.openxmlformats.org/officeDocument/2006/relationships/footer" Target="footer116.xml"/><Relationship Id="rId245" Type="http://schemas.openxmlformats.org/officeDocument/2006/relationships/header" Target="header117.xml"/><Relationship Id="rId246" Type="http://schemas.openxmlformats.org/officeDocument/2006/relationships/footer" Target="footer117.xml"/><Relationship Id="rId247" Type="http://schemas.openxmlformats.org/officeDocument/2006/relationships/header" Target="header118.xml"/><Relationship Id="rId248" Type="http://schemas.openxmlformats.org/officeDocument/2006/relationships/footer" Target="footer118.xml"/><Relationship Id="rId249" Type="http://schemas.openxmlformats.org/officeDocument/2006/relationships/header" Target="header119.xml"/><Relationship Id="rId250" Type="http://schemas.openxmlformats.org/officeDocument/2006/relationships/footer" Target="footer119.xml"/><Relationship Id="rId251" Type="http://schemas.openxmlformats.org/officeDocument/2006/relationships/header" Target="header120.xml"/><Relationship Id="rId252" Type="http://schemas.openxmlformats.org/officeDocument/2006/relationships/footer" Target="footer120.xml"/><Relationship Id="rId253" Type="http://schemas.openxmlformats.org/officeDocument/2006/relationships/header" Target="header121.xml"/><Relationship Id="rId254" Type="http://schemas.openxmlformats.org/officeDocument/2006/relationships/footer" Target="footer121.xml"/><Relationship Id="rId255" Type="http://schemas.openxmlformats.org/officeDocument/2006/relationships/header" Target="header122.xml"/><Relationship Id="rId256" Type="http://schemas.openxmlformats.org/officeDocument/2006/relationships/footer" Target="footer122.xml"/><Relationship Id="rId257" Type="http://schemas.openxmlformats.org/officeDocument/2006/relationships/header" Target="header123.xml"/><Relationship Id="rId258" Type="http://schemas.openxmlformats.org/officeDocument/2006/relationships/footer" Target="footer123.xml"/><Relationship Id="rId259" Type="http://schemas.openxmlformats.org/officeDocument/2006/relationships/header" Target="header124.xml"/><Relationship Id="rId260" Type="http://schemas.openxmlformats.org/officeDocument/2006/relationships/footer" Target="footer124.xml"/><Relationship Id="rId261" Type="http://schemas.openxmlformats.org/officeDocument/2006/relationships/header" Target="header125.xml"/><Relationship Id="rId262" Type="http://schemas.openxmlformats.org/officeDocument/2006/relationships/footer" Target="footer125.xml"/><Relationship Id="rId263" Type="http://schemas.openxmlformats.org/officeDocument/2006/relationships/header" Target="header126.xml"/><Relationship Id="rId264" Type="http://schemas.openxmlformats.org/officeDocument/2006/relationships/footer" Target="footer126.xml"/><Relationship Id="rId265" Type="http://schemas.openxmlformats.org/officeDocument/2006/relationships/header" Target="header127.xml"/><Relationship Id="rId266" Type="http://schemas.openxmlformats.org/officeDocument/2006/relationships/footer" Target="footer127.xml"/><Relationship Id="rId267" Type="http://schemas.openxmlformats.org/officeDocument/2006/relationships/header" Target="header128.xml"/><Relationship Id="rId268" Type="http://schemas.openxmlformats.org/officeDocument/2006/relationships/footer" Target="footer128.xml"/><Relationship Id="rId269" Type="http://schemas.openxmlformats.org/officeDocument/2006/relationships/header" Target="header129.xml"/><Relationship Id="rId270" Type="http://schemas.openxmlformats.org/officeDocument/2006/relationships/footer" Target="footer129.xml"/><Relationship Id="rId271" Type="http://schemas.openxmlformats.org/officeDocument/2006/relationships/header" Target="header130.xml"/><Relationship Id="rId272" Type="http://schemas.openxmlformats.org/officeDocument/2006/relationships/footer" Target="footer130.xml"/><Relationship Id="rId273" Type="http://schemas.openxmlformats.org/officeDocument/2006/relationships/header" Target="header131.xml"/><Relationship Id="rId274" Type="http://schemas.openxmlformats.org/officeDocument/2006/relationships/footer" Target="footer131.xml"/><Relationship Id="rId275" Type="http://schemas.openxmlformats.org/officeDocument/2006/relationships/header" Target="header132.xml"/><Relationship Id="rId276" Type="http://schemas.openxmlformats.org/officeDocument/2006/relationships/footer" Target="footer132.xml"/><Relationship Id="rId277" Type="http://schemas.openxmlformats.org/officeDocument/2006/relationships/header" Target="header133.xml"/><Relationship Id="rId278" Type="http://schemas.openxmlformats.org/officeDocument/2006/relationships/footer" Target="footer133.xml"/><Relationship Id="rId279" Type="http://schemas.openxmlformats.org/officeDocument/2006/relationships/header" Target="header134.xml"/><Relationship Id="rId280" Type="http://schemas.openxmlformats.org/officeDocument/2006/relationships/footer" Target="footer134.xml"/><Relationship Id="rId281" Type="http://schemas.openxmlformats.org/officeDocument/2006/relationships/header" Target="header135.xml"/><Relationship Id="rId282" Type="http://schemas.openxmlformats.org/officeDocument/2006/relationships/footer" Target="footer135.xml"/><Relationship Id="rId283" Type="http://schemas.openxmlformats.org/officeDocument/2006/relationships/header" Target="header136.xml"/><Relationship Id="rId284" Type="http://schemas.openxmlformats.org/officeDocument/2006/relationships/footer" Target="footer136.xml"/><Relationship Id="rId285" Type="http://schemas.openxmlformats.org/officeDocument/2006/relationships/header" Target="header137.xml"/><Relationship Id="rId286" Type="http://schemas.openxmlformats.org/officeDocument/2006/relationships/footer" Target="footer137.xml"/></Relationships>
</file>

<file path=word/_rels/footer127.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footer128.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高伟达软件股份有限公司2020年年度报告全文</dc:title>
  <dc:subject/>
  <dc:creator>高伟达软件股份有限公司</dc:creator>
  <cp:keywords/>
</cp:coreProperties>
</file>