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376" w:lineRule="exact"/>
        <w:ind w:left="423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drawing>
          <wp:inline distT="0" distB="0" distL="0" distR="0">
            <wp:extent cx="943860" cy="87429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43860" cy="874299"/>
                    </a:xfrm>
                    <a:prstGeom prst="rect">
                      <a:avLst/>
                    </a:prstGeom>
                  </pic:spPr>
                </pic:pic>
              </a:graphicData>
            </a:graphic>
          </wp:inline>
        </w:drawing>
      </w:r>
      <w:r>
        <w:rPr>
          <w:rFonts w:ascii="Times New Roman" w:hAnsi="Times New Roman" w:cs="Times New Roman" w:eastAsia="Times New Roman" w:hint="default"/>
          <w:position w:val="-27"/>
          <w:sz w:val="20"/>
          <w:szCs w:val="20"/>
        </w:rPr>
      </w:r>
    </w:p>
    <w:p>
      <w:pPr>
        <w:spacing w:line="240" w:lineRule="auto" w:before="10"/>
        <w:rPr>
          <w:rFonts w:ascii="Times New Roman" w:hAnsi="Times New Roman" w:cs="Times New Roman" w:eastAsia="Times New Roman" w:hint="default"/>
          <w:sz w:val="12"/>
          <w:szCs w:val="12"/>
        </w:rPr>
      </w:pPr>
    </w:p>
    <w:p>
      <w:pPr>
        <w:spacing w:line="460" w:lineRule="exact" w:before="0"/>
        <w:ind w:left="2424" w:right="3401" w:firstLine="0"/>
        <w:jc w:val="center"/>
        <w:rPr>
          <w:rFonts w:ascii="宋体" w:hAnsi="宋体" w:cs="宋体" w:eastAsia="宋体" w:hint="default"/>
          <w:sz w:val="36"/>
          <w:szCs w:val="36"/>
        </w:rPr>
      </w:pPr>
      <w:r>
        <w:rPr>
          <w:rFonts w:ascii="宋体" w:hAnsi="宋体" w:cs="宋体" w:eastAsia="宋体" w:hint="default"/>
          <w:b/>
          <w:bCs/>
          <w:sz w:val="36"/>
          <w:szCs w:val="36"/>
        </w:rPr>
        <w:t>深圳四方精创资讯股份有限公司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2" w:right="34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2424" w:right="3400" w:firstLine="0"/>
        <w:jc w:val="center"/>
        <w:rPr>
          <w:rFonts w:ascii="Times New Roman" w:hAnsi="Times New Roman" w:cs="Times New Roman" w:eastAsia="Times New Roman" w:hint="default"/>
          <w:sz w:val="22"/>
          <w:szCs w:val="22"/>
        </w:rPr>
      </w:pPr>
      <w:r>
        <w:rPr>
          <w:rFonts w:ascii="Times New Roman"/>
          <w:b/>
          <w:sz w:val="22"/>
        </w:rPr>
        <w:t>2019-016</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2424"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0" w:firstLine="562"/>
        <w:jc w:val="left"/>
        <w:rPr>
          <w:rFonts w:ascii="宋体" w:hAnsi="宋体" w:cs="宋体" w:eastAsia="宋体" w:hint="default"/>
          <w:sz w:val="28"/>
          <w:szCs w:val="28"/>
        </w:rPr>
      </w:pPr>
      <w:r>
        <w:rPr>
          <w:rFonts w:ascii="宋体" w:hAnsi="宋体" w:cs="宋体" w:eastAsia="宋体" w:hint="default"/>
          <w:b/>
          <w:bCs/>
          <w:w w:val="95"/>
          <w:sz w:val="28"/>
          <w:szCs w:val="28"/>
        </w:rPr>
        <w:t>公司负责人周志群、主管会计工作负责人李琳及会计机构负责人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施国艳声明：保证年度报告中财务报告的真实、准确、完整。</w:t>
      </w:r>
      <w:r>
        <w:rPr>
          <w:rFonts w:ascii="宋体" w:hAnsi="宋体" w:cs="宋体" w:eastAsia="宋体" w:hint="default"/>
          <w:sz w:val="28"/>
          <w:szCs w:val="28"/>
        </w:rPr>
      </w:r>
    </w:p>
    <w:p>
      <w:pPr>
        <w:spacing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8" w:lineRule="auto" w:before="0"/>
        <w:ind w:left="154" w:right="0" w:firstLine="562"/>
        <w:jc w:val="left"/>
        <w:rPr>
          <w:rFonts w:ascii="宋体" w:hAnsi="宋体" w:cs="宋体" w:eastAsia="宋体" w:hint="default"/>
          <w:sz w:val="28"/>
          <w:szCs w:val="28"/>
        </w:rPr>
      </w:pPr>
      <w:r>
        <w:rPr>
          <w:rFonts w:ascii="宋体" w:hAnsi="宋体" w:cs="宋体" w:eastAsia="宋体" w:hint="default"/>
          <w:b/>
          <w:bCs/>
          <w:spacing w:val="3"/>
          <w:sz w:val="28"/>
          <w:szCs w:val="28"/>
        </w:rPr>
        <w:t>（一）面临依赖金融机构和客户集中的风险：公司主营业务对金融机构发</w:t>
      </w:r>
      <w:r>
        <w:rPr>
          <w:rFonts w:ascii="宋体" w:hAnsi="宋体" w:cs="宋体" w:eastAsia="宋体" w:hint="default"/>
          <w:b/>
          <w:bCs/>
          <w:w w:val="99"/>
          <w:sz w:val="28"/>
          <w:szCs w:val="28"/>
        </w:rPr>
        <w:t> </w:t>
      </w:r>
      <w:r>
        <w:rPr>
          <w:rFonts w:ascii="宋体" w:hAnsi="宋体" w:cs="宋体" w:eastAsia="宋体" w:hint="default"/>
          <w:b/>
          <w:bCs/>
          <w:spacing w:val="3"/>
          <w:sz w:val="28"/>
          <w:szCs w:val="28"/>
        </w:rPr>
        <w:t>展的依赖程度高，尤其是对金融机构信息化投入存在较大的依赖性。如果我国</w:t>
      </w:r>
      <w:r>
        <w:rPr>
          <w:rFonts w:ascii="宋体" w:hAnsi="宋体" w:cs="宋体" w:eastAsia="宋体" w:hint="default"/>
          <w:b/>
          <w:bCs/>
          <w:w w:val="99"/>
          <w:sz w:val="28"/>
          <w:szCs w:val="28"/>
        </w:rPr>
        <w:t> </w:t>
      </w:r>
      <w:r>
        <w:rPr>
          <w:rFonts w:ascii="宋体" w:hAnsi="宋体" w:cs="宋体" w:eastAsia="宋体" w:hint="default"/>
          <w:b/>
          <w:bCs/>
          <w:spacing w:val="3"/>
          <w:sz w:val="28"/>
          <w:szCs w:val="28"/>
        </w:rPr>
        <w:t>宏观经济形势出现较大波动、金融机构管理体制变化、全球经济不景气等不利</w:t>
      </w:r>
      <w:r>
        <w:rPr>
          <w:rFonts w:ascii="宋体" w:hAnsi="宋体" w:cs="宋体" w:eastAsia="宋体" w:hint="default"/>
          <w:b/>
          <w:bCs/>
          <w:w w:val="99"/>
          <w:sz w:val="28"/>
          <w:szCs w:val="28"/>
        </w:rPr>
        <w:t> </w:t>
      </w:r>
      <w:r>
        <w:rPr>
          <w:rFonts w:ascii="宋体" w:hAnsi="宋体" w:cs="宋体" w:eastAsia="宋体" w:hint="default"/>
          <w:b/>
          <w:bCs/>
          <w:spacing w:val="3"/>
          <w:sz w:val="28"/>
          <w:szCs w:val="28"/>
        </w:rPr>
        <w:t>因素导致金融机构的信息化建设速度放缓，将可能对公司的业务发展产生不利</w:t>
      </w:r>
      <w:r>
        <w:rPr>
          <w:rFonts w:ascii="宋体" w:hAnsi="宋体" w:cs="宋体" w:eastAsia="宋体" w:hint="default"/>
          <w:b/>
          <w:bCs/>
          <w:w w:val="99"/>
          <w:sz w:val="28"/>
          <w:szCs w:val="28"/>
        </w:rPr>
        <w:t> </w:t>
      </w:r>
      <w:r>
        <w:rPr>
          <w:rFonts w:ascii="宋体" w:hAnsi="宋体" w:cs="宋体" w:eastAsia="宋体" w:hint="default"/>
          <w:b/>
          <w:bCs/>
          <w:spacing w:val="3"/>
          <w:sz w:val="28"/>
          <w:szCs w:val="28"/>
        </w:rPr>
        <w:t>影响。公司核心业务是为金融机构提供软件产品、解决方案以及应用维护，业</w:t>
      </w:r>
      <w:r>
        <w:rPr>
          <w:rFonts w:ascii="宋体" w:hAnsi="宋体" w:cs="宋体" w:eastAsia="宋体" w:hint="default"/>
          <w:b/>
          <w:bCs/>
          <w:w w:val="99"/>
          <w:sz w:val="28"/>
          <w:szCs w:val="28"/>
        </w:rPr>
        <w:t> </w:t>
      </w:r>
      <w:r>
        <w:rPr>
          <w:rFonts w:ascii="宋体" w:hAnsi="宋体" w:cs="宋体" w:eastAsia="宋体" w:hint="default"/>
          <w:b/>
          <w:bCs/>
          <w:spacing w:val="-9"/>
          <w:w w:val="99"/>
          <w:sz w:val="28"/>
          <w:szCs w:val="28"/>
        </w:rPr>
        <w:t>务收入主要来源于为大型商业银行，其特点决定了公司的客户集中度较高。（二）</w:t>
      </w:r>
      <w:r>
        <w:rPr>
          <w:rFonts w:ascii="宋体" w:hAnsi="宋体" w:cs="宋体" w:eastAsia="宋体" w:hint="default"/>
          <w:b/>
          <w:bCs/>
          <w:spacing w:val="-135"/>
          <w:w w:val="99"/>
          <w:sz w:val="28"/>
          <w:szCs w:val="28"/>
        </w:rPr>
        <w:t> </w:t>
      </w:r>
      <w:r>
        <w:rPr>
          <w:rFonts w:ascii="宋体" w:hAnsi="宋体" w:cs="宋体" w:eastAsia="宋体" w:hint="default"/>
          <w:b/>
          <w:bCs/>
          <w:spacing w:val="-135"/>
          <w:w w:val="99"/>
          <w:sz w:val="28"/>
          <w:szCs w:val="28"/>
        </w:rPr>
      </w:r>
      <w:r>
        <w:rPr>
          <w:rFonts w:ascii="宋体" w:hAnsi="宋体" w:cs="宋体" w:eastAsia="宋体" w:hint="default"/>
          <w:b/>
          <w:bCs/>
          <w:spacing w:val="3"/>
          <w:sz w:val="28"/>
          <w:szCs w:val="28"/>
        </w:rPr>
        <w:t>面临市场竞争日益激烈的风险：公司多年来通过自身技术的不断积累和对金融</w:t>
      </w:r>
      <w:r>
        <w:rPr>
          <w:rFonts w:ascii="宋体" w:hAnsi="宋体" w:cs="宋体" w:eastAsia="宋体" w:hint="default"/>
          <w:b/>
          <w:bCs/>
          <w:w w:val="99"/>
          <w:sz w:val="28"/>
          <w:szCs w:val="28"/>
        </w:rPr>
        <w:t> </w:t>
      </w:r>
      <w:r>
        <w:rPr>
          <w:rFonts w:ascii="宋体" w:hAnsi="宋体" w:cs="宋体" w:eastAsia="宋体" w:hint="default"/>
          <w:b/>
          <w:bCs/>
          <w:spacing w:val="3"/>
          <w:sz w:val="28"/>
          <w:szCs w:val="28"/>
        </w:rPr>
        <w:t>机构需求的深入研究和准确把握，赢得了良好的市场声誉，在业内具有较高的</w:t>
      </w:r>
      <w:r>
        <w:rPr>
          <w:rFonts w:ascii="宋体" w:hAnsi="宋体" w:cs="宋体" w:eastAsia="宋体" w:hint="default"/>
          <w:b/>
          <w:bCs/>
          <w:w w:val="99"/>
          <w:sz w:val="28"/>
          <w:szCs w:val="28"/>
        </w:rPr>
        <w:t> </w:t>
      </w:r>
      <w:r>
        <w:rPr>
          <w:rFonts w:ascii="宋体" w:hAnsi="宋体" w:cs="宋体" w:eastAsia="宋体" w:hint="default"/>
          <w:b/>
          <w:bCs/>
          <w:spacing w:val="3"/>
          <w:sz w:val="28"/>
          <w:szCs w:val="28"/>
        </w:rPr>
        <w:t>知名度和较强的竞争能力。但由于金融科技市场是一个高度开放的市场，来自</w:t>
      </w:r>
      <w:r>
        <w:rPr>
          <w:rFonts w:ascii="宋体" w:hAnsi="宋体" w:cs="宋体" w:eastAsia="宋体" w:hint="default"/>
          <w:b/>
          <w:bCs/>
          <w:w w:val="99"/>
          <w:sz w:val="28"/>
          <w:szCs w:val="28"/>
        </w:rPr>
        <w:t> </w:t>
      </w:r>
      <w:r>
        <w:rPr>
          <w:rFonts w:ascii="宋体" w:hAnsi="宋体" w:cs="宋体" w:eastAsia="宋体" w:hint="default"/>
          <w:b/>
          <w:bCs/>
          <w:spacing w:val="3"/>
          <w:sz w:val="28"/>
          <w:szCs w:val="28"/>
        </w:rPr>
        <w:t>国内外同行的竞争日趋激烈；行业内企业也有可能通过压低价格等手段来参与</w:t>
      </w:r>
      <w:r>
        <w:rPr>
          <w:rFonts w:ascii="宋体" w:hAnsi="宋体" w:cs="宋体" w:eastAsia="宋体" w:hint="default"/>
          <w:b/>
          <w:bCs/>
          <w:w w:val="99"/>
          <w:sz w:val="28"/>
          <w:szCs w:val="28"/>
        </w:rPr>
        <w:t> </w:t>
      </w:r>
      <w:r>
        <w:rPr>
          <w:rFonts w:ascii="宋体" w:hAnsi="宋体" w:cs="宋体" w:eastAsia="宋体" w:hint="default"/>
          <w:b/>
          <w:bCs/>
          <w:spacing w:val="3"/>
          <w:sz w:val="28"/>
          <w:szCs w:val="28"/>
        </w:rPr>
        <w:t>市场竞争，导致竞争加剧。如果公司应对市场竞争的方式采取不当，将对公司</w:t>
      </w:r>
      <w:r>
        <w:rPr>
          <w:rFonts w:ascii="宋体" w:hAnsi="宋体" w:cs="宋体" w:eastAsia="宋体" w:hint="default"/>
          <w:b/>
          <w:bCs/>
          <w:w w:val="99"/>
          <w:sz w:val="28"/>
          <w:szCs w:val="28"/>
        </w:rPr>
        <w:t> </w:t>
      </w:r>
      <w:r>
        <w:rPr>
          <w:rFonts w:ascii="宋体" w:hAnsi="宋体" w:cs="宋体" w:eastAsia="宋体" w:hint="default"/>
          <w:b/>
          <w:bCs/>
          <w:spacing w:val="-6"/>
          <w:w w:val="99"/>
          <w:sz w:val="28"/>
          <w:szCs w:val="28"/>
        </w:rPr>
        <w:t>的经营发展产生不利影响。（三）创新产品研发风险：公司正在实施创新驱动战</w:t>
      </w:r>
      <w:r>
        <w:rPr>
          <w:rFonts w:ascii="宋体" w:hAnsi="宋体" w:cs="宋体" w:eastAsia="宋体" w:hint="default"/>
          <w:b/>
          <w:bCs/>
          <w:spacing w:val="-114"/>
          <w:w w:val="99"/>
          <w:sz w:val="28"/>
          <w:szCs w:val="28"/>
        </w:rPr>
        <w:t> </w:t>
      </w:r>
      <w:r>
        <w:rPr>
          <w:rFonts w:ascii="宋体" w:hAnsi="宋体" w:cs="宋体" w:eastAsia="宋体" w:hint="default"/>
          <w:b/>
          <w:bCs/>
          <w:spacing w:val="-114"/>
          <w:w w:val="99"/>
          <w:sz w:val="28"/>
          <w:szCs w:val="28"/>
        </w:rPr>
      </w:r>
      <w:r>
        <w:rPr>
          <w:rFonts w:ascii="宋体" w:hAnsi="宋体" w:cs="宋体" w:eastAsia="宋体" w:hint="default"/>
          <w:b/>
          <w:bCs/>
          <w:spacing w:val="3"/>
          <w:sz w:val="28"/>
          <w:szCs w:val="28"/>
        </w:rPr>
        <w:t>略，包含前沿金融科技产品的研发工作，存在较多的不确定因素，因此有不能</w:t>
      </w:r>
      <w:r>
        <w:rPr>
          <w:rFonts w:ascii="宋体" w:hAnsi="宋体" w:cs="宋体" w:eastAsia="宋体" w:hint="default"/>
          <w:spacing w:val="3"/>
          <w:sz w:val="28"/>
          <w:szCs w:val="28"/>
        </w:rPr>
      </w:r>
    </w:p>
    <w:p>
      <w:pPr>
        <w:spacing w:after="0" w:line="408"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8" w:lineRule="auto" w:before="13"/>
        <w:ind w:left="154" w:right="0" w:firstLine="0"/>
        <w:jc w:val="left"/>
        <w:rPr>
          <w:rFonts w:ascii="宋体" w:hAnsi="宋体" w:cs="宋体" w:eastAsia="宋体" w:hint="default"/>
          <w:sz w:val="28"/>
          <w:szCs w:val="28"/>
        </w:rPr>
      </w:pPr>
      <w:r>
        <w:rPr>
          <w:rFonts w:ascii="宋体" w:hAnsi="宋体" w:cs="宋体" w:eastAsia="宋体" w:hint="default"/>
          <w:b/>
          <w:bCs/>
          <w:spacing w:val="-6"/>
          <w:w w:val="99"/>
          <w:sz w:val="28"/>
          <w:szCs w:val="28"/>
        </w:rPr>
        <w:t>达到预期目标的风险。（四）面临人才流失和人工成本上涨的风险：国家经济结</w:t>
      </w:r>
      <w:r>
        <w:rPr>
          <w:rFonts w:ascii="宋体" w:hAnsi="宋体" w:cs="宋体" w:eastAsia="宋体" w:hint="default"/>
          <w:b/>
          <w:bCs/>
          <w:spacing w:val="-113"/>
          <w:w w:val="99"/>
          <w:sz w:val="28"/>
          <w:szCs w:val="28"/>
        </w:rPr>
        <w:t> </w:t>
      </w:r>
      <w:r>
        <w:rPr>
          <w:rFonts w:ascii="宋体" w:hAnsi="宋体" w:cs="宋体" w:eastAsia="宋体" w:hint="default"/>
          <w:b/>
          <w:bCs/>
          <w:spacing w:val="-113"/>
          <w:w w:val="99"/>
          <w:sz w:val="28"/>
          <w:szCs w:val="28"/>
        </w:rPr>
      </w:r>
      <w:r>
        <w:rPr>
          <w:rFonts w:ascii="宋体" w:hAnsi="宋体" w:cs="宋体" w:eastAsia="宋体" w:hint="default"/>
          <w:b/>
          <w:bCs/>
          <w:spacing w:val="3"/>
          <w:sz w:val="28"/>
          <w:szCs w:val="28"/>
        </w:rPr>
        <w:t>构转型，互联网新兴行业的快速发展，导致对专业人才的争夺非常激烈；公司</w:t>
      </w:r>
      <w:r>
        <w:rPr>
          <w:rFonts w:ascii="宋体" w:hAnsi="宋体" w:cs="宋体" w:eastAsia="宋体" w:hint="default"/>
          <w:b/>
          <w:bCs/>
          <w:w w:val="99"/>
          <w:sz w:val="28"/>
          <w:szCs w:val="28"/>
        </w:rPr>
        <w:t> </w:t>
      </w:r>
      <w:r>
        <w:rPr>
          <w:rFonts w:ascii="宋体" w:hAnsi="宋体" w:cs="宋体" w:eastAsia="宋体" w:hint="default"/>
          <w:b/>
          <w:bCs/>
          <w:spacing w:val="3"/>
          <w:sz w:val="28"/>
          <w:szCs w:val="28"/>
        </w:rPr>
        <w:t>核心业务最主要的成本为人工成本。随着公司业务发展，人员规模不断增加。</w:t>
      </w:r>
      <w:r>
        <w:rPr>
          <w:rFonts w:ascii="宋体" w:hAnsi="宋体" w:cs="宋体" w:eastAsia="宋体" w:hint="default"/>
          <w:b/>
          <w:bCs/>
          <w:w w:val="99"/>
          <w:sz w:val="28"/>
          <w:szCs w:val="28"/>
        </w:rPr>
        <w:t> </w:t>
      </w:r>
      <w:r>
        <w:rPr>
          <w:rFonts w:ascii="宋体" w:hAnsi="宋体" w:cs="宋体" w:eastAsia="宋体" w:hint="default"/>
          <w:b/>
          <w:bCs/>
          <w:spacing w:val="3"/>
          <w:sz w:val="28"/>
          <w:szCs w:val="28"/>
        </w:rPr>
        <w:t>同时，物价水平持续上涨，生活成本持续上升，薪酬水平不断上涨，带来了很</w:t>
      </w:r>
      <w:r>
        <w:rPr>
          <w:rFonts w:ascii="宋体" w:hAnsi="宋体" w:cs="宋体" w:eastAsia="宋体" w:hint="default"/>
          <w:b/>
          <w:bCs/>
          <w:w w:val="99"/>
          <w:sz w:val="28"/>
          <w:szCs w:val="28"/>
        </w:rPr>
        <w:t> </w:t>
      </w:r>
      <w:r>
        <w:rPr>
          <w:rFonts w:ascii="宋体" w:hAnsi="宋体" w:cs="宋体" w:eastAsia="宋体" w:hint="default"/>
          <w:b/>
          <w:bCs/>
          <w:spacing w:val="-6"/>
          <w:w w:val="99"/>
          <w:sz w:val="28"/>
          <w:szCs w:val="28"/>
        </w:rPr>
        <w:t>大的成本压力。（五）业务季节性波动的风险：目前公司的客户主要为银行类金</w:t>
      </w:r>
      <w:r>
        <w:rPr>
          <w:rFonts w:ascii="宋体" w:hAnsi="宋体" w:cs="宋体" w:eastAsia="宋体" w:hint="default"/>
          <w:b/>
          <w:bCs/>
          <w:spacing w:val="-115"/>
          <w:w w:val="99"/>
          <w:sz w:val="28"/>
          <w:szCs w:val="28"/>
        </w:rPr>
        <w:t> </w:t>
      </w:r>
      <w:r>
        <w:rPr>
          <w:rFonts w:ascii="宋体" w:hAnsi="宋体" w:cs="宋体" w:eastAsia="宋体" w:hint="default"/>
          <w:b/>
          <w:bCs/>
          <w:spacing w:val="-115"/>
          <w:w w:val="99"/>
          <w:sz w:val="28"/>
          <w:szCs w:val="28"/>
        </w:rPr>
      </w:r>
      <w:r>
        <w:rPr>
          <w:rFonts w:ascii="宋体" w:hAnsi="宋体" w:cs="宋体" w:eastAsia="宋体" w:hint="default"/>
          <w:b/>
          <w:bCs/>
          <w:spacing w:val="3"/>
          <w:sz w:val="28"/>
          <w:szCs w:val="28"/>
        </w:rPr>
        <w:t>融机构，银行信息化建设的预算、立项、招标、采购和实施具有明显的季节性</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特征，一般在第四季度制订次年年度预算计划，审批通常集中在次年第一季度，</w:t>
      </w:r>
      <w:r>
        <w:rPr>
          <w:rFonts w:ascii="宋体" w:hAnsi="宋体" w:cs="宋体" w:eastAsia="宋体" w:hint="default"/>
          <w:b/>
          <w:bCs/>
          <w:spacing w:val="65"/>
          <w:w w:val="95"/>
          <w:sz w:val="28"/>
          <w:szCs w:val="28"/>
        </w:rPr>
        <w:t> </w:t>
      </w:r>
      <w:r>
        <w:rPr>
          <w:rFonts w:ascii="宋体" w:hAnsi="宋体" w:cs="宋体" w:eastAsia="宋体" w:hint="default"/>
          <w:b/>
          <w:bCs/>
          <w:spacing w:val="65"/>
          <w:w w:val="95"/>
          <w:sz w:val="28"/>
          <w:szCs w:val="28"/>
        </w:rPr>
      </w:r>
      <w:r>
        <w:rPr>
          <w:rFonts w:ascii="宋体" w:hAnsi="宋体" w:cs="宋体" w:eastAsia="宋体" w:hint="default"/>
          <w:b/>
          <w:bCs/>
          <w:spacing w:val="-2"/>
          <w:w w:val="95"/>
          <w:sz w:val="28"/>
          <w:szCs w:val="28"/>
        </w:rPr>
        <w:t>采购招标一般则安排在次年第一、二季度；此外，上半年存在春节放假等因素，</w:t>
      </w:r>
      <w:r>
        <w:rPr>
          <w:rFonts w:ascii="宋体" w:hAnsi="宋体" w:cs="宋体" w:eastAsia="宋体" w:hint="default"/>
          <w:b/>
          <w:bCs/>
          <w:spacing w:val="67"/>
          <w:w w:val="95"/>
          <w:sz w:val="28"/>
          <w:szCs w:val="28"/>
        </w:rPr>
        <w:t> </w:t>
      </w:r>
      <w:r>
        <w:rPr>
          <w:rFonts w:ascii="宋体" w:hAnsi="宋体" w:cs="宋体" w:eastAsia="宋体" w:hint="default"/>
          <w:b/>
          <w:bCs/>
          <w:spacing w:val="67"/>
          <w:w w:val="95"/>
          <w:sz w:val="28"/>
          <w:szCs w:val="28"/>
        </w:rPr>
      </w:r>
      <w:r>
        <w:rPr>
          <w:rFonts w:ascii="宋体" w:hAnsi="宋体" w:cs="宋体" w:eastAsia="宋体" w:hint="default"/>
          <w:b/>
          <w:bCs/>
          <w:spacing w:val="3"/>
          <w:sz w:val="28"/>
          <w:szCs w:val="28"/>
        </w:rPr>
        <w:t>员工招聘培训在上半年也较多，因此公司上半年的营业收入和营业利润占比较</w:t>
      </w:r>
      <w:r>
        <w:rPr>
          <w:rFonts w:ascii="宋体" w:hAnsi="宋体" w:cs="宋体" w:eastAsia="宋体" w:hint="default"/>
          <w:b/>
          <w:bCs/>
          <w:w w:val="99"/>
          <w:sz w:val="28"/>
          <w:szCs w:val="28"/>
        </w:rPr>
        <w:t> </w:t>
      </w:r>
      <w:r>
        <w:rPr>
          <w:rFonts w:ascii="宋体" w:hAnsi="宋体" w:cs="宋体" w:eastAsia="宋体" w:hint="default"/>
          <w:b/>
          <w:bCs/>
          <w:spacing w:val="-6"/>
          <w:w w:val="99"/>
          <w:sz w:val="28"/>
          <w:szCs w:val="28"/>
        </w:rPr>
        <w:t>少，在下半年占比较多，业绩存在季节性波动。（六）存在业务规模扩张和对外</w:t>
      </w:r>
      <w:r>
        <w:rPr>
          <w:rFonts w:ascii="宋体" w:hAnsi="宋体" w:cs="宋体" w:eastAsia="宋体" w:hint="default"/>
          <w:b/>
          <w:bCs/>
          <w:spacing w:val="-117"/>
          <w:w w:val="99"/>
          <w:sz w:val="28"/>
          <w:szCs w:val="28"/>
        </w:rPr>
        <w:t> </w:t>
      </w:r>
      <w:r>
        <w:rPr>
          <w:rFonts w:ascii="宋体" w:hAnsi="宋体" w:cs="宋体" w:eastAsia="宋体" w:hint="default"/>
          <w:b/>
          <w:bCs/>
          <w:spacing w:val="-117"/>
          <w:w w:val="99"/>
          <w:sz w:val="28"/>
          <w:szCs w:val="28"/>
        </w:rPr>
      </w:r>
      <w:r>
        <w:rPr>
          <w:rFonts w:ascii="宋体" w:hAnsi="宋体" w:cs="宋体" w:eastAsia="宋体" w:hint="default"/>
          <w:b/>
          <w:bCs/>
          <w:spacing w:val="3"/>
          <w:sz w:val="28"/>
          <w:szCs w:val="28"/>
        </w:rPr>
        <w:t>投资导致的管理风险：随着公司规模不断扩大和对外合作与投资，资产规模和</w:t>
      </w:r>
      <w:r>
        <w:rPr>
          <w:rFonts w:ascii="宋体" w:hAnsi="宋体" w:cs="宋体" w:eastAsia="宋体" w:hint="default"/>
          <w:b/>
          <w:bCs/>
          <w:w w:val="99"/>
          <w:sz w:val="28"/>
          <w:szCs w:val="28"/>
        </w:rPr>
        <w:t> </w:t>
      </w:r>
      <w:r>
        <w:rPr>
          <w:rFonts w:ascii="宋体" w:hAnsi="宋体" w:cs="宋体" w:eastAsia="宋体" w:hint="default"/>
          <w:b/>
          <w:bCs/>
          <w:spacing w:val="3"/>
          <w:sz w:val="28"/>
          <w:szCs w:val="28"/>
        </w:rPr>
        <w:t>人员规模相应增长，募集资金投资项目正在实施，这对公司的管理提出了更高</w:t>
      </w:r>
      <w:r>
        <w:rPr>
          <w:rFonts w:ascii="宋体" w:hAnsi="宋体" w:cs="宋体" w:eastAsia="宋体" w:hint="default"/>
          <w:b/>
          <w:bCs/>
          <w:w w:val="99"/>
          <w:sz w:val="28"/>
          <w:szCs w:val="28"/>
        </w:rPr>
        <w:t> </w:t>
      </w:r>
      <w:r>
        <w:rPr>
          <w:rFonts w:ascii="宋体" w:hAnsi="宋体" w:cs="宋体" w:eastAsia="宋体" w:hint="default"/>
          <w:b/>
          <w:bCs/>
          <w:spacing w:val="3"/>
          <w:sz w:val="28"/>
          <w:szCs w:val="28"/>
        </w:rPr>
        <w:t>的要求。如果不能相应调整完善原有的运营管理体系和提高经营管理水平，建</w:t>
      </w:r>
      <w:r>
        <w:rPr>
          <w:rFonts w:ascii="宋体" w:hAnsi="宋体" w:cs="宋体" w:eastAsia="宋体" w:hint="default"/>
          <w:b/>
          <w:bCs/>
          <w:w w:val="99"/>
          <w:sz w:val="28"/>
          <w:szCs w:val="28"/>
        </w:rPr>
        <w:t> </w:t>
      </w:r>
      <w:r>
        <w:rPr>
          <w:rFonts w:ascii="宋体" w:hAnsi="宋体" w:cs="宋体" w:eastAsia="宋体" w:hint="default"/>
          <w:b/>
          <w:bCs/>
          <w:spacing w:val="3"/>
          <w:sz w:val="28"/>
          <w:szCs w:val="28"/>
        </w:rPr>
        <w:t>立起适应资本市场要求和业务发展需要的运作机制并有效运行，将直接影响公</w:t>
      </w:r>
      <w:r>
        <w:rPr>
          <w:rFonts w:ascii="宋体" w:hAnsi="宋体" w:cs="宋体" w:eastAsia="宋体" w:hint="default"/>
          <w:b/>
          <w:bCs/>
          <w:w w:val="99"/>
          <w:sz w:val="28"/>
          <w:szCs w:val="28"/>
        </w:rPr>
        <w:t> </w:t>
      </w:r>
      <w:r>
        <w:rPr>
          <w:rFonts w:ascii="宋体" w:hAnsi="宋体" w:cs="宋体" w:eastAsia="宋体" w:hint="default"/>
          <w:b/>
          <w:bCs/>
          <w:spacing w:val="-6"/>
          <w:w w:val="99"/>
          <w:sz w:val="28"/>
          <w:szCs w:val="28"/>
        </w:rPr>
        <w:t>司的经营效率、发展速度和业绩水平。（七）市场技术发展方向变化的风险：目</w:t>
      </w:r>
      <w:r>
        <w:rPr>
          <w:rFonts w:ascii="宋体" w:hAnsi="宋体" w:cs="宋体" w:eastAsia="宋体" w:hint="default"/>
          <w:b/>
          <w:bCs/>
          <w:spacing w:val="-106"/>
          <w:w w:val="99"/>
          <w:sz w:val="28"/>
          <w:szCs w:val="28"/>
        </w:rPr>
        <w:t> </w:t>
      </w:r>
      <w:r>
        <w:rPr>
          <w:rFonts w:ascii="宋体" w:hAnsi="宋体" w:cs="宋体" w:eastAsia="宋体" w:hint="default"/>
          <w:b/>
          <w:bCs/>
          <w:spacing w:val="-106"/>
          <w:w w:val="99"/>
          <w:sz w:val="28"/>
          <w:szCs w:val="28"/>
        </w:rPr>
      </w:r>
      <w:r>
        <w:rPr>
          <w:rFonts w:ascii="宋体" w:hAnsi="宋体" w:cs="宋体" w:eastAsia="宋体" w:hint="default"/>
          <w:b/>
          <w:bCs/>
          <w:spacing w:val="3"/>
          <w:sz w:val="28"/>
          <w:szCs w:val="28"/>
        </w:rPr>
        <w:t>前软件行业正处于快速发展阶段，技术更新换代快，用户对技术服务的要求不</w:t>
      </w:r>
      <w:r>
        <w:rPr>
          <w:rFonts w:ascii="宋体" w:hAnsi="宋体" w:cs="宋体" w:eastAsia="宋体" w:hint="default"/>
          <w:b/>
          <w:bCs/>
          <w:w w:val="99"/>
          <w:sz w:val="28"/>
          <w:szCs w:val="28"/>
        </w:rPr>
        <w:t> </w:t>
      </w:r>
      <w:r>
        <w:rPr>
          <w:rFonts w:ascii="宋体" w:hAnsi="宋体" w:cs="宋体" w:eastAsia="宋体" w:hint="default"/>
          <w:b/>
          <w:bCs/>
          <w:spacing w:val="3"/>
          <w:sz w:val="28"/>
          <w:szCs w:val="28"/>
        </w:rPr>
        <w:t>断提高。因此，若公司对技术和市场的变化不能快速响应，对行业关键技术的</w:t>
      </w:r>
      <w:r>
        <w:rPr>
          <w:rFonts w:ascii="宋体" w:hAnsi="宋体" w:cs="宋体" w:eastAsia="宋体" w:hint="default"/>
          <w:b/>
          <w:bCs/>
          <w:w w:val="99"/>
          <w:sz w:val="28"/>
          <w:szCs w:val="28"/>
        </w:rPr>
        <w:t> </w:t>
      </w:r>
      <w:r>
        <w:rPr>
          <w:rFonts w:ascii="宋体" w:hAnsi="宋体" w:cs="宋体" w:eastAsia="宋体" w:hint="default"/>
          <w:b/>
          <w:bCs/>
          <w:spacing w:val="3"/>
          <w:sz w:val="28"/>
          <w:szCs w:val="28"/>
        </w:rPr>
        <w:t>发展动态不能及时掌控，将导致公司的市场竞争能力下降，公司因而存在一定</w:t>
      </w:r>
      <w:r>
        <w:rPr>
          <w:rFonts w:ascii="宋体" w:hAnsi="宋体" w:cs="宋体" w:eastAsia="宋体" w:hint="default"/>
          <w:b/>
          <w:bCs/>
          <w:w w:val="99"/>
          <w:sz w:val="28"/>
          <w:szCs w:val="28"/>
        </w:rPr>
        <w:t> </w:t>
      </w:r>
      <w:r>
        <w:rPr>
          <w:rFonts w:ascii="宋体" w:hAnsi="宋体" w:cs="宋体" w:eastAsia="宋体" w:hint="default"/>
          <w:b/>
          <w:bCs/>
          <w:spacing w:val="3"/>
          <w:sz w:val="28"/>
          <w:szCs w:val="28"/>
        </w:rPr>
        <w:t>的技术发展风险。公司在做好主营业务的同时，会跟随金融科技发展趋势，但</w:t>
      </w:r>
      <w:r>
        <w:rPr>
          <w:rFonts w:ascii="宋体" w:hAnsi="宋体" w:cs="宋体" w:eastAsia="宋体" w:hint="default"/>
          <w:b/>
          <w:bCs/>
          <w:w w:val="99"/>
          <w:sz w:val="28"/>
          <w:szCs w:val="28"/>
        </w:rPr>
        <w:t> </w:t>
      </w:r>
      <w:r>
        <w:rPr>
          <w:rFonts w:ascii="宋体" w:hAnsi="宋体" w:cs="宋体" w:eastAsia="宋体" w:hint="default"/>
          <w:b/>
          <w:bCs/>
          <w:spacing w:val="3"/>
          <w:sz w:val="28"/>
          <w:szCs w:val="28"/>
        </w:rPr>
        <w:t>若对技术及市场等变化未能准确、快速响应，业务转型将存在达不到预期目标</w:t>
      </w:r>
      <w:r>
        <w:rPr>
          <w:rFonts w:ascii="宋体" w:hAnsi="宋体" w:cs="宋体" w:eastAsia="宋体" w:hint="default"/>
          <w:b/>
          <w:bCs/>
          <w:w w:val="99"/>
          <w:sz w:val="28"/>
          <w:szCs w:val="28"/>
        </w:rPr>
        <w:t> </w:t>
      </w:r>
      <w:r>
        <w:rPr>
          <w:rFonts w:ascii="宋体" w:hAnsi="宋体" w:cs="宋体" w:eastAsia="宋体" w:hint="default"/>
          <w:b/>
          <w:bCs/>
          <w:spacing w:val="-6"/>
          <w:w w:val="99"/>
          <w:sz w:val="28"/>
          <w:szCs w:val="28"/>
        </w:rPr>
        <w:t>的风险，未来是否盈利存在不确定性。（八）尽管公司已做充分的市场调研和可</w:t>
      </w:r>
      <w:r>
        <w:rPr>
          <w:rFonts w:ascii="宋体" w:hAnsi="宋体" w:cs="宋体" w:eastAsia="宋体" w:hint="default"/>
          <w:b/>
          <w:bCs/>
          <w:spacing w:val="-113"/>
          <w:w w:val="99"/>
          <w:sz w:val="28"/>
          <w:szCs w:val="28"/>
        </w:rPr>
        <w:t> </w:t>
      </w:r>
      <w:r>
        <w:rPr>
          <w:rFonts w:ascii="宋体" w:hAnsi="宋体" w:cs="宋体" w:eastAsia="宋体" w:hint="default"/>
          <w:b/>
          <w:bCs/>
          <w:spacing w:val="-113"/>
          <w:w w:val="99"/>
          <w:sz w:val="28"/>
          <w:szCs w:val="28"/>
        </w:rPr>
      </w:r>
      <w:r>
        <w:rPr>
          <w:rFonts w:ascii="宋体" w:hAnsi="宋体" w:cs="宋体" w:eastAsia="宋体" w:hint="default"/>
          <w:b/>
          <w:bCs/>
          <w:spacing w:val="3"/>
          <w:sz w:val="28"/>
          <w:szCs w:val="28"/>
        </w:rPr>
        <w:t>行性论证，但项目实施周期较长，在此期间由于宏观经济、市场环境、技术进</w:t>
      </w:r>
      <w:r>
        <w:rPr>
          <w:rFonts w:ascii="宋体" w:hAnsi="宋体" w:cs="宋体" w:eastAsia="宋体" w:hint="default"/>
          <w:spacing w:val="3"/>
          <w:sz w:val="28"/>
          <w:szCs w:val="28"/>
        </w:rPr>
      </w:r>
    </w:p>
    <w:p>
      <w:pPr>
        <w:spacing w:after="0" w:line="408"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8" w:lineRule="auto" w:before="13"/>
        <w:ind w:left="154" w:right="0" w:firstLine="0"/>
        <w:jc w:val="left"/>
        <w:rPr>
          <w:rFonts w:ascii="宋体" w:hAnsi="宋体" w:cs="宋体" w:eastAsia="宋体" w:hint="default"/>
          <w:sz w:val="28"/>
          <w:szCs w:val="28"/>
        </w:rPr>
      </w:pPr>
      <w:r>
        <w:rPr>
          <w:rFonts w:ascii="宋体" w:hAnsi="宋体" w:cs="宋体" w:eastAsia="宋体" w:hint="default"/>
          <w:b/>
          <w:bCs/>
          <w:spacing w:val="-9"/>
          <w:w w:val="99"/>
          <w:sz w:val="28"/>
          <w:szCs w:val="28"/>
        </w:rPr>
        <w:t>步等因素，存在募集资金投资项目不达预期的风险。（九）公司设立的新子公司、</w:t>
      </w:r>
      <w:r>
        <w:rPr>
          <w:rFonts w:ascii="宋体" w:hAnsi="宋体" w:cs="宋体" w:eastAsia="宋体" w:hint="default"/>
          <w:b/>
          <w:bCs/>
          <w:spacing w:val="-137"/>
          <w:w w:val="99"/>
          <w:sz w:val="28"/>
          <w:szCs w:val="28"/>
        </w:rPr>
        <w:t> </w:t>
      </w:r>
      <w:r>
        <w:rPr>
          <w:rFonts w:ascii="宋体" w:hAnsi="宋体" w:cs="宋体" w:eastAsia="宋体" w:hint="default"/>
          <w:b/>
          <w:bCs/>
          <w:spacing w:val="-137"/>
          <w:w w:val="99"/>
          <w:sz w:val="28"/>
          <w:szCs w:val="28"/>
        </w:rPr>
      </w:r>
      <w:r>
        <w:rPr>
          <w:rFonts w:ascii="宋体" w:hAnsi="宋体" w:cs="宋体" w:eastAsia="宋体" w:hint="default"/>
          <w:b/>
          <w:bCs/>
          <w:spacing w:val="-6"/>
          <w:w w:val="99"/>
          <w:sz w:val="28"/>
          <w:szCs w:val="28"/>
        </w:rPr>
        <w:t>成立的合资公司、参股公司，未来实现盈利存在不确定性。（十）法律、法规及</w:t>
      </w:r>
      <w:r>
        <w:rPr>
          <w:rFonts w:ascii="宋体" w:hAnsi="宋体" w:cs="宋体" w:eastAsia="宋体" w:hint="default"/>
          <w:b/>
          <w:bCs/>
          <w:spacing w:val="-113"/>
          <w:w w:val="99"/>
          <w:sz w:val="28"/>
          <w:szCs w:val="28"/>
        </w:rPr>
        <w:t> </w:t>
      </w:r>
      <w:r>
        <w:rPr>
          <w:rFonts w:ascii="宋体" w:hAnsi="宋体" w:cs="宋体" w:eastAsia="宋体" w:hint="default"/>
          <w:b/>
          <w:bCs/>
          <w:spacing w:val="-113"/>
          <w:w w:val="99"/>
          <w:sz w:val="28"/>
          <w:szCs w:val="28"/>
        </w:rPr>
      </w:r>
      <w:r>
        <w:rPr>
          <w:rFonts w:ascii="宋体" w:hAnsi="宋体" w:cs="宋体" w:eastAsia="宋体" w:hint="default"/>
          <w:b/>
          <w:bCs/>
          <w:spacing w:val="3"/>
          <w:sz w:val="28"/>
          <w:szCs w:val="28"/>
        </w:rPr>
        <w:t>产业政策变化的风险：区块链技术的发展属于新兴领域，区块链相关业务的法</w:t>
      </w:r>
      <w:r>
        <w:rPr>
          <w:rFonts w:ascii="宋体" w:hAnsi="宋体" w:cs="宋体" w:eastAsia="宋体" w:hint="default"/>
          <w:b/>
          <w:bCs/>
          <w:w w:val="99"/>
          <w:sz w:val="28"/>
          <w:szCs w:val="28"/>
        </w:rPr>
        <w:t> </w:t>
      </w:r>
      <w:r>
        <w:rPr>
          <w:rFonts w:ascii="宋体" w:hAnsi="宋体" w:cs="宋体" w:eastAsia="宋体" w:hint="default"/>
          <w:b/>
          <w:bCs/>
          <w:spacing w:val="3"/>
          <w:sz w:val="28"/>
          <w:szCs w:val="28"/>
        </w:rPr>
        <w:t>律、法规及产业政策存在调整的风险。随着国家陆续颁布相关法律、法规及产</w:t>
      </w:r>
      <w:r>
        <w:rPr>
          <w:rFonts w:ascii="宋体" w:hAnsi="宋体" w:cs="宋体" w:eastAsia="宋体" w:hint="default"/>
          <w:b/>
          <w:bCs/>
          <w:w w:val="99"/>
          <w:sz w:val="28"/>
          <w:szCs w:val="28"/>
        </w:rPr>
        <w:t> </w:t>
      </w:r>
      <w:r>
        <w:rPr>
          <w:rFonts w:ascii="宋体" w:hAnsi="宋体" w:cs="宋体" w:eastAsia="宋体" w:hint="default"/>
          <w:b/>
          <w:bCs/>
          <w:spacing w:val="3"/>
          <w:sz w:val="28"/>
          <w:szCs w:val="28"/>
        </w:rPr>
        <w:t>业政策，适用条件的变更可能导致公司及相关全资子公司运营受到阻碍或增加</w:t>
      </w:r>
      <w:r>
        <w:rPr>
          <w:rFonts w:ascii="宋体" w:hAnsi="宋体" w:cs="宋体" w:eastAsia="宋体" w:hint="default"/>
          <w:b/>
          <w:bCs/>
          <w:w w:val="99"/>
          <w:sz w:val="28"/>
          <w:szCs w:val="28"/>
        </w:rPr>
        <w:t> </w:t>
      </w:r>
      <w:r>
        <w:rPr>
          <w:rFonts w:ascii="宋体" w:hAnsi="宋体" w:cs="宋体" w:eastAsia="宋体" w:hint="default"/>
          <w:b/>
          <w:bCs/>
          <w:spacing w:val="-6"/>
          <w:w w:val="99"/>
          <w:sz w:val="28"/>
          <w:szCs w:val="28"/>
        </w:rPr>
        <w:t>公司运营成本。（十一）国际政治经济不稳定及汇率波动风险：公司正在实施全</w:t>
      </w:r>
      <w:r>
        <w:rPr>
          <w:rFonts w:ascii="宋体" w:hAnsi="宋体" w:cs="宋体" w:eastAsia="宋体" w:hint="default"/>
          <w:b/>
          <w:bCs/>
          <w:spacing w:val="-115"/>
          <w:w w:val="99"/>
          <w:sz w:val="28"/>
          <w:szCs w:val="28"/>
        </w:rPr>
        <w:t> </w:t>
      </w:r>
      <w:r>
        <w:rPr>
          <w:rFonts w:ascii="宋体" w:hAnsi="宋体" w:cs="宋体" w:eastAsia="宋体" w:hint="default"/>
          <w:b/>
          <w:bCs/>
          <w:spacing w:val="-115"/>
          <w:w w:val="99"/>
          <w:sz w:val="28"/>
          <w:szCs w:val="28"/>
        </w:rPr>
      </w:r>
      <w:r>
        <w:rPr>
          <w:rFonts w:ascii="宋体" w:hAnsi="宋体" w:cs="宋体" w:eastAsia="宋体" w:hint="default"/>
          <w:b/>
          <w:bCs/>
          <w:spacing w:val="3"/>
          <w:sz w:val="28"/>
          <w:szCs w:val="28"/>
        </w:rPr>
        <w:t>球化布局，目前海外业务占比规模较大。报告期内，贸易保护主义有加剧的趋</w:t>
      </w:r>
      <w:r>
        <w:rPr>
          <w:rFonts w:ascii="宋体" w:hAnsi="宋体" w:cs="宋体" w:eastAsia="宋体" w:hint="default"/>
          <w:b/>
          <w:bCs/>
          <w:w w:val="99"/>
          <w:sz w:val="28"/>
          <w:szCs w:val="28"/>
        </w:rPr>
        <w:t> </w:t>
      </w:r>
      <w:r>
        <w:rPr>
          <w:rFonts w:ascii="宋体" w:hAnsi="宋体" w:cs="宋体" w:eastAsia="宋体" w:hint="default"/>
          <w:b/>
          <w:bCs/>
          <w:spacing w:val="3"/>
          <w:sz w:val="28"/>
          <w:szCs w:val="28"/>
        </w:rPr>
        <w:t>势，而国际政治经济形势的不确定性，将会给公司在海外业务拓展方面带来不</w:t>
      </w:r>
      <w:r>
        <w:rPr>
          <w:rFonts w:ascii="宋体" w:hAnsi="宋体" w:cs="宋体" w:eastAsia="宋体" w:hint="default"/>
          <w:b/>
          <w:bCs/>
          <w:w w:val="99"/>
          <w:sz w:val="28"/>
          <w:szCs w:val="28"/>
        </w:rPr>
        <w:t> </w:t>
      </w:r>
      <w:r>
        <w:rPr>
          <w:rFonts w:ascii="宋体" w:hAnsi="宋体" w:cs="宋体" w:eastAsia="宋体" w:hint="default"/>
          <w:b/>
          <w:bCs/>
          <w:sz w:val="28"/>
          <w:szCs w:val="28"/>
        </w:rPr>
        <w:t>确定性，汇率波动也会给公司外汇结算等方面带来潜在风险。</w:t>
      </w:r>
      <w:r>
        <w:rPr>
          <w:rFonts w:ascii="宋体" w:hAnsi="宋体" w:cs="宋体" w:eastAsia="宋体" w:hint="default"/>
          <w:sz w:val="28"/>
          <w:szCs w:val="28"/>
        </w:rPr>
      </w:r>
    </w:p>
    <w:p>
      <w:pPr>
        <w:spacing w:before="16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194,220,862</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1.50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8"/>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2424" w:right="3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94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173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424" w:right="3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公司、本公司、四方精创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益群控股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益群集团控股有限公司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益志控股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益志集团控股有限公司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益威控股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益威集团控股有限公司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Systex</w:t>
            </w:r>
            <w:r>
              <w:rPr>
                <w:rFonts w:ascii="Times New Roman"/>
                <w:spacing w:val="-3"/>
                <w:sz w:val="18"/>
              </w:rPr>
              <w:t> </w:t>
            </w:r>
            <w:r>
              <w:rPr>
                <w:rFonts w:ascii="Times New Roman"/>
                <w:sz w:val="18"/>
              </w:rPr>
              <w:t>Solutions</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Systex Solutions (HK)</w:t>
            </w:r>
            <w:r>
              <w:rPr>
                <w:rFonts w:ascii="Times New Roman"/>
                <w:spacing w:val="-7"/>
                <w:sz w:val="18"/>
              </w:rPr>
              <w:t> </w:t>
            </w:r>
            <w:r>
              <w:rPr>
                <w:rFonts w:ascii="Times New Roman"/>
                <w:sz w:val="18"/>
              </w:rPr>
              <w:t>Limited</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俊图精科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深圳俊图精科投资有限公司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弘高亚太</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弘高亚太投资有限公司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威升精科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石河子市威升精科股权投资合伙企业（有限合伙）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信方精科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石河子市信方精科股权投资合伙企业（有限合伙）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冠维新科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石河子市冠维新科股权投资合伙企业（有限合伙）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建方新科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石河子市建方新科股权投资合伙企业（有限合伙）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四方香港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四方信息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四方精创信息（香港）有限公司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乐寻坊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深圳前海乐寻坊区块链科技有限公司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保荐机构、保荐人、主承销商、国信证券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正中珠江、会计师、申报会计师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spacing w:line="391" w:lineRule="exact"/>
        <w:ind w:left="246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61.5pt;height:19.6pt;mso-position-horizontal-relative:char;mso-position-vertical-relative:line" coordorigin="0,0" coordsize="7230,392">
            <v:group style="position:absolute;left:0;top:0;width:7230;height:392" coordorigin="0,0" coordsize="7230,392">
              <v:shape style="position:absolute;left:0;top:0;width:7230;height:392" coordorigin="0,0" coordsize="7230,392" path="m0,391l7230,391,7230,0,0,0,0,391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240" w:lineRule="auto"/>
        <w:ind w:left="0" w:right="1138"/>
        <w:jc w:val="right"/>
      </w:pPr>
      <w:r>
        <w:rPr/>
        <w:pict>
          <v:shape style="position:absolute;margin-left:56.459999pt;margin-top:-123.708267pt;width:479.25pt;height:241.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四方精创</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300468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深圳四方精创资讯股份有限公司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四方精创</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Forms Syntron Information</w:t>
                        </w:r>
                        <w:r>
                          <w:rPr>
                            <w:rFonts w:ascii="Times New Roman"/>
                            <w:spacing w:val="-9"/>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Forms</w:t>
                        </w:r>
                        <w:r>
                          <w:rPr>
                            <w:rFonts w:ascii="Times New Roman"/>
                            <w:spacing w:val="-2"/>
                            <w:sz w:val="18"/>
                          </w:rPr>
                          <w:t> </w:t>
                        </w:r>
                        <w:r>
                          <w:rPr>
                            <w:rFonts w:ascii="Times New Roman"/>
                            <w:sz w:val="18"/>
                          </w:rPr>
                          <w:t>Syntron</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周志群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深圳市南山区科技中二路深圳软件园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402</w:t>
                        </w:r>
                        <w:r>
                          <w:rPr>
                            <w:rFonts w:ascii="宋体" w:hAnsi="宋体" w:cs="宋体" w:eastAsia="宋体" w:hint="default"/>
                            <w:spacing w:val="-7"/>
                            <w:sz w:val="18"/>
                            <w:szCs w:val="18"/>
                          </w:rPr>
                          <w:t>、深圳软件园（</w:t>
                        </w:r>
                        <w:r>
                          <w:rPr>
                            <w:rFonts w:ascii="Times New Roman" w:hAnsi="Times New Roman" w:cs="Times New Roman" w:eastAsia="Times New Roman" w:hint="default"/>
                            <w:spacing w:val="-7"/>
                            <w:sz w:val="18"/>
                            <w:szCs w:val="18"/>
                          </w:rPr>
                          <w:t>2</w:t>
                        </w:r>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期）</w:t>
                        </w:r>
                        <w:r>
                          <w:rPr>
                            <w:rFonts w:ascii="Times New Roman" w:hAnsi="Times New Roman" w:cs="Times New Roman" w:eastAsia="Times New Roman" w:hint="default"/>
                            <w:spacing w:val="-10"/>
                            <w:sz w:val="18"/>
                            <w:szCs w:val="18"/>
                          </w:rPr>
                          <w:t>13</w:t>
                        </w:r>
                        <w:r>
                          <w:rPr>
                            <w:rFonts w:ascii="Times New Roman" w:hAnsi="Times New Roman" w:cs="Times New Roman" w:eastAsia="Times New Roman" w:hint="default"/>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302 </w:t>
                        </w:r>
                        <w:r>
                          <w:rPr>
                            <w:rFonts w:ascii="宋体" w:hAnsi="宋体" w:cs="宋体" w:eastAsia="宋体" w:hint="default"/>
                            <w:spacing w:val="-7"/>
                            <w:sz w:val="18"/>
                            <w:szCs w:val="18"/>
                          </w:rPr>
                          <w:t>室（仅限办公</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深圳市南山区高新中一道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号软件大厦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www.formssi.com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formssyntronss@formssi.com</w:t>
                          </w:r>
                        </w:hyperlink>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彭淑欣</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深圳市南山区高新中一道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号软件大厦</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深圳市南山区高新中一道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号软件大厦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0755-86649962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0755-86649962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0755-86329137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0755-86329137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formssyntronss@formssi.com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formssyntronss@formssi.com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深圳市南山区高新中一道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号软件大厦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室董事会秘书办公室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号粤海大厦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吉争雄、杨诗学</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深圳市红岭中路国信证券大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魏安胜、黄涛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487,816,568.83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507,805,831.97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367,045,428.41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68,804,381.94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88,163,361.56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75,632,809.08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66,055,860.72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84,966,452.49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73,200,249.74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79,294,660.13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49,651,113.35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57,241,091.60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1,233,192,855.43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1,178,371,191.97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995,966,953.78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1,054,204,545.71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949,321,068.27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845,973,873.10</w:t>
            </w:r>
          </w:p>
        </w:tc>
      </w:tr>
    </w:tbl>
    <w:p>
      <w:pPr>
        <w:pStyle w:val="BodyText"/>
        <w:spacing w:line="240" w:lineRule="auto" w:before="5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0.3543</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18"/>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104,018,884.20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106,674,850.12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110,913,446.90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166,209,387.61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13,171,433.87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17,749,194.41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24,062,851.32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13,820,902.34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13,025,993.80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15,992,724.51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23,399,784.23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13,637,358.18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-42,478,213.04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45,752,098.08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2,571,449.96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73,449,325.13</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-241,572.42</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128.70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4,098,847.28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3,456,300.00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2,676,802.50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-485,104.55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321,468.31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184,903.32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623,649.09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580,859.24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429,275.18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2,748,521.22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3,196,909.07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2,432,559.34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left"/>
      </w:pPr>
      <w:r>
        <w:rPr/>
        <w:t>软件与信息技术服务业</w:t>
      </w:r>
    </w:p>
    <w:p>
      <w:pPr>
        <w:pStyle w:val="BodyText"/>
        <w:spacing w:line="240" w:lineRule="auto" w:before="116"/>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57" w:lineRule="auto" w:before="103"/>
        <w:ind w:left="588" w:right="1138" w:hanging="435"/>
        <w:jc w:val="left"/>
      </w:pPr>
      <w:r>
        <w:rPr/>
        <w:t>（一）主营业务的范围及经营情况 公司的经营范围包括从事计算机软、硬件的技术开发，销售自行开发的软件；数据库的设计、开发和维护；计算机系</w:t>
      </w:r>
    </w:p>
    <w:p>
      <w:pPr>
        <w:pStyle w:val="BodyText"/>
        <w:spacing w:line="357" w:lineRule="auto"/>
        <w:ind w:left="588" w:right="0" w:hanging="435"/>
        <w:jc w:val="left"/>
      </w:pPr>
      <w:r>
        <w:rPr>
          <w:spacing w:val="-4"/>
        </w:rPr>
        <w:t>统集成及其相关的技术咨询、维护；计算机软、硬件的批发、佣金代理（不含拍卖）、进出口及相关配套业务；技术进出口。</w:t>
      </w:r>
      <w:r>
        <w:rPr>
          <w:spacing w:val="-46"/>
        </w:rPr>
        <w:t> </w:t>
      </w:r>
      <w:r>
        <w:rPr>
          <w:spacing w:val="-46"/>
        </w:rPr>
      </w:r>
      <w:r>
        <w:rPr/>
        <w:t>报告期，公司继续坚持做好主营业务，在服务已有客户的同时积极拓展新客户，新增香港银行同业结算有限公司、深</w:t>
      </w:r>
    </w:p>
    <w:p>
      <w:pPr>
        <w:pStyle w:val="BodyText"/>
        <w:spacing w:line="224" w:lineRule="exact"/>
        <w:ind w:right="0"/>
        <w:jc w:val="left"/>
      </w:pPr>
      <w:r>
        <w:rPr/>
        <w:t>圳市腾讯计算机系统有限公司、中国银行股份有限公司巴拿马分行、中国民生银行股份有限公司北京分行等客户；加大力度</w:t>
      </w:r>
    </w:p>
    <w:p>
      <w:pPr>
        <w:pStyle w:val="BodyText"/>
        <w:spacing w:line="319" w:lineRule="auto" w:before="76"/>
        <w:ind w:right="0"/>
        <w:jc w:val="left"/>
      </w:pPr>
      <w:r>
        <w:rPr>
          <w:spacing w:val="-4"/>
        </w:rPr>
        <w:t>投入区块链、大数据、人工智能等新技术研发，并推动产品落地；在境内外开展合作与投资，参股格罗斯产业链服务（深圳）</w:t>
      </w:r>
      <w:r>
        <w:rPr>
          <w:spacing w:val="-44"/>
        </w:rPr>
        <w:t> </w:t>
      </w:r>
      <w:r>
        <w:rPr>
          <w:spacing w:val="-44"/>
        </w:rPr>
      </w:r>
      <w:r>
        <w:rPr>
          <w:spacing w:val="-2"/>
        </w:rPr>
        <w:t>有限公司、北京优智汇咨询有限公司，成立全资子公司深圳前海乐寻坊区块链科技有限公司，布局未来发展；聚焦港、澳及</w:t>
      </w:r>
      <w:r>
        <w:rPr>
          <w:spacing w:val="-66"/>
        </w:rPr>
        <w:t> </w:t>
      </w:r>
      <w:r>
        <w:rPr>
          <w:spacing w:val="-66"/>
        </w:rPr>
      </w:r>
      <w:r>
        <w:rPr/>
        <w:t>海外地区的金融科技市场，积极拓展海外市场与创新业务模式，以期实现业务增长。</w:t>
      </w:r>
    </w:p>
    <w:p>
      <w:pPr>
        <w:pStyle w:val="BodyText"/>
        <w:spacing w:line="302" w:lineRule="auto" w:before="56"/>
        <w:ind w:right="1138" w:firstLine="434"/>
        <w:jc w:val="left"/>
      </w:pPr>
      <w:r>
        <w:rPr/>
        <w:t>报告期，公司较好地完成了年度经营目标，实现营业收入</w:t>
      </w:r>
      <w:r>
        <w:rPr>
          <w:rFonts w:ascii="Times New Roman" w:hAnsi="Times New Roman" w:cs="Times New Roman" w:eastAsia="Times New Roman" w:hint="default"/>
        </w:rPr>
        <w:t>48,781.66</w:t>
      </w:r>
      <w:r>
        <w:rPr/>
        <w:t>万元，其中，境外业务收入</w:t>
      </w:r>
      <w:r>
        <w:rPr>
          <w:rFonts w:ascii="Times New Roman" w:hAnsi="Times New Roman" w:cs="Times New Roman" w:eastAsia="Times New Roman" w:hint="default"/>
        </w:rPr>
        <w:t>24,648.35</w:t>
      </w:r>
      <w:r>
        <w:rPr/>
        <w:t>万元；营业利 润</w:t>
      </w:r>
      <w:r>
        <w:rPr>
          <w:rFonts w:ascii="Times New Roman" w:hAnsi="Times New Roman" w:cs="Times New Roman" w:eastAsia="Times New Roman" w:hint="default"/>
        </w:rPr>
        <w:t>6,769.27</w:t>
      </w:r>
      <w:r>
        <w:rPr/>
        <w:t>万元；归属于上市公司股东的净利润</w:t>
      </w:r>
      <w:r>
        <w:rPr>
          <w:rFonts w:ascii="Times New Roman" w:hAnsi="Times New Roman" w:cs="Times New Roman" w:eastAsia="Times New Roman" w:hint="default"/>
        </w:rPr>
        <w:t>6,880.44</w:t>
      </w:r>
      <w:r>
        <w:rPr/>
        <w:t>万元。</w:t>
      </w:r>
    </w:p>
    <w:p>
      <w:pPr>
        <w:pStyle w:val="BodyText"/>
        <w:spacing w:line="240" w:lineRule="auto" w:before="50"/>
        <w:ind w:right="0"/>
        <w:jc w:val="left"/>
      </w:pPr>
      <w:r>
        <w:rPr/>
        <w:t>（二）公司业务相关的宏观经济层面或外部经营环境的发展现状和变化趋势及公司行业地位或区域市场地位的变动趋势</w:t>
      </w:r>
    </w:p>
    <w:p>
      <w:pPr>
        <w:pStyle w:val="BodyText"/>
        <w:spacing w:line="312" w:lineRule="auto" w:before="115"/>
        <w:ind w:right="1028" w:firstLine="373"/>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月，国务院印发了《</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国家信息化规划》，《规划》中提到，到</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w:t>
      </w:r>
      <w:r>
        <w:rPr>
          <w:spacing w:val="-1"/>
        </w:rPr>
        <w:t>数字中国</w:t>
      </w:r>
      <w:r>
        <w:rPr>
          <w:rFonts w:ascii="Times New Roman" w:hAnsi="Times New Roman" w:cs="Times New Roman" w:eastAsia="Times New Roman" w:hint="default"/>
          <w:spacing w:val="-1"/>
        </w:rPr>
        <w:t>”</w:t>
      </w:r>
      <w:r>
        <w:rPr>
          <w:spacing w:val="-1"/>
        </w:rPr>
        <w:t>建设取得显著成效，</w:t>
      </w:r>
      <w:r>
        <w:rPr/>
        <w:t> </w:t>
      </w:r>
      <w:r>
        <w:rPr>
          <w:spacing w:val="-3"/>
        </w:rPr>
        <w:t>信息化能力跻身国际前列。</w:t>
      </w:r>
      <w:r>
        <w:rPr>
          <w:rFonts w:ascii="Times New Roman" w:hAnsi="Times New Roman" w:cs="Times New Roman" w:eastAsia="Times New Roman" w:hint="default"/>
          <w:spacing w:val="-3"/>
        </w:rPr>
        <w:t>2019</w:t>
      </w:r>
      <w:r>
        <w:rPr>
          <w:spacing w:val="-3"/>
        </w:rPr>
        <w:t>年初，中国人民银行金融科技委员第一次会议强调：继续坚持</w:t>
      </w:r>
      <w:r>
        <w:rPr>
          <w:rFonts w:ascii="Times New Roman" w:hAnsi="Times New Roman" w:cs="Times New Roman" w:eastAsia="Times New Roman" w:hint="default"/>
          <w:spacing w:val="-3"/>
        </w:rPr>
        <w:t>“</w:t>
      </w:r>
      <w:r>
        <w:rPr>
          <w:spacing w:val="-3"/>
        </w:rPr>
        <w:t>守正、安全、普惠、开放</w:t>
      </w:r>
      <w:r>
        <w:rPr>
          <w:rFonts w:ascii="Times New Roman" w:hAnsi="Times New Roman" w:cs="Times New Roman" w:eastAsia="Times New Roman" w:hint="default"/>
          <w:spacing w:val="-3"/>
        </w:rPr>
        <w:t>” </w:t>
      </w:r>
      <w:r>
        <w:rPr/>
        <w:t>原</w:t>
      </w:r>
      <w:r>
        <w:rPr>
          <w:spacing w:val="-70"/>
        </w:rPr>
        <w:t> </w:t>
      </w:r>
      <w:r>
        <w:rPr>
          <w:spacing w:val="-2"/>
        </w:rPr>
        <w:t>则，研究出台金融科技发展规划，逐步建立金融科技监管规则体系，完善创新管理机制，营造有利于金融科技发展的良性政</w:t>
      </w:r>
      <w:r>
        <w:rPr>
          <w:spacing w:val="-66"/>
        </w:rPr>
        <w:t> </w:t>
      </w:r>
      <w:r>
        <w:rPr>
          <w:spacing w:val="-66"/>
        </w:rPr>
      </w:r>
      <w:r>
        <w:rPr>
          <w:spacing w:val="-2"/>
        </w:rPr>
        <w:t>策环境。《粤港澳大湾区发展规划纲要》指出，推进深港金融市场互联互通和深澳特色金融合作，开展科技金融试点，加强</w:t>
      </w:r>
      <w:r>
        <w:rPr>
          <w:spacing w:val="-67"/>
        </w:rPr>
        <w:t> </w:t>
      </w:r>
      <w:r>
        <w:rPr>
          <w:spacing w:val="-67"/>
        </w:rPr>
      </w:r>
      <w:r>
        <w:rPr>
          <w:spacing w:val="-2"/>
        </w:rPr>
        <w:t>金融科技载体建设。这些都为金融科技发展注入了强有力的政策支持，并会给金融产业和相关金融科技企业带来更多市场机</w:t>
      </w:r>
      <w:r>
        <w:rPr>
          <w:spacing w:val="-64"/>
        </w:rPr>
        <w:t> </w:t>
      </w:r>
      <w:r>
        <w:rPr>
          <w:spacing w:val="-64"/>
        </w:rPr>
      </w:r>
      <w:r>
        <w:rPr/>
        <w:t>会。</w:t>
      </w:r>
    </w:p>
    <w:p>
      <w:pPr>
        <w:pStyle w:val="BodyText"/>
        <w:spacing w:line="304" w:lineRule="auto" w:before="22"/>
        <w:ind w:right="1128" w:firstLine="360"/>
        <w:jc w:val="both"/>
      </w:pPr>
      <w:r>
        <w:rPr>
          <w:spacing w:val="-2"/>
        </w:rPr>
        <w:t>据前瞻产业研究院发布的《中国科技金融服务深度调研与投资战略规划分析报告》统计数据显示，</w:t>
      </w:r>
      <w:r>
        <w:rPr>
          <w:rFonts w:ascii="Times New Roman" w:hAnsi="Times New Roman" w:cs="Times New Roman" w:eastAsia="Times New Roman" w:hint="default"/>
          <w:spacing w:val="-2"/>
        </w:rPr>
        <w:t>2018</w:t>
      </w:r>
      <w:r>
        <w:rPr>
          <w:spacing w:val="-2"/>
        </w:rPr>
        <w:t>年，我国金融科</w:t>
      </w:r>
      <w:r>
        <w:rPr/>
        <w:t> </w:t>
      </w:r>
      <w:r>
        <w:rPr>
          <w:spacing w:val="-1"/>
        </w:rPr>
        <w:t>技企业的营收总规模达到</w:t>
      </w:r>
      <w:r>
        <w:rPr>
          <w:rFonts w:ascii="Times New Roman" w:hAnsi="Times New Roman" w:cs="Times New Roman" w:eastAsia="Times New Roman" w:hint="default"/>
          <w:spacing w:val="-1"/>
        </w:rPr>
        <w:t>9698.8</w:t>
      </w:r>
      <w:r>
        <w:rPr>
          <w:spacing w:val="-1"/>
        </w:rPr>
        <w:t>亿元，同比增速</w:t>
      </w:r>
      <w:r>
        <w:rPr>
          <w:rFonts w:ascii="Times New Roman" w:hAnsi="Times New Roman" w:cs="Times New Roman" w:eastAsia="Times New Roman" w:hint="default"/>
          <w:spacing w:val="-1"/>
        </w:rPr>
        <w:t>48.3%</w:t>
      </w:r>
      <w:r>
        <w:rPr>
          <w:spacing w:val="-1"/>
        </w:rPr>
        <w:t>，并预测在</w:t>
      </w:r>
      <w:r>
        <w:rPr>
          <w:rFonts w:ascii="Times New Roman" w:hAnsi="Times New Roman" w:cs="Times New Roman" w:eastAsia="Times New Roman" w:hint="default"/>
          <w:spacing w:val="-1"/>
        </w:rPr>
        <w:t>2020</w:t>
      </w:r>
      <w:r>
        <w:rPr>
          <w:spacing w:val="-1"/>
        </w:rPr>
        <w:t>年中国金融科技营收规模将达</w:t>
      </w:r>
      <w:r>
        <w:rPr>
          <w:rFonts w:ascii="Times New Roman" w:hAnsi="Times New Roman" w:cs="Times New Roman" w:eastAsia="Times New Roman" w:hint="default"/>
          <w:spacing w:val="-1"/>
        </w:rPr>
        <w:t>19704.9</w:t>
      </w:r>
      <w:r>
        <w:rPr>
          <w:spacing w:val="-1"/>
        </w:rPr>
        <w:t>亿元。随着金融</w:t>
      </w:r>
      <w:r>
        <w:rPr>
          <w:spacing w:val="-37"/>
        </w:rPr>
        <w:t> </w:t>
      </w:r>
      <w:r>
        <w:rPr>
          <w:spacing w:val="-37"/>
        </w:rPr>
      </w:r>
      <w:r>
        <w:rPr/>
        <w:t>服务嵌入到人们生产生活的各个方面，人们正重新审视银行的本质，银行服务将朝着智能化方向演进，</w:t>
      </w:r>
      <w:r>
        <w:rPr>
          <w:rFonts w:ascii="Times New Roman" w:hAnsi="Times New Roman" w:cs="Times New Roman" w:eastAsia="Times New Roman" w:hint="default"/>
        </w:rPr>
        <w:t>“</w:t>
      </w:r>
      <w:r>
        <w:rPr/>
        <w:t>银行即服务</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场</w:t>
      </w:r>
      <w:r>
        <w:rPr>
          <w:spacing w:val="-53"/>
        </w:rPr>
        <w:t> </w:t>
      </w:r>
      <w:r>
        <w:rPr/>
        <w:t>景在前，金融在后</w:t>
      </w:r>
      <w:r>
        <w:rPr>
          <w:rFonts w:ascii="Times New Roman" w:hAnsi="Times New Roman" w:cs="Times New Roman" w:eastAsia="Times New Roman" w:hint="default"/>
        </w:rPr>
        <w:t>”</w:t>
      </w:r>
      <w:r>
        <w:rPr/>
        <w:t>的模式将逐渐成为主流。以体验式银行服务为核心的</w:t>
      </w:r>
      <w:r>
        <w:rPr>
          <w:rFonts w:ascii="Times New Roman" w:hAnsi="Times New Roman" w:cs="Times New Roman" w:eastAsia="Times New Roman" w:hint="default"/>
        </w:rPr>
        <w:t>“</w:t>
      </w:r>
      <w:r>
        <w:rPr/>
        <w:t>银行</w:t>
      </w:r>
      <w:r>
        <w:rPr>
          <w:rFonts w:ascii="Times New Roman" w:hAnsi="Times New Roman" w:cs="Times New Roman" w:eastAsia="Times New Roman" w:hint="default"/>
        </w:rPr>
        <w:t>4.0”</w:t>
      </w:r>
      <w:r>
        <w:rPr>
          <w:rFonts w:ascii="Times New Roman" w:hAnsi="Times New Roman" w:cs="Times New Roman" w:eastAsia="Times New Roman" w:hint="default"/>
          <w:spacing w:val="2"/>
        </w:rPr>
        <w:t> </w:t>
      </w:r>
      <w:r>
        <w:rPr>
          <w:spacing w:val="-3"/>
        </w:rPr>
        <w:t>时代呼之欲出，以分布式架构为基础，基</w:t>
      </w:r>
      <w:r>
        <w:rPr/>
        <w:t> </w:t>
      </w:r>
      <w:r>
        <w:rPr>
          <w:spacing w:val="-2"/>
        </w:rPr>
        <w:t>于开放银行模式驱动的新银行时代已经来临，先进的新一代架构及技术使得经营成本大幅降低。在金融领域中，一场由分布</w:t>
      </w:r>
      <w:r>
        <w:rPr>
          <w:spacing w:val="-66"/>
        </w:rPr>
        <w:t> </w:t>
      </w:r>
      <w:r>
        <w:rPr>
          <w:spacing w:val="-66"/>
        </w:rPr>
      </w:r>
      <w:r>
        <w:rPr/>
        <w:t>式架构以及微服务技术引领的变革正在发生。</w:t>
      </w:r>
    </w:p>
    <w:p>
      <w:pPr>
        <w:pStyle w:val="BodyText"/>
        <w:spacing w:line="304" w:lineRule="auto" w:before="28"/>
        <w:ind w:right="0" w:firstLine="373"/>
        <w:jc w:val="left"/>
      </w:pPr>
      <w:r>
        <w:rPr>
          <w:spacing w:val="-2"/>
        </w:rPr>
        <w:t>作为一家强团队、懂金融，深耕境内外市场多年的金融</w:t>
      </w:r>
      <w:r>
        <w:rPr>
          <w:rFonts w:ascii="Times New Roman" w:hAnsi="Times New Roman" w:cs="Times New Roman" w:eastAsia="Times New Roman" w:hint="default"/>
          <w:spacing w:val="-2"/>
        </w:rPr>
        <w:t>IT</w:t>
      </w:r>
      <w:r>
        <w:rPr>
          <w:spacing w:val="-2"/>
        </w:rPr>
        <w:t>企业，主要客户为海内外大型金融机构，是中国银行、中银香</w:t>
      </w:r>
      <w:r>
        <w:rPr/>
        <w:t> </w:t>
      </w:r>
      <w:r>
        <w:rPr>
          <w:spacing w:val="-2"/>
        </w:rPr>
        <w:t>港、东亚银行、永亨银行、微众银行、大新银行、百信银行、招银前海等知名金融机构的长期合作伙伴。公司具有熟悉国际</w:t>
      </w:r>
      <w:r>
        <w:rPr>
          <w:spacing w:val="-72"/>
        </w:rPr>
        <w:t> </w:t>
      </w:r>
      <w:r>
        <w:rPr>
          <w:spacing w:val="-72"/>
        </w:rPr>
      </w:r>
      <w:r>
        <w:rPr>
          <w:spacing w:val="-2"/>
        </w:rPr>
        <w:t>业务的专家团队以及金融</w:t>
      </w:r>
      <w:r>
        <w:rPr>
          <w:rFonts w:ascii="Times New Roman" w:hAnsi="Times New Roman" w:cs="Times New Roman" w:eastAsia="Times New Roman" w:hint="default"/>
          <w:spacing w:val="-2"/>
        </w:rPr>
        <w:t>+IT</w:t>
      </w:r>
      <w:r>
        <w:rPr>
          <w:spacing w:val="-2"/>
        </w:rPr>
        <w:t>的复合型技术团队，公司将密切关注金融科技发展趋势，积极把握全球金融科技纵深发展机会，</w:t>
      </w:r>
      <w:r>
        <w:rPr>
          <w:spacing w:val="-63"/>
        </w:rPr>
        <w:t> </w:t>
      </w:r>
      <w:r>
        <w:rPr>
          <w:spacing w:val="-63"/>
        </w:rPr>
      </w:r>
      <w:r>
        <w:rPr>
          <w:spacing w:val="-2"/>
        </w:rPr>
        <w:t>坚持不懈地进行海内外布局，积极投入金融级分布式</w:t>
      </w:r>
      <w:r>
        <w:rPr>
          <w:rFonts w:ascii="Times New Roman" w:hAnsi="Times New Roman" w:cs="Times New Roman" w:eastAsia="Times New Roman" w:hint="default"/>
          <w:spacing w:val="-2"/>
        </w:rPr>
        <w:t>PaaS</w:t>
      </w:r>
      <w:r>
        <w:rPr>
          <w:spacing w:val="-2"/>
        </w:rPr>
        <w:t>平台研发、通过容器化微服务框架组件来构建具备面向开放式银行</w:t>
      </w:r>
      <w:r>
        <w:rPr>
          <w:spacing w:val="-61"/>
        </w:rPr>
        <w:t> </w:t>
      </w:r>
      <w:r>
        <w:rPr>
          <w:spacing w:val="-61"/>
        </w:rPr>
      </w:r>
      <w:r>
        <w:rPr/>
        <w:t>业务能力的解决方案，为全球金融机构客户快速创新和持续发展注入新动力，矢志成为其不可或缺的合作伙伴。</w:t>
      </w:r>
    </w:p>
    <w:p>
      <w:pPr>
        <w:spacing w:after="0" w:line="304"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29"/>
      </w:tblGrid>
      <w:tr>
        <w:trPr>
          <w:trHeight w:val="186"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主要是由于报告期新增对外投资及新设立子公司</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由于在建工程转固定资产</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由于在建工程转固定资产</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left"/>
      </w:pPr>
      <w:r>
        <w:rPr/>
        <w:t>软件与信息技术服务业</w:t>
      </w:r>
    </w:p>
    <w:p>
      <w:pPr>
        <w:pStyle w:val="BodyText"/>
        <w:spacing w:line="300" w:lineRule="auto" w:before="115"/>
        <w:ind w:left="514" w:right="0" w:hanging="360"/>
        <w:jc w:val="left"/>
      </w:pPr>
      <w:r>
        <w:rPr>
          <w:rFonts w:ascii="Times New Roman" w:hAnsi="Times New Roman" w:cs="Times New Roman" w:eastAsia="Times New Roman" w:hint="default"/>
        </w:rPr>
        <w:t>1</w:t>
      </w:r>
      <w:r>
        <w:rPr/>
        <w:t>、面向未来银行的技术能力 </w:t>
      </w:r>
      <w:r>
        <w:rPr>
          <w:spacing w:val="-2"/>
        </w:rPr>
        <w:t>通过数十年覆盖大、中、小、微型机多平台技术积累，公司已拥有在大型机至微型机等不同平台上的丰富经验；公司积</w:t>
      </w:r>
    </w:p>
    <w:p>
      <w:pPr>
        <w:pStyle w:val="BodyText"/>
        <w:spacing w:line="316" w:lineRule="auto" w:before="31"/>
        <w:ind w:right="1118"/>
        <w:jc w:val="left"/>
      </w:pPr>
      <w:r>
        <w:rPr>
          <w:spacing w:val="-2"/>
        </w:rPr>
        <w:t>极投入分布式、区块链、云计算等新技术研发，持续推动产品落地，在技术上把握先发优势，具备面向未来开放式银行发展</w:t>
      </w:r>
      <w:r>
        <w:rPr>
          <w:spacing w:val="-66"/>
        </w:rPr>
        <w:t> </w:t>
      </w:r>
      <w:r>
        <w:rPr>
          <w:spacing w:val="-66"/>
        </w:rPr>
      </w:r>
      <w:r>
        <w:rPr/>
        <w:t>的技术能力。</w:t>
      </w:r>
    </w:p>
    <w:p>
      <w:pPr>
        <w:pStyle w:val="BodyText"/>
        <w:spacing w:line="300" w:lineRule="auto" w:before="19"/>
        <w:ind w:left="514" w:right="0" w:hanging="360"/>
        <w:jc w:val="left"/>
      </w:pPr>
      <w:r>
        <w:rPr>
          <w:rFonts w:ascii="Times New Roman" w:hAnsi="Times New Roman" w:cs="Times New Roman" w:eastAsia="Times New Roman" w:hint="default"/>
        </w:rPr>
        <w:t>2</w:t>
      </w:r>
      <w:r>
        <w:rPr/>
        <w:t>、全方位解决方案能力 </w:t>
      </w:r>
      <w:r>
        <w:rPr>
          <w:spacing w:val="-2"/>
        </w:rPr>
        <w:t>公司可以为金融机构客户提供顾问咨询、设计研发、交付运维的全方位、端到端的综合解决方案，基于新一代分布式基</w:t>
      </w:r>
    </w:p>
    <w:p>
      <w:pPr>
        <w:pStyle w:val="BodyText"/>
        <w:spacing w:line="300" w:lineRule="auto" w:before="31"/>
        <w:ind w:right="1197"/>
        <w:jc w:val="left"/>
      </w:pPr>
      <w:r>
        <w:rPr/>
        <w:t>础平台以及面向</w:t>
      </w:r>
      <w:r>
        <w:rPr>
          <w:rFonts w:ascii="Times New Roman" w:hAnsi="Times New Roman" w:cs="Times New Roman" w:eastAsia="Times New Roman" w:hint="default"/>
        </w:rPr>
        <w:t>BANK4.0</w:t>
      </w:r>
      <w:r>
        <w:rPr/>
        <w:t>的基础架构研发，公司有能力向海内外金融机构提供面向未来银行的更简单、更敏捷、更安全的 产品与解决方案，助力金融机构全流程技术及业务的快速创新和持续发展。</w:t>
      </w:r>
    </w:p>
    <w:p>
      <w:pPr>
        <w:pStyle w:val="BodyText"/>
        <w:spacing w:line="300" w:lineRule="auto" w:before="31"/>
        <w:ind w:left="514" w:right="1118" w:hanging="360"/>
        <w:jc w:val="left"/>
      </w:pPr>
      <w:r>
        <w:rPr>
          <w:rFonts w:ascii="Times New Roman" w:hAnsi="Times New Roman" w:cs="Times New Roman" w:eastAsia="Times New Roman" w:hint="default"/>
        </w:rPr>
        <w:t>3</w:t>
      </w:r>
      <w:r>
        <w:rPr/>
        <w:t>、全球服务能力 </w:t>
      </w:r>
      <w:r>
        <w:rPr>
          <w:spacing w:val="-2"/>
        </w:rPr>
        <w:t>公司秉承境内外业务协同发展的战略，通过与海内外金融机构长期紧密的合作，积累了丰富的海内外金融业务与技术经</w:t>
      </w:r>
    </w:p>
    <w:p>
      <w:pPr>
        <w:pStyle w:val="BodyText"/>
        <w:spacing w:line="240" w:lineRule="auto" w:before="31"/>
        <w:ind w:right="0"/>
        <w:jc w:val="left"/>
      </w:pPr>
      <w:r>
        <w:rPr/>
        <w:t>验，并深刻理解不同文化体系下的商业规则，具有为全球不同国家和地区的金融机构发展提供规模化离岸服务的能力。</w:t>
      </w:r>
    </w:p>
    <w:p>
      <w:pPr>
        <w:pStyle w:val="BodyText"/>
        <w:spacing w:line="240" w:lineRule="auto" w:before="76"/>
        <w:ind w:right="0"/>
        <w:jc w:val="left"/>
      </w:pPr>
      <w:r>
        <w:rPr>
          <w:rFonts w:ascii="Times New Roman" w:hAnsi="Times New Roman" w:cs="Times New Roman" w:eastAsia="Times New Roman" w:hint="default"/>
        </w:rPr>
        <w:t>4</w:t>
      </w:r>
      <w:r>
        <w:rPr/>
        <w:t>、人才优势</w:t>
      </w:r>
    </w:p>
    <w:p>
      <w:pPr>
        <w:pStyle w:val="BodyText"/>
        <w:spacing w:line="300" w:lineRule="auto" w:before="63"/>
        <w:ind w:right="1110" w:firstLine="360"/>
        <w:jc w:val="left"/>
      </w:pPr>
      <w:r>
        <w:rPr/>
        <w:t>公司拥有具备国际视野的业务专家团队；拥有掌握领先技术和具备创新能力的技术专家团队；拥有具备金融</w:t>
      </w:r>
      <w:r>
        <w:rPr>
          <w:rFonts w:ascii="Times New Roman" w:hAnsi="Times New Roman" w:cs="Times New Roman" w:eastAsia="Times New Roman" w:hint="default"/>
        </w:rPr>
        <w:t>+</w:t>
      </w:r>
      <w:r>
        <w:rPr/>
        <w:t>科技的复 合型人才团队。专业团队规模近</w:t>
      </w:r>
      <w:r>
        <w:rPr>
          <w:rFonts w:ascii="Times New Roman" w:hAnsi="Times New Roman" w:cs="Times New Roman" w:eastAsia="Times New Roman" w:hint="default"/>
        </w:rPr>
        <w:t>2</w:t>
      </w:r>
      <w:r>
        <w:rPr/>
        <w:t>千人，为公司全球化布局、持续创新和未来发展提供了有力的保障。</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31" w:firstLine="360"/>
        <w:jc w:val="both"/>
      </w:pPr>
      <w:r>
        <w:rPr>
          <w:spacing w:val="-2"/>
        </w:rPr>
        <w:t>报告期内，在市场竞争日益激烈的形势下，公司面对挑战，积极拓展海外市场，较好地完成了经营目标。公司实现营业</w:t>
      </w:r>
      <w:r>
        <w:rPr/>
        <w:t> 收入</w:t>
      </w:r>
      <w:r>
        <w:rPr>
          <w:rFonts w:ascii="Times New Roman" w:hAnsi="Times New Roman" w:cs="Times New Roman" w:eastAsia="Times New Roman" w:hint="default"/>
        </w:rPr>
        <w:t>48,781.66</w:t>
      </w:r>
      <w:r>
        <w:rPr/>
        <w:t>万元，较上年同期减少</w:t>
      </w:r>
      <w:r>
        <w:rPr>
          <w:rFonts w:ascii="Times New Roman" w:hAnsi="Times New Roman" w:cs="Times New Roman" w:eastAsia="Times New Roman" w:hint="default"/>
        </w:rPr>
        <w:t>3.94%</w:t>
      </w:r>
      <w:r>
        <w:rPr/>
        <w:t>，其中，境外业务收入占总营业收入的</w:t>
      </w:r>
      <w:r>
        <w:rPr>
          <w:rFonts w:ascii="Times New Roman" w:hAnsi="Times New Roman" w:cs="Times New Roman" w:eastAsia="Times New Roman" w:hint="default"/>
        </w:rPr>
        <w:t>50.53%</w:t>
      </w:r>
      <w:r>
        <w:rPr/>
        <w:t>，较上年同期增长</w:t>
      </w:r>
      <w:r>
        <w:rPr>
          <w:rFonts w:ascii="Times New Roman" w:hAnsi="Times New Roman" w:cs="Times New Roman" w:eastAsia="Times New Roman" w:hint="default"/>
        </w:rPr>
        <w:t>6.01%</w:t>
      </w:r>
      <w:r>
        <w:rPr/>
        <w:t>；营业成</w:t>
      </w:r>
      <w:r>
        <w:rPr>
          <w:spacing w:val="-51"/>
        </w:rPr>
        <w:t> </w:t>
      </w:r>
      <w:r>
        <w:rPr>
          <w:spacing w:val="-51"/>
        </w:rPr>
      </w:r>
      <w:r>
        <w:rPr>
          <w:spacing w:val="-1"/>
        </w:rPr>
        <w:t>本</w:t>
      </w:r>
      <w:r>
        <w:rPr>
          <w:rFonts w:ascii="Times New Roman" w:hAnsi="Times New Roman" w:cs="Times New Roman" w:eastAsia="Times New Roman" w:hint="default"/>
          <w:spacing w:val="-1"/>
        </w:rPr>
        <w:t>29,666.83</w:t>
      </w:r>
      <w:r>
        <w:rPr>
          <w:spacing w:val="-1"/>
        </w:rPr>
        <w:t>万元，较上年同期增长</w:t>
      </w:r>
      <w:r>
        <w:rPr>
          <w:rFonts w:ascii="Times New Roman" w:hAnsi="Times New Roman" w:cs="Times New Roman" w:eastAsia="Times New Roman" w:hint="default"/>
          <w:spacing w:val="-1"/>
        </w:rPr>
        <w:t>12.18%</w:t>
      </w:r>
      <w:r>
        <w:rPr>
          <w:spacing w:val="-1"/>
        </w:rPr>
        <w:t>，其中，人工成本较上年同期增长</w:t>
      </w:r>
      <w:r>
        <w:rPr>
          <w:rFonts w:ascii="Times New Roman" w:hAnsi="Times New Roman" w:cs="Times New Roman" w:eastAsia="Times New Roman" w:hint="default"/>
          <w:spacing w:val="-1"/>
        </w:rPr>
        <w:t>22.62%</w:t>
      </w:r>
      <w:r>
        <w:rPr>
          <w:spacing w:val="-1"/>
        </w:rPr>
        <w:t>；归属于上市公司股东的净利润</w:t>
      </w:r>
      <w:r>
        <w:rPr>
          <w:rFonts w:ascii="Times New Roman" w:hAnsi="Times New Roman" w:cs="Times New Roman" w:eastAsia="Times New Roman" w:hint="default"/>
          <w:spacing w:val="-1"/>
        </w:rPr>
        <w:t>6,880.44</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万元，较上年同期减少</w:t>
      </w:r>
      <w:r>
        <w:rPr>
          <w:rFonts w:ascii="Times New Roman" w:hAnsi="Times New Roman" w:cs="Times New Roman" w:eastAsia="Times New Roman" w:hint="default"/>
        </w:rPr>
        <w:t>21.96%</w:t>
      </w:r>
      <w:r>
        <w:rPr/>
        <w:t>。</w:t>
      </w:r>
    </w:p>
    <w:p>
      <w:pPr>
        <w:pStyle w:val="BodyText"/>
        <w:spacing w:line="300" w:lineRule="auto" w:before="45"/>
        <w:ind w:right="1028" w:firstLine="360"/>
        <w:jc w:val="left"/>
      </w:pPr>
      <w:r>
        <w:rPr>
          <w:rFonts w:ascii="Times New Roman" w:hAnsi="Times New Roman" w:cs="Times New Roman" w:eastAsia="Times New Roman" w:hint="default"/>
        </w:rPr>
        <w:t>2018</w:t>
      </w:r>
      <w:r>
        <w:rPr/>
        <w:t>年，公司继续保持研发投入，全年研发投入</w:t>
      </w:r>
      <w:r>
        <w:rPr>
          <w:rFonts w:ascii="Times New Roman" w:hAnsi="Times New Roman" w:cs="Times New Roman" w:eastAsia="Times New Roman" w:hint="default"/>
        </w:rPr>
        <w:t>7,532.16</w:t>
      </w:r>
      <w:r>
        <w:rPr/>
        <w:t>万元，占公司营业收入的</w:t>
      </w:r>
      <w:r>
        <w:rPr>
          <w:rFonts w:ascii="Times New Roman" w:hAnsi="Times New Roman" w:cs="Times New Roman" w:eastAsia="Times New Roman" w:hint="default"/>
        </w:rPr>
        <w:t>15.44%</w:t>
      </w:r>
      <w:r>
        <w:rPr/>
        <w:t>；公司加大力度研发区块链、 </w:t>
      </w:r>
      <w:r>
        <w:rPr>
          <w:spacing w:val="-1"/>
        </w:rPr>
        <w:t>支付类、分布式架构等新技术，占全年研发投入的</w:t>
      </w:r>
      <w:r>
        <w:rPr>
          <w:rFonts w:ascii="Times New Roman" w:hAnsi="Times New Roman" w:cs="Times New Roman" w:eastAsia="Times New Roman" w:hint="default"/>
          <w:spacing w:val="-1"/>
        </w:rPr>
        <w:t>83.14%</w:t>
      </w:r>
      <w:r>
        <w:rPr>
          <w:spacing w:val="-1"/>
        </w:rPr>
        <w:t>。公司新增软件著作权、软件产品登记、科技成果登记共计</w:t>
      </w:r>
      <w:r>
        <w:rPr>
          <w:rFonts w:ascii="Times New Roman" w:hAnsi="Times New Roman" w:cs="Times New Roman" w:eastAsia="Times New Roman" w:hint="default"/>
          <w:spacing w:val="-1"/>
        </w:rPr>
        <w:t>58</w:t>
      </w:r>
      <w:r>
        <w:rPr>
          <w:spacing w:val="-1"/>
        </w:rPr>
        <w:t>项。</w:t>
      </w:r>
      <w:r>
        <w:rPr>
          <w:spacing w:val="-44"/>
        </w:rPr>
        <w:t> </w:t>
      </w:r>
      <w:r>
        <w:rPr/>
        <w:t>公司继续积极推进募集资金投资项目建设工作，</w:t>
      </w:r>
      <w:r>
        <w:rPr>
          <w:rFonts w:ascii="Times New Roman" w:hAnsi="Times New Roman" w:cs="Times New Roman" w:eastAsia="Times New Roman" w:hint="default"/>
        </w:rPr>
        <w:t>2018</w:t>
      </w:r>
      <w:r>
        <w:rPr/>
        <w:t>年完成投入</w:t>
      </w:r>
      <w:r>
        <w:rPr>
          <w:rFonts w:ascii="Times New Roman" w:hAnsi="Times New Roman" w:cs="Times New Roman" w:eastAsia="Times New Roman" w:hint="default"/>
        </w:rPr>
        <w:t>9,051.29</w:t>
      </w:r>
      <w:r>
        <w:rPr/>
        <w:t>万元，截止至</w:t>
      </w:r>
      <w:r>
        <w:rPr>
          <w:rFonts w:ascii="Times New Roman" w:hAnsi="Times New Roman" w:cs="Times New Roman" w:eastAsia="Times New Roman" w:hint="default"/>
        </w:rPr>
        <w:t>2018</w:t>
      </w:r>
      <w:r>
        <w:rPr/>
        <w:t>年底累计投入募集资金</w:t>
      </w:r>
      <w:r>
        <w:rPr>
          <w:rFonts w:ascii="Times New Roman" w:hAnsi="Times New Roman" w:cs="Times New Roman" w:eastAsia="Times New Roman" w:hint="default"/>
        </w:rPr>
        <w:t>41,650.58</w:t>
      </w:r>
      <w:r>
        <w:rPr>
          <w:rFonts w:ascii="Times New Roman" w:hAnsi="Times New Roman" w:cs="Times New Roman" w:eastAsia="Times New Roman" w:hint="default"/>
          <w:spacing w:val="-38"/>
        </w:rPr>
        <w:t> </w:t>
      </w:r>
      <w:r>
        <w:rPr/>
        <w:t>万元。</w:t>
      </w:r>
    </w:p>
    <w:p>
      <w:pPr>
        <w:pStyle w:val="BodyText"/>
        <w:spacing w:line="302" w:lineRule="auto" w:before="70"/>
        <w:ind w:right="0" w:firstLine="360"/>
        <w:jc w:val="left"/>
      </w:pPr>
      <w:r>
        <w:rPr>
          <w:spacing w:val="-2"/>
        </w:rPr>
        <w:t>公司积极开展对外合作与投资，</w:t>
      </w:r>
      <w:r>
        <w:rPr>
          <w:rFonts w:ascii="Times New Roman" w:hAnsi="Times New Roman" w:cs="Times New Roman" w:eastAsia="Times New Roman" w:hint="default"/>
          <w:spacing w:val="-2"/>
        </w:rPr>
        <w:t>2018</w:t>
      </w:r>
      <w:r>
        <w:rPr>
          <w:spacing w:val="-2"/>
        </w:rPr>
        <w:t>年，设立了全资子公司深圳前海乐寻坊区块链科技有限公司，参股格罗斯产业链服</w:t>
      </w:r>
      <w:r>
        <w:rPr/>
        <w:t> 务（深圳）有限公司、北京优智汇咨询有限公司，以促进公司的业务发展。报告期内，实现投资收益共计</w:t>
      </w:r>
      <w:r>
        <w:rPr>
          <w:rFonts w:ascii="Times New Roman" w:hAnsi="Times New Roman" w:cs="Times New Roman" w:eastAsia="Times New Roman" w:hint="default"/>
        </w:rPr>
        <w:t>503.77</w:t>
      </w:r>
      <w:r>
        <w:rPr/>
        <w:t>万元。</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7" w:lineRule="auto" w:before="0"/>
        <w:ind w:left="154" w:right="647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5"/>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972"/>
        <w:jc w:val="left"/>
      </w:pPr>
      <w:r>
        <w:rPr/>
        <w:t>公司是否需要遵守光伏产业链相关业的披露要求 否</w:t>
      </w:r>
    </w:p>
    <w:p>
      <w:pPr>
        <w:pStyle w:val="BodyText"/>
        <w:spacing w:line="340" w:lineRule="auto" w:before="28"/>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3"/>
        <w:ind w:right="113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40" w:lineRule="auto" w:before="42"/>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0"/>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4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18"/>
        <w:gridCol w:w="4041"/>
        <w:gridCol w:w="4001"/>
      </w:tblGrid>
      <w:tr>
        <w:trPr>
          <w:trHeight w:val="402"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18"/>
        <w:gridCol w:w="1008"/>
        <w:gridCol w:w="1010"/>
        <w:gridCol w:w="1011"/>
        <w:gridCol w:w="1012"/>
        <w:gridCol w:w="1003"/>
        <w:gridCol w:w="1005"/>
        <w:gridCol w:w="1002"/>
        <w:gridCol w:w="1002"/>
      </w:tblGrid>
      <w:tr>
        <w:trPr>
          <w:trHeight w:val="402"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161" w:hRule="exact"/>
        </w:trPr>
        <w:tc>
          <w:tcPr>
            <w:tcW w:w="15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104,018,884.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106,674,850.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110,913,446.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90</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166,209,387.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95,696,968.1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101,646,331.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91</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133,480,943.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176,981,588.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r>
      <w:tr>
        <w:trPr>
          <w:trHeight w:val="392" w:hRule="exact"/>
        </w:trPr>
        <w:tc>
          <w:tcPr>
            <w:tcW w:w="15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13,171,433.8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17,749,194.4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24,062,851.3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13,820,902.3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12,538,823.8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15,499,127.3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25,961,935.9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34,163,474.3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357" w:lineRule="auto" w:before="51"/>
        <w:ind w:left="514" w:right="0" w:hanging="360"/>
        <w:jc w:val="left"/>
      </w:pPr>
      <w:r>
        <w:rPr/>
        <w:t>说明经营季节性（或周期性）发生的原因及波动风险 </w:t>
      </w:r>
      <w:r>
        <w:rPr>
          <w:spacing w:val="-2"/>
        </w:rPr>
        <w:t>目前公司的客户主要为银行类金融机构，银行信息化建设的预算、立项、招标、采购和实施具有季节性特征，一般在第</w:t>
      </w:r>
    </w:p>
    <w:p>
      <w:pPr>
        <w:pStyle w:val="BodyText"/>
        <w:spacing w:line="224" w:lineRule="exact"/>
        <w:ind w:right="0"/>
        <w:jc w:val="left"/>
      </w:pPr>
      <w:r>
        <w:rPr/>
        <w:t>四季度制订次年年度预算计划，审批通常集中在次年第一季度，采购招标一般则安排在次年第一、二季度；此外，上半年存</w:t>
      </w:r>
    </w:p>
    <w:p>
      <w:pPr>
        <w:pStyle w:val="BodyText"/>
        <w:spacing w:line="319" w:lineRule="auto" w:before="76"/>
        <w:ind w:right="1032"/>
        <w:jc w:val="left"/>
      </w:pPr>
      <w:r>
        <w:rPr/>
        <w:t>在春节放假等因素，员工招聘培训在上半年也较多，因此公司上半年的营业收入和营业利润占比较少，在下半年占比较多， 业绩存在季节性波动。</w:t>
      </w:r>
    </w:p>
    <w:p>
      <w:pPr>
        <w:pStyle w:val="BodyText"/>
        <w:spacing w:line="240" w:lineRule="auto" w:before="56"/>
        <w:ind w:right="0"/>
        <w:jc w:val="left"/>
      </w:pPr>
      <w:r>
        <w:rPr/>
        <w:t>营业收入整体情况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487,816,568.83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507,805,831.97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软件与信息服务业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487,816,568.83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507,805,831.97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431,980,123.05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441,748,376.00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技术维护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13,763,369.79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19,114,901.29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42,073,075.99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46,942,554.68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241,333,094.69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275,304,207.49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54.21%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-12.34%</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246,483,474.14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232,501,624.48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45.79%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5830"/>
        <w:jc w:val="left"/>
      </w:pPr>
      <w:r>
        <w:rPr/>
        <w:t>软件与信息技术服务业</w:t>
      </w:r>
    </w:p>
    <w:p>
      <w:pPr>
        <w:pStyle w:val="BodyText"/>
        <w:spacing w:line="240" w:lineRule="auto" w:before="117"/>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487,816,568.83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296,668,303.89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9" w:right="0"/>
              <w:jc w:val="left"/>
              <w:rPr>
                <w:rFonts w:ascii="Times New Roman" w:hAnsi="Times New Roman" w:cs="Times New Roman" w:eastAsia="Times New Roman" w:hint="default"/>
                <w:sz w:val="18"/>
                <w:szCs w:val="18"/>
              </w:rPr>
            </w:pPr>
            <w:r>
              <w:rPr>
                <w:rFonts w:ascii="Times New Roman"/>
                <w:sz w:val="18"/>
              </w:rPr>
              <w:t>-3.94%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12.18%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4" w:right="0"/>
              <w:jc w:val="left"/>
              <w:rPr>
                <w:rFonts w:ascii="Times New Roman" w:hAnsi="Times New Roman" w:cs="Times New Roman" w:eastAsia="Times New Roman" w:hint="default"/>
                <w:sz w:val="18"/>
                <w:szCs w:val="18"/>
              </w:rPr>
            </w:pPr>
            <w:r>
              <w:rPr>
                <w:rFonts w:ascii="Times New Roman"/>
                <w:sz w:val="18"/>
              </w:rPr>
              <w:t>-8.74%</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431,980,123.05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253,005,352.65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技术维护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13,763,369.79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4,282,598.06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42,073,075.99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39,380,353.18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487,816,568.83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296,668,303.89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241,333,094.69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155,478,169.96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246,483,474.14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141,190,133.93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487,816,568.83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296,668,030.89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员工薪酬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243,853,124.07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198,867,517.73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22.62%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13,434,826.64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21,239,574.94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-36.75%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39,380,353.18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44,351,663.37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296,668,303.89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264,458,756.04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12.18%</w:t>
            </w:r>
          </w:p>
        </w:tc>
      </w:tr>
    </w:tbl>
    <w:p>
      <w:pPr>
        <w:pStyle w:val="BodyText"/>
        <w:spacing w:line="240" w:lineRule="auto" w:before="51"/>
        <w:ind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员工薪酬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243,853,124.07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198,867,517.73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13,434,826.64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21,239,574.94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39,380,353.18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44,351,663.37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296,668,303.89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264,458,756.04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12.18%</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239,723,068.31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193,982,645.89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13,282,284.34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21,031,716.72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技术维护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4,130,055.76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4,884,871.84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技术维护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152,542.30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207,858.22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39,380,353.18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44,351,663.37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296,668,303.89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264,458,756.04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12.18%</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深圳前海乐寻坊区块链科技有限公司由深圳四方精创资讯股份有限公司于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日在深圳登记设立，截止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w:t>
      </w:r>
      <w:r>
        <w:rPr/>
        <w:t>日，实缴注册资本为人民币</w:t>
      </w:r>
      <w:r>
        <w:rPr>
          <w:rFonts w:ascii="Times New Roman" w:hAnsi="Times New Roman" w:cs="Times New Roman" w:eastAsia="Times New Roman" w:hint="default"/>
        </w:rPr>
        <w:t>200</w:t>
      </w:r>
      <w:r>
        <w:rPr/>
        <w:t>万元。</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358,106,451.25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73.41%</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201,891,304.55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108,870,268.03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22.32%</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22,430,262.82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14,758,946.10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10,155,669.75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358,106,451.25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73.41%</w:t>
            </w:r>
          </w:p>
        </w:tc>
      </w:tr>
    </w:tbl>
    <w:p>
      <w:pPr>
        <w:pStyle w:val="BodyText"/>
        <w:spacing w:line="240" w:lineRule="auto" w:before="51"/>
        <w:ind w:right="0"/>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29,478,846.36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10,156,956.82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5,496,697.44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4,706,896.48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4,684,416.35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4,433,879.27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29,478,846.36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74.86%</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2,393,949.15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2,429,283.84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57,742,008.94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58,312,207.17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z w:val="18"/>
              </w:rPr>
              <w:t>-10,808,267.21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-2,953,829.39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3" w:right="0"/>
              <w:jc w:val="left"/>
              <w:rPr>
                <w:rFonts w:ascii="Times New Roman" w:hAnsi="Times New Roman" w:cs="Times New Roman" w:eastAsia="Times New Roman" w:hint="default"/>
                <w:sz w:val="18"/>
                <w:szCs w:val="18"/>
              </w:rPr>
            </w:pPr>
            <w:r>
              <w:rPr>
                <w:rFonts w:ascii="Times New Roman"/>
                <w:sz w:val="18"/>
              </w:rPr>
              <w:t>-265.91%</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2"/>
              <w:jc w:val="both"/>
              <w:rPr>
                <w:rFonts w:ascii="宋体" w:hAnsi="宋体" w:cs="宋体" w:eastAsia="宋体" w:hint="default"/>
                <w:sz w:val="18"/>
                <w:szCs w:val="18"/>
              </w:rPr>
            </w:pPr>
            <w:r>
              <w:rPr>
                <w:rFonts w:ascii="宋体" w:hAnsi="宋体" w:cs="宋体" w:eastAsia="宋体" w:hint="default"/>
                <w:sz w:val="18"/>
                <w:szCs w:val="18"/>
              </w:rPr>
              <w:t>主要是由于报告期汇率变动产生汇 兑收益及银行存款利息收入增加所 致</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75,321,614.94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94,551,500.83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-20.34%</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2"/>
        <w:ind w:right="0" w:firstLine="360"/>
        <w:jc w:val="left"/>
      </w:pPr>
      <w:r>
        <w:rPr>
          <w:rFonts w:ascii="Times New Roman" w:hAnsi="Times New Roman" w:cs="Times New Roman" w:eastAsia="Times New Roman" w:hint="default"/>
        </w:rPr>
        <w:t>2018</w:t>
      </w:r>
      <w:r>
        <w:rPr/>
        <w:t>年，公司继续保持研发投入，全年研发投入</w:t>
      </w:r>
      <w:r>
        <w:rPr>
          <w:rFonts w:ascii="Times New Roman" w:hAnsi="Times New Roman" w:cs="Times New Roman" w:eastAsia="Times New Roman" w:hint="default"/>
        </w:rPr>
        <w:t>7,532.16</w:t>
      </w:r>
      <w:r>
        <w:rPr/>
        <w:t>万元，占公司营业收入的</w:t>
      </w:r>
      <w:r>
        <w:rPr>
          <w:rFonts w:ascii="Times New Roman" w:hAnsi="Times New Roman" w:cs="Times New Roman" w:eastAsia="Times New Roman" w:hint="default"/>
        </w:rPr>
        <w:t>15.44%</w:t>
      </w:r>
      <w:r>
        <w:rPr/>
        <w:t>；公司加大力度研发区块链、 </w:t>
      </w:r>
      <w:r>
        <w:rPr>
          <w:spacing w:val="-1"/>
        </w:rPr>
        <w:t>支付类、分布式架构等新技术，占全年研发投入的</w:t>
      </w:r>
      <w:r>
        <w:rPr>
          <w:rFonts w:ascii="Times New Roman" w:hAnsi="Times New Roman" w:cs="Times New Roman" w:eastAsia="Times New Roman" w:hint="default"/>
          <w:spacing w:val="-1"/>
        </w:rPr>
        <w:t>83.14%</w:t>
      </w:r>
      <w:r>
        <w:rPr>
          <w:spacing w:val="-1"/>
        </w:rPr>
        <w:t>。公司新增软件著作权、软件产品登记、科技成果登记共计</w:t>
      </w:r>
      <w:r>
        <w:rPr>
          <w:rFonts w:ascii="Times New Roman" w:hAnsi="Times New Roman" w:cs="Times New Roman" w:eastAsia="Times New Roman" w:hint="default"/>
          <w:spacing w:val="-1"/>
        </w:rPr>
        <w:t>58</w:t>
      </w:r>
      <w:r>
        <w:rPr>
          <w:spacing w:val="-1"/>
        </w:rPr>
        <w:t>项。</w:t>
      </w:r>
      <w:r>
        <w:rPr>
          <w:spacing w:val="-44"/>
        </w:rPr>
        <w:t> </w:t>
      </w:r>
      <w:r>
        <w:rPr/>
        <w:t>近三年公司研发投入金额及占营业收入的比例</w:t>
      </w:r>
    </w:p>
    <w:p>
      <w:pPr>
        <w:spacing w:after="0" w:line="319"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75,321,614.94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94,551,500.83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67,062,415.51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513,440,029.66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456,737,062.26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434,145,369.53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407,085,948.91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79,294,660.13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49,651,113.35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59.70%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2,147,000.00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66,020,130.40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165,861,720.17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-60.20%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-63,873,130.40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-165,861,720.17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61.49%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6,574,320.00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96,981,404.00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33,385,428.53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26,592,260.70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-26,811,108.53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70,389,143.30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-138.09%</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-10,032,655.65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-47,523,365.92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78.89%</w:t>
            </w:r>
          </w:p>
        </w:tc>
      </w:tr>
    </w:tbl>
    <w:p>
      <w:pPr>
        <w:pStyle w:val="BodyText"/>
        <w:spacing w:line="240" w:lineRule="auto" w:before="51"/>
        <w:ind w:right="0"/>
        <w:jc w:val="left"/>
      </w:pPr>
      <w:r>
        <w:rPr/>
        <w:t>相关数据同比发生重大变动的主要影响因素说明</w:t>
      </w:r>
    </w:p>
    <w:p>
      <w:pPr>
        <w:pStyle w:val="BodyText"/>
        <w:spacing w:line="338" w:lineRule="auto" w:before="116"/>
        <w:ind w:right="11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公司经营活动产生的现金流量净额</w:t>
      </w:r>
      <w:r>
        <w:rPr>
          <w:rFonts w:ascii="Times New Roman" w:hAnsi="Times New Roman" w:cs="Times New Roman" w:eastAsia="Times New Roman" w:hint="default"/>
        </w:rPr>
        <w:t>2018</w:t>
      </w:r>
      <w:r>
        <w:rPr/>
        <w:t>年较</w:t>
      </w:r>
      <w:r>
        <w:rPr>
          <w:rFonts w:ascii="Times New Roman" w:hAnsi="Times New Roman" w:cs="Times New Roman" w:eastAsia="Times New Roman" w:hint="default"/>
        </w:rPr>
        <w:t>2017</w:t>
      </w:r>
      <w:r>
        <w:rPr/>
        <w:t>年增长了</w:t>
      </w:r>
      <w:r>
        <w:rPr>
          <w:rFonts w:ascii="Times New Roman" w:hAnsi="Times New Roman" w:cs="Times New Roman" w:eastAsia="Times New Roman" w:hint="default"/>
        </w:rPr>
        <w:t>59.70%</w:t>
      </w:r>
      <w:r>
        <w:rPr/>
        <w:t>，主要是由于报告期收到销售回款增加所致。 公司投资活动产生的现金流量净额</w:t>
      </w:r>
      <w:r>
        <w:rPr>
          <w:rFonts w:ascii="Times New Roman" w:hAnsi="Times New Roman" w:cs="Times New Roman" w:eastAsia="Times New Roman" w:hint="default"/>
        </w:rPr>
        <w:t>2018</w:t>
      </w:r>
      <w:r>
        <w:rPr/>
        <w:t>年较</w:t>
      </w:r>
      <w:r>
        <w:rPr>
          <w:rFonts w:ascii="Times New Roman" w:hAnsi="Times New Roman" w:cs="Times New Roman" w:eastAsia="Times New Roman" w:hint="default"/>
        </w:rPr>
        <w:t>2017</w:t>
      </w:r>
      <w:r>
        <w:rPr/>
        <w:t>年增长了</w:t>
      </w:r>
      <w:r>
        <w:rPr>
          <w:rFonts w:ascii="Times New Roman" w:hAnsi="Times New Roman" w:cs="Times New Roman" w:eastAsia="Times New Roman" w:hint="default"/>
        </w:rPr>
        <w:t>61.49%</w:t>
      </w:r>
      <w:r>
        <w:rPr/>
        <w:t>，主要是由于报告期收到投资收益及对外投资减少所致。</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1647"/>
        <w:jc w:val="left"/>
      </w:pPr>
      <w:r>
        <w:rPr/>
        <w:t>公司筹资活动产生的现金流量净额</w:t>
      </w:r>
      <w:r>
        <w:rPr>
          <w:rFonts w:ascii="Times New Roman" w:hAnsi="Times New Roman" w:cs="Times New Roman" w:eastAsia="Times New Roman" w:hint="default"/>
        </w:rPr>
        <w:t>2018</w:t>
      </w:r>
      <w:r>
        <w:rPr/>
        <w:t>年较</w:t>
      </w:r>
      <w:r>
        <w:rPr>
          <w:rFonts w:ascii="Times New Roman" w:hAnsi="Times New Roman" w:cs="Times New Roman" w:eastAsia="Times New Roman" w:hint="default"/>
        </w:rPr>
        <w:t>2017</w:t>
      </w:r>
      <w:r>
        <w:rPr/>
        <w:t>年减少了</w:t>
      </w:r>
      <w:r>
        <w:rPr>
          <w:rFonts w:ascii="Times New Roman" w:hAnsi="Times New Roman" w:cs="Times New Roman" w:eastAsia="Times New Roman" w:hint="default"/>
        </w:rPr>
        <w:t>138.09%</w:t>
      </w:r>
      <w:r>
        <w:rPr/>
        <w:t>，主要是由于上年同期授予限制性股票较多所致。 报告期内公司经营活动产生的现金净流量与本年度净利润存在重大差异的原因说明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86"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5,037,730.55</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7.09%</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深圳南山宝生村镇银行股 份有限公司发放现金红利 及投资钱方好近金融科技 </w:t>
            </w:r>
            <w:r>
              <w:rPr>
                <w:rFonts w:ascii="宋体" w:hAnsi="宋体" w:cs="宋体" w:eastAsia="宋体" w:hint="default"/>
                <w:spacing w:val="-5"/>
                <w:sz w:val="18"/>
                <w:szCs w:val="18"/>
              </w:rPr>
              <w:t>有限公司、北京优智汇咨询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有限公司的长期股权投资 收益</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786"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3"/>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534,347,564.3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43.33%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544,287,620.00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46.19%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-2.86%</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193,508,351.0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15.69%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191,749,045.89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16.27%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-0.58%</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5,852,198.13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5,379,867.20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48,095,753.10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26,689,937.93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285,952,429.7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23.19%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18,764,730.64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1.59%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21.60%</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由于在建工程转固定资产</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30,887,754.50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273,164,469.53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由于在建工程转固定资产</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 w:right="75"/>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88,579,565.00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29,172,094.30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24,785,733.59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126.32pt;margin-top:602.679993pt;width:32.6pt;height:162.9pt;mso-position-horizontal-relative:page;mso-position-vertical-relative:page;z-index:-1206136" coordorigin="2526,12054" coordsize="652,3258">
            <v:shape style="position:absolute;left:2526;top:12054;width:652;height:3258" coordorigin="2526,12054" coordsize="652,3258" path="m2526,15311l3178,15311,3178,12054,2526,12054,2526,15311xe" filled="true" fillcolor="#ffffff" stroked="false">
              <v:path arrowok="t"/>
              <v:fill type="solid"/>
            </v:shape>
            <w10:wrap type="none"/>
          </v:group>
        </w:pict>
      </w:r>
    </w:p>
    <w:p>
      <w:pPr>
        <w:pStyle w:val="Heading3"/>
        <w:spacing w:line="240" w:lineRule="auto" w:before="35"/>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00"/>
        <w:gridCol w:w="2561"/>
        <w:gridCol w:w="2560"/>
      </w:tblGrid>
      <w:tr>
        <w:trPr>
          <w:trHeight w:val="342"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3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2"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2,092,600.00</w:t>
            </w:r>
            <w:r>
              <w:rPr>
                <w:rFonts w:ascii="宋体" w:hAnsi="宋体" w:cs="宋体" w:eastAsia="宋体" w:hint="default"/>
                <w:sz w:val="18"/>
                <w:szCs w:val="18"/>
              </w:rPr>
              <w:t>元</w:t>
            </w:r>
          </w:p>
        </w:tc>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履约保证金</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2"/>
          <w:szCs w:val="22"/>
        </w:rPr>
      </w:pPr>
    </w:p>
    <w:p>
      <w:pPr>
        <w:pStyle w:val="Heading2"/>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136,675,318.10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104,799,937.93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4"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6915"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格罗斯 产业链 </w:t>
            </w:r>
            <w:r>
              <w:rPr>
                <w:rFonts w:ascii="宋体" w:hAnsi="宋体" w:cs="宋体" w:eastAsia="宋体" w:hint="default"/>
                <w:spacing w:val="-21"/>
                <w:sz w:val="18"/>
                <w:szCs w:val="18"/>
              </w:rPr>
              <w:t>服务（深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1"/>
                <w:sz w:val="18"/>
                <w:szCs w:val="18"/>
              </w:rPr>
              <w:t>圳）有限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国内贸 </w:t>
            </w:r>
            <w:r>
              <w:rPr>
                <w:rFonts w:ascii="宋体" w:hAnsi="宋体" w:cs="宋体" w:eastAsia="宋体" w:hint="default"/>
                <w:spacing w:val="-21"/>
                <w:sz w:val="18"/>
                <w:szCs w:val="18"/>
              </w:rPr>
              <w:t>易（不含</w:t>
            </w:r>
            <w:r>
              <w:rPr>
                <w:rFonts w:ascii="宋体" w:hAnsi="宋体" w:cs="宋体" w:eastAsia="宋体" w:hint="default"/>
                <w:sz w:val="18"/>
                <w:szCs w:val="18"/>
              </w:rPr>
              <w:t> </w:t>
            </w:r>
            <w:r>
              <w:rPr>
                <w:rFonts w:ascii="宋体" w:hAnsi="宋体" w:cs="宋体" w:eastAsia="宋体" w:hint="default"/>
                <w:spacing w:val="-21"/>
                <w:sz w:val="18"/>
                <w:szCs w:val="18"/>
              </w:rPr>
              <w:t>专营、专</w:t>
            </w:r>
            <w:r>
              <w:rPr>
                <w:rFonts w:ascii="宋体" w:hAnsi="宋体" w:cs="宋体" w:eastAsia="宋体" w:hint="default"/>
                <w:sz w:val="18"/>
                <w:szCs w:val="18"/>
              </w:rPr>
              <w:t> </w:t>
            </w:r>
            <w:r>
              <w:rPr>
                <w:rFonts w:ascii="宋体" w:hAnsi="宋体" w:cs="宋体" w:eastAsia="宋体" w:hint="default"/>
                <w:spacing w:val="-21"/>
                <w:sz w:val="18"/>
                <w:szCs w:val="18"/>
              </w:rPr>
              <w:t>控、专卖</w:t>
            </w:r>
            <w:r>
              <w:rPr>
                <w:rFonts w:ascii="宋体" w:hAnsi="宋体" w:cs="宋体" w:eastAsia="宋体" w:hint="default"/>
                <w:sz w:val="18"/>
                <w:szCs w:val="18"/>
              </w:rPr>
              <w:t> </w:t>
            </w:r>
            <w:r>
              <w:rPr>
                <w:rFonts w:ascii="宋体" w:hAnsi="宋体" w:cs="宋体" w:eastAsia="宋体" w:hint="default"/>
                <w:spacing w:val="-23"/>
                <w:sz w:val="18"/>
                <w:szCs w:val="18"/>
              </w:rPr>
              <w:t>商品）；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经营进 出口业 务；国 </w:t>
            </w:r>
            <w:r>
              <w:rPr>
                <w:rFonts w:ascii="宋体" w:hAnsi="宋体" w:cs="宋体" w:eastAsia="宋体" w:hint="default"/>
                <w:spacing w:val="-21"/>
                <w:sz w:val="18"/>
                <w:szCs w:val="18"/>
              </w:rPr>
              <w:t>内、国际</w:t>
            </w:r>
            <w:r>
              <w:rPr>
                <w:rFonts w:ascii="宋体" w:hAnsi="宋体" w:cs="宋体" w:eastAsia="宋体" w:hint="default"/>
                <w:sz w:val="18"/>
                <w:szCs w:val="18"/>
              </w:rPr>
              <w:t> 货运代 </w:t>
            </w:r>
            <w:r>
              <w:rPr>
                <w:rFonts w:ascii="宋体" w:hAnsi="宋体" w:cs="宋体" w:eastAsia="宋体" w:hint="default"/>
                <w:spacing w:val="-21"/>
                <w:sz w:val="18"/>
                <w:szCs w:val="18"/>
              </w:rPr>
              <w:t>理；提供</w:t>
            </w:r>
            <w:r>
              <w:rPr>
                <w:rFonts w:ascii="宋体" w:hAnsi="宋体" w:cs="宋体" w:eastAsia="宋体" w:hint="default"/>
                <w:sz w:val="18"/>
                <w:szCs w:val="18"/>
              </w:rPr>
              <w:t> 金融中 介服务 接受金 融机构 委托从 事金融 外包服 </w:t>
            </w:r>
            <w:r>
              <w:rPr>
                <w:rFonts w:ascii="宋体" w:hAnsi="宋体" w:cs="宋体" w:eastAsia="宋体" w:hint="default"/>
                <w:spacing w:val="-21"/>
                <w:sz w:val="18"/>
                <w:szCs w:val="18"/>
              </w:rPr>
              <w:t>务；投资</w:t>
            </w:r>
            <w:r>
              <w:rPr>
                <w:rFonts w:ascii="宋体" w:hAnsi="宋体" w:cs="宋体" w:eastAsia="宋体" w:hint="default"/>
                <w:sz w:val="18"/>
                <w:szCs w:val="18"/>
              </w:rPr>
              <w:t> 兴办实 </w:t>
            </w:r>
            <w:r>
              <w:rPr>
                <w:rFonts w:ascii="宋体" w:hAnsi="宋体" w:cs="宋体" w:eastAsia="宋体" w:hint="default"/>
                <w:spacing w:val="-21"/>
                <w:sz w:val="18"/>
                <w:szCs w:val="18"/>
              </w:rPr>
              <w:t>业；投资</w:t>
            </w:r>
            <w:r>
              <w:rPr>
                <w:rFonts w:ascii="宋体" w:hAnsi="宋体" w:cs="宋体" w:eastAsia="宋体" w:hint="default"/>
                <w:sz w:val="18"/>
                <w:szCs w:val="18"/>
              </w:rPr>
              <w:t> </w:t>
            </w:r>
            <w:r>
              <w:rPr>
                <w:rFonts w:ascii="宋体" w:hAnsi="宋体" w:cs="宋体" w:eastAsia="宋体" w:hint="default"/>
                <w:spacing w:val="-21"/>
                <w:sz w:val="18"/>
                <w:szCs w:val="18"/>
              </w:rPr>
              <w:t>管理、投</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8" w:right="0"/>
              <w:jc w:val="left"/>
              <w:rPr>
                <w:rFonts w:ascii="Times New Roman" w:hAnsi="Times New Roman" w:cs="Times New Roman" w:eastAsia="Times New Roman" w:hint="default"/>
                <w:sz w:val="18"/>
                <w:szCs w:val="18"/>
              </w:rPr>
            </w:pPr>
            <w:r>
              <w:rPr>
                <w:rFonts w:ascii="Times New Roman"/>
                <w:sz w:val="18"/>
              </w:rPr>
              <w:t>10,469,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565.00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8.00%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83"/>
              <w:jc w:val="both"/>
              <w:rPr>
                <w:rFonts w:ascii="宋体" w:hAnsi="宋体" w:cs="宋体" w:eastAsia="宋体" w:hint="default"/>
                <w:sz w:val="18"/>
                <w:szCs w:val="18"/>
              </w:rPr>
            </w:pPr>
            <w:r>
              <w:rPr>
                <w:rFonts w:ascii="宋体" w:hAnsi="宋体" w:cs="宋体" w:eastAsia="宋体" w:hint="default"/>
                <w:sz w:val="18"/>
                <w:szCs w:val="18"/>
              </w:rPr>
              <w:t>格罗斯 产业链 服务</w:t>
            </w:r>
          </w:p>
          <w:p>
            <w:pPr>
              <w:pStyle w:val="TableParagraph"/>
              <w:spacing w:line="319" w:lineRule="auto" w:before="19"/>
              <w:ind w:left="22" w:right="83"/>
              <w:jc w:val="left"/>
              <w:rPr>
                <w:rFonts w:ascii="宋体" w:hAnsi="宋体" w:cs="宋体" w:eastAsia="宋体" w:hint="default"/>
                <w:sz w:val="18"/>
                <w:szCs w:val="18"/>
              </w:rPr>
            </w:pPr>
            <w:r>
              <w:rPr>
                <w:rFonts w:ascii="宋体" w:hAnsi="宋体" w:cs="宋体" w:eastAsia="宋体" w:hint="default"/>
                <w:sz w:val="18"/>
                <w:szCs w:val="18"/>
              </w:rPr>
              <w:t>（深 圳）有 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8"/>
        <w:rPr>
          <w:rFonts w:ascii="宋体" w:hAnsi="宋体" w:cs="宋体" w:eastAsia="宋体" w:hint="default"/>
          <w:sz w:val="26"/>
          <w:szCs w:val="26"/>
        </w:rPr>
      </w:pPr>
    </w:p>
    <w:p>
      <w:pPr>
        <w:pStyle w:val="BodyText"/>
        <w:spacing w:line="319" w:lineRule="auto" w:before="44"/>
        <w:ind w:left="876" w:right="9310"/>
        <w:jc w:val="left"/>
      </w:pPr>
      <w:r>
        <w:rPr/>
        <w:t>资咨询； 供应链 管理及 相关配 套服务； 计算机 软件硬 件的开 </w:t>
      </w:r>
      <w:r>
        <w:rPr>
          <w:spacing w:val="-21"/>
        </w:rPr>
        <w:t>发、销售</w:t>
      </w:r>
      <w:r>
        <w:rPr/>
        <w:t> 和产品 </w:t>
      </w:r>
      <w:r>
        <w:rPr>
          <w:spacing w:val="-21"/>
        </w:rPr>
        <w:t>营销、展</w:t>
      </w:r>
      <w:r>
        <w:rPr/>
        <w:t> </w:t>
      </w:r>
      <w:r>
        <w:rPr>
          <w:spacing w:val="-21"/>
        </w:rPr>
        <w:t>览；企业</w:t>
      </w:r>
      <w:r>
        <w:rPr/>
        <w:t> 管理咨 </w:t>
      </w:r>
      <w:r>
        <w:rPr>
          <w:spacing w:val="-21"/>
        </w:rPr>
        <w:t>询、财务</w:t>
      </w:r>
      <w:r>
        <w:rPr/>
        <w:t> </w:t>
      </w:r>
      <w:r>
        <w:rPr>
          <w:spacing w:val="-21"/>
        </w:rPr>
        <w:t>咨询、经</w:t>
      </w:r>
      <w:r>
        <w:rPr/>
        <w:t> 济信息 咨询。</w:t>
      </w:r>
    </w:p>
    <w:p>
      <w:pPr>
        <w:spacing w:after="0" w:line="319" w:lineRule="auto"/>
        <w:jc w:val="left"/>
        <w:sectPr>
          <w:pgSz w:w="11910" w:h="16840"/>
          <w:pgMar w:header="747" w:footer="979" w:top="1060" w:bottom="1160" w:left="980" w:right="0"/>
        </w:sectPr>
      </w:pPr>
    </w:p>
    <w:p>
      <w:pPr>
        <w:spacing w:line="240" w:lineRule="auto" w:before="0"/>
        <w:rPr>
          <w:rFonts w:ascii="宋体" w:hAnsi="宋体" w:cs="宋体" w:eastAsia="宋体" w:hint="default"/>
          <w:sz w:val="18"/>
          <w:szCs w:val="18"/>
        </w:rPr>
      </w:pPr>
      <w:r>
        <w:rPr/>
        <w:pict>
          <v:group style="position:absolute;margin-left:56.459999pt;margin-top:71.759964pt;width:478.8pt;height:692.5pt;mso-position-horizontal-relative:page;mso-position-vertical-relative:page;z-index:-1206112" coordorigin="1129,1435" coordsize="9576,13850">
            <v:group style="position:absolute;left:2526;top:1450;width:652;height:5346" coordorigin="2526,1450" coordsize="652,5346">
              <v:shape style="position:absolute;left:2526;top:1450;width:652;height:5346" coordorigin="2526,1450" coordsize="652,5346" path="m2526,6795l3178,6795,3178,1450,2526,1450,2526,6795xe" filled="true" fillcolor="#ffffff" stroked="false">
                <v:path arrowok="t"/>
                <v:fill type="solid"/>
              </v:shape>
            </v:group>
            <v:group style="position:absolute;left:1139;top:1445;width:685;height:2" coordorigin="1139,1445" coordsize="685,2">
              <v:shape style="position:absolute;left:1139;top:1445;width:685;height:2" coordorigin="1139,1445" coordsize="685,0" path="m1139,1445l1823,1445e" filled="false" stroked="true" strokeweight=".48pt" strokecolor="#000000">
                <v:path arrowok="t"/>
              </v:shape>
            </v:group>
            <v:group style="position:absolute;left:1833;top:1445;width:684;height:2" coordorigin="1833,1445" coordsize="684,2">
              <v:shape style="position:absolute;left:1833;top:1445;width:684;height:2" coordorigin="1833,1445" coordsize="684,0" path="m1833,1445l2517,1445e" filled="false" stroked="true" strokeweight=".48pt" strokecolor="#000000">
                <v:path arrowok="t"/>
              </v:shape>
            </v:group>
            <v:group style="position:absolute;left:2526;top:1445;width:653;height:2" coordorigin="2526,1445" coordsize="653,2">
              <v:shape style="position:absolute;left:2526;top:1445;width:653;height:2" coordorigin="2526,1445" coordsize="653,0" path="m2526,1445l3179,1445e" filled="false" stroked="true" strokeweight=".48pt" strokecolor="#000000">
                <v:path arrowok="t"/>
              </v:shape>
            </v:group>
            <v:group style="position:absolute;left:3189;top:1445;width:652;height:2" coordorigin="3189,1445" coordsize="652,2">
              <v:shape style="position:absolute;left:3189;top:1445;width:652;height:2" coordorigin="3189,1445" coordsize="652,0" path="m3189,1445l3840,1445e" filled="false" stroked="true" strokeweight=".48pt" strokecolor="#000000">
                <v:path arrowok="t"/>
              </v:shape>
            </v:group>
            <v:group style="position:absolute;left:3850;top:1445;width:653;height:2" coordorigin="3850,1445" coordsize="653,2">
              <v:shape style="position:absolute;left:3850;top:1445;width:653;height:2" coordorigin="3850,1445" coordsize="653,0" path="m3850,1445l4503,1445e" filled="false" stroked="true" strokeweight=".48pt" strokecolor="#000000">
                <v:path arrowok="t"/>
              </v:shape>
            </v:group>
            <v:group style="position:absolute;left:4512;top:1445;width:654;height:2" coordorigin="4512,1445" coordsize="654,2">
              <v:shape style="position:absolute;left:4512;top:1445;width:654;height:2" coordorigin="4512,1445" coordsize="654,0" path="m4512,1445l5166,1445e" filled="false" stroked="true" strokeweight=".48pt" strokecolor="#000000">
                <v:path arrowok="t"/>
              </v:shape>
            </v:group>
            <v:group style="position:absolute;left:5175;top:1445;width:648;height:2" coordorigin="5175,1445" coordsize="648,2">
              <v:shape style="position:absolute;left:5175;top:1445;width:648;height:2" coordorigin="5175,1445" coordsize="648,0" path="m5175,1445l5823,1445e" filled="false" stroked="true" strokeweight=".48pt" strokecolor="#000000">
                <v:path arrowok="t"/>
              </v:shape>
            </v:group>
            <v:group style="position:absolute;left:5833;top:1445;width:646;height:2" coordorigin="5833,1445" coordsize="646,2">
              <v:shape style="position:absolute;left:5833;top:1445;width:646;height:2" coordorigin="5833,1445" coordsize="646,0" path="m5833,1445l6478,1445e" filled="false" stroked="true" strokeweight=".48pt" strokecolor="#000000">
                <v:path arrowok="t"/>
              </v:shape>
            </v:group>
            <v:group style="position:absolute;left:6488;top:1445;width:648;height:2" coordorigin="6488,1445" coordsize="648,2">
              <v:shape style="position:absolute;left:6488;top:1445;width:648;height:2" coordorigin="6488,1445" coordsize="648,0" path="m6488,1445l7136,1445e" filled="false" stroked="true" strokeweight=".48pt" strokecolor="#000000">
                <v:path arrowok="t"/>
              </v:shape>
            </v:group>
            <v:group style="position:absolute;left:7146;top:1445;width:620;height:2" coordorigin="7146,1445" coordsize="620,2">
              <v:shape style="position:absolute;left:7146;top:1445;width:620;height:2" coordorigin="7146,1445" coordsize="620,0" path="m7146,1445l7765,1445e" filled="false" stroked="true" strokeweight=".48pt" strokecolor="#000000">
                <v:path arrowok="t"/>
              </v:shape>
            </v:group>
            <v:group style="position:absolute;left:7774;top:1445;width:730;height:2" coordorigin="7774,1445" coordsize="730,2">
              <v:shape style="position:absolute;left:7774;top:1445;width:730;height:2" coordorigin="7774,1445" coordsize="730,0" path="m7774,1445l8504,1445e" filled="false" stroked="true" strokeweight=".48pt" strokecolor="#000000">
                <v:path arrowok="t"/>
              </v:shape>
            </v:group>
            <v:group style="position:absolute;left:8514;top:1445;width:725;height:2" coordorigin="8514,1445" coordsize="725,2">
              <v:shape style="position:absolute;left:8514;top:1445;width:725;height:2" coordorigin="8514,1445" coordsize="725,0" path="m8514,1445l9239,1445e" filled="false" stroked="true" strokeweight=".48pt" strokecolor="#000000">
                <v:path arrowok="t"/>
              </v:shape>
            </v:group>
            <v:group style="position:absolute;left:9248;top:1445;width:724;height:2" coordorigin="9248,1445" coordsize="724,2">
              <v:shape style="position:absolute;left:9248;top:1445;width:724;height:2" coordorigin="9248,1445" coordsize="724,0" path="m9248,1445l9972,1445e" filled="false" stroked="true" strokeweight=".48pt" strokecolor="#000000">
                <v:path arrowok="t"/>
              </v:shape>
            </v:group>
            <v:group style="position:absolute;left:9982;top:1445;width:714;height:2" coordorigin="9982,1445" coordsize="714,2">
              <v:shape style="position:absolute;left:9982;top:1445;width:714;height:2" coordorigin="9982,1445" coordsize="714,0" path="m9982,1445l10696,1445e" filled="false" stroked="true" strokeweight=".48pt" strokecolor="#000000">
                <v:path arrowok="t"/>
              </v:shape>
            </v:group>
            <v:group style="position:absolute;left:2526;top:6804;width:652;height:4036" coordorigin="2526,6804" coordsize="652,4036">
              <v:shape style="position:absolute;left:2526;top:6804;width:652;height:4036" coordorigin="2526,6804" coordsize="652,4036" path="m2526,10840l3178,10840,3178,6804,2526,6804,2526,10840xe" filled="true" fillcolor="#ffffff" stroked="false">
                <v:path arrowok="t"/>
                <v:fill type="solid"/>
              </v:shape>
            </v:group>
            <v:group style="position:absolute;left:1139;top:6800;width:685;height:2" coordorigin="1139,6800" coordsize="685,2">
              <v:shape style="position:absolute;left:1139;top:6800;width:685;height:2" coordorigin="1139,6800" coordsize="685,0" path="m1139,6800l1823,6800e" filled="false" stroked="true" strokeweight=".48001pt" strokecolor="#000000">
                <v:path arrowok="t"/>
              </v:shape>
            </v:group>
            <v:group style="position:absolute;left:1833;top:6800;width:684;height:2" coordorigin="1833,6800" coordsize="684,2">
              <v:shape style="position:absolute;left:1833;top:6800;width:684;height:2" coordorigin="1833,6800" coordsize="684,0" path="m1833,6800l2517,6800e" filled="false" stroked="true" strokeweight=".48001pt" strokecolor="#000000">
                <v:path arrowok="t"/>
              </v:shape>
            </v:group>
            <v:group style="position:absolute;left:2526;top:6800;width:653;height:2" coordorigin="2526,6800" coordsize="653,2">
              <v:shape style="position:absolute;left:2526;top:6800;width:653;height:2" coordorigin="2526,6800" coordsize="653,0" path="m2526,6800l3179,6800e" filled="false" stroked="true" strokeweight=".48001pt" strokecolor="#000000">
                <v:path arrowok="t"/>
              </v:shape>
            </v:group>
            <v:group style="position:absolute;left:3189;top:6800;width:652;height:2" coordorigin="3189,6800" coordsize="652,2">
              <v:shape style="position:absolute;left:3189;top:6800;width:652;height:2" coordorigin="3189,6800" coordsize="652,0" path="m3189,6800l3840,6800e" filled="false" stroked="true" strokeweight=".48001pt" strokecolor="#000000">
                <v:path arrowok="t"/>
              </v:shape>
            </v:group>
            <v:group style="position:absolute;left:3850;top:6800;width:653;height:2" coordorigin="3850,6800" coordsize="653,2">
              <v:shape style="position:absolute;left:3850;top:6800;width:653;height:2" coordorigin="3850,6800" coordsize="653,0" path="m3850,6800l4503,6800e" filled="false" stroked="true" strokeweight=".48001pt" strokecolor="#000000">
                <v:path arrowok="t"/>
              </v:shape>
            </v:group>
            <v:group style="position:absolute;left:4512;top:6800;width:654;height:2" coordorigin="4512,6800" coordsize="654,2">
              <v:shape style="position:absolute;left:4512;top:6800;width:654;height:2" coordorigin="4512,6800" coordsize="654,0" path="m4512,6800l5166,6800e" filled="false" stroked="true" strokeweight=".48001pt" strokecolor="#000000">
                <v:path arrowok="t"/>
              </v:shape>
            </v:group>
            <v:group style="position:absolute;left:5175;top:6800;width:648;height:2" coordorigin="5175,6800" coordsize="648,2">
              <v:shape style="position:absolute;left:5175;top:6800;width:648;height:2" coordorigin="5175,6800" coordsize="648,0" path="m5175,6800l5823,6800e" filled="false" stroked="true" strokeweight=".48001pt" strokecolor="#000000">
                <v:path arrowok="t"/>
              </v:shape>
            </v:group>
            <v:group style="position:absolute;left:5833;top:6800;width:646;height:2" coordorigin="5833,6800" coordsize="646,2">
              <v:shape style="position:absolute;left:5833;top:6800;width:646;height:2" coordorigin="5833,6800" coordsize="646,0" path="m5833,6800l6478,6800e" filled="false" stroked="true" strokeweight=".48001pt" strokecolor="#000000">
                <v:path arrowok="t"/>
              </v:shape>
            </v:group>
            <v:group style="position:absolute;left:6488;top:6800;width:648;height:2" coordorigin="6488,6800" coordsize="648,2">
              <v:shape style="position:absolute;left:6488;top:6800;width:648;height:2" coordorigin="6488,6800" coordsize="648,0" path="m6488,6800l7136,6800e" filled="false" stroked="true" strokeweight=".48001pt" strokecolor="#000000">
                <v:path arrowok="t"/>
              </v:shape>
            </v:group>
            <v:group style="position:absolute;left:7146;top:6800;width:620;height:2" coordorigin="7146,6800" coordsize="620,2">
              <v:shape style="position:absolute;left:7146;top:6800;width:620;height:2" coordorigin="7146,6800" coordsize="620,0" path="m7146,6800l7765,6800e" filled="false" stroked="true" strokeweight=".48001pt" strokecolor="#000000">
                <v:path arrowok="t"/>
              </v:shape>
            </v:group>
            <v:group style="position:absolute;left:7774;top:6800;width:730;height:2" coordorigin="7774,6800" coordsize="730,2">
              <v:shape style="position:absolute;left:7774;top:6800;width:730;height:2" coordorigin="7774,6800" coordsize="730,0" path="m7774,6800l8504,6800e" filled="false" stroked="true" strokeweight=".48001pt" strokecolor="#000000">
                <v:path arrowok="t"/>
              </v:shape>
            </v:group>
            <v:group style="position:absolute;left:8514;top:6800;width:725;height:2" coordorigin="8514,6800" coordsize="725,2">
              <v:shape style="position:absolute;left:8514;top:6800;width:725;height:2" coordorigin="8514,6800" coordsize="725,0" path="m8514,6800l9239,6800e" filled="false" stroked="true" strokeweight=".48001pt" strokecolor="#000000">
                <v:path arrowok="t"/>
              </v:shape>
            </v:group>
            <v:group style="position:absolute;left:9248;top:6800;width:724;height:2" coordorigin="9248,6800" coordsize="724,2">
              <v:shape style="position:absolute;left:9248;top:6800;width:724;height:2" coordorigin="9248,6800" coordsize="724,0" path="m9248,6800l9972,6800e" filled="false" stroked="true" strokeweight=".48001pt" strokecolor="#000000">
                <v:path arrowok="t"/>
              </v:shape>
            </v:group>
            <v:group style="position:absolute;left:9982;top:6800;width:714;height:2" coordorigin="9982,6800" coordsize="714,2">
              <v:shape style="position:absolute;left:9982;top:6800;width:714;height:2" coordorigin="9982,6800" coordsize="714,0" path="m9982,6800l10696,6800e" filled="false" stroked="true" strokeweight=".48001pt" strokecolor="#000000">
                <v:path arrowok="t"/>
              </v:shape>
            </v:group>
            <v:group style="position:absolute;left:1134;top:1440;width:2;height:13840" coordorigin="1134,1440" coordsize="2,13840">
              <v:shape style="position:absolute;left:1134;top:1440;width:2;height:13840" coordorigin="1134,1440" coordsize="0,13840" path="m1134,1440l1134,15280e" filled="false" stroked="true" strokeweight=".48pt" strokecolor="#000000">
                <v:path arrowok="t"/>
              </v:shape>
            </v:group>
            <v:group style="position:absolute;left:1139;top:15275;width:685;height:2" coordorigin="1139,15275" coordsize="685,2">
              <v:shape style="position:absolute;left:1139;top:15275;width:685;height:2" coordorigin="1139,15275" coordsize="685,0" path="m1139,15275l1823,15275e" filled="false" stroked="true" strokeweight=".47998pt" strokecolor="#000000">
                <v:path arrowok="t"/>
              </v:shape>
            </v:group>
            <v:group style="position:absolute;left:1828;top:1440;width:2;height:13840" coordorigin="1828,1440" coordsize="2,13840">
              <v:shape style="position:absolute;left:1828;top:1440;width:2;height:13840" coordorigin="1828,1440" coordsize="0,13840" path="m1828,1440l1828,15280e" filled="false" stroked="true" strokeweight=".48pt" strokecolor="#000000">
                <v:path arrowok="t"/>
              </v:shape>
            </v:group>
            <v:group style="position:absolute;left:1833;top:15275;width:684;height:2" coordorigin="1833,15275" coordsize="684,2">
              <v:shape style="position:absolute;left:1833;top:15275;width:684;height:2" coordorigin="1833,15275" coordsize="684,0" path="m1833,15275l2517,15275e" filled="false" stroked="true" strokeweight=".47998pt" strokecolor="#000000">
                <v:path arrowok="t"/>
              </v:shape>
            </v:group>
            <v:group style="position:absolute;left:2522;top:1440;width:2;height:13840" coordorigin="2522,1440" coordsize="2,13840">
              <v:shape style="position:absolute;left:2522;top:1440;width:2;height:13840" coordorigin="2522,1440" coordsize="0,13840" path="m2522,1440l2522,15280e" filled="false" stroked="true" strokeweight=".48pt" strokecolor="#000000">
                <v:path arrowok="t"/>
              </v:shape>
            </v:group>
            <v:group style="position:absolute;left:2526;top:15275;width:653;height:2" coordorigin="2526,15275" coordsize="653,2">
              <v:shape style="position:absolute;left:2526;top:15275;width:653;height:2" coordorigin="2526,15275" coordsize="653,0" path="m2526,15275l3179,15275e" filled="false" stroked="true" strokeweight=".47998pt" strokecolor="#000000">
                <v:path arrowok="t"/>
              </v:shape>
            </v:group>
            <v:group style="position:absolute;left:3184;top:1440;width:2;height:13840" coordorigin="3184,1440" coordsize="2,13840">
              <v:shape style="position:absolute;left:3184;top:1440;width:2;height:13840" coordorigin="3184,1440" coordsize="0,13840" path="m3184,1440l3184,15280e" filled="false" stroked="true" strokeweight=".48001pt" strokecolor="#000000">
                <v:path arrowok="t"/>
              </v:shape>
            </v:group>
            <v:group style="position:absolute;left:3189;top:15275;width:652;height:2" coordorigin="3189,15275" coordsize="652,2">
              <v:shape style="position:absolute;left:3189;top:15275;width:652;height:2" coordorigin="3189,15275" coordsize="652,0" path="m3189,15275l3840,15275e" filled="false" stroked="true" strokeweight=".47998pt" strokecolor="#000000">
                <v:path arrowok="t"/>
              </v:shape>
            </v:group>
            <v:group style="position:absolute;left:3845;top:1440;width:2;height:13840" coordorigin="3845,1440" coordsize="2,13840">
              <v:shape style="position:absolute;left:3845;top:1440;width:2;height:13840" coordorigin="3845,1440" coordsize="0,13840" path="m3845,1440l3845,15280e" filled="false" stroked="true" strokeweight=".48001pt" strokecolor="#000000">
                <v:path arrowok="t"/>
              </v:shape>
            </v:group>
            <v:group style="position:absolute;left:3850;top:15275;width:653;height:2" coordorigin="3850,15275" coordsize="653,2">
              <v:shape style="position:absolute;left:3850;top:15275;width:653;height:2" coordorigin="3850,15275" coordsize="653,0" path="m3850,15275l4503,15275e" filled="false" stroked="true" strokeweight=".47998pt" strokecolor="#000000">
                <v:path arrowok="t"/>
              </v:shape>
            </v:group>
            <v:group style="position:absolute;left:4508;top:1440;width:2;height:13840" coordorigin="4508,1440" coordsize="2,13840">
              <v:shape style="position:absolute;left:4508;top:1440;width:2;height:13840" coordorigin="4508,1440" coordsize="0,13840" path="m4508,1440l4508,15280e" filled="false" stroked="true" strokeweight=".48pt" strokecolor="#000000">
                <v:path arrowok="t"/>
              </v:shape>
            </v:group>
            <v:group style="position:absolute;left:4512;top:15275;width:654;height:2" coordorigin="4512,15275" coordsize="654,2">
              <v:shape style="position:absolute;left:4512;top:15275;width:654;height:2" coordorigin="4512,15275" coordsize="654,0" path="m4512,15275l5166,15275e" filled="false" stroked="true" strokeweight=".47998pt" strokecolor="#000000">
                <v:path arrowok="t"/>
              </v:shape>
            </v:group>
            <v:group style="position:absolute;left:5170;top:1440;width:2;height:13840" coordorigin="5170,1440" coordsize="2,13840">
              <v:shape style="position:absolute;left:5170;top:1440;width:2;height:13840" coordorigin="5170,1440" coordsize="0,13840" path="m5170,1440l5170,15280e" filled="false" stroked="true" strokeweight=".47998pt" strokecolor="#000000">
                <v:path arrowok="t"/>
              </v:shape>
            </v:group>
            <v:group style="position:absolute;left:5175;top:15275;width:648;height:2" coordorigin="5175,15275" coordsize="648,2">
              <v:shape style="position:absolute;left:5175;top:15275;width:648;height:2" coordorigin="5175,15275" coordsize="648,0" path="m5175,15275l5823,15275e" filled="false" stroked="true" strokeweight=".47998pt" strokecolor="#000000">
                <v:path arrowok="t"/>
              </v:shape>
            </v:group>
            <v:group style="position:absolute;left:5828;top:1440;width:2;height:13840" coordorigin="5828,1440" coordsize="2,13840">
              <v:shape style="position:absolute;left:5828;top:1440;width:2;height:13840" coordorigin="5828,1440" coordsize="0,13840" path="m5828,1440l5828,15280e" filled="false" stroked="true" strokeweight=".47998pt" strokecolor="#000000">
                <v:path arrowok="t"/>
              </v:shape>
            </v:group>
            <v:group style="position:absolute;left:5833;top:15275;width:646;height:2" coordorigin="5833,15275" coordsize="646,2">
              <v:shape style="position:absolute;left:5833;top:15275;width:646;height:2" coordorigin="5833,15275" coordsize="646,0" path="m5833,15275l6478,15275e" filled="false" stroked="true" strokeweight=".47998pt" strokecolor="#000000">
                <v:path arrowok="t"/>
              </v:shape>
            </v:group>
            <v:group style="position:absolute;left:6483;top:1440;width:2;height:13840" coordorigin="6483,1440" coordsize="2,13840">
              <v:shape style="position:absolute;left:6483;top:1440;width:2;height:13840" coordorigin="6483,1440" coordsize="0,13840" path="m6483,1440l6483,15280e" filled="false" stroked="true" strokeweight=".48001pt" strokecolor="#000000">
                <v:path arrowok="t"/>
              </v:shape>
            </v:group>
            <v:group style="position:absolute;left:6488;top:15275;width:648;height:2" coordorigin="6488,15275" coordsize="648,2">
              <v:shape style="position:absolute;left:6488;top:15275;width:648;height:2" coordorigin="6488,15275" coordsize="648,0" path="m6488,15275l7136,15275e" filled="false" stroked="true" strokeweight=".47998pt" strokecolor="#000000">
                <v:path arrowok="t"/>
              </v:shape>
            </v:group>
            <v:group style="position:absolute;left:7141;top:1440;width:2;height:13840" coordorigin="7141,1440" coordsize="2,13840">
              <v:shape style="position:absolute;left:7141;top:1440;width:2;height:13840" coordorigin="7141,1440" coordsize="0,13840" path="m7141,1440l7141,15280e" filled="false" stroked="true" strokeweight=".48001pt" strokecolor="#000000">
                <v:path arrowok="t"/>
              </v:shape>
            </v:group>
            <v:group style="position:absolute;left:7146;top:15275;width:620;height:2" coordorigin="7146,15275" coordsize="620,2">
              <v:shape style="position:absolute;left:7146;top:15275;width:620;height:2" coordorigin="7146,15275" coordsize="620,0" path="m7146,15275l7765,15275e" filled="false" stroked="true" strokeweight=".47998pt" strokecolor="#000000">
                <v:path arrowok="t"/>
              </v:shape>
            </v:group>
            <v:group style="position:absolute;left:7770;top:1440;width:2;height:13840" coordorigin="7770,1440" coordsize="2,13840">
              <v:shape style="position:absolute;left:7770;top:1440;width:2;height:13840" coordorigin="7770,1440" coordsize="0,13840" path="m7770,1440l7770,15280e" filled="false" stroked="true" strokeweight=".48001pt" strokecolor="#000000">
                <v:path arrowok="t"/>
              </v:shape>
            </v:group>
            <v:group style="position:absolute;left:7774;top:15275;width:730;height:2" coordorigin="7774,15275" coordsize="730,2">
              <v:shape style="position:absolute;left:7774;top:15275;width:730;height:2" coordorigin="7774,15275" coordsize="730,0" path="m7774,15275l8504,15275e" filled="false" stroked="true" strokeweight=".47998pt" strokecolor="#000000">
                <v:path arrowok="t"/>
              </v:shape>
            </v:group>
            <v:group style="position:absolute;left:8509;top:1440;width:2;height:13840" coordorigin="8509,1440" coordsize="2,13840">
              <v:shape style="position:absolute;left:8509;top:1440;width:2;height:13840" coordorigin="8509,1440" coordsize="0,13840" path="m8509,1440l8509,15280e" filled="false" stroked="true" strokeweight=".47998pt" strokecolor="#000000">
                <v:path arrowok="t"/>
              </v:shape>
            </v:group>
            <v:group style="position:absolute;left:8514;top:15275;width:725;height:2" coordorigin="8514,15275" coordsize="725,2">
              <v:shape style="position:absolute;left:8514;top:15275;width:725;height:2" coordorigin="8514,15275" coordsize="725,0" path="m8514,15275l9239,15275e" filled="false" stroked="true" strokeweight=".47998pt" strokecolor="#000000">
                <v:path arrowok="t"/>
              </v:shape>
            </v:group>
            <v:group style="position:absolute;left:9244;top:1440;width:2;height:13840" coordorigin="9244,1440" coordsize="2,13840">
              <v:shape style="position:absolute;left:9244;top:1440;width:2;height:13840" coordorigin="9244,1440" coordsize="0,13840" path="m9244,1440l9244,15280e" filled="false" stroked="true" strokeweight=".47998pt" strokecolor="#000000">
                <v:path arrowok="t"/>
              </v:shape>
            </v:group>
            <v:group style="position:absolute;left:9248;top:15275;width:724;height:2" coordorigin="9248,15275" coordsize="724,2">
              <v:shape style="position:absolute;left:9248;top:15275;width:724;height:2" coordorigin="9248,15275" coordsize="724,0" path="m9248,15275l9972,15275e" filled="false" stroked="true" strokeweight=".47998pt" strokecolor="#000000">
                <v:path arrowok="t"/>
              </v:shape>
            </v:group>
            <v:group style="position:absolute;left:9977;top:1440;width:2;height:13840" coordorigin="9977,1440" coordsize="2,13840">
              <v:shape style="position:absolute;left:9977;top:1440;width:2;height:13840" coordorigin="9977,1440" coordsize="0,13840" path="m9977,1440l9977,15280e" filled="false" stroked="true" strokeweight=".48001pt" strokecolor="#000000">
                <v:path arrowok="t"/>
              </v:shape>
            </v:group>
            <v:group style="position:absolute;left:9982;top:15275;width:714;height:2" coordorigin="9982,15275" coordsize="714,2">
              <v:shape style="position:absolute;left:9982;top:15275;width:714;height:2" coordorigin="9982,15275" coordsize="714,0" path="m9982,15275l10696,15275e" filled="false" stroked="true" strokeweight=".47998pt" strokecolor="#000000">
                <v:path arrowok="t"/>
              </v:shape>
            </v:group>
            <v:group style="position:absolute;left:10700;top:1440;width:2;height:13840" coordorigin="10700,1440" coordsize="2,13840">
              <v:shape style="position:absolute;left:10700;top:1440;width:2;height:13840" coordorigin="10700,1440" coordsize="0,13840" path="m10700,1440l10700,15280e" filled="false" stroked="true" strokeweight=".48004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9" w:lineRule="auto" w:before="142"/>
        <w:ind w:left="181" w:right="0"/>
        <w:jc w:val="both"/>
      </w:pPr>
      <w:r>
        <w:rPr/>
        <w:t>北京优 智汇咨 询有限 公司</w:t>
      </w:r>
    </w:p>
    <w:p>
      <w:pPr>
        <w:pStyle w:val="BodyText"/>
        <w:spacing w:line="316" w:lineRule="auto" w:before="107"/>
        <w:ind w:left="115" w:right="-20"/>
        <w:jc w:val="left"/>
        <w:rPr>
          <w:rFonts w:ascii="Times New Roman" w:hAnsi="Times New Roman" w:cs="Times New Roman" w:eastAsia="Times New Roman" w:hint="default"/>
        </w:rPr>
      </w:pPr>
      <w:r>
        <w:rPr/>
        <w:br w:type="column"/>
      </w:r>
      <w:r>
        <w:rPr/>
        <w:t>经济贸 易咨询； 文化咨 </w:t>
      </w:r>
      <w:r>
        <w:rPr>
          <w:spacing w:val="-21"/>
        </w:rPr>
        <w:t>询；计算</w:t>
      </w:r>
      <w:r>
        <w:rPr/>
        <w:t> 机系统 </w:t>
      </w:r>
      <w:r>
        <w:rPr>
          <w:spacing w:val="-21"/>
        </w:rPr>
        <w:t>服务；技</w:t>
      </w:r>
      <w:r>
        <w:rPr/>
        <w:t> 术开发、 技术推 </w:t>
      </w:r>
      <w:r>
        <w:rPr>
          <w:spacing w:val="-21"/>
        </w:rPr>
        <w:t>广、技术</w:t>
      </w:r>
      <w:r>
        <w:rPr/>
        <w:t> </w:t>
      </w:r>
      <w:r>
        <w:rPr>
          <w:spacing w:val="-21"/>
        </w:rPr>
        <w:t>转让、技</w:t>
      </w:r>
      <w:r>
        <w:rPr/>
        <w:t> 术咨询、 技术服 </w:t>
      </w:r>
      <w:r>
        <w:rPr>
          <w:spacing w:val="-21"/>
        </w:rPr>
        <w:t>务；数据</w:t>
      </w:r>
      <w:r>
        <w:rPr/>
        <w:t> </w:t>
      </w:r>
      <w:r>
        <w:rPr>
          <w:spacing w:val="-21"/>
        </w:rPr>
        <w:t>处理（数</w:t>
      </w:r>
      <w:r>
        <w:rPr>
          <w:spacing w:val="-34"/>
        </w:rPr>
        <w:t> </w:t>
      </w:r>
      <w:r>
        <w:rPr>
          <w:position w:val="2"/>
        </w:rPr>
        <w:t>增资</w:t>
      </w:r>
      <w:r>
        <w:rPr>
          <w:position w:val="2"/>
        </w:rPr>
        <w:t> </w:t>
      </w:r>
      <w:r>
        <w:rPr/>
        <w:t>据处理</w:t>
      </w:r>
      <w:r>
        <w:rPr/>
        <w:t> 中的银 行卡中 </w:t>
      </w:r>
      <w:r>
        <w:rPr>
          <w:spacing w:val="-14"/>
        </w:rPr>
        <w:t>心、</w:t>
      </w:r>
      <w:r>
        <w:rPr>
          <w:rFonts w:ascii="Times New Roman" w:hAnsi="Times New Roman" w:cs="Times New Roman" w:eastAsia="Times New Roman" w:hint="default"/>
          <w:spacing w:val="-14"/>
        </w:rPr>
        <w:t>PUE</w:t>
      </w:r>
      <w:r>
        <w:rPr>
          <w:rFonts w:ascii="Times New Roman" w:hAnsi="Times New Roman" w:cs="Times New Roman" w:eastAsia="Times New Roman" w:hint="default"/>
        </w:rPr>
      </w:r>
    </w:p>
    <w:p>
      <w:pPr>
        <w:pStyle w:val="BodyText"/>
        <w:spacing w:line="316" w:lineRule="auto"/>
        <w:ind w:left="115" w:right="396"/>
        <w:jc w:val="left"/>
      </w:pPr>
      <w:r>
        <w:rPr/>
        <w:t>值在</w:t>
      </w:r>
      <w:r>
        <w:rPr>
          <w:spacing w:val="-46"/>
        </w:rPr>
        <w:t> </w:t>
      </w:r>
      <w:r>
        <w:rPr>
          <w:rFonts w:ascii="Times New Roman" w:hAnsi="Times New Roman" w:cs="Times New Roman" w:eastAsia="Times New Roman" w:hint="default"/>
        </w:rPr>
        <w:t>1.4 </w:t>
      </w:r>
      <w:r>
        <w:rPr/>
        <w:t>以上的 云计算 数据中 心除 </w:t>
      </w:r>
      <w:r>
        <w:rPr>
          <w:spacing w:val="-23"/>
        </w:rPr>
        <w:t>外）；基</w:t>
      </w:r>
      <w:r>
        <w:rPr>
          <w:spacing w:val="-88"/>
        </w:rPr>
        <w:t> </w:t>
      </w:r>
      <w:r>
        <w:rPr>
          <w:spacing w:val="-88"/>
        </w:rPr>
      </w:r>
      <w:r>
        <w:rPr/>
        <w:t>础软件 </w:t>
      </w:r>
      <w:r>
        <w:rPr>
          <w:spacing w:val="-21"/>
        </w:rPr>
        <w:t>服务；应</w:t>
      </w:r>
      <w:r>
        <w:rPr/>
        <w:t> 用软件</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BodyText"/>
        <w:spacing w:line="240" w:lineRule="auto"/>
        <w:ind w:left="181" w:right="-19"/>
        <w:jc w:val="left"/>
        <w:rPr>
          <w:rFonts w:ascii="Times New Roman" w:hAnsi="Times New Roman" w:cs="Times New Roman" w:eastAsia="Times New Roman" w:hint="default"/>
        </w:rPr>
      </w:pPr>
      <w:r>
        <w:rPr>
          <w:rFonts w:ascii="Times New Roman"/>
        </w:rPr>
        <w:t>15,000,</w:t>
      </w:r>
    </w:p>
    <w:p>
      <w:pPr>
        <w:pStyle w:val="BodyText"/>
        <w:spacing w:line="240" w:lineRule="auto" w:before="106"/>
        <w:ind w:left="227" w:right="-20"/>
        <w:jc w:val="left"/>
        <w:rPr>
          <w:rFonts w:ascii="Times New Roman" w:hAnsi="Times New Roman" w:cs="Times New Roman" w:eastAsia="Times New Roman" w:hint="default"/>
        </w:rPr>
      </w:pPr>
      <w:r>
        <w:rPr>
          <w:rFonts w:ascii="Times New Roman"/>
        </w:rPr>
        <w:t>000.00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1"/>
          <w:szCs w:val="21"/>
        </w:rPr>
      </w:pPr>
    </w:p>
    <w:p>
      <w:pPr>
        <w:pStyle w:val="BodyText"/>
        <w:spacing w:line="240" w:lineRule="auto"/>
        <w:ind w:left="65" w:right="-19"/>
        <w:jc w:val="left"/>
        <w:rPr>
          <w:rFonts w:ascii="Times New Roman" w:hAnsi="Times New Roman" w:cs="Times New Roman" w:eastAsia="Times New Roman" w:hint="default"/>
        </w:rPr>
      </w:pPr>
      <w:r>
        <w:rPr>
          <w:rFonts w:ascii="Times New Roman"/>
        </w:rPr>
        <w:t>10.00%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319" w:lineRule="auto"/>
        <w:ind w:left="15" w:right="-20"/>
        <w:jc w:val="left"/>
      </w:pPr>
      <w:r>
        <w:rPr/>
        <w:t>自有资 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9" w:lineRule="auto" w:before="142"/>
        <w:ind w:left="82" w:right="0"/>
        <w:jc w:val="both"/>
      </w:pPr>
      <w:r>
        <w:rPr/>
        <w:t>北京优 智汇咨 询有限 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732" w:val="left" w:leader="none"/>
          <w:tab w:pos="1648" w:val="left" w:leader="none"/>
        </w:tabs>
        <w:spacing w:line="240" w:lineRule="auto" w:before="138"/>
        <w:ind w:left="77" w:right="-20"/>
        <w:jc w:val="left"/>
        <w:rPr>
          <w:rFonts w:ascii="Times New Roman" w:hAnsi="Times New Roman" w:cs="Times New Roman" w:eastAsia="Times New Roman" w:hint="default"/>
        </w:rPr>
      </w:pPr>
      <w:r>
        <w:rPr/>
        <w:t>长期</w:t>
        <w:tab/>
        <w:t>股权</w:t>
      </w:r>
      <w:r>
        <w:rPr>
          <w:rFonts w:ascii="Times New Roman" w:hAnsi="Times New Roman" w:cs="Times New Roman" w:eastAsia="Times New Roman" w:hint="default"/>
        </w:rPr>
        <w:tab/>
        <w:t>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6"/>
          <w:szCs w:val="26"/>
        </w:rPr>
      </w:pPr>
    </w:p>
    <w:p>
      <w:pPr>
        <w:pStyle w:val="BodyText"/>
        <w:spacing w:line="162" w:lineRule="exact"/>
        <w:ind w:left="75" w:right="0"/>
        <w:jc w:val="left"/>
        <w:rPr>
          <w:rFonts w:ascii="Times New Roman" w:hAnsi="Times New Roman" w:cs="Times New Roman" w:eastAsia="Times New Roman" w:hint="default"/>
        </w:rPr>
      </w:pPr>
      <w:r>
        <w:rPr>
          <w:rFonts w:ascii="Times New Roman"/>
        </w:rPr>
        <w:t>113,285.</w:t>
      </w:r>
    </w:p>
    <w:p>
      <w:pPr>
        <w:pStyle w:val="BodyText"/>
        <w:spacing w:line="171" w:lineRule="exact"/>
        <w:ind w:left="755" w:right="0"/>
        <w:jc w:val="left"/>
      </w:pPr>
      <w:r>
        <w:rPr/>
        <w:t>否</w:t>
      </w:r>
    </w:p>
    <w:p>
      <w:pPr>
        <w:pStyle w:val="BodyText"/>
        <w:spacing w:line="188" w:lineRule="exact"/>
        <w:ind w:left="518" w:right="0"/>
        <w:jc w:val="left"/>
        <w:rPr>
          <w:rFonts w:ascii="Times New Roman" w:hAnsi="Times New Roman" w:cs="Times New Roman" w:eastAsia="Times New Roman" w:hint="default"/>
        </w:rPr>
      </w:pPr>
      <w:r>
        <w:rPr>
          <w:rFonts w:ascii="Times New Roman"/>
        </w:rPr>
        <w:t>99</w:t>
      </w:r>
    </w:p>
    <w:p>
      <w:pPr>
        <w:spacing w:after="0" w:line="188" w:lineRule="exact"/>
        <w:jc w:val="left"/>
        <w:rPr>
          <w:rFonts w:ascii="Times New Roman" w:hAnsi="Times New Roman" w:cs="Times New Roman" w:eastAsia="Times New Roman" w:hint="default"/>
        </w:rPr>
        <w:sectPr>
          <w:type w:val="continuous"/>
          <w:pgSz w:w="11910" w:h="16840"/>
          <w:pgMar w:top="1060" w:bottom="1160" w:left="980" w:right="0"/>
          <w:cols w:num="8" w:equalWidth="0">
            <w:col w:w="722" w:space="40"/>
            <w:col w:w="1168" w:space="186"/>
            <w:col w:w="723" w:space="40"/>
            <w:col w:w="622" w:space="40"/>
            <w:col w:w="556" w:space="40"/>
            <w:col w:w="623" w:space="40"/>
            <w:col w:w="1964" w:space="40"/>
            <w:col w:w="4126"/>
          </w:cols>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pStyle w:val="BodyText"/>
        <w:spacing w:line="316" w:lineRule="auto"/>
        <w:ind w:left="876" w:right="9310"/>
        <w:jc w:val="left"/>
      </w:pPr>
      <w:r>
        <w:rPr>
          <w:spacing w:val="-21"/>
        </w:rPr>
        <w:t>服务；软</w:t>
      </w:r>
      <w:r>
        <w:rPr/>
        <w:t> 件开发； 软件咨 </w:t>
      </w:r>
      <w:r>
        <w:rPr>
          <w:spacing w:val="-21"/>
        </w:rPr>
        <w:t>询；产品</w:t>
      </w:r>
      <w:r>
        <w:rPr/>
        <w:t> </w:t>
      </w:r>
      <w:r>
        <w:rPr>
          <w:spacing w:val="-21"/>
        </w:rPr>
        <w:t>设计；模</w:t>
      </w:r>
      <w:r>
        <w:rPr/>
        <w:t> 型设计； 公共关 系服务； 项目投 </w:t>
      </w:r>
      <w:r>
        <w:rPr>
          <w:spacing w:val="-21"/>
        </w:rPr>
        <w:t>资；投资</w:t>
      </w:r>
      <w:r>
        <w:rPr/>
        <w:t> </w:t>
      </w:r>
      <w:r>
        <w:rPr>
          <w:spacing w:val="-21"/>
        </w:rPr>
        <w:t>管理；企</w:t>
      </w:r>
      <w:r>
        <w:rPr/>
        <w:t> 业管理 </w:t>
      </w:r>
      <w:r>
        <w:rPr>
          <w:spacing w:val="-21"/>
        </w:rPr>
        <w:t>咨询；翻</w:t>
      </w:r>
      <w:r>
        <w:rPr/>
        <w:t> 译服务； 会议服 </w:t>
      </w:r>
      <w:r>
        <w:rPr>
          <w:spacing w:val="-21"/>
        </w:rPr>
        <w:t>务；销售</w:t>
      </w:r>
      <w:r>
        <w:rPr/>
        <w:t> 自行开 发的产 品。</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18"/>
          <w:szCs w:val="18"/>
        </w:rPr>
      </w:pPr>
      <w:r>
        <w:rPr/>
        <w:pict>
          <v:group style="position:absolute;margin-left:56.459999pt;margin-top:71.759964pt;width:478.8pt;height:678.85pt;mso-position-horizontal-relative:page;mso-position-vertical-relative:page;z-index:-1206088" coordorigin="1129,1435" coordsize="9576,13577">
            <v:group style="position:absolute;left:2526;top:1450;width:652;height:5970" coordorigin="2526,1450" coordsize="652,5970">
              <v:shape style="position:absolute;left:2526;top:1450;width:652;height:5970" coordorigin="2526,1450" coordsize="652,5970" path="m2526,7419l3178,7419,3178,1450,2526,1450,2526,7419xe" filled="true" fillcolor="#ffffff" stroked="false">
                <v:path arrowok="t"/>
                <v:fill type="solid"/>
              </v:shape>
            </v:group>
            <v:group style="position:absolute;left:1139;top:1445;width:685;height:2" coordorigin="1139,1445" coordsize="685,2">
              <v:shape style="position:absolute;left:1139;top:1445;width:685;height:2" coordorigin="1139,1445" coordsize="685,0" path="m1139,1445l1823,1445e" filled="false" stroked="true" strokeweight=".48pt" strokecolor="#000000">
                <v:path arrowok="t"/>
              </v:shape>
            </v:group>
            <v:group style="position:absolute;left:1833;top:1445;width:684;height:2" coordorigin="1833,1445" coordsize="684,2">
              <v:shape style="position:absolute;left:1833;top:1445;width:684;height:2" coordorigin="1833,1445" coordsize="684,0" path="m1833,1445l2517,1445e" filled="false" stroked="true" strokeweight=".48pt" strokecolor="#000000">
                <v:path arrowok="t"/>
              </v:shape>
            </v:group>
            <v:group style="position:absolute;left:2526;top:1445;width:653;height:2" coordorigin="2526,1445" coordsize="653,2">
              <v:shape style="position:absolute;left:2526;top:1445;width:653;height:2" coordorigin="2526,1445" coordsize="653,0" path="m2526,1445l3179,1445e" filled="false" stroked="true" strokeweight=".48pt" strokecolor="#000000">
                <v:path arrowok="t"/>
              </v:shape>
            </v:group>
            <v:group style="position:absolute;left:3189;top:1445;width:652;height:2" coordorigin="3189,1445" coordsize="652,2">
              <v:shape style="position:absolute;left:3189;top:1445;width:652;height:2" coordorigin="3189,1445" coordsize="652,0" path="m3189,1445l3840,1445e" filled="false" stroked="true" strokeweight=".48pt" strokecolor="#000000">
                <v:path arrowok="t"/>
              </v:shape>
            </v:group>
            <v:group style="position:absolute;left:3850;top:1445;width:653;height:2" coordorigin="3850,1445" coordsize="653,2">
              <v:shape style="position:absolute;left:3850;top:1445;width:653;height:2" coordorigin="3850,1445" coordsize="653,0" path="m3850,1445l4503,1445e" filled="false" stroked="true" strokeweight=".48pt" strokecolor="#000000">
                <v:path arrowok="t"/>
              </v:shape>
            </v:group>
            <v:group style="position:absolute;left:4512;top:1445;width:654;height:2" coordorigin="4512,1445" coordsize="654,2">
              <v:shape style="position:absolute;left:4512;top:1445;width:654;height:2" coordorigin="4512,1445" coordsize="654,0" path="m4512,1445l5166,1445e" filled="false" stroked="true" strokeweight=".48pt" strokecolor="#000000">
                <v:path arrowok="t"/>
              </v:shape>
            </v:group>
            <v:group style="position:absolute;left:5175;top:1445;width:648;height:2" coordorigin="5175,1445" coordsize="648,2">
              <v:shape style="position:absolute;left:5175;top:1445;width:648;height:2" coordorigin="5175,1445" coordsize="648,0" path="m5175,1445l5823,1445e" filled="false" stroked="true" strokeweight=".48pt" strokecolor="#000000">
                <v:path arrowok="t"/>
              </v:shape>
            </v:group>
            <v:group style="position:absolute;left:5833;top:1445;width:646;height:2" coordorigin="5833,1445" coordsize="646,2">
              <v:shape style="position:absolute;left:5833;top:1445;width:646;height:2" coordorigin="5833,1445" coordsize="646,0" path="m5833,1445l6478,1445e" filled="false" stroked="true" strokeweight=".48pt" strokecolor="#000000">
                <v:path arrowok="t"/>
              </v:shape>
            </v:group>
            <v:group style="position:absolute;left:6488;top:1445;width:648;height:2" coordorigin="6488,1445" coordsize="648,2">
              <v:shape style="position:absolute;left:6488;top:1445;width:648;height:2" coordorigin="6488,1445" coordsize="648,0" path="m6488,1445l7136,1445e" filled="false" stroked="true" strokeweight=".48pt" strokecolor="#000000">
                <v:path arrowok="t"/>
              </v:shape>
            </v:group>
            <v:group style="position:absolute;left:7146;top:1445;width:620;height:2" coordorigin="7146,1445" coordsize="620,2">
              <v:shape style="position:absolute;left:7146;top:1445;width:620;height:2" coordorigin="7146,1445" coordsize="620,0" path="m7146,1445l7765,1445e" filled="false" stroked="true" strokeweight=".48pt" strokecolor="#000000">
                <v:path arrowok="t"/>
              </v:shape>
            </v:group>
            <v:group style="position:absolute;left:7774;top:1445;width:730;height:2" coordorigin="7774,1445" coordsize="730,2">
              <v:shape style="position:absolute;left:7774;top:1445;width:730;height:2" coordorigin="7774,1445" coordsize="730,0" path="m7774,1445l8504,1445e" filled="false" stroked="true" strokeweight=".48pt" strokecolor="#000000">
                <v:path arrowok="t"/>
              </v:shape>
            </v:group>
            <v:group style="position:absolute;left:8514;top:1445;width:725;height:2" coordorigin="8514,1445" coordsize="725,2">
              <v:shape style="position:absolute;left:8514;top:1445;width:725;height:2" coordorigin="8514,1445" coordsize="725,0" path="m8514,1445l9239,1445e" filled="false" stroked="true" strokeweight=".48pt" strokecolor="#000000">
                <v:path arrowok="t"/>
              </v:shape>
            </v:group>
            <v:group style="position:absolute;left:9248;top:1445;width:724;height:2" coordorigin="9248,1445" coordsize="724,2">
              <v:shape style="position:absolute;left:9248;top:1445;width:724;height:2" coordorigin="9248,1445" coordsize="724,0" path="m9248,1445l9972,1445e" filled="false" stroked="true" strokeweight=".48pt" strokecolor="#000000">
                <v:path arrowok="t"/>
              </v:shape>
            </v:group>
            <v:group style="position:absolute;left:9982;top:1445;width:714;height:2" coordorigin="9982,1445" coordsize="714,2">
              <v:shape style="position:absolute;left:9982;top:1445;width:714;height:2" coordorigin="9982,1445" coordsize="714,0" path="m9982,1445l10696,1445e" filled="false" stroked="true" strokeweight=".48pt" strokecolor="#000000">
                <v:path arrowok="t"/>
              </v:shape>
            </v:group>
            <v:group style="position:absolute;left:2526;top:7428;width:652;height:3589" coordorigin="2526,7428" coordsize="652,3589">
              <v:shape style="position:absolute;left:2526;top:7428;width:652;height:3589" coordorigin="2526,7428" coordsize="652,3589" path="m2526,11017l3178,11017,3178,7428,2526,7428,2526,11017xe" filled="true" fillcolor="#ffffff" stroked="false">
                <v:path arrowok="t"/>
                <v:fill type="solid"/>
              </v:shape>
            </v:group>
            <v:group style="position:absolute;left:1139;top:7424;width:685;height:2" coordorigin="1139,7424" coordsize="685,2">
              <v:shape style="position:absolute;left:1139;top:7424;width:685;height:2" coordorigin="1139,7424" coordsize="685,0" path="m1139,7424l1823,7424e" filled="false" stroked="true" strokeweight=".47998pt" strokecolor="#000000">
                <v:path arrowok="t"/>
              </v:shape>
            </v:group>
            <v:group style="position:absolute;left:1833;top:7424;width:684;height:2" coordorigin="1833,7424" coordsize="684,2">
              <v:shape style="position:absolute;left:1833;top:7424;width:684;height:2" coordorigin="1833,7424" coordsize="684,0" path="m1833,7424l2517,7424e" filled="false" stroked="true" strokeweight=".47998pt" strokecolor="#000000">
                <v:path arrowok="t"/>
              </v:shape>
            </v:group>
            <v:group style="position:absolute;left:2526;top:7424;width:653;height:2" coordorigin="2526,7424" coordsize="653,2">
              <v:shape style="position:absolute;left:2526;top:7424;width:653;height:2" coordorigin="2526,7424" coordsize="653,0" path="m2526,7424l3179,7424e" filled="false" stroked="true" strokeweight=".47998pt" strokecolor="#000000">
                <v:path arrowok="t"/>
              </v:shape>
            </v:group>
            <v:group style="position:absolute;left:3189;top:7424;width:652;height:2" coordorigin="3189,7424" coordsize="652,2">
              <v:shape style="position:absolute;left:3189;top:7424;width:652;height:2" coordorigin="3189,7424" coordsize="652,0" path="m3189,7424l3840,7424e" filled="false" stroked="true" strokeweight=".47998pt" strokecolor="#000000">
                <v:path arrowok="t"/>
              </v:shape>
            </v:group>
            <v:group style="position:absolute;left:3850;top:7424;width:653;height:2" coordorigin="3850,7424" coordsize="653,2">
              <v:shape style="position:absolute;left:3850;top:7424;width:653;height:2" coordorigin="3850,7424" coordsize="653,0" path="m3850,7424l4503,7424e" filled="false" stroked="true" strokeweight=".47998pt" strokecolor="#000000">
                <v:path arrowok="t"/>
              </v:shape>
            </v:group>
            <v:group style="position:absolute;left:4512;top:7424;width:654;height:2" coordorigin="4512,7424" coordsize="654,2">
              <v:shape style="position:absolute;left:4512;top:7424;width:654;height:2" coordorigin="4512,7424" coordsize="654,0" path="m4512,7424l5166,7424e" filled="false" stroked="true" strokeweight=".47998pt" strokecolor="#000000">
                <v:path arrowok="t"/>
              </v:shape>
            </v:group>
            <v:group style="position:absolute;left:5175;top:7424;width:648;height:2" coordorigin="5175,7424" coordsize="648,2">
              <v:shape style="position:absolute;left:5175;top:7424;width:648;height:2" coordorigin="5175,7424" coordsize="648,0" path="m5175,7424l5823,7424e" filled="false" stroked="true" strokeweight=".47998pt" strokecolor="#000000">
                <v:path arrowok="t"/>
              </v:shape>
            </v:group>
            <v:group style="position:absolute;left:5833;top:7424;width:646;height:2" coordorigin="5833,7424" coordsize="646,2">
              <v:shape style="position:absolute;left:5833;top:7424;width:646;height:2" coordorigin="5833,7424" coordsize="646,0" path="m5833,7424l6478,7424e" filled="false" stroked="true" strokeweight=".47998pt" strokecolor="#000000">
                <v:path arrowok="t"/>
              </v:shape>
            </v:group>
            <v:group style="position:absolute;left:6488;top:7424;width:648;height:2" coordorigin="6488,7424" coordsize="648,2">
              <v:shape style="position:absolute;left:6488;top:7424;width:648;height:2" coordorigin="6488,7424" coordsize="648,0" path="m6488,7424l7136,7424e" filled="false" stroked="true" strokeweight=".47998pt" strokecolor="#000000">
                <v:path arrowok="t"/>
              </v:shape>
            </v:group>
            <v:group style="position:absolute;left:7146;top:7424;width:620;height:2" coordorigin="7146,7424" coordsize="620,2">
              <v:shape style="position:absolute;left:7146;top:7424;width:620;height:2" coordorigin="7146,7424" coordsize="620,0" path="m7146,7424l7765,7424e" filled="false" stroked="true" strokeweight=".47998pt" strokecolor="#000000">
                <v:path arrowok="t"/>
              </v:shape>
            </v:group>
            <v:group style="position:absolute;left:7774;top:7424;width:730;height:2" coordorigin="7774,7424" coordsize="730,2">
              <v:shape style="position:absolute;left:7774;top:7424;width:730;height:2" coordorigin="7774,7424" coordsize="730,0" path="m7774,7424l8504,7424e" filled="false" stroked="true" strokeweight=".47998pt" strokecolor="#000000">
                <v:path arrowok="t"/>
              </v:shape>
            </v:group>
            <v:group style="position:absolute;left:8514;top:7424;width:725;height:2" coordorigin="8514,7424" coordsize="725,2">
              <v:shape style="position:absolute;left:8514;top:7424;width:725;height:2" coordorigin="8514,7424" coordsize="725,0" path="m8514,7424l9239,7424e" filled="false" stroked="true" strokeweight=".47998pt" strokecolor="#000000">
                <v:path arrowok="t"/>
              </v:shape>
            </v:group>
            <v:group style="position:absolute;left:9248;top:7424;width:724;height:2" coordorigin="9248,7424" coordsize="724,2">
              <v:shape style="position:absolute;left:9248;top:7424;width:724;height:2" coordorigin="9248,7424" coordsize="724,0" path="m9248,7424l9972,7424e" filled="false" stroked="true" strokeweight=".47998pt" strokecolor="#000000">
                <v:path arrowok="t"/>
              </v:shape>
            </v:group>
            <v:group style="position:absolute;left:9982;top:7424;width:714;height:2" coordorigin="9982,7424" coordsize="714,2">
              <v:shape style="position:absolute;left:9982;top:7424;width:714;height:2" coordorigin="9982,7424" coordsize="714,0" path="m9982,7424l10696,7424e" filled="false" stroked="true" strokeweight=".47998pt" strokecolor="#000000">
                <v:path arrowok="t"/>
              </v:shape>
            </v:group>
            <v:group style="position:absolute;left:1134;top:1440;width:2;height:13568" coordorigin="1134,1440" coordsize="2,13568">
              <v:shape style="position:absolute;left:1134;top:1440;width:2;height:13568" coordorigin="1134,1440" coordsize="0,13568" path="m1134,1440l1134,15007e" filled="false" stroked="true" strokeweight=".48pt" strokecolor="#000000">
                <v:path arrowok="t"/>
              </v:shape>
            </v:group>
            <v:group style="position:absolute;left:1139;top:15002;width:685;height:2" coordorigin="1139,15002" coordsize="685,2">
              <v:shape style="position:absolute;left:1139;top:15002;width:685;height:2" coordorigin="1139,15002" coordsize="685,0" path="m1139,15002l1823,15002e" filled="false" stroked="true" strokeweight=".47998pt" strokecolor="#000000">
                <v:path arrowok="t"/>
              </v:shape>
            </v:group>
            <v:group style="position:absolute;left:1828;top:1440;width:2;height:13568" coordorigin="1828,1440" coordsize="2,13568">
              <v:shape style="position:absolute;left:1828;top:1440;width:2;height:13568" coordorigin="1828,1440" coordsize="0,13568" path="m1828,1440l1828,15007e" filled="false" stroked="true" strokeweight=".48pt" strokecolor="#000000">
                <v:path arrowok="t"/>
              </v:shape>
            </v:group>
            <v:group style="position:absolute;left:1833;top:15002;width:684;height:2" coordorigin="1833,15002" coordsize="684,2">
              <v:shape style="position:absolute;left:1833;top:15002;width:684;height:2" coordorigin="1833,15002" coordsize="684,0" path="m1833,15002l2517,15002e" filled="false" stroked="true" strokeweight=".47998pt" strokecolor="#000000">
                <v:path arrowok="t"/>
              </v:shape>
            </v:group>
            <v:group style="position:absolute;left:2522;top:1440;width:2;height:13568" coordorigin="2522,1440" coordsize="2,13568">
              <v:shape style="position:absolute;left:2522;top:1440;width:2;height:13568" coordorigin="2522,1440" coordsize="0,13568" path="m2522,1440l2522,15007e" filled="false" stroked="true" strokeweight=".48pt" strokecolor="#000000">
                <v:path arrowok="t"/>
              </v:shape>
            </v:group>
            <v:group style="position:absolute;left:2526;top:15002;width:653;height:2" coordorigin="2526,15002" coordsize="653,2">
              <v:shape style="position:absolute;left:2526;top:15002;width:653;height:2" coordorigin="2526,15002" coordsize="653,0" path="m2526,15002l3179,15002e" filled="false" stroked="true" strokeweight=".47998pt" strokecolor="#000000">
                <v:path arrowok="t"/>
              </v:shape>
            </v:group>
            <v:group style="position:absolute;left:3184;top:1440;width:2;height:13568" coordorigin="3184,1440" coordsize="2,13568">
              <v:shape style="position:absolute;left:3184;top:1440;width:2;height:13568" coordorigin="3184,1440" coordsize="0,13568" path="m3184,1440l3184,15007e" filled="false" stroked="true" strokeweight=".48001pt" strokecolor="#000000">
                <v:path arrowok="t"/>
              </v:shape>
            </v:group>
            <v:group style="position:absolute;left:3189;top:15002;width:652;height:2" coordorigin="3189,15002" coordsize="652,2">
              <v:shape style="position:absolute;left:3189;top:15002;width:652;height:2" coordorigin="3189,15002" coordsize="652,0" path="m3189,15002l3840,15002e" filled="false" stroked="true" strokeweight=".47998pt" strokecolor="#000000">
                <v:path arrowok="t"/>
              </v:shape>
            </v:group>
            <v:group style="position:absolute;left:3845;top:1440;width:2;height:13568" coordorigin="3845,1440" coordsize="2,13568">
              <v:shape style="position:absolute;left:3845;top:1440;width:2;height:13568" coordorigin="3845,1440" coordsize="0,13568" path="m3845,1440l3845,15007e" filled="false" stroked="true" strokeweight=".48001pt" strokecolor="#000000">
                <v:path arrowok="t"/>
              </v:shape>
            </v:group>
            <v:group style="position:absolute;left:3850;top:15002;width:653;height:2" coordorigin="3850,15002" coordsize="653,2">
              <v:shape style="position:absolute;left:3850;top:15002;width:653;height:2" coordorigin="3850,15002" coordsize="653,0" path="m3850,15002l4503,15002e" filled="false" stroked="true" strokeweight=".47998pt" strokecolor="#000000">
                <v:path arrowok="t"/>
              </v:shape>
            </v:group>
            <v:group style="position:absolute;left:4508;top:1440;width:2;height:13568" coordorigin="4508,1440" coordsize="2,13568">
              <v:shape style="position:absolute;left:4508;top:1440;width:2;height:13568" coordorigin="4508,1440" coordsize="0,13568" path="m4508,1440l4508,15007e" filled="false" stroked="true" strokeweight=".48pt" strokecolor="#000000">
                <v:path arrowok="t"/>
              </v:shape>
            </v:group>
            <v:group style="position:absolute;left:4512;top:15002;width:654;height:2" coordorigin="4512,15002" coordsize="654,2">
              <v:shape style="position:absolute;left:4512;top:15002;width:654;height:2" coordorigin="4512,15002" coordsize="654,0" path="m4512,15002l5166,15002e" filled="false" stroked="true" strokeweight=".47998pt" strokecolor="#000000">
                <v:path arrowok="t"/>
              </v:shape>
            </v:group>
            <v:group style="position:absolute;left:5170;top:1440;width:2;height:13568" coordorigin="5170,1440" coordsize="2,13568">
              <v:shape style="position:absolute;left:5170;top:1440;width:2;height:13568" coordorigin="5170,1440" coordsize="0,13568" path="m5170,1440l5170,15007e" filled="false" stroked="true" strokeweight=".47998pt" strokecolor="#000000">
                <v:path arrowok="t"/>
              </v:shape>
            </v:group>
            <v:group style="position:absolute;left:5175;top:15002;width:648;height:2" coordorigin="5175,15002" coordsize="648,2">
              <v:shape style="position:absolute;left:5175;top:15002;width:648;height:2" coordorigin="5175,15002" coordsize="648,0" path="m5175,15002l5823,15002e" filled="false" stroked="true" strokeweight=".47998pt" strokecolor="#000000">
                <v:path arrowok="t"/>
              </v:shape>
            </v:group>
            <v:group style="position:absolute;left:5828;top:1440;width:2;height:13568" coordorigin="5828,1440" coordsize="2,13568">
              <v:shape style="position:absolute;left:5828;top:1440;width:2;height:13568" coordorigin="5828,1440" coordsize="0,13568" path="m5828,1440l5828,15007e" filled="false" stroked="true" strokeweight=".47998pt" strokecolor="#000000">
                <v:path arrowok="t"/>
              </v:shape>
            </v:group>
            <v:group style="position:absolute;left:5833;top:15002;width:646;height:2" coordorigin="5833,15002" coordsize="646,2">
              <v:shape style="position:absolute;left:5833;top:15002;width:646;height:2" coordorigin="5833,15002" coordsize="646,0" path="m5833,15002l6478,15002e" filled="false" stroked="true" strokeweight=".47998pt" strokecolor="#000000">
                <v:path arrowok="t"/>
              </v:shape>
            </v:group>
            <v:group style="position:absolute;left:6483;top:1440;width:2;height:13568" coordorigin="6483,1440" coordsize="2,13568">
              <v:shape style="position:absolute;left:6483;top:1440;width:2;height:13568" coordorigin="6483,1440" coordsize="0,13568" path="m6483,1440l6483,15007e" filled="false" stroked="true" strokeweight=".48001pt" strokecolor="#000000">
                <v:path arrowok="t"/>
              </v:shape>
            </v:group>
            <v:group style="position:absolute;left:6488;top:15002;width:648;height:2" coordorigin="6488,15002" coordsize="648,2">
              <v:shape style="position:absolute;left:6488;top:15002;width:648;height:2" coordorigin="6488,15002" coordsize="648,0" path="m6488,15002l7136,15002e" filled="false" stroked="true" strokeweight=".47998pt" strokecolor="#000000">
                <v:path arrowok="t"/>
              </v:shape>
            </v:group>
            <v:group style="position:absolute;left:7141;top:1440;width:2;height:13568" coordorigin="7141,1440" coordsize="2,13568">
              <v:shape style="position:absolute;left:7141;top:1440;width:2;height:13568" coordorigin="7141,1440" coordsize="0,13568" path="m7141,1440l7141,15007e" filled="false" stroked="true" strokeweight=".48001pt" strokecolor="#000000">
                <v:path arrowok="t"/>
              </v:shape>
            </v:group>
            <v:group style="position:absolute;left:7146;top:15002;width:620;height:2" coordorigin="7146,15002" coordsize="620,2">
              <v:shape style="position:absolute;left:7146;top:15002;width:620;height:2" coordorigin="7146,15002" coordsize="620,0" path="m7146,15002l7765,15002e" filled="false" stroked="true" strokeweight=".47998pt" strokecolor="#000000">
                <v:path arrowok="t"/>
              </v:shape>
            </v:group>
            <v:group style="position:absolute;left:7770;top:1440;width:2;height:13568" coordorigin="7770,1440" coordsize="2,13568">
              <v:shape style="position:absolute;left:7770;top:1440;width:2;height:13568" coordorigin="7770,1440" coordsize="0,13568" path="m7770,1440l7770,15007e" filled="false" stroked="true" strokeweight=".48001pt" strokecolor="#000000">
                <v:path arrowok="t"/>
              </v:shape>
            </v:group>
            <v:group style="position:absolute;left:7774;top:15002;width:730;height:2" coordorigin="7774,15002" coordsize="730,2">
              <v:shape style="position:absolute;left:7774;top:15002;width:730;height:2" coordorigin="7774,15002" coordsize="730,0" path="m7774,15002l8504,15002e" filled="false" stroked="true" strokeweight=".47998pt" strokecolor="#000000">
                <v:path arrowok="t"/>
              </v:shape>
            </v:group>
            <v:group style="position:absolute;left:8509;top:1440;width:2;height:13568" coordorigin="8509,1440" coordsize="2,13568">
              <v:shape style="position:absolute;left:8509;top:1440;width:2;height:13568" coordorigin="8509,1440" coordsize="0,13568" path="m8509,1440l8509,15007e" filled="false" stroked="true" strokeweight=".47998pt" strokecolor="#000000">
                <v:path arrowok="t"/>
              </v:shape>
            </v:group>
            <v:group style="position:absolute;left:8514;top:15002;width:725;height:2" coordorigin="8514,15002" coordsize="725,2">
              <v:shape style="position:absolute;left:8514;top:15002;width:725;height:2" coordorigin="8514,15002" coordsize="725,0" path="m8514,15002l9239,15002e" filled="false" stroked="true" strokeweight=".47998pt" strokecolor="#000000">
                <v:path arrowok="t"/>
              </v:shape>
            </v:group>
            <v:group style="position:absolute;left:9244;top:1440;width:2;height:13568" coordorigin="9244,1440" coordsize="2,13568">
              <v:shape style="position:absolute;left:9244;top:1440;width:2;height:13568" coordorigin="9244,1440" coordsize="0,13568" path="m9244,1440l9244,15007e" filled="false" stroked="true" strokeweight=".47998pt" strokecolor="#000000">
                <v:path arrowok="t"/>
              </v:shape>
            </v:group>
            <v:group style="position:absolute;left:9248;top:15002;width:724;height:2" coordorigin="9248,15002" coordsize="724,2">
              <v:shape style="position:absolute;left:9248;top:15002;width:724;height:2" coordorigin="9248,15002" coordsize="724,0" path="m9248,15002l9972,15002e" filled="false" stroked="true" strokeweight=".47998pt" strokecolor="#000000">
                <v:path arrowok="t"/>
              </v:shape>
            </v:group>
            <v:group style="position:absolute;left:9977;top:1440;width:2;height:13568" coordorigin="9977,1440" coordsize="2,13568">
              <v:shape style="position:absolute;left:9977;top:1440;width:2;height:13568" coordorigin="9977,1440" coordsize="0,13568" path="m9977,1440l9977,15007e" filled="false" stroked="true" strokeweight=".48001pt" strokecolor="#000000">
                <v:path arrowok="t"/>
              </v:shape>
            </v:group>
            <v:group style="position:absolute;left:9982;top:15002;width:714;height:2" coordorigin="9982,15002" coordsize="714,2">
              <v:shape style="position:absolute;left:9982;top:15002;width:714;height:2" coordorigin="9982,15002" coordsize="714,0" path="m9982,15002l10696,15002e" filled="false" stroked="true" strokeweight=".47998pt" strokecolor="#000000">
                <v:path arrowok="t"/>
              </v:shape>
            </v:group>
            <v:group style="position:absolute;left:10700;top:1440;width:2;height:13568" coordorigin="10700,1440" coordsize="2,13568">
              <v:shape style="position:absolute;left:10700;top:1440;width:2;height:13568" coordorigin="10700,1440" coordsize="0,13568" path="m10700,1440l10700,15007e" filled="false" stroked="true" strokeweight=".48004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BodyText"/>
        <w:spacing w:line="316" w:lineRule="auto"/>
        <w:ind w:left="181" w:right="0"/>
        <w:jc w:val="both"/>
      </w:pPr>
      <w:r>
        <w:rPr/>
        <w:t>深圳前 海乐寻 坊区块 链科技 有限公 司</w:t>
      </w:r>
    </w:p>
    <w:p>
      <w:pPr>
        <w:pStyle w:val="BodyText"/>
        <w:spacing w:line="316" w:lineRule="auto" w:before="109"/>
        <w:ind w:left="115" w:right="312"/>
        <w:jc w:val="left"/>
      </w:pPr>
      <w:r>
        <w:rPr/>
        <w:br w:type="column"/>
      </w:r>
      <w:r>
        <w:rPr/>
        <w:t>区块链 技术开 </w:t>
      </w:r>
      <w:r>
        <w:rPr>
          <w:spacing w:val="-21"/>
        </w:rPr>
        <w:t>发；从事</w:t>
      </w:r>
      <w:r>
        <w:rPr/>
        <w:t> 信息科 技领域 内的技 术开发、 技术咨 </w:t>
      </w:r>
      <w:r>
        <w:rPr>
          <w:spacing w:val="-21"/>
        </w:rPr>
        <w:t>询、技术</w:t>
      </w:r>
      <w:r>
        <w:rPr/>
        <w:t> </w:t>
      </w:r>
      <w:r>
        <w:rPr>
          <w:spacing w:val="-21"/>
        </w:rPr>
        <w:t>转让、技</w:t>
      </w:r>
      <w:r>
        <w:rPr/>
        <w:t> 术服务；</w:t>
      </w:r>
    </w:p>
    <w:p>
      <w:pPr>
        <w:pStyle w:val="BodyText"/>
        <w:spacing w:line="196" w:lineRule="exact" w:before="19"/>
        <w:ind w:left="115" w:right="-20"/>
        <w:jc w:val="left"/>
      </w:pPr>
      <w:r>
        <w:rPr/>
        <w:t>计算机</w:t>
      </w:r>
    </w:p>
    <w:p>
      <w:pPr>
        <w:pStyle w:val="BodyText"/>
        <w:spacing w:line="156" w:lineRule="exact"/>
        <w:ind w:left="0" w:right="0"/>
        <w:jc w:val="right"/>
      </w:pPr>
      <w:r>
        <w:rPr/>
        <w:t>新设</w:t>
      </w:r>
    </w:p>
    <w:p>
      <w:pPr>
        <w:pStyle w:val="BodyText"/>
        <w:spacing w:line="195" w:lineRule="exact"/>
        <w:ind w:left="115" w:right="-20"/>
        <w:jc w:val="left"/>
      </w:pPr>
      <w:r>
        <w:rPr/>
        <w:t>软硬件</w:t>
      </w:r>
    </w:p>
    <w:p>
      <w:pPr>
        <w:pStyle w:val="BodyText"/>
        <w:spacing w:line="319" w:lineRule="auto" w:before="76"/>
        <w:ind w:left="115" w:right="396"/>
        <w:jc w:val="left"/>
      </w:pPr>
      <w:r>
        <w:rPr/>
        <w:t>和技术 </w:t>
      </w:r>
      <w:r>
        <w:rPr>
          <w:spacing w:val="-21"/>
        </w:rPr>
        <w:t>培训；人</w:t>
      </w:r>
      <w:r>
        <w:rPr/>
        <w:t> 才活动 平台开 发运营 及活动 </w:t>
      </w:r>
      <w:r>
        <w:rPr>
          <w:spacing w:val="-21"/>
        </w:rPr>
        <w:t>策划；经</w:t>
      </w:r>
      <w:r>
        <w:rPr/>
        <w:t> 营电子 </w:t>
      </w:r>
      <w:r>
        <w:rPr>
          <w:spacing w:val="-21"/>
        </w:rPr>
        <w:t>商务；从</w:t>
      </w:r>
      <w:r>
        <w:rPr/>
        <w:t> 事广告 业务。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181" w:right="0"/>
        <w:jc w:val="center"/>
        <w:rPr>
          <w:rFonts w:ascii="Times New Roman" w:hAnsi="Times New Roman" w:cs="Times New Roman" w:eastAsia="Times New Roman" w:hint="default"/>
        </w:rPr>
      </w:pPr>
      <w:r>
        <w:rPr>
          <w:rFonts w:ascii="Times New Roman"/>
        </w:rPr>
        <w:t>2,000,0</w:t>
      </w:r>
    </w:p>
    <w:p>
      <w:pPr>
        <w:pStyle w:val="BodyText"/>
        <w:spacing w:line="240" w:lineRule="auto" w:before="105"/>
        <w:ind w:left="317" w:right="0"/>
        <w:jc w:val="center"/>
        <w:rPr>
          <w:rFonts w:ascii="Times New Roman" w:hAnsi="Times New Roman" w:cs="Times New Roman" w:eastAsia="Times New Roman" w:hint="default"/>
        </w:rPr>
      </w:pPr>
      <w:r>
        <w:rPr>
          <w:rFonts w:ascii="Times New Roman"/>
        </w:rPr>
        <w:t>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9"/>
          <w:szCs w:val="19"/>
        </w:rPr>
      </w:pPr>
    </w:p>
    <w:p>
      <w:pPr>
        <w:pStyle w:val="BodyText"/>
        <w:spacing w:line="240" w:lineRule="auto"/>
        <w:ind w:left="125" w:right="-19"/>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10"/>
        </w:rPr>
        <w:t> </w:t>
      </w:r>
      <w:r>
        <w:rPr/>
        <w:t>自有资</w:t>
      </w:r>
    </w:p>
    <w:p>
      <w:pPr>
        <w:pStyle w:val="BodyText"/>
        <w:spacing w:line="240" w:lineRule="auto" w:before="63"/>
        <w:ind w:left="470" w:right="-1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tabs>
          <w:tab w:pos="740" w:val="left" w:leader="none"/>
          <w:tab w:pos="1395" w:val="left" w:leader="none"/>
          <w:tab w:pos="2311" w:val="left" w:leader="none"/>
        </w:tabs>
        <w:spacing w:line="240" w:lineRule="auto"/>
        <w:ind w:left="82" w:right="-20"/>
        <w:jc w:val="left"/>
        <w:rPr>
          <w:rFonts w:ascii="Times New Roman" w:hAnsi="Times New Roman" w:cs="Times New Roman" w:eastAsia="Times New Roman" w:hint="default"/>
        </w:rPr>
      </w:pPr>
      <w:r>
        <w:rPr/>
        <w:t>无</w:t>
        <w:tab/>
        <w:t>长期</w:t>
        <w:tab/>
        <w:t>股权</w:t>
      </w:r>
      <w:r>
        <w:rPr>
          <w:rFonts w:ascii="Times New Roman" w:hAnsi="Times New Roman" w:cs="Times New Roman" w:eastAsia="Times New Roman" w:hint="default"/>
        </w:rPr>
        <w:tab/>
        <w:t>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pStyle w:val="BodyText"/>
        <w:spacing w:line="162" w:lineRule="exact"/>
        <w:ind w:left="98" w:right="0"/>
        <w:jc w:val="left"/>
        <w:rPr>
          <w:rFonts w:ascii="Times New Roman" w:hAnsi="Times New Roman" w:cs="Times New Roman" w:eastAsia="Times New Roman" w:hint="default"/>
        </w:rPr>
      </w:pPr>
      <w:r>
        <w:rPr>
          <w:rFonts w:ascii="Times New Roman"/>
        </w:rPr>
        <w:t>-83,047.</w:t>
      </w:r>
    </w:p>
    <w:p>
      <w:pPr>
        <w:pStyle w:val="BodyText"/>
        <w:spacing w:line="170" w:lineRule="exact"/>
        <w:ind w:left="0" w:right="0"/>
        <w:jc w:val="right"/>
      </w:pPr>
      <w:r>
        <w:rPr/>
        <w:t>否</w:t>
      </w:r>
    </w:p>
    <w:p>
      <w:pPr>
        <w:pStyle w:val="BodyText"/>
        <w:spacing w:line="187" w:lineRule="exact"/>
        <w:ind w:left="518" w:right="0"/>
        <w:jc w:val="left"/>
        <w:rPr>
          <w:rFonts w:ascii="Times New Roman" w:hAnsi="Times New Roman" w:cs="Times New Roman" w:eastAsia="Times New Roman" w:hint="default"/>
        </w:rPr>
      </w:pPr>
      <w:r>
        <w:rPr>
          <w:rFonts w:ascii="Times New Roman"/>
        </w:rPr>
        <w:t>99</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4"/>
          <w:szCs w:val="24"/>
        </w:rPr>
      </w:pPr>
    </w:p>
    <w:p>
      <w:pPr>
        <w:pStyle w:val="BodyText"/>
        <w:spacing w:line="240" w:lineRule="auto"/>
        <w:ind w:left="181" w:right="-19"/>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p>
    <w:p>
      <w:pPr>
        <w:pStyle w:val="BodyText"/>
        <w:spacing w:line="240" w:lineRule="auto" w:before="61"/>
        <w:ind w:left="181" w:right="-19"/>
        <w:jc w:val="left"/>
        <w:rPr>
          <w:rFonts w:ascii="Times New Roman" w:hAnsi="Times New Roman" w:cs="Times New Roman" w:eastAsia="Times New Roman" w:hint="default"/>
        </w:rPr>
      </w:pPr>
      <w:r>
        <w:rPr>
          <w:rFonts w:ascii="Times New Roman" w:hAnsi="Times New Roman" w:cs="Times New Roman" w:eastAsia="Times New Roman" w:hint="default"/>
        </w:rPr>
        <w:t>06 </w:t>
      </w:r>
      <w:r>
        <w:rPr/>
        <w:t>月</w:t>
      </w:r>
      <w:r>
        <w:rPr>
          <w:spacing w:val="-47"/>
        </w:rPr>
        <w:t> </w:t>
      </w:r>
      <w:r>
        <w:rPr>
          <w:rFonts w:ascii="Times New Roman" w:hAnsi="Times New Roman" w:cs="Times New Roman" w:eastAsia="Times New Roman" w:hint="default"/>
        </w:rPr>
        <w:t>27</w:t>
      </w:r>
    </w:p>
    <w:p>
      <w:pPr>
        <w:pStyle w:val="BodyText"/>
        <w:spacing w:line="240" w:lineRule="auto" w:before="64"/>
        <w:ind w:left="181" w:right="-19"/>
        <w:jc w:val="left"/>
      </w:pP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62" w:lineRule="auto" w:before="127"/>
        <w:ind w:left="65" w:right="1221"/>
        <w:jc w:val="left"/>
        <w:rPr>
          <w:rFonts w:ascii="Times New Roman" w:hAnsi="Times New Roman" w:cs="Times New Roman" w:eastAsia="Times New Roman" w:hint="default"/>
        </w:rPr>
      </w:pPr>
      <w:hyperlink r:id="rId12">
        <w:r>
          <w:rPr>
            <w:rFonts w:ascii="Times New Roman"/>
          </w:rPr>
          <w:t>http://w</w:t>
        </w:r>
      </w:hyperlink>
      <w:r>
        <w:rPr>
          <w:rFonts w:ascii="Times New Roman"/>
        </w:rPr>
        <w:t> </w:t>
      </w:r>
      <w:r>
        <w:rPr>
          <w:rFonts w:ascii="Times New Roman"/>
          <w:spacing w:val="-2"/>
        </w:rPr>
        <w:t>ww.cninf</w:t>
      </w:r>
      <w:r>
        <w:rPr>
          <w:rFonts w:ascii="Times New Roman"/>
          <w:spacing w:val="-43"/>
        </w:rPr>
        <w:t> </w:t>
      </w:r>
      <w:r>
        <w:rPr>
          <w:rFonts w:ascii="Times New Roman"/>
          <w:spacing w:val="-43"/>
        </w:rPr>
      </w:r>
      <w:r>
        <w:rPr>
          <w:rFonts w:ascii="Times New Roman"/>
        </w:rPr>
        <w:t>o.com.cn</w:t>
      </w:r>
    </w:p>
    <w:p>
      <w:pPr>
        <w:spacing w:after="0" w:line="362" w:lineRule="auto"/>
        <w:jc w:val="left"/>
        <w:rPr>
          <w:rFonts w:ascii="Times New Roman" w:hAnsi="Times New Roman" w:cs="Times New Roman" w:eastAsia="Times New Roman" w:hint="default"/>
        </w:rPr>
        <w:sectPr>
          <w:type w:val="continuous"/>
          <w:pgSz w:w="11910" w:h="16840"/>
          <w:pgMar w:top="1060" w:bottom="1160" w:left="980" w:right="0"/>
          <w:cols w:num="8" w:equalWidth="0">
            <w:col w:w="722" w:space="40"/>
            <w:col w:w="1168" w:space="186"/>
            <w:col w:w="723" w:space="40"/>
            <w:col w:w="1217" w:space="40"/>
            <w:col w:w="2627" w:space="40"/>
            <w:col w:w="936" w:space="372"/>
            <w:col w:w="811" w:space="40"/>
            <w:col w:w="1968"/>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94"/>
        <w:gridCol w:w="694"/>
        <w:gridCol w:w="662"/>
        <w:gridCol w:w="662"/>
        <w:gridCol w:w="662"/>
        <w:gridCol w:w="663"/>
        <w:gridCol w:w="658"/>
        <w:gridCol w:w="655"/>
        <w:gridCol w:w="658"/>
        <w:gridCol w:w="629"/>
        <w:gridCol w:w="740"/>
        <w:gridCol w:w="734"/>
        <w:gridCol w:w="733"/>
        <w:gridCol w:w="724"/>
      </w:tblGrid>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27,469,</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565.00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30,238.0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42,747.05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9,051.29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41,650.58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1,096.47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金存放于 募集资金 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42,747.05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9,051.29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41,650.58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1,096.47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9"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840 </w:t>
            </w:r>
            <w:r>
              <w:rPr>
                <w:rFonts w:ascii="宋体" w:hAnsi="宋体" w:cs="宋体" w:eastAsia="宋体" w:hint="default"/>
                <w:sz w:val="18"/>
                <w:szCs w:val="18"/>
              </w:rPr>
              <w:t>号文</w:t>
            </w:r>
            <w:r>
              <w:rPr>
                <w:rFonts w:ascii="Times New Roman" w:hAnsi="Times New Roman" w:cs="Times New Roman" w:eastAsia="Times New Roman" w:hint="default"/>
                <w:sz w:val="18"/>
                <w:szCs w:val="18"/>
              </w:rPr>
              <w:t>"</w:t>
            </w:r>
            <w:r>
              <w:rPr>
                <w:rFonts w:ascii="宋体" w:hAnsi="宋体" w:cs="宋体" w:eastAsia="宋体" w:hint="default"/>
                <w:sz w:val="18"/>
                <w:szCs w:val="18"/>
              </w:rPr>
              <w:t>核准，公司首次向社会公众公开发行人民币普通股（</w:t>
            </w:r>
            <w:r>
              <w:rPr>
                <w:rFonts w:ascii="Times New Roman" w:hAnsi="Times New Roman" w:cs="Times New Roman" w:eastAsia="Times New Roman" w:hint="default"/>
                <w:sz w:val="18"/>
                <w:szCs w:val="18"/>
              </w:rPr>
              <w:t>A</w:t>
            </w:r>
            <w:r>
              <w:rPr>
                <w:rFonts w:ascii="宋体" w:hAnsi="宋体" w:cs="宋体" w:eastAsia="宋体" w:hint="default"/>
                <w:sz w:val="18"/>
                <w:szCs w:val="18"/>
              </w:rPr>
              <w:t>）股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2,500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万股，每股发行价格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元，扣除发行费用后公司实际募集资金净额为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42,747.05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募投项目已累计投入募集资金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41,650.58</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万元，募集资金余额为</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1,096.47</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万元（不考虑银行手续费和利息）。募集资金实际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投资项目与首发招股说明书承诺一致，不存在变更募集资金使用用途的情况。</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
        <w:gridCol w:w="722"/>
        <w:gridCol w:w="720"/>
        <w:gridCol w:w="722"/>
        <w:gridCol w:w="721"/>
        <w:gridCol w:w="721"/>
        <w:gridCol w:w="723"/>
        <w:gridCol w:w="722"/>
        <w:gridCol w:w="721"/>
        <w:gridCol w:w="722"/>
      </w:tblGrid>
      <w:tr>
        <w:trPr>
          <w:trHeight w:val="10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61" w:right="93"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55" w:right="54" w:firstLine="30"/>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86" w:right="83"/>
              <w:jc w:val="both"/>
              <w:rPr>
                <w:rFonts w:ascii="宋体" w:hAnsi="宋体" w:cs="宋体" w:eastAsia="宋体" w:hint="default"/>
                <w:sz w:val="18"/>
                <w:szCs w:val="18"/>
              </w:rPr>
            </w:pPr>
            <w:r>
              <w:rPr>
                <w:rFonts w:ascii="宋体" w:hAnsi="宋体" w:cs="宋体" w:eastAsia="宋体" w:hint="default"/>
                <w:sz w:val="18"/>
                <w:szCs w:val="18"/>
              </w:rPr>
              <w:t>募集资 金承诺 投资总</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85" w:right="85"/>
              <w:jc w:val="both"/>
              <w:rPr>
                <w:rFonts w:ascii="宋体" w:hAnsi="宋体" w:cs="宋体" w:eastAsia="宋体" w:hint="default"/>
                <w:sz w:val="18"/>
                <w:szCs w:val="18"/>
              </w:rPr>
            </w:pPr>
            <w:r>
              <w:rPr>
                <w:rFonts w:ascii="宋体" w:hAnsi="宋体" w:cs="宋体" w:eastAsia="宋体" w:hint="default"/>
                <w:sz w:val="18"/>
                <w:szCs w:val="18"/>
              </w:rPr>
              <w:t>截至期 末累计 投入金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86" w:right="83"/>
              <w:jc w:val="both"/>
              <w:rPr>
                <w:rFonts w:ascii="宋体" w:hAnsi="宋体" w:cs="宋体" w:eastAsia="宋体" w:hint="default"/>
                <w:sz w:val="18"/>
                <w:szCs w:val="18"/>
              </w:rPr>
            </w:pPr>
            <w:r>
              <w:rPr>
                <w:rFonts w:ascii="宋体" w:hAnsi="宋体" w:cs="宋体" w:eastAsia="宋体" w:hint="default"/>
                <w:sz w:val="18"/>
                <w:szCs w:val="18"/>
              </w:rPr>
              <w:t>项目达 到预定 可使用</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85"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85" w:right="85"/>
              <w:jc w:val="both"/>
              <w:rPr>
                <w:rFonts w:ascii="宋体" w:hAnsi="宋体" w:cs="宋体" w:eastAsia="宋体" w:hint="default"/>
                <w:sz w:val="18"/>
                <w:szCs w:val="18"/>
              </w:rPr>
            </w:pPr>
            <w:r>
              <w:rPr>
                <w:rFonts w:ascii="宋体" w:hAnsi="宋体" w:cs="宋体" w:eastAsia="宋体" w:hint="default"/>
                <w:sz w:val="18"/>
                <w:szCs w:val="18"/>
              </w:rPr>
              <w:t>截止报 告期末 累计实</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85" w:right="85"/>
              <w:jc w:val="both"/>
              <w:rPr>
                <w:rFonts w:ascii="宋体" w:hAnsi="宋体" w:cs="宋体" w:eastAsia="宋体" w:hint="default"/>
                <w:sz w:val="18"/>
                <w:szCs w:val="18"/>
              </w:rPr>
            </w:pPr>
            <w:r>
              <w:rPr>
                <w:rFonts w:ascii="宋体" w:hAnsi="宋体" w:cs="宋体" w:eastAsia="宋体" w:hint="default"/>
                <w:sz w:val="18"/>
                <w:szCs w:val="18"/>
              </w:rPr>
              <w:t>项目可 行性是 否发生</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67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66" w:right="83" w:hanging="180"/>
              <w:jc w:val="left"/>
              <w:rPr>
                <w:rFonts w:ascii="宋体" w:hAnsi="宋体" w:cs="宋体" w:eastAsia="宋体" w:hint="default"/>
                <w:sz w:val="18"/>
                <w:szCs w:val="18"/>
              </w:rPr>
            </w:pPr>
            <w:r>
              <w:rPr>
                <w:rFonts w:ascii="宋体" w:hAnsi="宋体" w:cs="宋体" w:eastAsia="宋体" w:hint="default"/>
                <w:sz w:val="18"/>
                <w:szCs w:val="18"/>
              </w:rPr>
              <w:t>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65" w:right="85" w:hanging="180"/>
              <w:jc w:val="left"/>
              <w:rPr>
                <w:rFonts w:ascii="宋体" w:hAnsi="宋体" w:cs="宋体" w:eastAsia="宋体" w:hint="default"/>
                <w:sz w:val="18"/>
                <w:szCs w:val="18"/>
              </w:rPr>
            </w:pPr>
            <w:r>
              <w:rPr>
                <w:rFonts w:ascii="宋体" w:hAnsi="宋体" w:cs="宋体" w:eastAsia="宋体" w:hint="default"/>
                <w:sz w:val="18"/>
                <w:szCs w:val="18"/>
              </w:rPr>
              <w:t>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65" w:right="85" w:hanging="180"/>
              <w:jc w:val="left"/>
              <w:rPr>
                <w:rFonts w:ascii="宋体" w:hAnsi="宋体" w:cs="宋体" w:eastAsia="宋体" w:hint="default"/>
                <w:sz w:val="18"/>
                <w:szCs w:val="18"/>
              </w:rPr>
            </w:pPr>
            <w:r>
              <w:rPr>
                <w:rFonts w:ascii="宋体" w:hAnsi="宋体" w:cs="宋体" w:eastAsia="宋体" w:hint="default"/>
                <w:sz w:val="18"/>
                <w:szCs w:val="18"/>
              </w:rPr>
              <w:t>重大变 化</w:t>
            </w:r>
          </w:p>
        </w:tc>
      </w:tr>
      <w:tr>
        <w:trPr>
          <w:trHeight w:val="402" w:hRule="exact"/>
        </w:trPr>
        <w:tc>
          <w:tcPr>
            <w:tcW w:w="95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银行软件技术服务 交付中心建设项目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13,272.5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5,025.21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12,176.0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91.74%</w:t>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5,417.56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5,417.56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522.11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5,417.56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新一代银行核心业 务系统建设项目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6,823.09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6,823.09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343.39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6,823.09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普惠金融云服务中 心建设项目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11,714.0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11,714.0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3,160.58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11,714.0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银行移动应用平台 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5,519.85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5,519.85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5,519.85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42,747.0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42,747.0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9,051.29</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41,650.5</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8</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
        </w:tc>
        <w:tc>
          <w:tcPr>
            <w:tcW w:w="722" w:type="dxa"/>
            <w:vMerge w:val="restart"/>
            <w:tcBorders>
              <w:top w:val="single" w:sz="4" w:space="0" w:color="000000"/>
              <w:left w:val="single" w:sz="4" w:space="0" w:color="000000"/>
              <w:right w:val="single" w:sz="9" w:space="0" w:color="D2D2D2"/>
            </w:tcBorders>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42,747.0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42,747.0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9,051.29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41,650.5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635"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FFFFFF"/>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日第二届董事会第四次会议决议和广东正中珠江会计师事务所（特殊普 </w:t>
            </w:r>
            <w:r>
              <w:rPr>
                <w:rFonts w:ascii="宋体" w:hAnsi="宋体" w:cs="宋体" w:eastAsia="宋体" w:hint="default"/>
                <w:spacing w:val="-2"/>
                <w:sz w:val="18"/>
                <w:szCs w:val="18"/>
              </w:rPr>
              <w:t>通合伙）出具的广会专字</w:t>
            </w:r>
            <w:r>
              <w:rPr>
                <w:rFonts w:ascii="Times New Roman" w:hAnsi="Times New Roman" w:cs="Times New Roman" w:eastAsia="Times New Roman" w:hint="default"/>
                <w:spacing w:val="-2"/>
                <w:sz w:val="18"/>
                <w:szCs w:val="18"/>
              </w:rPr>
              <w:t>[2015]G13800020379</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号《以自筹资金预先投入募集资金投资项目的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鉴证报告》，公司以募集资金人民币</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52,755,099.50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元置换先期投入募集资金投资项目的自筹</w:t>
            </w:r>
            <w:r>
              <w:rPr>
                <w:rFonts w:ascii="宋体" w:hAnsi="宋体" w:cs="宋体" w:eastAsia="宋体" w:hint="default"/>
                <w:spacing w:val="-87"/>
                <w:sz w:val="18"/>
                <w:szCs w:val="18"/>
              </w:rPr>
              <w:t> </w:t>
            </w:r>
            <w:r>
              <w:rPr>
                <w:rFonts w:ascii="宋体" w:hAnsi="宋体" w:cs="宋体" w:eastAsia="宋体" w:hint="default"/>
                <w:sz w:val="18"/>
                <w:szCs w:val="18"/>
              </w:rPr>
              <w:t>资金。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67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60"/>
              <w:jc w:val="left"/>
              <w:rPr>
                <w:rFonts w:ascii="宋体" w:hAnsi="宋体" w:cs="宋体" w:eastAsia="宋体" w:hint="default"/>
                <w:sz w:val="18"/>
                <w:szCs w:val="18"/>
              </w:rPr>
            </w:pPr>
            <w:r>
              <w:rPr>
                <w:rFonts w:ascii="宋体" w:hAnsi="宋体" w:cs="宋体" w:eastAsia="宋体" w:hint="default"/>
                <w:sz w:val="18"/>
                <w:szCs w:val="18"/>
              </w:rPr>
              <w:t>时补充流动资金情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尚未使用的募集资金存放于募集资金专用账户</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公司报告期内无应当披露的重要控股参股公司信息。</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88" w:firstLine="373"/>
        <w:jc w:val="both"/>
      </w:pPr>
      <w:r>
        <w:rPr/>
        <w:t>全球金融机构正进入全新的发展时期，银行业从</w:t>
      </w:r>
      <w:r>
        <w:rPr>
          <w:rFonts w:ascii="Times New Roman" w:hAnsi="Times New Roman" w:cs="Times New Roman" w:eastAsia="Times New Roman" w:hint="default"/>
        </w:rPr>
        <w:t>3.0</w:t>
      </w:r>
      <w:r>
        <w:rPr/>
        <w:t>时代迈向以体验式银行服务为核心的智能银行</w:t>
      </w:r>
      <w:r>
        <w:rPr>
          <w:rFonts w:ascii="Times New Roman" w:hAnsi="Times New Roman" w:cs="Times New Roman" w:eastAsia="Times New Roman" w:hint="default"/>
        </w:rPr>
        <w:t>4.0</w:t>
      </w:r>
      <w:r>
        <w:rPr/>
        <w:t>时代。金融服务将 嵌入到人们生产生活的各个方面，并朝着智能化方向演进，</w:t>
      </w:r>
      <w:r>
        <w:rPr>
          <w:rFonts w:ascii="Times New Roman" w:hAnsi="Times New Roman" w:cs="Times New Roman" w:eastAsia="Times New Roman" w:hint="default"/>
        </w:rPr>
        <w:t>“</w:t>
      </w:r>
      <w:r>
        <w:rPr/>
        <w:t>银行即服务</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场景在前，金融在后</w:t>
      </w:r>
      <w:r>
        <w:rPr>
          <w:rFonts w:ascii="Times New Roman" w:hAnsi="Times New Roman" w:cs="Times New Roman" w:eastAsia="Times New Roman" w:hint="default"/>
        </w:rPr>
        <w:t>”</w:t>
      </w:r>
      <w:r>
        <w:rPr/>
        <w:t>的模式将逐渐成为主流。 金融科技行业面临巨大的挑战，但也迎来前所未有的发展机遇。</w:t>
      </w:r>
    </w:p>
    <w:p>
      <w:pPr>
        <w:pStyle w:val="BodyText"/>
        <w:spacing w:line="316" w:lineRule="auto" w:before="31"/>
        <w:ind w:right="1136" w:firstLine="373"/>
        <w:jc w:val="both"/>
      </w:pPr>
      <w:r>
        <w:rPr/>
        <w:t>公司将把握金融科技的发展趋势，坚持积极投入分布式、区块链、云计算、大数据、人工智能等科技在金融领域应用 的创新研发与合作，逐步实现产品</w:t>
      </w:r>
      <w:r>
        <w:rPr>
          <w:rFonts w:ascii="Times New Roman" w:hAnsi="Times New Roman" w:cs="Times New Roman" w:eastAsia="Times New Roman" w:hint="default"/>
        </w:rPr>
        <w:t>+</w:t>
      </w:r>
      <w:r>
        <w:rPr/>
        <w:t>服务、平台</w:t>
      </w:r>
      <w:r>
        <w:rPr>
          <w:rFonts w:ascii="Times New Roman" w:hAnsi="Times New Roman" w:cs="Times New Roman" w:eastAsia="Times New Roman" w:hint="default"/>
        </w:rPr>
        <w:t>+</w:t>
      </w:r>
      <w:r>
        <w:rPr/>
        <w:t>服务的业务升级；公司将立足于区块链底层研发，整合安全、移动、前端</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131"/>
        <w:jc w:val="both"/>
      </w:pPr>
      <w:r>
        <w:rPr>
          <w:spacing w:val="-2"/>
        </w:rPr>
        <w:t>等技术团队，积极开展对外的技术交流与合作，研发基于区块链的新型业务运营平台，结合大数据、人工智能等技术建立新</w:t>
      </w:r>
      <w:r>
        <w:rPr>
          <w:spacing w:val="-65"/>
        </w:rPr>
        <w:t> </w:t>
      </w:r>
      <w:r>
        <w:rPr>
          <w:spacing w:val="-65"/>
        </w:rPr>
      </w:r>
      <w:r>
        <w:rPr>
          <w:spacing w:val="-2"/>
        </w:rPr>
        <w:t>型业务生态圈，逐步建立公司自有品牌的运营业务；积极投入金融级分布式</w:t>
      </w:r>
      <w:r>
        <w:rPr>
          <w:rFonts w:ascii="Times New Roman" w:hAnsi="Times New Roman" w:cs="Times New Roman" w:eastAsia="Times New Roman" w:hint="default"/>
          <w:spacing w:val="-2"/>
        </w:rPr>
        <w:t>PaaS</w:t>
      </w:r>
      <w:r>
        <w:rPr>
          <w:spacing w:val="-2"/>
        </w:rPr>
        <w:t>平台研发、通过容器化微服务框架组件来构</w:t>
      </w:r>
      <w:r>
        <w:rPr>
          <w:spacing w:val="-63"/>
        </w:rPr>
        <w:t> </w:t>
      </w:r>
      <w:r>
        <w:rPr>
          <w:spacing w:val="-63"/>
        </w:rPr>
      </w:r>
      <w:r>
        <w:rPr>
          <w:spacing w:val="-2"/>
        </w:rPr>
        <w:t>建具备面向开放式银行业务能力的解决方案，并且在云服务领域与行业领先企业展开合作，积极拓展海外市场，为全球金融</w:t>
      </w:r>
      <w:r>
        <w:rPr>
          <w:spacing w:val="-66"/>
        </w:rPr>
        <w:t> </w:t>
      </w:r>
      <w:r>
        <w:rPr>
          <w:spacing w:val="-66"/>
        </w:rPr>
      </w:r>
      <w:r>
        <w:rPr/>
        <w:t>机构客户的持续发展注入新动力。</w:t>
      </w:r>
    </w:p>
    <w:p>
      <w:pPr>
        <w:pStyle w:val="BodyText"/>
        <w:spacing w:line="316" w:lineRule="auto" w:before="63"/>
        <w:ind w:right="0" w:firstLine="362"/>
        <w:jc w:val="left"/>
      </w:pPr>
      <w:r>
        <w:rPr>
          <w:spacing w:val="-2"/>
        </w:rPr>
        <w:t>展望未来，公司将坚持以人为本，技术引领，做好主营业务；围绕创新驱动，谋求业务持续升级转型；将坚持全球化布</w:t>
      </w:r>
      <w:r>
        <w:rPr/>
        <w:t> 局与创新驱动战略，为客户提供更简单、更敏捷、更安全的产品与解决方案，成为海内外金融机构不可或缺的合作伙伴。</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39996pt;margin-top:645.779968pt;width:290.95pt;height:20.8pt;mso-position-horizontal-relative:page;mso-position-vertical-relative:page;z-index:-1206064" coordorigin="4857,12916" coordsize="5819,416">
            <v:group style="position:absolute;left:4868;top:12927;width:2;height:393" coordorigin="4868,12927" coordsize="2,393">
              <v:shape style="position:absolute;left:4868;top:12927;width:2;height:393" coordorigin="4868,12927" coordsize="0,393" path="m4868,12927l4868,13320e" filled="false" stroked="true" strokeweight="1.160pt" strokecolor="#ffffff">
                <v:path arrowok="t"/>
              </v:shape>
            </v:group>
            <v:group style="position:absolute;left:4880;top:12927;width:5796;height:393" coordorigin="4880,12927" coordsize="5796,393">
              <v:shape style="position:absolute;left:4880;top:12927;width:5796;height:393" coordorigin="4880,12927" coordsize="5796,393" path="m4880,13320l10675,13320,10675,12927,4880,12927,4880,13320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7"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534" w:right="1118" w:hanging="3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w:t>
      </w:r>
      <w:r>
        <w:rPr>
          <w:spacing w:val="-1"/>
        </w:rPr>
        <w:t>日召开第三届董事会第二次会议以及</w:t>
      </w:r>
      <w:r>
        <w:rPr>
          <w:rFonts w:ascii="Times New Roman" w:hAnsi="Times New Roman" w:cs="Times New Roman" w:eastAsia="Times New Roman" w:hint="default"/>
          <w:spacing w:val="-1"/>
        </w:rPr>
        <w:t>2017</w:t>
      </w:r>
      <w:r>
        <w:rPr>
          <w:spacing w:val="-1"/>
        </w:rPr>
        <w:t>年度股东大会审议通过了《关于审议</w:t>
      </w:r>
      <w:r>
        <w:rPr>
          <w:rFonts w:ascii="Times New Roman" w:hAnsi="Times New Roman" w:cs="Times New Roman" w:eastAsia="Times New Roman" w:hint="default"/>
          <w:spacing w:val="-1"/>
        </w:rPr>
        <w:t>2017</w:t>
      </w:r>
      <w:r>
        <w:rPr>
          <w:spacing w:val="-1"/>
        </w:rPr>
        <w:t>年度利润分配及</w:t>
      </w:r>
    </w:p>
    <w:p>
      <w:pPr>
        <w:pStyle w:val="BodyText"/>
        <w:spacing w:line="230" w:lineRule="exact"/>
        <w:ind w:right="0"/>
        <w:jc w:val="both"/>
        <w:rPr>
          <w:rFonts w:ascii="Times New Roman" w:hAnsi="Times New Roman" w:cs="Times New Roman" w:eastAsia="Times New Roman" w:hint="default"/>
        </w:rPr>
      </w:pPr>
      <w:r>
        <w:rPr/>
        <w:t>资本公积金转增股本预案的议案》，以公司总股本</w:t>
      </w:r>
      <w:r>
        <w:rPr>
          <w:rFonts w:ascii="Times New Roman" w:hAnsi="Times New Roman" w:cs="Times New Roman" w:eastAsia="Times New Roman" w:hint="default"/>
        </w:rPr>
        <w:t>10,816.155</w:t>
      </w:r>
      <w:r>
        <w:rPr/>
        <w:t>万股为基数，拟向全体股东分配共计现金人民币</w:t>
      </w:r>
      <w:r>
        <w:rPr>
          <w:rFonts w:ascii="Times New Roman" w:hAnsi="Times New Roman" w:cs="Times New Roman" w:eastAsia="Times New Roman" w:hint="default"/>
        </w:rPr>
        <w:t>27,040,387.50</w:t>
      </w:r>
    </w:p>
    <w:p>
      <w:pPr>
        <w:pStyle w:val="BodyText"/>
        <w:spacing w:line="300" w:lineRule="auto" w:before="63"/>
        <w:ind w:right="1139"/>
        <w:jc w:val="both"/>
      </w:pPr>
      <w:r>
        <w:rPr/>
        <w:t>元，即每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2.50</w:t>
      </w:r>
      <w:r>
        <w:rPr/>
        <w:t>元人民币（含税）；同时拟以股本溢价形成的资本公积金向全体股东每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股，共计 转增</w:t>
      </w:r>
      <w:r>
        <w:rPr>
          <w:rFonts w:ascii="Times New Roman" w:hAnsi="Times New Roman" w:cs="Times New Roman" w:eastAsia="Times New Roman" w:hint="default"/>
        </w:rPr>
        <w:t>8,652.9240</w:t>
      </w:r>
      <w:r>
        <w:rPr/>
        <w:t>万股，转增后公司总股本为</w:t>
      </w:r>
      <w:r>
        <w:rPr>
          <w:rFonts w:ascii="Times New Roman" w:hAnsi="Times New Roman" w:cs="Times New Roman" w:eastAsia="Times New Roman" w:hint="default"/>
        </w:rPr>
        <w:t>19,469.0790</w:t>
      </w:r>
      <w:r>
        <w:rPr/>
        <w:t>万股。本次利润分配不送红股，剩余未分配利润结转入下一年度。董 事会审议利润分配预案后至权益分派实施公告确定的股权登记日前公司股本发生变动的，将按照</w:t>
      </w:r>
      <w:r>
        <w:rPr>
          <w:rFonts w:ascii="Times New Roman" w:hAnsi="Times New Roman" w:cs="Times New Roman" w:eastAsia="Times New Roman" w:hint="default"/>
        </w:rPr>
        <w:t>“</w:t>
      </w:r>
      <w:r>
        <w:rPr/>
        <w:t>现金分红总额、转增股本 总额固定不变</w:t>
      </w:r>
      <w:r>
        <w:rPr>
          <w:rFonts w:ascii="Times New Roman" w:hAnsi="Times New Roman" w:cs="Times New Roman" w:eastAsia="Times New Roman" w:hint="default"/>
        </w:rPr>
        <w:t>”</w:t>
      </w:r>
      <w:r>
        <w:rPr/>
        <w:t>的原则对分配比例进行调整。</w:t>
      </w:r>
      <w:r>
        <w:rPr>
          <w:spacing w:val="-19"/>
        </w:rPr>
        <w:t> </w:t>
      </w:r>
      <w:r>
        <w:rPr/>
        <w:t>根据</w:t>
      </w:r>
      <w:r>
        <w:rPr>
          <w:rFonts w:ascii="Times New Roman" w:hAnsi="Times New Roman" w:cs="Times New Roman" w:eastAsia="Times New Roman" w:hint="default"/>
        </w:rPr>
        <w:t>2017</w:t>
      </w:r>
      <w:r>
        <w:rPr/>
        <w:t>年度股东大会决议，该利润分配方案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日已实施完毕。</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3"/>
        <w:ind w:right="0"/>
        <w:jc w:val="left"/>
      </w:pPr>
      <w:r>
        <w:rPr/>
        <w:t>公司报告期利润分配预案及资本公积金转增股本预案与公司章程和分红管理办法等的相关规定一致</w:t>
      </w:r>
    </w:p>
    <w:p>
      <w:pPr>
        <w:pStyle w:val="BodyText"/>
        <w:spacing w:line="348" w:lineRule="auto" w:before="117"/>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194,220,862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29,133,129.30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tabs>
                <w:tab w:pos="5503" w:val="left" w:leader="none"/>
              </w:tabs>
              <w:spacing w:line="240" w:lineRule="auto" w:before="51"/>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307,667,769.39</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44"/>
        <w:ind w:left="0" w:right="1141"/>
        <w:jc w:val="right"/>
      </w:pPr>
      <w:r>
        <w:rPr/>
        <w:pict>
          <v:shape style="position:absolute;margin-left:56.459999pt;margin-top:-72.26828pt;width:479.2pt;height:17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586"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50"/>
                          <w:jc w:val="left"/>
                          <w:rPr>
                            <w:rFonts w:ascii="宋体" w:hAnsi="宋体" w:cs="宋体" w:eastAsia="宋体" w:hint="default"/>
                            <w:sz w:val="18"/>
                            <w:szCs w:val="18"/>
                          </w:rPr>
                        </w:pPr>
                        <w:r>
                          <w:rPr>
                            <w:rFonts w:ascii="宋体" w:hAnsi="宋体" w:cs="宋体" w:eastAsia="宋体" w:hint="default"/>
                            <w:sz w:val="18"/>
                            <w:szCs w:val="18"/>
                          </w:rPr>
                          <w:t>经广东正中珠江会计师事务所（特殊普通合伙）审计，截止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日的未分配利润总计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307,667,769.39 </w:t>
                        </w:r>
                        <w:r>
                          <w:rPr>
                            <w:rFonts w:ascii="宋体" w:hAnsi="宋体" w:cs="宋体" w:eastAsia="宋体" w:hint="default"/>
                            <w:sz w:val="18"/>
                            <w:szCs w:val="18"/>
                          </w:rPr>
                          <w:t>元，</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报告期末资本公积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595,996,446.74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元，根据公司实际状况和未来可持续协调发展的需求，并根据中国证监会鼓励企业现金 </w:t>
                        </w:r>
                        <w:r>
                          <w:rPr>
                            <w:rFonts w:ascii="宋体" w:hAnsi="宋体" w:cs="宋体" w:eastAsia="宋体" w:hint="default"/>
                            <w:spacing w:val="-3"/>
                            <w:sz w:val="18"/>
                            <w:szCs w:val="18"/>
                          </w:rPr>
                          <w:t>分红的指导意见，在符合利润分配原则、保证公司正常经营和长远发展的前提下，更好地兼顾股东的即期利益和长远利益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根据《公司法》及《公司章程》的相关规定，现拟定如下利润分配及资本公积金转增股本预案：以截止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p>
                        <w:pPr>
                          <w:pStyle w:val="TableParagraph"/>
                          <w:spacing w:line="312"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194,220,862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股为基数，拟向全体股东分配共计现金人民币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29,133,129.30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元，即每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w:t>
                        </w:r>
                        <w:r>
                          <w:rPr>
                            <w:rFonts w:ascii="宋体" w:hAnsi="宋体" w:cs="宋体" w:eastAsia="宋体" w:hint="default"/>
                            <w:spacing w:val="-2"/>
                            <w:sz w:val="18"/>
                            <w:szCs w:val="18"/>
                          </w:rPr>
                          <w:t>人民币（含税）。本次利润分配不送红股，剩余未分配利润结转入下一年度。董事会审议利润分配预案后至权分派实施公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告确定的股权登记日前公司股本发生变动的，将按照分配总额不变的原则对分配比例进行调整。该利润分配方案尚需提交</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319" w:lineRule="auto" w:before="44"/>
        <w:ind w:right="1167"/>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年度以公司总股本</w:t>
      </w:r>
      <w:r>
        <w:rPr>
          <w:rFonts w:ascii="Times New Roman" w:hAnsi="Times New Roman" w:cs="Times New Roman" w:eastAsia="Times New Roman" w:hint="default"/>
        </w:rPr>
        <w:t>105,409,700</w:t>
      </w:r>
      <w:r>
        <w:rPr/>
        <w:t>股为基数，拟向全体股东分配共计现金人民币</w:t>
      </w:r>
      <w:r>
        <w:rPr>
          <w:rFonts w:ascii="Times New Roman" w:hAnsi="Times New Roman" w:cs="Times New Roman" w:eastAsia="Times New Roman" w:hint="default"/>
        </w:rPr>
        <w:t>26,352,425.00</w:t>
      </w:r>
      <w:r>
        <w:rPr/>
        <w:t>元，即每</w:t>
      </w:r>
      <w:r>
        <w:rPr>
          <w:rFonts w:ascii="Times New Roman" w:hAnsi="Times New Roman" w:cs="Times New Roman" w:eastAsia="Times New Roman" w:hint="default"/>
        </w:rPr>
        <w:t>10</w:t>
      </w:r>
      <w:r>
        <w:rPr/>
        <w:t>股派发现金股 利</w:t>
      </w:r>
      <w:r>
        <w:rPr>
          <w:rFonts w:ascii="Times New Roman" w:hAnsi="Times New Roman" w:cs="Times New Roman" w:eastAsia="Times New Roman" w:hint="default"/>
        </w:rPr>
        <w:t>2.5</w:t>
      </w:r>
      <w:r>
        <w:rPr/>
        <w:t>元人民币（含税）；送红股</w:t>
      </w:r>
      <w:r>
        <w:rPr>
          <w:rFonts w:ascii="Times New Roman" w:hAnsi="Times New Roman" w:cs="Times New Roman" w:eastAsia="Times New Roman" w:hint="default"/>
        </w:rPr>
        <w:t>0</w:t>
      </w:r>
      <w:r>
        <w:rPr/>
        <w:t>股（含税），以资本公积金向全体股东每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0</w:t>
      </w:r>
      <w:r>
        <w:rPr/>
        <w:t>股。</w:t>
      </w:r>
    </w:p>
    <w:p>
      <w:pPr>
        <w:pStyle w:val="BodyText"/>
        <w:spacing w:line="300" w:lineRule="auto" w:before="38"/>
        <w:ind w:right="113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10,816.155</w:t>
      </w:r>
      <w:r>
        <w:rPr/>
        <w:t>万股为基数，拟向全体股东分配共计现金人民币</w:t>
      </w:r>
      <w:r>
        <w:rPr>
          <w:rFonts w:ascii="Times New Roman" w:hAnsi="Times New Roman" w:cs="Times New Roman" w:eastAsia="Times New Roman" w:hint="default"/>
        </w:rPr>
        <w:t>27,040,387.50</w:t>
      </w:r>
      <w:r>
        <w:rPr/>
        <w:t>元， 即每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2.50</w:t>
      </w:r>
      <w:r>
        <w:rPr/>
        <w:t>元人民币（含税）；同时拟以股本溢价形成的资本公积金向全体股东每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股，共计转增 </w:t>
      </w:r>
      <w:r>
        <w:rPr>
          <w:rFonts w:ascii="Times New Roman" w:hAnsi="Times New Roman" w:cs="Times New Roman" w:eastAsia="Times New Roman" w:hint="default"/>
        </w:rPr>
        <w:t>8,652.9240</w:t>
      </w:r>
      <w:r>
        <w:rPr/>
        <w:t>万股，转增后公司总股本为</w:t>
      </w:r>
      <w:r>
        <w:rPr>
          <w:rFonts w:ascii="Times New Roman" w:hAnsi="Times New Roman" w:cs="Times New Roman" w:eastAsia="Times New Roman" w:hint="default"/>
        </w:rPr>
        <w:t>19,469.0790</w:t>
      </w:r>
      <w:r>
        <w:rPr/>
        <w:t>万股。本次利润分配不送红股，剩余未分配利润结转入下一年度。董事会 审议利润分配预案后至权益分派实施公告确定的股权登记日前公司股本发生变动的，将按照</w:t>
      </w:r>
      <w:r>
        <w:rPr>
          <w:rFonts w:ascii="Times New Roman" w:hAnsi="Times New Roman" w:cs="Times New Roman" w:eastAsia="Times New Roman" w:hint="default"/>
        </w:rPr>
        <w:t>“</w:t>
      </w:r>
      <w:r>
        <w:rPr/>
        <w:t>现金分红总额、转增股本总额 固定不变</w:t>
      </w:r>
      <w:r>
        <w:rPr>
          <w:rFonts w:ascii="Times New Roman" w:hAnsi="Times New Roman" w:cs="Times New Roman" w:eastAsia="Times New Roman" w:hint="default"/>
        </w:rPr>
        <w:t>”</w:t>
      </w:r>
      <w:r>
        <w:rPr/>
        <w:t>的原则对分配比例进行调整。根据</w:t>
      </w:r>
      <w:r>
        <w:rPr>
          <w:rFonts w:ascii="Times New Roman" w:hAnsi="Times New Roman" w:cs="Times New Roman" w:eastAsia="Times New Roman" w:hint="default"/>
        </w:rPr>
        <w:t>2017</w:t>
      </w:r>
      <w:r>
        <w:rPr/>
        <w:t>年度股东大会决议，该利润分配方案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日已实施完毕。</w:t>
      </w:r>
    </w:p>
    <w:p>
      <w:pPr>
        <w:pStyle w:val="BodyText"/>
        <w:spacing w:line="307" w:lineRule="auto" w:before="52"/>
        <w:ind w:right="1130"/>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年度以截止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194,220,862</w:t>
      </w:r>
      <w:r>
        <w:rPr>
          <w:spacing w:val="-1"/>
        </w:rPr>
        <w:t>股为基数，拟向全体股东分配共计现金人民币</w:t>
      </w:r>
      <w:r>
        <w:rPr>
          <w:rFonts w:ascii="Times New Roman" w:hAnsi="Times New Roman" w:cs="Times New Roman" w:eastAsia="Times New Roman" w:hint="default"/>
          <w:spacing w:val="-1"/>
        </w:rPr>
        <w:t>29,133,129.30</w:t>
      </w:r>
      <w:r>
        <w:rPr>
          <w:spacing w:val="-1"/>
        </w:rPr>
        <w:t>元，即</w:t>
      </w:r>
      <w:r>
        <w:rPr>
          <w:spacing w:val="-59"/>
        </w:rPr>
        <w:t> </w:t>
      </w:r>
      <w:r>
        <w:rPr>
          <w:spacing w:val="-59"/>
        </w:rPr>
      </w:r>
      <w:r>
        <w:rPr>
          <w:spacing w:val="-1"/>
        </w:rPr>
        <w:t>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1.50</w:t>
      </w:r>
      <w:r>
        <w:rPr>
          <w:spacing w:val="-1"/>
        </w:rPr>
        <w:t>元人民币（含税）。本次利润分配不送红股，剩余未分配利润结转入下一年度。董事会审议利润分</w:t>
      </w:r>
      <w:r>
        <w:rPr>
          <w:spacing w:val="-75"/>
        </w:rPr>
        <w:t> </w:t>
      </w:r>
      <w:r>
        <w:rPr>
          <w:spacing w:val="-75"/>
        </w:rPr>
      </w:r>
      <w:r>
        <w:rPr>
          <w:spacing w:val="-2"/>
        </w:rPr>
        <w:t>配预案后至权分派实施公告确定的股权登记日前公司股本发生变动的，将按照分配总额不变的原则对分配比例进行调整。该</w:t>
      </w:r>
      <w:r>
        <w:rPr>
          <w:spacing w:val="-64"/>
        </w:rPr>
        <w:t> </w:t>
      </w:r>
      <w:r>
        <w:rPr>
          <w:spacing w:val="-64"/>
        </w:rPr>
      </w:r>
      <w:r>
        <w:rPr/>
        <w:t>利润分配方案尚需提交公司</w:t>
      </w:r>
      <w:r>
        <w:rPr>
          <w:rFonts w:ascii="Times New Roman" w:hAnsi="Times New Roman" w:cs="Times New Roman" w:eastAsia="Times New Roman" w:hint="default"/>
        </w:rPr>
        <w:t>2018</w:t>
      </w:r>
      <w:r>
        <w:rPr/>
        <w:t>年度股东大会审议。</w:t>
      </w:r>
    </w:p>
    <w:p>
      <w:pPr>
        <w:pStyle w:val="BodyText"/>
        <w:spacing w:line="240" w:lineRule="auto" w:before="46"/>
        <w:ind w:right="0"/>
        <w:jc w:val="both"/>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6"/>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29,133,129.30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68,804,381.94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29,133,129.30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42.34%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27,040,387.50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88,163,361.56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27,040,387.50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30.67%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26,352,425.00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75,632,809.08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26,352,425.00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34.84%</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977"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59"/>
              <w:ind w:left="17" w:right="21"/>
              <w:jc w:val="left"/>
              <w:rPr>
                <w:rFonts w:ascii="宋体" w:hAnsi="宋体" w:cs="宋体" w:eastAsia="宋体" w:hint="default"/>
                <w:sz w:val="18"/>
                <w:szCs w:val="18"/>
              </w:rPr>
            </w:pPr>
            <w:r>
              <w:rPr>
                <w:rFonts w:ascii="宋体" w:hAnsi="宋体" w:cs="宋体" w:eastAsia="宋体" w:hint="default"/>
                <w:sz w:val="18"/>
                <w:szCs w:val="18"/>
              </w:rPr>
              <w:t>控股股东益 群控股、益威 控股、实际控 制人周志群</w:t>
            </w:r>
            <w:r>
              <w:rPr>
                <w:rFonts w:ascii="Times New Roman" w:hAnsi="Times New Roman" w:cs="Times New Roman" w:eastAsia="Times New Roman" w:hint="default"/>
                <w:sz w:val="18"/>
                <w:szCs w:val="18"/>
              </w:rPr>
              <w:t>; </w:t>
            </w:r>
            <w:r>
              <w:rPr>
                <w:rFonts w:ascii="宋体" w:hAnsi="宋体" w:cs="宋体" w:eastAsia="宋体" w:hint="default"/>
                <w:sz w:val="18"/>
                <w:szCs w:val="18"/>
              </w:rPr>
              <w:t>邓修生</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发行人控股 股东益群控 股、股东益威 控股、实际控 制人周志群、 邓修生：各自 持有的发行 人公开发行 股票前已发 行的股份，除 在发行人首 次公开发行 股票时公开 发售的部分 股份（如有） 外，自公司股 票在证券交 易所上市交 易之日起三 十六个月内， 益群控股和 益威控股不 转让或者委 托他人管理 本人持有的 公司公开发 行股票前已 发行的股份， 也不由公司 回购本人持 有的公司公 开发行股票 前已发行的</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公司上市之 日起三十六 个月内</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977"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周志群、邓修</w:t>
            </w:r>
            <w:r>
              <w:rPr>
                <w:rFonts w:ascii="宋体" w:hAnsi="宋体" w:cs="宋体" w:eastAsia="宋体" w:hint="default"/>
                <w:sz w:val="18"/>
                <w:szCs w:val="18"/>
              </w:rPr>
              <w:t> </w:t>
            </w:r>
            <w:r>
              <w:rPr>
                <w:rFonts w:ascii="宋体" w:hAnsi="宋体" w:cs="宋体" w:eastAsia="宋体" w:hint="default"/>
                <w:spacing w:val="-2"/>
                <w:sz w:val="18"/>
                <w:szCs w:val="18"/>
              </w:rPr>
              <w:t>生、李琳、林</w:t>
            </w:r>
            <w:r>
              <w:rPr>
                <w:rFonts w:ascii="宋体" w:hAnsi="宋体" w:cs="宋体" w:eastAsia="宋体" w:hint="default"/>
                <w:sz w:val="18"/>
                <w:szCs w:val="18"/>
              </w:rPr>
              <w:t> 隆奋、胡行 </w:t>
            </w:r>
            <w:r>
              <w:rPr>
                <w:rFonts w:ascii="宋体" w:hAnsi="宋体" w:cs="宋体" w:eastAsia="宋体" w:hint="default"/>
                <w:spacing w:val="-2"/>
                <w:sz w:val="18"/>
                <w:szCs w:val="18"/>
              </w:rPr>
              <w:t>军、王勇、郑</w:t>
            </w:r>
            <w:r>
              <w:rPr>
                <w:rFonts w:ascii="宋体" w:hAnsi="宋体" w:cs="宋体" w:eastAsia="宋体" w:hint="default"/>
                <w:sz w:val="18"/>
                <w:szCs w:val="18"/>
              </w:rPr>
              <w:t> 登元、黄永 雄、罗川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担任发行人 董事、监事、 高级管理人 员的间接股 东周志群、邓 修生、李琳、 林隆奋、胡行 军、王勇、郑 登元、黄永雄 及罗川承诺： 在其任职期 间每年通过 集中竞价、大 宗交易、协议 转让等方式 转让的股份 不超过其所 持有公司股 份总数的百 分之二十五； 离职后半年 内，不转让其 所持有的公 司股份；其在 首次公开发 行股票上市 之日起六个 月内申报离 职的，自申报 离职之日起 十八个月内 不转让其直 接持有的公 司股份；在首 次公开发行 股票上市之 日起第七个 月至第十二 个月之间申 报离职的，自 申报离职之 日起十二个 月内不转让</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其直接持有 的公司股份。</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07" w:lineRule="auto"/>
              <w:ind w:left="23" w:right="141"/>
              <w:jc w:val="both"/>
              <w:rPr>
                <w:rFonts w:ascii="宋体" w:hAnsi="宋体" w:cs="宋体" w:eastAsia="宋体" w:hint="default"/>
                <w:sz w:val="18"/>
                <w:szCs w:val="18"/>
              </w:rPr>
            </w:pPr>
            <w:r>
              <w:rPr>
                <w:rFonts w:ascii="宋体" w:hAnsi="宋体" w:cs="宋体" w:eastAsia="宋体" w:hint="default"/>
                <w:sz w:val="18"/>
                <w:szCs w:val="18"/>
              </w:rPr>
              <w:t>周志群</w:t>
            </w:r>
            <w:r>
              <w:rPr>
                <w:rFonts w:ascii="Times New Roman" w:hAnsi="Times New Roman" w:cs="Times New Roman" w:eastAsia="Times New Roman" w:hint="default"/>
                <w:sz w:val="18"/>
                <w:szCs w:val="18"/>
              </w:rPr>
              <w:t>;</w:t>
            </w:r>
            <w:r>
              <w:rPr>
                <w:rFonts w:ascii="宋体" w:hAnsi="宋体" w:cs="宋体" w:eastAsia="宋体" w:hint="default"/>
                <w:sz w:val="18"/>
                <w:szCs w:val="18"/>
              </w:rPr>
              <w:t>邓修 生</w:t>
            </w:r>
            <w:r>
              <w:rPr>
                <w:rFonts w:ascii="Times New Roman" w:hAnsi="Times New Roman" w:cs="Times New Roman" w:eastAsia="Times New Roman" w:hint="default"/>
                <w:sz w:val="18"/>
                <w:szCs w:val="18"/>
              </w:rPr>
              <w:t>;</w:t>
            </w:r>
            <w:r>
              <w:rPr>
                <w:rFonts w:ascii="宋体" w:hAnsi="宋体" w:cs="宋体" w:eastAsia="宋体" w:hint="default"/>
                <w:sz w:val="18"/>
                <w:szCs w:val="18"/>
              </w:rPr>
              <w:t>益群集团 控股有限公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益威集团 控股有限公 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为保持对发 行人的共同 控制权和保 障控股股东 及四方精创 的经营管理 具有稳定性， 周志群、邓修 生、益群控 股、益威控股 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309"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日签署 一致行动协 </w:t>
            </w:r>
            <w:r>
              <w:rPr>
                <w:rFonts w:ascii="宋体" w:hAnsi="宋体" w:cs="宋体" w:eastAsia="宋体" w:hint="default"/>
                <w:spacing w:val="-14"/>
                <w:sz w:val="18"/>
                <w:szCs w:val="18"/>
              </w:rPr>
              <w:t>议，并于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16" w:lineRule="auto" w:before="5"/>
              <w:ind w:left="22" w:right="1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签订补充协 议，约定双方 就以下事项 采取一致行 动：</w:t>
            </w:r>
            <w:r>
              <w:rPr>
                <w:rFonts w:ascii="Times New Roman" w:hAnsi="Times New Roman" w:cs="Times New Roman" w:eastAsia="Times New Roman" w:hint="default"/>
                <w:sz w:val="18"/>
                <w:szCs w:val="18"/>
              </w:rPr>
              <w:t>A</w:t>
            </w:r>
            <w:r>
              <w:rPr>
                <w:rFonts w:ascii="宋体" w:hAnsi="宋体" w:cs="宋体" w:eastAsia="宋体" w:hint="default"/>
                <w:sz w:val="18"/>
                <w:szCs w:val="18"/>
              </w:rPr>
              <w:t>、益群 控股和益威 控股作为四 方精创合法 股东在行使 四方精创章 程所规定的 权利和履行 义务时，必须 依照约定保 持一致行动。 </w:t>
            </w:r>
            <w:r>
              <w:rPr>
                <w:rFonts w:ascii="Times New Roman" w:hAnsi="Times New Roman" w:cs="Times New Roman" w:eastAsia="Times New Roman" w:hint="default"/>
                <w:sz w:val="18"/>
                <w:szCs w:val="18"/>
              </w:rPr>
              <w:t>B</w:t>
            </w:r>
            <w:r>
              <w:rPr>
                <w:rFonts w:ascii="宋体" w:hAnsi="宋体" w:cs="宋体" w:eastAsia="宋体" w:hint="default"/>
                <w:sz w:val="18"/>
                <w:szCs w:val="18"/>
              </w:rPr>
              <w:t>、益群控股 和益威控股 任何一方按 照四方精创 章程的规定 向四方精创 的股东大会 提出提案或 临时提案，均 应事先与另 外一方协商 一致；如双方</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5.200012pt;margin-top:72.47998pt;width:61.95pt;height:686.5pt;mso-position-horizontal-relative:page;mso-position-vertical-relative:page;z-index:-12059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3"/>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不能达成一</w:t>
            </w:r>
          </w:p>
        </w:tc>
        <w:tc>
          <w:tcPr>
            <w:tcW w:w="1127" w:type="dxa"/>
            <w:vMerge w:val="restart"/>
            <w:tcBorders>
              <w:top w:val="single" w:sz="4" w:space="0" w:color="000000"/>
              <w:left w:val="single" w:sz="4" w:space="0" w:color="000000"/>
              <w:right w:val="single" w:sz="4" w:space="0" w:color="000000"/>
            </w:tcBorders>
          </w:tcPr>
          <w:p>
            <w:pPr>
              <w:pStyle w:val="TableParagraph"/>
              <w:spacing w:line="13729"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致意见，则需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取得益群控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股和益威控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股所持四方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精创股份的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三分之二以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上（含三分之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二）多数同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意；如无法取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得益群控股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和益威控股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所持股份的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三分之二以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上多数的同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意，则该方不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得向四方精</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创股东大会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提出提案或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临时提案。</w:t>
            </w:r>
            <w:r>
              <w:rPr>
                <w:rFonts w:ascii="Times New Roman" w:hAnsi="Times New Roman" w:cs="Times New Roman" w:eastAsia="Times New Roman" w:hint="default"/>
                <w:spacing w:val="-7"/>
                <w:sz w:val="18"/>
                <w:szCs w:val="18"/>
              </w:rPr>
              <w:t>C</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益群控股和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益威控股应</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在四方精创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开日两日前，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就股东大会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审议事项的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表决情况协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调一致，并严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格按协调一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致的立场行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使其表决权；</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如益群控股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和益威控股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不能对决议</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事项达成一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致意见，则益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群控股和益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威控股必须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根据益群控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股和益威控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股所持四方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精创股份的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三分之二以</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5.200012pt;margin-top:72.47998pt;width:61.95pt;height:672.9pt;mso-position-horizontal-relative:page;mso-position-vertical-relative:page;z-index:-12059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46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上（含三分之 二）多数的意 见行使表决 权；如果无法 形成益群控 股和益威控 股所持股份 的三分之二 以上多数的 意见，则益群 控股和益威 控股均必须 按本协议各 方中当时最 多数股权所 代表的意见 行使表决权。 </w:t>
            </w:r>
            <w:r>
              <w:rPr>
                <w:rFonts w:ascii="Times New Roman" w:hAnsi="Times New Roman" w:cs="Times New Roman" w:eastAsia="Times New Roman" w:hint="default"/>
                <w:sz w:val="18"/>
                <w:szCs w:val="18"/>
              </w:rPr>
              <w:t>D</w:t>
            </w:r>
            <w:r>
              <w:rPr>
                <w:rFonts w:ascii="宋体" w:hAnsi="宋体" w:cs="宋体" w:eastAsia="宋体" w:hint="default"/>
                <w:sz w:val="18"/>
                <w:szCs w:val="18"/>
              </w:rPr>
              <w:t>、周志群和 邓修生同时 作为四方精 创的董事，在 其担任董事 期间在董事 会相关决策 过程中应当 确保采取一 致行动，行使 </w:t>
            </w:r>
            <w:r>
              <w:rPr>
                <w:rFonts w:ascii="宋体" w:hAnsi="宋体" w:cs="宋体" w:eastAsia="宋体" w:hint="default"/>
                <w:spacing w:val="-5"/>
                <w:sz w:val="18"/>
                <w:szCs w:val="18"/>
              </w:rPr>
              <w:t>董事权利。</w:t>
            </w:r>
            <w:r>
              <w:rPr>
                <w:rFonts w:ascii="Times New Roman" w:hAnsi="Times New Roman" w:cs="Times New Roman" w:eastAsia="Times New Roman" w:hint="default"/>
                <w:spacing w:val="-5"/>
                <w:sz w:val="18"/>
                <w:szCs w:val="18"/>
              </w:rPr>
              <w:t>E</w:t>
            </w:r>
            <w:r>
              <w:rPr>
                <w:rFonts w:ascii="Times New Roman" w:hAnsi="Times New Roman" w:cs="Times New Roman" w:eastAsia="Times New Roman" w:hint="default"/>
                <w:sz w:val="18"/>
                <w:szCs w:val="18"/>
              </w:rPr>
              <w:t> </w:t>
            </w:r>
            <w:r>
              <w:rPr>
                <w:rFonts w:ascii="宋体" w:hAnsi="宋体" w:cs="宋体" w:eastAsia="宋体" w:hint="default"/>
                <w:sz w:val="18"/>
                <w:szCs w:val="18"/>
              </w:rPr>
              <w:t>周志群和邓 修生在其作 为四方精创 董事期间，任 何一方按照 四方精创章 程的规定向 四方精创的 董事会提出 提案或临时 提案，均应事 先与另外一 方协商一致， 以保持双方 的一致行动。</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3458"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8"/>
                <w:sz w:val="20"/>
                <w:szCs w:val="20"/>
              </w:rPr>
              <w:pict>
                <v:group style="width:55.8pt;height:672.9pt;mso-position-horizontal-relative:char;mso-position-vertical-relative:line" coordorigin="0,0" coordsize="1116,13458">
                  <v:group style="position:absolute;left:0;top:0;width:1116;height:13458" coordorigin="0,0" coordsize="1116,13458">
                    <v:shape style="position:absolute;left:0;top:0;width:1116;height:13458" coordorigin="0,0" coordsize="1116,13458" path="m0,13458l1116,13458,1116,0,0,0,0,13458xe" filled="true" fillcolor="#ffffff" stroked="false">
                      <v:path arrowok="t"/>
                      <v:fill type="solid"/>
                    </v:shape>
                  </v:group>
                </v:group>
              </w:pict>
            </w:r>
            <w:r>
              <w:rPr>
                <w:rFonts w:ascii="Times New Roman" w:hAnsi="Times New Roman" w:cs="Times New Roman" w:eastAsia="Times New Roman" w:hint="default"/>
                <w:position w:val="-268"/>
                <w:sz w:val="20"/>
                <w:szCs w:val="20"/>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深圳四方精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本次募集</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2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90"/>
              <w:jc w:val="left"/>
              <w:rPr>
                <w:rFonts w:ascii="宋体" w:hAnsi="宋体" w:cs="宋体" w:eastAsia="宋体" w:hint="default"/>
                <w:sz w:val="18"/>
                <w:szCs w:val="18"/>
              </w:rPr>
            </w:pPr>
            <w:r>
              <w:rPr>
                <w:rFonts w:ascii="宋体" w:hAnsi="宋体" w:cs="宋体" w:eastAsia="宋体" w:hint="default"/>
                <w:sz w:val="18"/>
                <w:szCs w:val="18"/>
              </w:rPr>
              <w:t>创资讯股份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资金投资项 目所需资金 拟全部由本 次公开发行 股票的募集 资金投入解 决。本次股票 发行募集资 金到位后，公 司将采用专 款专用、专户 存储的方式 来管理募集 资金，按以上 排列顺序及 项目投资计 划投入资金。 若本次发行 实际募集资 金不能满足 上述全部项 目投资需要， 资金缺口通 过公司自筹 资金或银行 贷款解决；如 果本次发行 及上市募集 资金到位时 间与资金需 求的时间要 求不一致，公 司可根据实 际情况以自 有资金或银 行借款先行 投入，待募集 资金到位后 予以置换。</w:t>
            </w:r>
            <w:r>
              <w:rPr>
                <w:rFonts w:ascii="Times New Roman" w:hAnsi="Times New Roman" w:cs="Times New Roman" w:eastAsia="Times New Roman" w:hint="default"/>
                <w:sz w:val="18"/>
                <w:szCs w:val="18"/>
              </w:rPr>
              <w:t>"</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3" w:right="190"/>
              <w:jc w:val="both"/>
              <w:rPr>
                <w:rFonts w:ascii="宋体" w:hAnsi="宋体" w:cs="宋体" w:eastAsia="宋体" w:hint="default"/>
                <w:sz w:val="18"/>
                <w:szCs w:val="18"/>
              </w:rPr>
            </w:pPr>
            <w:r>
              <w:rPr>
                <w:rFonts w:ascii="宋体" w:hAnsi="宋体" w:cs="宋体" w:eastAsia="宋体" w:hint="default"/>
                <w:sz w:val="18"/>
                <w:szCs w:val="18"/>
              </w:rPr>
              <w:t>深圳四方精 创资讯股份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公司实施积 极的利润分 </w:t>
            </w:r>
            <w:r>
              <w:rPr>
                <w:rFonts w:ascii="宋体" w:hAnsi="宋体" w:cs="宋体" w:eastAsia="宋体" w:hint="default"/>
                <w:spacing w:val="-2"/>
                <w:sz w:val="18"/>
                <w:szCs w:val="18"/>
              </w:rPr>
              <w:t>配政策，重视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对股东的合 理投资回报</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并兼顾公司</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的可持续发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展，利润分配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政策保持连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续性和稳定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性，健全现金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分红制度。</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）公司可</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以采取现金、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股票或者现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金与股票相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结合的方式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分配股利，并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优先采用现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金分红的方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式分配利润。</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公司每年度</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至少进行一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次利润分配，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可以根据公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司的盈利及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资金需求状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况提议公司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进行中期股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利分配</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公司研究论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证股利分配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政策及利润</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分配方案应</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当充分考虑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事和中小股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东的意见。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）在满足</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本章程规定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的现金分红</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条件的情况</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下，公司应积</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极实施以现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金方式分配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股利。公司在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当年盈利、累</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计未分配利</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润为正且公</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司现金流可</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以满足公司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正常经营和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持续发展的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情况下，如无</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重大投资计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划或重大现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金支出等事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项发生，公司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应当采取现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金方式分配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股利，且每年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以现金方式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分配的利润</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应不低于当</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年实现的可</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分配利润的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w:t>
            </w:r>
            <w:r>
              <w:rPr>
                <w:rFonts w:ascii="宋体" w:hAnsi="宋体" w:cs="宋体" w:eastAsia="宋体" w:hint="default"/>
                <w:spacing w:val="-90"/>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4</w:t>
            </w:r>
            <w:r>
              <w:rPr>
                <w:rFonts w:ascii="宋体" w:hAnsi="宋体" w:cs="宋体" w:eastAsia="宋体" w:hint="default"/>
                <w:w w:val="99"/>
                <w:sz w:val="18"/>
                <w:szCs w:val="18"/>
              </w:rPr>
              <w:t>）在</w:t>
            </w:r>
            <w:r>
              <w:rPr>
                <w:rFonts w:ascii="宋体" w:hAnsi="宋体" w:cs="宋体" w:eastAsia="宋体" w:hint="default"/>
                <w:sz w:val="18"/>
                <w:szCs w:val="18"/>
              </w:rPr>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保证公司股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本规模和股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权结构合理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的前提下，基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于回报投资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者和分享企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业价值的考</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虑，从公司成</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长性、每股净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资产的摊薄、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公司股价与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公司股本规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模的匹配性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等真实合理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因素出发，当</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值处于合理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范围内，公司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可以在满足</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现金股利分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配条件的同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时，制订股票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股利分配方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5"/>
                <w:sz w:val="18"/>
                <w:szCs w:val="18"/>
              </w:rPr>
              <w:t>）</w:t>
            </w:r>
            <w:r>
              <w:rPr>
                <w:rFonts w:ascii="宋体" w:hAnsi="宋体" w:cs="宋体" w:eastAsia="宋体" w:hint="default"/>
                <w:sz w:val="18"/>
                <w:szCs w:val="18"/>
              </w:rPr>
              <w:t>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董事会应在</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定期报告中</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披露利润分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配方案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公司的利润</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分配政策不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得随意变更，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以保持其持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续性和稳定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pacing w:val="-5"/>
                <w:sz w:val="18"/>
                <w:szCs w:val="18"/>
              </w:rPr>
              <w:t>）</w:t>
            </w:r>
            <w:r>
              <w:rPr>
                <w:rFonts w:ascii="宋体" w:hAnsi="宋体" w:cs="宋体" w:eastAsia="宋体" w:hint="default"/>
                <w:sz w:val="18"/>
                <w:szCs w:val="18"/>
              </w:rPr>
              <w:t>股东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违规占用公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司资金情况</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的，公司应当</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扣减该股东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所分配的现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金红利，以偿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还其占用的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w:t>
            </w:r>
            <w:r>
              <w:rPr>
                <w:rFonts w:ascii="Times New Roman" w:hAnsi="Times New Roman" w:cs="Times New Roman" w:eastAsia="Times New Roman" w:hint="default"/>
                <w:sz w:val="18"/>
                <w:szCs w:val="18"/>
              </w:rPr>
              <w:t>2014 ~</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分红回报计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划：公司在当</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年盈利、累计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为正且公司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现金流可以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满足公司正</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常经营和持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续发展的情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况下，如无重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大投资计划</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或重大现金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支出等事项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发生，公司应</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当采取现金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方式分配股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利，且每年以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现金方式分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配的利润应</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不低于当年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实现的可分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配利润的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。在确保</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足额现金股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利分配的前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提下，公司可</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04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以另行增加 股票股利分 配和公积金 转增股本等 </w:t>
            </w:r>
            <w:r>
              <w:rPr>
                <w:rFonts w:ascii="宋体" w:hAnsi="宋体" w:cs="宋体" w:eastAsia="宋体" w:hint="default"/>
                <w:spacing w:val="-2"/>
                <w:sz w:val="18"/>
                <w:szCs w:val="18"/>
              </w:rPr>
              <w:t>方式。关于公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司利润分配 政策及股东 未来分红回 报规划的具 </w:t>
            </w:r>
            <w:r>
              <w:rPr>
                <w:rFonts w:ascii="宋体" w:hAnsi="宋体" w:cs="宋体" w:eastAsia="宋体" w:hint="default"/>
                <w:spacing w:val="-2"/>
                <w:sz w:val="18"/>
                <w:szCs w:val="18"/>
              </w:rPr>
              <w:t>体内容，请详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细参阅本招 股说明书第 九节</w:t>
            </w:r>
            <w:r>
              <w:rPr>
                <w:rFonts w:ascii="Times New Roman" w:hAnsi="Times New Roman" w:cs="Times New Roman" w:eastAsia="Times New Roman" w:hint="default"/>
                <w:sz w:val="18"/>
                <w:szCs w:val="18"/>
              </w:rPr>
              <w:t>"</w:t>
            </w:r>
            <w:r>
              <w:rPr>
                <w:rFonts w:ascii="宋体" w:hAnsi="宋体" w:cs="宋体" w:eastAsia="宋体" w:hint="default"/>
                <w:sz w:val="18"/>
                <w:szCs w:val="18"/>
              </w:rPr>
              <w:t>财务会 计信息与管 理层分析</w:t>
            </w:r>
            <w:r>
              <w:rPr>
                <w:rFonts w:ascii="Times New Roman" w:hAnsi="Times New Roman" w:cs="Times New Roman" w:eastAsia="Times New Roman" w:hint="default"/>
                <w:sz w:val="18"/>
                <w:szCs w:val="18"/>
              </w:rPr>
              <w:t>"</w:t>
            </w:r>
            <w:r>
              <w:rPr>
                <w:rFonts w:ascii="宋体" w:hAnsi="宋体" w:cs="宋体" w:eastAsia="宋体" w:hint="default"/>
                <w:sz w:val="18"/>
                <w:szCs w:val="18"/>
              </w:rPr>
              <w:t>的 相关内容。</w:t>
            </w:r>
            <w:r>
              <w:rPr>
                <w:rFonts w:ascii="Times New Roman" w:hAnsi="Times New Roman" w:cs="Times New Roman" w:eastAsia="Times New Roman" w:hint="default"/>
                <w:sz w:val="18"/>
                <w:szCs w:val="18"/>
              </w:rPr>
              <w:t>"</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48"/>
              <w:ind w:left="23" w:right="141"/>
              <w:jc w:val="both"/>
              <w:rPr>
                <w:rFonts w:ascii="宋体" w:hAnsi="宋体" w:cs="宋体" w:eastAsia="宋体" w:hint="default"/>
                <w:sz w:val="18"/>
                <w:szCs w:val="18"/>
              </w:rPr>
            </w:pPr>
            <w:r>
              <w:rPr>
                <w:rFonts w:ascii="宋体" w:hAnsi="宋体" w:cs="宋体" w:eastAsia="宋体" w:hint="default"/>
                <w:sz w:val="18"/>
                <w:szCs w:val="18"/>
              </w:rPr>
              <w:t>周志群</w:t>
            </w:r>
            <w:r>
              <w:rPr>
                <w:rFonts w:ascii="Times New Roman" w:hAnsi="Times New Roman" w:cs="Times New Roman" w:eastAsia="Times New Roman" w:hint="default"/>
                <w:sz w:val="18"/>
                <w:szCs w:val="18"/>
              </w:rPr>
              <w:t>;</w:t>
            </w:r>
            <w:r>
              <w:rPr>
                <w:rFonts w:ascii="宋体" w:hAnsi="宋体" w:cs="宋体" w:eastAsia="宋体" w:hint="default"/>
                <w:sz w:val="18"/>
                <w:szCs w:val="18"/>
              </w:rPr>
              <w:t>邓修 生</w:t>
            </w:r>
            <w:r>
              <w:rPr>
                <w:rFonts w:ascii="Times New Roman" w:hAnsi="Times New Roman" w:cs="Times New Roman" w:eastAsia="Times New Roman" w:hint="default"/>
                <w:sz w:val="18"/>
                <w:szCs w:val="18"/>
              </w:rPr>
              <w:t>;</w:t>
            </w:r>
            <w:r>
              <w:rPr>
                <w:rFonts w:ascii="宋体" w:hAnsi="宋体" w:cs="宋体" w:eastAsia="宋体" w:hint="default"/>
                <w:sz w:val="18"/>
                <w:szCs w:val="18"/>
              </w:rPr>
              <w:t>益群集团 控股有限公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益威集团 控股有限公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益志集团 控股有限公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精诚资讯 股份有限公 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、实际控制 人的承诺为 避免实际控 制人未来可 能与公司发 生同业竞争， 公司的实际 控制人周志 群先生和邓 修生先生已 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向公司出具 </w:t>
            </w:r>
            <w:r>
              <w:rPr>
                <w:rFonts w:ascii="宋体" w:hAnsi="宋体" w:cs="宋体" w:eastAsia="宋体" w:hint="default"/>
                <w:spacing w:val="-2"/>
                <w:sz w:val="18"/>
                <w:szCs w:val="18"/>
              </w:rPr>
              <w:t>了《避免同业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竞争的承诺 </w:t>
            </w:r>
            <w:r>
              <w:rPr>
                <w:rFonts w:ascii="宋体" w:hAnsi="宋体" w:cs="宋体" w:eastAsia="宋体" w:hint="default"/>
                <w:spacing w:val="-15"/>
                <w:sz w:val="18"/>
                <w:szCs w:val="18"/>
              </w:rPr>
              <w:t>函》，承诺内</w:t>
            </w:r>
            <w:r>
              <w:rPr>
                <w:rFonts w:ascii="宋体" w:hAnsi="宋体" w:cs="宋体" w:eastAsia="宋体" w:hint="default"/>
                <w:sz w:val="18"/>
                <w:szCs w:val="18"/>
              </w:rPr>
              <w:t> </w:t>
            </w:r>
            <w:r>
              <w:rPr>
                <w:rFonts w:ascii="宋体" w:hAnsi="宋体" w:cs="宋体" w:eastAsia="宋体" w:hint="default"/>
                <w:spacing w:val="-2"/>
                <w:sz w:val="18"/>
                <w:szCs w:val="18"/>
              </w:rPr>
              <w:t>容如下：本人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依照中国法 律法规被确 认为四方精 创实际控制 人及关联方 </w:t>
            </w:r>
            <w:r>
              <w:rPr>
                <w:rFonts w:ascii="宋体" w:hAnsi="宋体" w:cs="宋体" w:eastAsia="宋体" w:hint="default"/>
                <w:spacing w:val="-2"/>
                <w:sz w:val="18"/>
                <w:szCs w:val="18"/>
              </w:rPr>
              <w:t>期间，将不会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在中国境内 或境外以任 </w:t>
            </w:r>
            <w:r>
              <w:rPr>
                <w:rFonts w:ascii="宋体" w:hAnsi="宋体" w:cs="宋体" w:eastAsia="宋体" w:hint="default"/>
                <w:spacing w:val="-2"/>
                <w:sz w:val="18"/>
                <w:szCs w:val="18"/>
              </w:rPr>
              <w:t>何方式（包括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但不限于单 </w:t>
            </w:r>
            <w:r>
              <w:rPr>
                <w:rFonts w:ascii="宋体" w:hAnsi="宋体" w:cs="宋体" w:eastAsia="宋体" w:hint="default"/>
                <w:spacing w:val="-2"/>
                <w:sz w:val="18"/>
                <w:szCs w:val="18"/>
              </w:rPr>
              <w:t>独经营、通过</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5.200012pt;margin-top:72.47998pt;width:61.95pt;height:686.5pt;mso-position-horizontal-relative:page;mso-position-vertical-relative:page;z-index:-12058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合资经营或</w:t>
            </w:r>
          </w:p>
        </w:tc>
        <w:tc>
          <w:tcPr>
            <w:tcW w:w="1127" w:type="dxa"/>
            <w:vMerge w:val="restart"/>
            <w:tcBorders>
              <w:top w:val="single" w:sz="4" w:space="0" w:color="000000"/>
              <w:left w:val="single" w:sz="4" w:space="0" w:color="000000"/>
              <w:right w:val="single" w:sz="4" w:space="0" w:color="000000"/>
            </w:tcBorders>
          </w:tcPr>
          <w:p>
            <w:pPr>
              <w:pStyle w:val="TableParagraph"/>
              <w:spacing w:line="13729"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拥有另一公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司或企业的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股权及其它</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权益）直接或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间接从事或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参与任何与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四方精创构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成竞争的任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何业务或活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动，不以任何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方式从事或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参与生产任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何与四方精</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创相同、相似</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或可能取代</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四方精创的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业务活动；本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人如从任何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第三方获得</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的商业机会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与四方精创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经营的业务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有竞争或可</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能有竞争，则</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本公司将立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即通知四方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精创，并将该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商业机会让</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予四方精创；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本人承诺不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利用任何方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式从事影响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或可能影响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四方精创经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营、发展的业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务或活动。</w:t>
            </w:r>
            <w:r>
              <w:rPr>
                <w:rFonts w:ascii="Times New Roman" w:hAnsi="Times New Roman" w:cs="Times New Roman" w:eastAsia="Times New Roman" w:hint="default"/>
                <w:sz w:val="18"/>
                <w:szCs w:val="18"/>
              </w:rPr>
              <w:t>2</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益群控股、益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威控股和益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志控股的承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诺为避免控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股股东未来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可能与公司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发生同业竞</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争，公司的控</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股股东益群</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控股和实际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控制人之一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邓修生先生</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控制的益威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控股以及益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志控股已分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别于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司出具了《避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免同业竞争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的承诺函</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承诺内容如</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下：本公司依</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照中国法律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法规被确认</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为四方精创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关联方期间，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将不会在中</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国境内或境</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外以任何方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式（包括但不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限于单独经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营、通过合资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经营或拥有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另一公司或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企业的股权</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及其它权益）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从事或参与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任何与四方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精创构成竞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争的任何业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务或活动，不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以任何方式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从事或参与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生产任何与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四方精创相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同、相似或可</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能取代四方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精创的业务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活动；本公司</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78.203003pt;margin-top:72.47998pt;width:88.95pt;height:686.5pt;mso-position-horizontal-relative:page;mso-position-vertical-relative:page;z-index:-12058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1"/>
                      <w:szCs w:val="21"/>
                    </w:rPr>
                  </w:pPr>
                </w:p>
                <w:p>
                  <w:pPr>
                    <w:pStyle w:val="BodyText"/>
                    <w:spacing w:line="240" w:lineRule="auto"/>
                    <w:ind w:left="0" w:right="0" w:firstLine="539"/>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7"/>
                      <w:szCs w:val="17"/>
                    </w:rPr>
                  </w:pPr>
                </w:p>
                <w:p>
                  <w:pPr>
                    <w:pStyle w:val="BodyText"/>
                    <w:spacing w:line="240" w:lineRule="auto"/>
                    <w:ind w:left="0" w:right="0"/>
                    <w:jc w:val="left"/>
                  </w:pPr>
                  <w:r>
                    <w:rPr/>
                    <w:t>本公司、</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如从任何第</w:t>
            </w:r>
          </w:p>
        </w:tc>
        <w:tc>
          <w:tcPr>
            <w:tcW w:w="1127" w:type="dxa"/>
            <w:vMerge w:val="restart"/>
            <w:tcBorders>
              <w:top w:val="single" w:sz="4" w:space="0" w:color="000000"/>
              <w:left w:val="single" w:sz="4" w:space="0" w:color="000000"/>
              <w:right w:val="single" w:sz="4" w:space="0" w:color="000000"/>
            </w:tcBorders>
          </w:tcPr>
          <w:p>
            <w:pPr>
              <w:pStyle w:val="TableParagraph"/>
              <w:spacing w:line="13729"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三方获得的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四方精创经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营的业务有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竞争或可能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有竞争，则本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公司将立即</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通知四方精</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创，并将该商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业机会让予</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四方精创；本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公司承诺不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利用任何方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式从事影响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或可能影响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四方精创经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营、发展的业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务或活动。</w:t>
            </w:r>
            <w:r>
              <w:rPr>
                <w:rFonts w:ascii="Times New Roman" w:hAnsi="Times New Roman" w:cs="Times New Roman" w:eastAsia="Times New Roman" w:hint="default"/>
                <w:sz w:val="18"/>
                <w:szCs w:val="18"/>
              </w:rPr>
              <w:t>3</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精诚资讯的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承诺为避免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公司其他主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要股东未来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可能与公司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发生同业竞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争，公司股东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Systex</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Solutions</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的控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股股东精诚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资讯已于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日向公司出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具了《避免同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业竞争的承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诺函</w:t>
            </w:r>
            <w:r>
              <w:rPr>
                <w:rFonts w:ascii="宋体" w:hAnsi="宋体" w:cs="宋体" w:eastAsia="宋体" w:hint="default"/>
                <w:spacing w:val="-90"/>
                <w:sz w:val="18"/>
                <w:szCs w:val="18"/>
              </w:rPr>
              <w:t>》</w:t>
            </w:r>
            <w:r>
              <w:rPr>
                <w:rFonts w:ascii="宋体" w:hAnsi="宋体" w:cs="宋体" w:eastAsia="宋体" w:hint="default"/>
                <w:sz w:val="18"/>
                <w:szCs w:val="18"/>
              </w:rPr>
              <w:t>，承诺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内容如下：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本公司投资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的全资或控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股企业及本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公司可控制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的其它企业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（以下合称</w:t>
            </w:r>
            <w:r>
              <w:rPr>
                <w:rFonts w:ascii="Times New Roman" w:hAnsi="Times New Roman" w:cs="Times New Roman" w:eastAsia="Times New Roman"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精诚集团</w:t>
            </w:r>
            <w:r>
              <w:rPr>
                <w:rFonts w:ascii="Times New Roman" w:hAnsi="Times New Roman" w:cs="Times New Roman" w:eastAsia="Times New Roman" w:hint="default"/>
                <w:spacing w:val="-1"/>
                <w:w w:val="99"/>
                <w:sz w:val="18"/>
                <w:szCs w:val="18"/>
              </w:rPr>
              <w:t>"</w:t>
            </w:r>
            <w:r>
              <w:rPr>
                <w:rFonts w:ascii="宋体" w:hAnsi="宋体" w:cs="宋体" w:eastAsia="宋体" w:hint="default"/>
                <w:spacing w:val="-84"/>
                <w:sz w:val="18"/>
                <w:szCs w:val="18"/>
              </w:rPr>
              <w:t>）在</w:t>
            </w:r>
            <w:r>
              <w:rPr>
                <w:rFonts w:ascii="宋体" w:hAnsi="宋体" w:cs="宋体" w:eastAsia="宋体" w:hint="default"/>
                <w:sz w:val="18"/>
                <w:szCs w:val="18"/>
              </w:rPr>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全球范围内</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（除台湾地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区外）不从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事、亦不通过</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独资经营或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以取得控制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权之合资经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营、拥有在其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它公司或企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业的股票或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权益的形式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从事定制化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软件开发（含</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相应的应用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维护）业务，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该等业务包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括但不限于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银行信息系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统（包括银行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核心业务系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统、银行其他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业务系统、银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行渠道类系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统、银行管理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类系统等）相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关的一切软</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件开发服务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及由此产生</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的软件产品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销售以及其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它定制化软</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件开发业务。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自本承诺函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签署之日起，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精诚集团在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中华人民共</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和国大陆地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区、香港特别</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行政区以及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澳门特别行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政区不从事、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亦不通过独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资经营或以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之合资经营、</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拥有在其它</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公司或企业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的股票或权</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益的形式从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事金融业之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信息系统集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成业务（含相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应的应用维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护</w:t>
            </w:r>
            <w:r>
              <w:rPr>
                <w:rFonts w:ascii="宋体" w:hAnsi="宋体" w:cs="宋体" w:eastAsia="宋体" w:hint="default"/>
                <w:spacing w:val="-90"/>
                <w:sz w:val="18"/>
                <w:szCs w:val="18"/>
              </w:rPr>
              <w:t>）</w:t>
            </w:r>
            <w:r>
              <w:rPr>
                <w:rFonts w:ascii="宋体" w:hAnsi="宋体" w:cs="宋体" w:eastAsia="宋体" w:hint="default"/>
                <w:sz w:val="18"/>
                <w:szCs w:val="18"/>
              </w:rPr>
              <w:t>。如台湾</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注册企业或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其在其他地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区之子公司、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分公司或其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他分支机构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所发生之相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关业务，以该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业务之实际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发生地确定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是否属于上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述避免同业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竞争之范围。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）精诚集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团目前并无</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计划且承诺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未来不会通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过增持四方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精创股份等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方式成为四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方精创的实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）如果精</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诚集团有违</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反本承诺函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的业务或活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动，则本公司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将赔偿四方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精创之损失，</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赔偿范围以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如下两者较</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高者为准：①</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精诚集团因</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该等同业竞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争行为而获</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得的利益；或</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②四方精创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因精诚集团</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违反承诺函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之行为而受</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到的损失，该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等损失包括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预期利益的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损失。规范和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减少关联交</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易的承诺公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司实际控制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人周志群、邓</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修生，以及主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要股东益群</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控股、益威控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股承诺</w:t>
            </w:r>
            <w:r>
              <w:rPr>
                <w:rFonts w:ascii="宋体" w:hAnsi="宋体" w:cs="宋体" w:eastAsia="宋体" w:hint="default"/>
                <w:spacing w:val="-84"/>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不利</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用控股股东</w:t>
            </w:r>
            <w:r>
              <w:rPr>
                <w:rFonts w:ascii="Times New Roman" w:hAnsi="Times New Roman" w:cs="Times New Roman" w:eastAsia="Times New Roman"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地位促使发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行人股东大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会或董事会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做出侵犯其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他中小股东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合法权益的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决议；在与发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行人发生关</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联交易时，将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按照公平合</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理和正常的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商业交易条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件进行，将不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会要求或接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受发行人给</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予比在任何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一项市场公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平交易中第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三者更优惠</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的条件，并善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意、严格地履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行与发行人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签订的各种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议，不会向发</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7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行人谋求任 何超出上述 规定以外的 利益或收益。 若违反上述 承诺，本公司</w:t>
            </w:r>
          </w:p>
          <w:p>
            <w:pPr>
              <w:pStyle w:val="TableParagraph"/>
              <w:spacing w:line="316" w:lineRule="auto" w:before="19"/>
              <w:ind w:left="22"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本人将承担 相应的法律 </w:t>
            </w:r>
            <w:r>
              <w:rPr>
                <w:rFonts w:ascii="宋体" w:hAnsi="宋体" w:cs="宋体" w:eastAsia="宋体" w:hint="default"/>
                <w:spacing w:val="-2"/>
                <w:sz w:val="18"/>
                <w:szCs w:val="18"/>
              </w:rPr>
              <w:t>责任，包括但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不限于由此 给发行人及 其他中小股 东造成的全 部损失承担 赔偿责任。</w:t>
            </w:r>
            <w:r>
              <w:rPr>
                <w:rFonts w:ascii="Times New Roman" w:hAnsi="Times New Roman" w:cs="Times New Roman" w:eastAsia="Times New Roman" w:hint="default"/>
                <w:sz w:val="18"/>
                <w:szCs w:val="18"/>
              </w:rPr>
              <w:t>"</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07" w:lineRule="auto"/>
              <w:ind w:left="23" w:right="89"/>
              <w:jc w:val="both"/>
              <w:rPr>
                <w:rFonts w:ascii="宋体" w:hAnsi="宋体" w:cs="宋体" w:eastAsia="宋体" w:hint="default"/>
                <w:sz w:val="18"/>
                <w:szCs w:val="18"/>
              </w:rPr>
            </w:pPr>
            <w:r>
              <w:rPr>
                <w:rFonts w:ascii="宋体" w:hAnsi="宋体" w:cs="宋体" w:eastAsia="宋体" w:hint="default"/>
                <w:sz w:val="18"/>
                <w:szCs w:val="18"/>
              </w:rPr>
              <w:t>深圳四方精 创资讯股份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益 群集团控股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周 志群</w:t>
            </w:r>
            <w:r>
              <w:rPr>
                <w:rFonts w:ascii="Times New Roman" w:hAnsi="Times New Roman" w:cs="Times New Roman" w:eastAsia="Times New Roman" w:hint="default"/>
                <w:sz w:val="18"/>
                <w:szCs w:val="18"/>
              </w:rPr>
              <w:t>;</w:t>
            </w:r>
            <w:r>
              <w:rPr>
                <w:rFonts w:ascii="宋体" w:hAnsi="宋体" w:cs="宋体" w:eastAsia="宋体" w:hint="default"/>
                <w:sz w:val="18"/>
                <w:szCs w:val="18"/>
              </w:rPr>
              <w:t>邓修生</w:t>
            </w:r>
            <w:r>
              <w:rPr>
                <w:rFonts w:ascii="Times New Roman" w:hAnsi="Times New Roman" w:cs="Times New Roman" w:eastAsia="Times New Roman" w:hint="default"/>
                <w:sz w:val="18"/>
                <w:szCs w:val="18"/>
              </w:rPr>
              <w:t>; </w:t>
            </w:r>
            <w:r>
              <w:rPr>
                <w:rFonts w:ascii="宋体" w:hAnsi="宋体" w:cs="宋体" w:eastAsia="宋体" w:hint="default"/>
                <w:sz w:val="18"/>
                <w:szCs w:val="18"/>
              </w:rPr>
              <w:t>李琳</w:t>
            </w:r>
            <w:r>
              <w:rPr>
                <w:rFonts w:ascii="Times New Roman" w:hAnsi="Times New Roman" w:cs="Times New Roman" w:eastAsia="Times New Roman" w:hint="default"/>
                <w:sz w:val="18"/>
                <w:szCs w:val="18"/>
              </w:rPr>
              <w:t>;</w:t>
            </w:r>
            <w:r>
              <w:rPr>
                <w:rFonts w:ascii="宋体" w:hAnsi="宋体" w:cs="宋体" w:eastAsia="宋体" w:hint="default"/>
                <w:sz w:val="18"/>
                <w:szCs w:val="18"/>
              </w:rPr>
              <w:t>林隆奋</w:t>
            </w:r>
            <w:r>
              <w:rPr>
                <w:rFonts w:ascii="Times New Roman" w:hAnsi="Times New Roman" w:cs="Times New Roman" w:eastAsia="Times New Roman" w:hint="default"/>
                <w:sz w:val="18"/>
                <w:szCs w:val="18"/>
              </w:rPr>
              <w:t>; </w:t>
            </w:r>
            <w:r>
              <w:rPr>
                <w:rFonts w:ascii="宋体" w:hAnsi="宋体" w:cs="宋体" w:eastAsia="宋体" w:hint="default"/>
                <w:sz w:val="18"/>
                <w:szCs w:val="18"/>
              </w:rPr>
              <w:t>顾嘉勇</w:t>
            </w:r>
            <w:r>
              <w:rPr>
                <w:rFonts w:ascii="Times New Roman" w:hAnsi="Times New Roman" w:cs="Times New Roman" w:eastAsia="Times New Roman" w:hint="default"/>
                <w:sz w:val="18"/>
                <w:szCs w:val="18"/>
              </w:rPr>
              <w:t>;</w:t>
            </w:r>
            <w:r>
              <w:rPr>
                <w:rFonts w:ascii="宋体" w:hAnsi="宋体" w:cs="宋体" w:eastAsia="宋体" w:hint="default"/>
                <w:sz w:val="18"/>
                <w:szCs w:val="18"/>
              </w:rPr>
              <w:t>何敏</w:t>
            </w:r>
            <w:r>
              <w:rPr>
                <w:rFonts w:ascii="Times New Roman" w:hAnsi="Times New Roman" w:cs="Times New Roman" w:eastAsia="Times New Roman" w:hint="default"/>
                <w:sz w:val="18"/>
                <w:szCs w:val="18"/>
              </w:rPr>
              <w:t>; </w:t>
            </w:r>
            <w:r>
              <w:rPr>
                <w:rFonts w:ascii="宋体" w:hAnsi="宋体" w:cs="宋体" w:eastAsia="宋体" w:hint="default"/>
                <w:sz w:val="18"/>
                <w:szCs w:val="18"/>
              </w:rPr>
              <w:t>张力</w:t>
            </w:r>
            <w:r>
              <w:rPr>
                <w:rFonts w:ascii="Times New Roman" w:hAnsi="Times New Roman" w:cs="Times New Roman" w:eastAsia="Times New Roman" w:hint="default"/>
                <w:sz w:val="18"/>
                <w:szCs w:val="18"/>
              </w:rPr>
              <w:t>;</w:t>
            </w:r>
            <w:r>
              <w:rPr>
                <w:rFonts w:ascii="宋体" w:hAnsi="宋体" w:cs="宋体" w:eastAsia="宋体" w:hint="default"/>
                <w:sz w:val="18"/>
                <w:szCs w:val="18"/>
              </w:rPr>
              <w:t>黄永雄</w:t>
            </w:r>
            <w:r>
              <w:rPr>
                <w:rFonts w:ascii="Times New Roman" w:hAnsi="Times New Roman" w:cs="Times New Roman" w:eastAsia="Times New Roman" w:hint="default"/>
                <w:sz w:val="18"/>
                <w:szCs w:val="18"/>
              </w:rPr>
              <w:t>; </w:t>
            </w:r>
            <w:r>
              <w:rPr>
                <w:rFonts w:ascii="宋体" w:hAnsi="宋体" w:cs="宋体" w:eastAsia="宋体" w:hint="default"/>
                <w:sz w:val="18"/>
                <w:szCs w:val="18"/>
              </w:rPr>
              <w:t>罗川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关于上市后 三年内公司 股价低于每 股净资产时 稳定股价的 预案（一）发 行人及其控 股股东承诺： 当发行人股 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交易日的收 盘价低于最 近一期每股 净资产时，应 当在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日内召 开董事会、</w:t>
            </w:r>
            <w:r>
              <w:rPr>
                <w:rFonts w:ascii="Times New Roman" w:hAnsi="Times New Roman" w:cs="Times New Roman" w:eastAsia="Times New Roman" w:hint="default"/>
                <w:sz w:val="18"/>
                <w:szCs w:val="18"/>
              </w:rPr>
              <w:t>25 </w:t>
            </w:r>
            <w:r>
              <w:rPr>
                <w:rFonts w:ascii="宋体" w:hAnsi="宋体" w:cs="宋体" w:eastAsia="宋体" w:hint="default"/>
                <w:sz w:val="18"/>
                <w:szCs w:val="18"/>
              </w:rPr>
              <w:t>日内召开股 东大会，审议 稳定股价具 体方案，明确 该等具体方 案的实施期 间，并在股东 大会审议通 过该等方案 并履行相关 法律法规、中 国证监会相 关规定及其</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他对本公司</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有约束力的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规范性文件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所规定的相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关程序并取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得所需的相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关批准后的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启动稳定股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价具体方案</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的实施。主要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的稳定股价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措施包括：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10"/>
                <w:sz w:val="18"/>
                <w:szCs w:val="18"/>
              </w:rPr>
              <w:t> </w:t>
            </w:r>
            <w:r>
              <w:rPr>
                <w:rFonts w:ascii="宋体" w:hAnsi="宋体" w:cs="宋体" w:eastAsia="宋体" w:hint="default"/>
                <w:sz w:val="18"/>
                <w:szCs w:val="18"/>
              </w:rPr>
              <w:t>在不影</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响公司正常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生产经营的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情况下，经董</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事会、股东大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会审议同意，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通过交易所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易方式、要约</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他合法方式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回购公司股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求控股股东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及时任公司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董事（独立董</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事除外</w:t>
            </w:r>
            <w:r>
              <w:rPr>
                <w:rFonts w:ascii="宋体" w:hAnsi="宋体" w:cs="宋体" w:eastAsia="宋体" w:hint="default"/>
                <w:spacing w:val="-90"/>
                <w:sz w:val="18"/>
                <w:szCs w:val="18"/>
              </w:rPr>
              <w:t>）</w:t>
            </w:r>
            <w:r>
              <w:rPr>
                <w:rFonts w:ascii="宋体" w:hAnsi="宋体" w:cs="宋体" w:eastAsia="宋体" w:hint="default"/>
                <w:sz w:val="18"/>
                <w:szCs w:val="18"/>
              </w:rPr>
              <w:t>、高</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的人员以增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持公司股票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的方式稳定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公司股价，并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明确增持的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金额和期间。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10"/>
                <w:sz w:val="18"/>
                <w:szCs w:val="18"/>
              </w:rPr>
              <w:t> </w:t>
            </w:r>
            <w:r>
              <w:rPr>
                <w:rFonts w:ascii="宋体" w:hAnsi="宋体" w:cs="宋体" w:eastAsia="宋体" w:hint="default"/>
                <w:sz w:val="18"/>
                <w:szCs w:val="18"/>
              </w:rPr>
              <w:t>在保证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公司经营资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金需求的前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提下，经董事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会、股东大会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审议同意，通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过实施利润</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分配或资本</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股本的方式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稳定公司股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通过</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削减开支、限</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制高级管理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人员薪酬、暂</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停股权激励</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计划等方式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提升公司业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绩、稳定公司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w:t>
            </w:r>
            <w:r>
              <w:rPr>
                <w:rFonts w:ascii="宋体" w:hAnsi="宋体" w:cs="宋体" w:eastAsia="宋体" w:hint="default"/>
                <w:spacing w:val="-90"/>
                <w:sz w:val="18"/>
                <w:szCs w:val="18"/>
              </w:rPr>
              <w:t>。</w:t>
            </w:r>
            <w:r>
              <w:rPr>
                <w:rFonts w:ascii="宋体" w:hAnsi="宋体" w:cs="宋体" w:eastAsia="宋体" w:hint="default"/>
                <w:sz w:val="18"/>
                <w:szCs w:val="18"/>
              </w:rPr>
              <w:t>（二）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当触发上述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施的启动条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件时，发行人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董事、高级管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理人承诺，其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应积极配合</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发行人启动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上述稳定股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价预案，如因</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稳定公司股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价之目的而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触发公司股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份回购的义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务时，本人应</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在公司董事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会、股东大会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审议股份回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购方案时以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本人所直接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或间接拥有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的表决票数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全部投赞成</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票。除此之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外，其应在不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迟于股东大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会审议通过</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稳定股价具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体方案后的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根据股东大</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会审议通过</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的稳定股价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具体方案，积</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极采取下述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）在</w:t>
            </w:r>
            <w:r>
              <w:rPr>
                <w:rFonts w:ascii="宋体" w:hAnsi="宋体" w:cs="宋体" w:eastAsia="宋体" w:hint="default"/>
                <w:sz w:val="18"/>
                <w:szCs w:val="18"/>
              </w:rPr>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符合股票交</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易相关规定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的前提下，按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照发行人关</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于稳定股价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具体方案中</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确定的增持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金额和期间，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通过交易所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易方式、要约</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他合法方式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增持公司股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票。购买所增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持股票的总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金额不低于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其上年度初</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至董事会审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议通过稳定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股价具体方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案日期间，从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公司获取的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税后薪酬及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税后现金分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红总额的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50%</w:t>
            </w:r>
            <w:r>
              <w:rPr>
                <w:rFonts w:ascii="宋体" w:hAnsi="宋体" w:cs="宋体" w:eastAsia="宋体" w:hint="default"/>
                <w:spacing w:val="-90"/>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2</w:t>
            </w:r>
            <w:r>
              <w:rPr>
                <w:rFonts w:ascii="宋体" w:hAnsi="宋体" w:cs="宋体" w:eastAsia="宋体" w:hint="default"/>
                <w:w w:val="99"/>
                <w:sz w:val="18"/>
                <w:szCs w:val="18"/>
              </w:rPr>
              <w:t>）除</w:t>
            </w:r>
            <w:r>
              <w:rPr>
                <w:rFonts w:ascii="宋体" w:hAnsi="宋体" w:cs="宋体" w:eastAsia="宋体" w:hint="default"/>
                <w:sz w:val="18"/>
                <w:szCs w:val="18"/>
              </w:rPr>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因继承、被强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制执行或上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市公司重组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等情形必须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转股或触发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前述股价稳</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定措施的停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止条件外，在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议稳定股价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具体方案及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方案实施期</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22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间，不转让其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持有的公司 </w:t>
            </w:r>
            <w:r>
              <w:rPr>
                <w:rFonts w:ascii="宋体" w:hAnsi="宋体" w:cs="宋体" w:eastAsia="宋体" w:hint="default"/>
                <w:spacing w:val="-2"/>
                <w:sz w:val="18"/>
                <w:szCs w:val="18"/>
              </w:rPr>
              <w:t>股份。除经股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东大会非关 联股东同意 </w:t>
            </w:r>
            <w:r>
              <w:rPr>
                <w:rFonts w:ascii="宋体" w:hAnsi="宋体" w:cs="宋体" w:eastAsia="宋体" w:hint="default"/>
                <w:spacing w:val="-2"/>
                <w:sz w:val="18"/>
                <w:szCs w:val="18"/>
              </w:rPr>
              <w:t>外，不由公司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回购其持有 </w:t>
            </w:r>
            <w:r>
              <w:rPr>
                <w:rFonts w:ascii="宋体" w:hAnsi="宋体" w:cs="宋体" w:eastAsia="宋体" w:hint="default"/>
                <w:spacing w:val="-2"/>
                <w:sz w:val="18"/>
                <w:szCs w:val="18"/>
              </w:rPr>
              <w:t>的股份。触发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前述股价稳 定措施的启 </w:t>
            </w:r>
            <w:r>
              <w:rPr>
                <w:rFonts w:ascii="宋体" w:hAnsi="宋体" w:cs="宋体" w:eastAsia="宋体" w:hint="default"/>
                <w:spacing w:val="-2"/>
                <w:sz w:val="18"/>
                <w:szCs w:val="18"/>
              </w:rPr>
              <w:t>动条件时，该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董事、高级管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理人员不因 在股东大会 审议稳定股 价具体方案 及方案实施 期间内职务 </w:t>
            </w:r>
            <w:r>
              <w:rPr>
                <w:rFonts w:ascii="宋体" w:hAnsi="宋体" w:cs="宋体" w:eastAsia="宋体" w:hint="default"/>
                <w:spacing w:val="-2"/>
                <w:sz w:val="18"/>
                <w:szCs w:val="18"/>
              </w:rPr>
              <w:t>变更、离职等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情形而拒绝 实施上述稳 定股价的措 施。</w:t>
            </w:r>
            <w:r>
              <w:rPr>
                <w:rFonts w:ascii="Times New Roman" w:hAnsi="Times New Roman" w:cs="Times New Roman" w:eastAsia="Times New Roman" w:hint="default"/>
                <w:sz w:val="18"/>
                <w:szCs w:val="18"/>
              </w:rPr>
              <w:t>"</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3" w:right="190"/>
              <w:jc w:val="both"/>
              <w:rPr>
                <w:rFonts w:ascii="宋体" w:hAnsi="宋体" w:cs="宋体" w:eastAsia="宋体" w:hint="default"/>
                <w:sz w:val="18"/>
                <w:szCs w:val="18"/>
              </w:rPr>
            </w:pPr>
            <w:r>
              <w:rPr>
                <w:rFonts w:ascii="宋体" w:hAnsi="宋体" w:cs="宋体" w:eastAsia="宋体" w:hint="default"/>
                <w:sz w:val="18"/>
                <w:szCs w:val="18"/>
              </w:rPr>
              <w:t>深圳四方精 创资讯股份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填补被摊薄 即期回报的 措施及承诺 国务院办公 厅于 </w:t>
            </w:r>
            <w:r>
              <w:rPr>
                <w:rFonts w:ascii="Times New Roman" w:hAnsi="Times New Roman" w:cs="Times New Roman" w:eastAsia="Times New Roman" w:hint="default"/>
                <w:sz w:val="18"/>
                <w:szCs w:val="18"/>
              </w:rPr>
              <w:t>2013</w:t>
            </w:r>
          </w:p>
          <w:p>
            <w:pPr>
              <w:pStyle w:val="TableParagraph"/>
              <w:spacing w:line="314" w:lineRule="auto" w:before="1"/>
              <w:ind w:left="22" w:right="11"/>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日发布了《国 务院办公厅 关于进一步 加强资本市 场中小投资 者合法权益 保护工作的 </w:t>
            </w:r>
            <w:r>
              <w:rPr>
                <w:rFonts w:ascii="宋体" w:hAnsi="宋体" w:cs="宋体" w:eastAsia="宋体" w:hint="default"/>
                <w:spacing w:val="-15"/>
                <w:sz w:val="18"/>
                <w:szCs w:val="18"/>
              </w:rPr>
              <w:t>意见》（国办</w:t>
            </w:r>
            <w:r>
              <w:rPr>
                <w:rFonts w:ascii="宋体" w:hAnsi="宋体" w:cs="宋体" w:eastAsia="宋体" w:hint="default"/>
                <w:sz w:val="18"/>
                <w:szCs w:val="18"/>
              </w:rPr>
              <w:t> </w:t>
            </w:r>
            <w:r>
              <w:rPr>
                <w:rFonts w:ascii="宋体" w:hAnsi="宋体" w:cs="宋体" w:eastAsia="宋体" w:hint="default"/>
                <w:spacing w:val="-11"/>
                <w:sz w:val="18"/>
                <w:szCs w:val="18"/>
              </w:rPr>
              <w:t>发【</w:t>
            </w:r>
            <w:r>
              <w:rPr>
                <w:rFonts w:ascii="Times New Roman" w:hAnsi="Times New Roman" w:cs="Times New Roman" w:eastAsia="Times New Roman" w:hint="default"/>
                <w:spacing w:val="-11"/>
                <w:sz w:val="18"/>
                <w:szCs w:val="18"/>
              </w:rPr>
              <w:t>2013</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110</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宋体" w:hAnsi="宋体" w:cs="宋体" w:eastAsia="宋体" w:hint="default"/>
                <w:sz w:val="18"/>
                <w:szCs w:val="18"/>
              </w:rPr>
              <w:t>号）并提出， </w:t>
            </w:r>
            <w:r>
              <w:rPr>
                <w:rFonts w:ascii="Times New Roman" w:hAnsi="Times New Roman" w:cs="Times New Roman" w:eastAsia="Times New Roman" w:hint="default"/>
                <w:sz w:val="18"/>
                <w:szCs w:val="18"/>
              </w:rPr>
              <w:t>"</w:t>
            </w:r>
            <w:r>
              <w:rPr>
                <w:rFonts w:ascii="宋体" w:hAnsi="宋体" w:cs="宋体" w:eastAsia="宋体" w:hint="default"/>
                <w:sz w:val="18"/>
                <w:szCs w:val="18"/>
              </w:rPr>
              <w:t>公司首次公 开发行股票、 上市公司再 融资或者并 购重组摊薄</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96.140015pt;margin-top:72.47998pt;width:71pt;height:686.5pt;mso-position-horizontal-relative:page;mso-position-vertical-relative:page;z-index:-12058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0" w:right="0"/>
                    <w:jc w:val="left"/>
                  </w:pPr>
                  <w:r>
                    <w:rPr/>
                    <w:t>年，</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即期回报的，</w:t>
            </w:r>
          </w:p>
        </w:tc>
        <w:tc>
          <w:tcPr>
            <w:tcW w:w="1127" w:type="dxa"/>
            <w:vMerge w:val="restart"/>
            <w:tcBorders>
              <w:top w:val="single" w:sz="4" w:space="0" w:color="000000"/>
              <w:left w:val="single" w:sz="4" w:space="0" w:color="000000"/>
              <w:right w:val="single" w:sz="4" w:space="0" w:color="000000"/>
            </w:tcBorders>
          </w:tcPr>
          <w:p>
            <w:pPr>
              <w:pStyle w:val="TableParagraph"/>
              <w:spacing w:line="13729"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应当承诺并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兑现填补回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报的具体措</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施</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2014</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公司实现归</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属于母公司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股东的净利</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 </w:t>
            </w:r>
            <w:r>
              <w:rPr>
                <w:rFonts w:ascii="Times New Roman" w:hAnsi="Times New Roman" w:cs="Times New Roman" w:eastAsia="Times New Roman" w:hint="default"/>
                <w:sz w:val="18"/>
                <w:szCs w:val="18"/>
              </w:rPr>
              <w:t>8,428.38</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万元，每股收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2"/>
              <w:jc w:val="left"/>
              <w:rPr>
                <w:rFonts w:ascii="宋体" w:hAnsi="宋体" w:cs="宋体" w:eastAsia="宋体" w:hint="default"/>
                <w:sz w:val="18"/>
                <w:szCs w:val="18"/>
              </w:rPr>
            </w:pPr>
            <w:r>
              <w:rPr>
                <w:rFonts w:ascii="宋体" w:hAnsi="宋体" w:cs="宋体" w:eastAsia="宋体" w:hint="default"/>
                <w:sz w:val="18"/>
                <w:szCs w:val="18"/>
              </w:rPr>
              <w:t>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加权平均净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资产收益率</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2"/>
                <w:sz w:val="18"/>
                <w:szCs w:val="18"/>
              </w:rPr>
              <w:t> </w:t>
            </w:r>
            <w:r>
              <w:rPr>
                <w:rFonts w:ascii="Times New Roman" w:hAnsi="Times New Roman" w:cs="Times New Roman" w:eastAsia="Times New Roman" w:hint="default"/>
                <w:spacing w:val="-18"/>
                <w:sz w:val="18"/>
                <w:szCs w:val="18"/>
              </w:rPr>
              <w:t>27.85%</w:t>
            </w:r>
            <w:r>
              <w:rPr>
                <w:rFonts w:ascii="宋体" w:hAnsi="宋体" w:cs="宋体" w:eastAsia="宋体" w:hint="default"/>
                <w:spacing w:val="-18"/>
                <w:sz w:val="18"/>
                <w:szCs w:val="18"/>
              </w:rPr>
              <w:t>。本</w:t>
            </w:r>
            <w:r>
              <w:rPr>
                <w:rFonts w:ascii="宋体" w:hAnsi="宋体" w:cs="宋体" w:eastAsia="宋体" w:hint="default"/>
                <w:sz w:val="18"/>
                <w:szCs w:val="18"/>
              </w:rPr>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次发行前公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司总股本为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本次发行完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成后，公司总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股本和归属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母公司股东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将有较大幅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度的增加。虽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然本公司的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募集资金项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目将用于公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司主营业务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发展并进行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严格论证，但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募集资金投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资项目建设</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需要一定周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期，在公司股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本和净资产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均增加的情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况下，短期</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内，公司的每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股收益和加</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权平均净资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产收益率等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指标将出现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一定幅度的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下降。针对上</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述情况，本公</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司对填补回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报提出若干</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措施并承诺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宋体" w:hAnsi="宋体" w:cs="宋体" w:eastAsia="宋体" w:hint="default"/>
                <w:spacing w:val="-90"/>
                <w:sz w:val="18"/>
                <w:szCs w:val="18"/>
              </w:rPr>
              <w:t>：</w:t>
            </w:r>
            <w:r>
              <w:rPr>
                <w:rFonts w:ascii="宋体" w:hAnsi="宋体" w:cs="宋体" w:eastAsia="宋体" w:hint="default"/>
                <w:sz w:val="18"/>
                <w:szCs w:val="18"/>
              </w:rPr>
              <w:t>（一）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提升核心竞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争力，增强公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司可持续盈</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利能力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、凭</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借公司在业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内多年积累</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的项目经验、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服务信誉、国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际化视野等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方面的优势，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坚持高端化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发展，以大型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商业银行的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大型机业务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为主要市场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发展方向，进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一步凝聚高</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层次人才，拓</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系统综</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合服务能力，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通过与客户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之间的全面</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合作，构造客</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户聚集效应。</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、强化专业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化发展原则，</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继续巩固和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深化公司在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银行核心业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务系统服务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方面的专业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化能力，加大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研发投入和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技术储备，进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一步扩大核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心领域的业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务规模，提升</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市场占有率。</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、坚持国际</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市场与国内</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市场互动发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展原则，完善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国际市场布</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局，进一步提</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升全球服务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交付能力，大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力拓展国内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市场，充分抓</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住中国产业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升级背景下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服务大发展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的市场机遇。</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（二）加快募</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投项目投资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进度，争取早</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日实现项目</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预期效益本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次募集资金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项目中</w:t>
            </w:r>
            <w:r>
              <w:rPr>
                <w:rFonts w:ascii="Times New Roman" w:hAnsi="Times New Roman" w:cs="Times New Roman" w:eastAsia="Times New Roman" w:hint="default"/>
                <w:sz w:val="18"/>
                <w:szCs w:val="18"/>
              </w:rPr>
              <w:t>"</w:t>
            </w:r>
            <w:r>
              <w:rPr>
                <w:rFonts w:ascii="宋体" w:hAnsi="宋体" w:cs="宋体" w:eastAsia="宋体" w:hint="default"/>
                <w:sz w:val="18"/>
                <w:szCs w:val="18"/>
              </w:rPr>
              <w:t>银行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软件技术服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务交付中心</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研发中心建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一代银行核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心业务系统</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普惠金融云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服务中心建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行移动应用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平台建设项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等都是围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绕公司主营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业务而进行，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有利于大幅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提升公司软</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件测试能力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和交付质量、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有利于提升</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公司的基础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研发体系、提</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7.203003pt;margin-top:72.47998pt;width:79.95pt;height:686.5pt;mso-position-horizontal-relative:page;mso-position-vertical-relative:page;z-index:-12057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0"/>
                    <w:ind w:left="0" w:right="0"/>
                    <w:jc w:val="left"/>
                  </w:pPr>
                  <w:r>
                    <w:rPr/>
                    <w:t>（三）</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升向小型金</w:t>
            </w:r>
          </w:p>
        </w:tc>
        <w:tc>
          <w:tcPr>
            <w:tcW w:w="1127" w:type="dxa"/>
            <w:vMerge w:val="restart"/>
            <w:tcBorders>
              <w:top w:val="single" w:sz="4" w:space="0" w:color="000000"/>
              <w:left w:val="single" w:sz="4" w:space="0" w:color="000000"/>
              <w:right w:val="single" w:sz="4" w:space="0" w:color="000000"/>
            </w:tcBorders>
          </w:tcPr>
          <w:p>
            <w:pPr>
              <w:pStyle w:val="TableParagraph"/>
              <w:spacing w:line="13729"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融机构提供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普惠金融云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服务解决方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案的能力，加</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大公司前瞻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性投入，持续</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对银行移动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应用业务进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行研究。公司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将加快上述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募投项目的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投资进度，争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取早日实现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项目的预期</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效益，尽快提</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升公司的盈</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利能力。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提高资金使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用效率，保证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公司经营规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模的扩大公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司将提高募</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集资金的使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用效率，以保</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证公司经营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规模的扩大，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并为公司持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续健康发展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及业务链延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伸提供资金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支持</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优化投资回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报机制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月，公司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次临时股东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大会审议通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过了《关于深</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圳四方精创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资讯股份有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限公司首次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民币普通股</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47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股）股票 后分红回报 规划的议 </w:t>
            </w:r>
            <w:r>
              <w:rPr>
                <w:rFonts w:ascii="宋体" w:hAnsi="宋体" w:cs="宋体" w:eastAsia="宋体" w:hint="default"/>
                <w:spacing w:val="-13"/>
                <w:sz w:val="18"/>
                <w:szCs w:val="18"/>
              </w:rPr>
              <w:t>案》；</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24"/>
                <w:sz w:val="18"/>
                <w:szCs w:val="18"/>
              </w:rPr>
              <w:t>月，根据《上</w:t>
            </w:r>
            <w:r>
              <w:rPr>
                <w:rFonts w:ascii="宋体" w:hAnsi="宋体" w:cs="宋体" w:eastAsia="宋体" w:hint="default"/>
                <w:sz w:val="18"/>
                <w:szCs w:val="18"/>
              </w:rPr>
              <w:t> 市公司监管 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上市公司现 </w:t>
            </w:r>
            <w:r>
              <w:rPr>
                <w:rFonts w:ascii="宋体" w:hAnsi="宋体" w:cs="宋体" w:eastAsia="宋体" w:hint="default"/>
                <w:spacing w:val="-2"/>
                <w:sz w:val="18"/>
                <w:szCs w:val="18"/>
              </w:rPr>
              <w:t>金分红》等相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关规定，公司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对股东分配 回报规划进 </w:t>
            </w:r>
            <w:r>
              <w:rPr>
                <w:rFonts w:ascii="宋体" w:hAnsi="宋体" w:cs="宋体" w:eastAsia="宋体" w:hint="default"/>
                <w:spacing w:val="-2"/>
                <w:sz w:val="18"/>
                <w:szCs w:val="18"/>
              </w:rPr>
              <w:t>行调整。公司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东大会审议 通过相关调 </w:t>
            </w:r>
            <w:r>
              <w:rPr>
                <w:rFonts w:ascii="宋体" w:hAnsi="宋体" w:cs="宋体" w:eastAsia="宋体" w:hint="default"/>
                <w:spacing w:val="-2"/>
                <w:sz w:val="18"/>
                <w:szCs w:val="18"/>
              </w:rPr>
              <w:t>整，并制定了</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sz w:val="18"/>
              </w:rPr>
              <w:t>2014 ~ 2016</w:t>
            </w:r>
          </w:p>
          <w:p>
            <w:pPr>
              <w:pStyle w:val="TableParagraph"/>
              <w:spacing w:line="319" w:lineRule="auto" w:before="65"/>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年股东分红 </w:t>
            </w:r>
            <w:r>
              <w:rPr>
                <w:rFonts w:ascii="宋体" w:hAnsi="宋体" w:cs="宋体" w:eastAsia="宋体" w:hint="default"/>
                <w:spacing w:val="-2"/>
                <w:sz w:val="18"/>
                <w:szCs w:val="18"/>
              </w:rPr>
              <w:t>回报计划。公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司将优先采 用现金分红 的方式分配 </w:t>
            </w:r>
            <w:r>
              <w:rPr>
                <w:rFonts w:ascii="宋体" w:hAnsi="宋体" w:cs="宋体" w:eastAsia="宋体" w:hint="default"/>
                <w:spacing w:val="-2"/>
                <w:sz w:val="18"/>
                <w:szCs w:val="18"/>
              </w:rPr>
              <w:t>利润，注重对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投资者尤其 是中小股东 回报。</w:t>
            </w:r>
            <w:r>
              <w:rPr>
                <w:rFonts w:ascii="Times New Roman" w:hAnsi="Times New Roman" w:cs="Times New Roman" w:eastAsia="Times New Roman" w:hint="default"/>
                <w:sz w:val="18"/>
                <w:szCs w:val="18"/>
              </w:rPr>
              <w:t>"</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02" w:lineRule="auto"/>
              <w:ind w:left="23" w:right="89"/>
              <w:jc w:val="left"/>
              <w:rPr>
                <w:rFonts w:ascii="宋体" w:hAnsi="宋体" w:cs="宋体" w:eastAsia="宋体" w:hint="default"/>
                <w:sz w:val="18"/>
                <w:szCs w:val="18"/>
              </w:rPr>
            </w:pPr>
            <w:r>
              <w:rPr>
                <w:rFonts w:ascii="宋体" w:hAnsi="宋体" w:cs="宋体" w:eastAsia="宋体" w:hint="default"/>
                <w:sz w:val="18"/>
                <w:szCs w:val="18"/>
              </w:rPr>
              <w:t>周志群</w:t>
            </w:r>
            <w:r>
              <w:rPr>
                <w:rFonts w:ascii="Times New Roman" w:hAnsi="Times New Roman" w:cs="Times New Roman" w:eastAsia="Times New Roman" w:hint="default"/>
                <w:sz w:val="18"/>
                <w:szCs w:val="18"/>
              </w:rPr>
              <w:t>;</w:t>
            </w:r>
            <w:r>
              <w:rPr>
                <w:rFonts w:ascii="宋体" w:hAnsi="宋体" w:cs="宋体" w:eastAsia="宋体" w:hint="default"/>
                <w:sz w:val="18"/>
                <w:szCs w:val="18"/>
              </w:rPr>
              <w:t>邓修 生</w:t>
            </w:r>
            <w:r>
              <w:rPr>
                <w:rFonts w:ascii="Times New Roman" w:hAnsi="Times New Roman" w:cs="Times New Roman" w:eastAsia="Times New Roman" w:hint="default"/>
                <w:sz w:val="18"/>
                <w:szCs w:val="18"/>
              </w:rPr>
              <w:t>;</w:t>
            </w:r>
            <w:r>
              <w:rPr>
                <w:rFonts w:ascii="宋体" w:hAnsi="宋体" w:cs="宋体" w:eastAsia="宋体" w:hint="default"/>
                <w:sz w:val="18"/>
                <w:szCs w:val="18"/>
              </w:rPr>
              <w:t>李琳</w:t>
            </w:r>
            <w:r>
              <w:rPr>
                <w:rFonts w:ascii="Times New Roman" w:hAnsi="Times New Roman" w:cs="Times New Roman" w:eastAsia="Times New Roman" w:hint="default"/>
                <w:sz w:val="18"/>
                <w:szCs w:val="18"/>
              </w:rPr>
              <w:t>;</w:t>
            </w:r>
            <w:r>
              <w:rPr>
                <w:rFonts w:ascii="宋体" w:hAnsi="宋体" w:cs="宋体" w:eastAsia="宋体" w:hint="default"/>
                <w:sz w:val="18"/>
                <w:szCs w:val="18"/>
              </w:rPr>
              <w:t>林隆 奋</w:t>
            </w:r>
            <w:r>
              <w:rPr>
                <w:rFonts w:ascii="Times New Roman" w:hAnsi="Times New Roman" w:cs="Times New Roman" w:eastAsia="Times New Roman" w:hint="default"/>
                <w:sz w:val="18"/>
                <w:szCs w:val="18"/>
              </w:rPr>
              <w:t>;</w:t>
            </w:r>
            <w:r>
              <w:rPr>
                <w:rFonts w:ascii="宋体" w:hAnsi="宋体" w:cs="宋体" w:eastAsia="宋体" w:hint="default"/>
                <w:sz w:val="18"/>
                <w:szCs w:val="18"/>
              </w:rPr>
              <w:t>顾嘉勇</w:t>
            </w:r>
            <w:r>
              <w:rPr>
                <w:rFonts w:ascii="Times New Roman" w:hAnsi="Times New Roman" w:cs="Times New Roman" w:eastAsia="Times New Roman" w:hint="default"/>
                <w:sz w:val="18"/>
                <w:szCs w:val="18"/>
              </w:rPr>
              <w:t>;</w:t>
            </w:r>
            <w:r>
              <w:rPr>
                <w:rFonts w:ascii="宋体" w:hAnsi="宋体" w:cs="宋体" w:eastAsia="宋体" w:hint="default"/>
                <w:sz w:val="18"/>
                <w:szCs w:val="18"/>
              </w:rPr>
              <w:t>何 敏</w:t>
            </w:r>
            <w:r>
              <w:rPr>
                <w:rFonts w:ascii="Times New Roman" w:hAnsi="Times New Roman" w:cs="Times New Roman" w:eastAsia="Times New Roman" w:hint="default"/>
                <w:sz w:val="18"/>
                <w:szCs w:val="18"/>
              </w:rPr>
              <w:t>;</w:t>
            </w:r>
            <w:r>
              <w:rPr>
                <w:rFonts w:ascii="宋体" w:hAnsi="宋体" w:cs="宋体" w:eastAsia="宋体" w:hint="default"/>
                <w:sz w:val="18"/>
                <w:szCs w:val="18"/>
              </w:rPr>
              <w:t>张力</w:t>
            </w:r>
            <w:r>
              <w:rPr>
                <w:rFonts w:ascii="Times New Roman" w:hAnsi="Times New Roman" w:cs="Times New Roman" w:eastAsia="Times New Roman" w:hint="default"/>
                <w:sz w:val="18"/>
                <w:szCs w:val="18"/>
              </w:rPr>
              <w:t>;</w:t>
            </w:r>
            <w:r>
              <w:rPr>
                <w:rFonts w:ascii="宋体" w:hAnsi="宋体" w:cs="宋体" w:eastAsia="宋体" w:hint="default"/>
                <w:sz w:val="18"/>
                <w:szCs w:val="18"/>
              </w:rPr>
              <w:t>胡行 军</w:t>
            </w:r>
            <w:r>
              <w:rPr>
                <w:rFonts w:ascii="Times New Roman" w:hAnsi="Times New Roman" w:cs="Times New Roman" w:eastAsia="Times New Roman" w:hint="default"/>
                <w:sz w:val="18"/>
                <w:szCs w:val="18"/>
              </w:rPr>
              <w:t>;</w:t>
            </w:r>
            <w:r>
              <w:rPr>
                <w:rFonts w:ascii="宋体" w:hAnsi="宋体" w:cs="宋体" w:eastAsia="宋体" w:hint="default"/>
                <w:sz w:val="18"/>
                <w:szCs w:val="18"/>
              </w:rPr>
              <w:t>郑登元</w:t>
            </w:r>
            <w:r>
              <w:rPr>
                <w:rFonts w:ascii="Times New Roman" w:hAnsi="Times New Roman" w:cs="Times New Roman" w:eastAsia="Times New Roman" w:hint="default"/>
                <w:sz w:val="18"/>
                <w:szCs w:val="18"/>
              </w:rPr>
              <w:t>;</w:t>
            </w:r>
            <w:r>
              <w:rPr>
                <w:rFonts w:ascii="宋体" w:hAnsi="宋体" w:cs="宋体" w:eastAsia="宋体" w:hint="default"/>
                <w:sz w:val="18"/>
                <w:szCs w:val="18"/>
              </w:rPr>
              <w:t>王 勇</w:t>
            </w:r>
            <w:r>
              <w:rPr>
                <w:rFonts w:ascii="Times New Roman" w:hAnsi="Times New Roman" w:cs="Times New Roman" w:eastAsia="Times New Roman" w:hint="default"/>
                <w:sz w:val="18"/>
                <w:szCs w:val="18"/>
              </w:rPr>
              <w:t>;</w:t>
            </w:r>
            <w:r>
              <w:rPr>
                <w:rFonts w:ascii="宋体" w:hAnsi="宋体" w:cs="宋体" w:eastAsia="宋体" w:hint="default"/>
                <w:sz w:val="18"/>
                <w:szCs w:val="18"/>
              </w:rPr>
              <w:t>黄永雄</w:t>
            </w:r>
            <w:r>
              <w:rPr>
                <w:rFonts w:ascii="Times New Roman" w:hAnsi="Times New Roman" w:cs="Times New Roman" w:eastAsia="Times New Roman" w:hint="default"/>
                <w:sz w:val="18"/>
                <w:szCs w:val="18"/>
              </w:rPr>
              <w:t>;</w:t>
            </w:r>
            <w:r>
              <w:rPr>
                <w:rFonts w:ascii="宋体" w:hAnsi="宋体" w:cs="宋体" w:eastAsia="宋体" w:hint="default"/>
                <w:sz w:val="18"/>
                <w:szCs w:val="18"/>
              </w:rPr>
              <w:t>罗 川</w:t>
            </w:r>
            <w:r>
              <w:rPr>
                <w:rFonts w:ascii="Times New Roman" w:hAnsi="Times New Roman" w:cs="Times New Roman" w:eastAsia="Times New Roman" w:hint="default"/>
                <w:sz w:val="18"/>
                <w:szCs w:val="18"/>
              </w:rPr>
              <w:t>;</w:t>
            </w:r>
            <w:r>
              <w:rPr>
                <w:rFonts w:ascii="宋体" w:hAnsi="宋体" w:cs="宋体" w:eastAsia="宋体" w:hint="default"/>
                <w:sz w:val="18"/>
                <w:szCs w:val="18"/>
              </w:rPr>
              <w:t>深圳四方 精创资讯股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关于承诺履 行的约束措 </w:t>
            </w:r>
            <w:r>
              <w:rPr>
                <w:rFonts w:ascii="宋体" w:hAnsi="宋体" w:cs="宋体" w:eastAsia="宋体" w:hint="default"/>
                <w:spacing w:val="-2"/>
                <w:sz w:val="18"/>
                <w:szCs w:val="18"/>
              </w:rPr>
              <w:t>施（一）发行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人将严格履 行本公司就 首次公开发 行股票并上 市所作出的 所有公开承 </w:t>
            </w:r>
            <w:r>
              <w:rPr>
                <w:rFonts w:ascii="宋体" w:hAnsi="宋体" w:cs="宋体" w:eastAsia="宋体" w:hint="default"/>
                <w:spacing w:val="-2"/>
                <w:sz w:val="18"/>
                <w:szCs w:val="18"/>
              </w:rPr>
              <w:t>诺事项，积极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接受社会监 </w:t>
            </w:r>
            <w:r>
              <w:rPr>
                <w:rFonts w:ascii="宋体" w:hAnsi="宋体" w:cs="宋体" w:eastAsia="宋体" w:hint="default"/>
                <w:spacing w:val="-2"/>
                <w:sz w:val="18"/>
                <w:szCs w:val="18"/>
              </w:rPr>
              <w:t>督。如未能履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行、确已无法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履行或无法 按期履行其 在招股说明 书中所作出</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的相关承诺，</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其将采取如</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下措施：</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如非因不可</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抗力原因导</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致未能履行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公开承诺事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项的，需提出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新的承诺（相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关承诺需按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规定履行相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关审批程序）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并接受如下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约束措施，直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至新的承诺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履行完毕或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相应补救措</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施实施完毕：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）在股东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大会及中国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证监会指定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的披露媒体</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上公开说明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未履行的原</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因、具体情况</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和相关约束</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性措施并向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股东和社会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公众投资者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道歉</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）不</w:t>
            </w:r>
            <w:r>
              <w:rPr>
                <w:rFonts w:ascii="宋体" w:hAnsi="宋体" w:cs="宋体" w:eastAsia="宋体" w:hint="default"/>
                <w:sz w:val="18"/>
                <w:szCs w:val="18"/>
              </w:rPr>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得进行公开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再融资</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对公司该等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未履行承诺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的行为负有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个人责任的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董事、监事、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员调减或停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发薪酬或津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贴</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不得</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批准未履行</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承诺的董事、</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监事、高级管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理人员的主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动离职申请，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但可以进行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职务变更；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）给投资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者造成损失</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的，本公司将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向投资者依</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法承担赔偿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w:t>
            </w:r>
            <w:r>
              <w:rPr>
                <w:rFonts w:ascii="Times New Roman" w:hAnsi="Times New Roman" w:cs="Times New Roman" w:eastAsia="Times New Roman" w:hint="default"/>
                <w:sz w:val="18"/>
                <w:szCs w:val="18"/>
              </w:rPr>
              <w:t>2</w:t>
            </w:r>
            <w:r>
              <w:rPr>
                <w:rFonts w:ascii="宋体" w:hAnsi="宋体" w:cs="宋体" w:eastAsia="宋体" w:hint="default"/>
                <w:sz w:val="18"/>
                <w:szCs w:val="18"/>
              </w:rPr>
              <w:t>、如</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因不可抗力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原因导致未</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能履行公开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承诺事项的，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需提出新的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承诺（相关承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诺需按法律、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法规、公司章</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程的规定履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行相关审批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程序）并接受</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如下约束措</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施，直至新的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承诺履行完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毕或相应补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救措施实施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完毕</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）在</w:t>
            </w:r>
            <w:r>
              <w:rPr>
                <w:rFonts w:ascii="宋体" w:hAnsi="宋体" w:cs="宋体" w:eastAsia="宋体" w:hint="default"/>
                <w:sz w:val="18"/>
                <w:szCs w:val="18"/>
              </w:rPr>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股东大会及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指定的披露</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媒体上公开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说明未履行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的原因、具体</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情况和相关</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约束性措施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并向股东和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社会公众投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资者道歉；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究将投资者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利益损失降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低到最小的</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处理方案，并</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提交股东大</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会审议，尽可</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能地保护本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公司投资者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w:t>
            </w:r>
            <w:r>
              <w:rPr>
                <w:rFonts w:ascii="宋体" w:hAnsi="宋体" w:cs="宋体" w:eastAsia="宋体" w:hint="default"/>
                <w:spacing w:val="-90"/>
                <w:sz w:val="18"/>
                <w:szCs w:val="18"/>
              </w:rPr>
              <w:t>。</w:t>
            </w:r>
            <w:r>
              <w:rPr>
                <w:rFonts w:ascii="宋体" w:hAnsi="宋体" w:cs="宋体" w:eastAsia="宋体" w:hint="default"/>
                <w:sz w:val="18"/>
                <w:szCs w:val="18"/>
              </w:rPr>
              <w:t>（二）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周志群、邓修</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生，董事李</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琳、林隆奋，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监事胡行军、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王勇、郑登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元，及高级管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理人员罗川、</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黄永雄如未</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能履行、确已</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无法履行或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无法按期履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行其在招股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说明书中所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作出的相关</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承诺，其将采</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取如下措施：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、如本人非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因不可抗力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原因导致未</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能履行公开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承诺事项的，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需提出新的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承诺并接受</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如下约束措</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施，直至新的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承诺履行完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毕或相应补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救措施实施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完毕</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）在</w:t>
            </w:r>
            <w:r>
              <w:rPr>
                <w:rFonts w:ascii="宋体" w:hAnsi="宋体" w:cs="宋体" w:eastAsia="宋体" w:hint="default"/>
                <w:sz w:val="18"/>
                <w:szCs w:val="18"/>
              </w:rPr>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股东大会及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指定的披露</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媒体上公开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说明未履行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的原因、具体</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情况和相关</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约束性措施</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并向股东和</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社会公众投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资者道歉；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）不得转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让公司股份。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因继承、被强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制执行、上市</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公司重组、为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履行保护投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资者利益承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诺等必须转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股的情形除</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暂不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领取公司分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配利润中归</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属于个人的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）可</w:t>
            </w:r>
            <w:r>
              <w:rPr>
                <w:rFonts w:ascii="宋体" w:hAnsi="宋体" w:cs="宋体" w:eastAsia="宋体" w:hint="default"/>
                <w:sz w:val="18"/>
                <w:szCs w:val="18"/>
              </w:rPr>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以职务变更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但不得主动</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要求离职；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）主动申</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请调减或停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发薪酬或津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贴</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5"/>
                <w:sz w:val="18"/>
                <w:szCs w:val="18"/>
              </w:rPr>
              <w:t>）</w:t>
            </w:r>
            <w:r>
              <w:rPr>
                <w:rFonts w:ascii="宋体" w:hAnsi="宋体" w:cs="宋体" w:eastAsia="宋体" w:hint="default"/>
                <w:sz w:val="18"/>
                <w:szCs w:val="18"/>
              </w:rPr>
              <w:t>如果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因未履行相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关承诺事项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而获得收益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的，所获收益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归公司所有，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并在获得收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益的五个工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作日内将所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获收益支付</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给公司指定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账户</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pacing w:val="-5"/>
                <w:sz w:val="18"/>
                <w:szCs w:val="18"/>
              </w:rPr>
              <w:t>）未</w:t>
            </w:r>
            <w:r>
              <w:rPr>
                <w:rFonts w:ascii="宋体" w:hAnsi="宋体" w:cs="宋体" w:eastAsia="宋体" w:hint="default"/>
                <w:sz w:val="18"/>
                <w:szCs w:val="18"/>
              </w:rPr>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履行上述承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诺及招股说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明书的其他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承诺事项，给</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投资者造成</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损失的，依法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赔偿投资者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pacing w:val="-5"/>
                <w:sz w:val="18"/>
                <w:szCs w:val="18"/>
              </w:rPr>
              <w:t>）公</w:t>
            </w:r>
            <w:r>
              <w:rPr>
                <w:rFonts w:ascii="宋体" w:hAnsi="宋体" w:cs="宋体" w:eastAsia="宋体" w:hint="default"/>
                <w:sz w:val="18"/>
                <w:szCs w:val="18"/>
              </w:rPr>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司未履行上</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7.203003pt;margin-top:72.47998pt;width:79.95pt;height:686.5pt;mso-position-horizontal-relative:page;mso-position-vertical-relative:page;z-index:-12057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4"/>
                      <w:szCs w:val="24"/>
                    </w:rPr>
                  </w:pPr>
                </w:p>
                <w:p>
                  <w:pPr>
                    <w:pStyle w:val="BodyText"/>
                    <w:spacing w:line="240" w:lineRule="auto"/>
                    <w:ind w:left="0" w:right="0"/>
                    <w:jc w:val="left"/>
                  </w:pPr>
                  <w:r>
                    <w:rPr/>
                    <w:t>（三）</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述承诺及招</w:t>
            </w:r>
          </w:p>
        </w:tc>
        <w:tc>
          <w:tcPr>
            <w:tcW w:w="1127" w:type="dxa"/>
            <w:vMerge w:val="restart"/>
            <w:tcBorders>
              <w:top w:val="single" w:sz="4" w:space="0" w:color="000000"/>
              <w:left w:val="single" w:sz="4" w:space="0" w:color="000000"/>
              <w:right w:val="single" w:sz="4" w:space="0" w:color="000000"/>
            </w:tcBorders>
          </w:tcPr>
          <w:p>
            <w:pPr>
              <w:pStyle w:val="TableParagraph"/>
              <w:spacing w:line="13729"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股说明书的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其他承诺事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项，给投资者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造成损失的，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将依法承担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连带赔偿责</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w:t>
            </w:r>
            <w:r>
              <w:rPr>
                <w:rFonts w:ascii="Times New Roman" w:hAnsi="Times New Roman" w:cs="Times New Roman" w:eastAsia="Times New Roman" w:hint="default"/>
                <w:sz w:val="18"/>
                <w:szCs w:val="18"/>
              </w:rPr>
              <w:t>2</w:t>
            </w:r>
            <w:r>
              <w:rPr>
                <w:rFonts w:ascii="宋体" w:hAnsi="宋体" w:cs="宋体" w:eastAsia="宋体" w:hint="default"/>
                <w:sz w:val="18"/>
                <w:szCs w:val="18"/>
              </w:rPr>
              <w:t>、如本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人因不可抗</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力原因导致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未能履行公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开承诺事项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的，需提出新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的承诺并接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受如下约束</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措施，直至新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的承诺履行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完毕或相应</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补救措施实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施完毕</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及中国证监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会指定的披</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露媒体上公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开说明未履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行的原因、具</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体情况和相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关约束性措</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施并向股东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和社会公众</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投资者道歉；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究将投资者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利益损失降</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低到最小的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处理方案，尽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可能地保护</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本公司投资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者利益。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独立董事顾</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嘉勇、何敏、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张力如未能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履行、确已无</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法履行或无</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5.200012pt;margin-top:72.47998pt;width:61.95pt;height:686.5pt;mso-position-horizontal-relative:page;mso-position-vertical-relative:page;z-index:-12056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2"/>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法按期履行</w:t>
            </w:r>
          </w:p>
        </w:tc>
        <w:tc>
          <w:tcPr>
            <w:tcW w:w="1127" w:type="dxa"/>
            <w:vMerge w:val="restart"/>
            <w:tcBorders>
              <w:top w:val="single" w:sz="4" w:space="0" w:color="000000"/>
              <w:left w:val="single" w:sz="4" w:space="0" w:color="000000"/>
              <w:right w:val="single" w:sz="4" w:space="0" w:color="000000"/>
            </w:tcBorders>
          </w:tcPr>
          <w:p>
            <w:pPr>
              <w:pStyle w:val="TableParagraph"/>
              <w:spacing w:line="13729"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其在招股说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明书中所作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出的相关承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诺，其将采取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如下措施：</w:t>
            </w:r>
            <w:r>
              <w:rPr>
                <w:rFonts w:ascii="Times New Roman" w:hAnsi="Times New Roman" w:cs="Times New Roman" w:eastAsia="Times New Roman" w:hint="default"/>
                <w:sz w:val="18"/>
                <w:szCs w:val="18"/>
              </w:rPr>
              <w:t>1</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如本人非因</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不可抗力原</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因导致未能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履行公开承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诺事项的，需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提出新的承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诺并接受如</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下约束措施，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直至新的承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诺履行完毕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或相应补救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措施实施完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在股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东大会及中</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国证监会指</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定的披露媒</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体上公开说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明未履行的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原因、具体情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况和相关约</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束性措施并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向股东和社</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会公众投资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者道歉</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可以职务变</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更但不得主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动要求离职；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）主动申</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请调减或停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发薪酬或津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贴</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如果</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因未履行相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关承诺事项</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而获得收益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的，所获收益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归公司所有，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并在获得收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益的五个工</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作日内将所</w:t>
            </w:r>
          </w:p>
        </w:tc>
        <w:tc>
          <w:tcPr>
            <w:tcW w:w="1127"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获收益支付</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给公司指定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账户</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5"/>
                <w:sz w:val="18"/>
                <w:szCs w:val="18"/>
              </w:rPr>
              <w:t>）本</w:t>
            </w:r>
            <w:r>
              <w:rPr>
                <w:rFonts w:ascii="宋体" w:hAnsi="宋体" w:cs="宋体" w:eastAsia="宋体" w:hint="default"/>
                <w:sz w:val="18"/>
                <w:szCs w:val="18"/>
              </w:rPr>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人未履行上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述承诺及招</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股说明书的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其他承诺事</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项，给投资者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造成损失的，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依法赔偿投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资者损失；</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）公司未</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履行上述承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诺及招股说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明书的其他</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承诺事项，给</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投资者造成</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损失的，本人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依法承担连</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带赔偿责任。</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、如本人因</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不可抗力原</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因导致未能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履行公开承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诺事项的，需</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提出新的承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诺并接受如</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下约束措施，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直至新的承</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诺履行完毕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或相应补救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措施实施完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在股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东大会及中</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国证监会指</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定的披露媒</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体上公开说</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明未履行的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原因、具体情</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况和相关约</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束性措施并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向股东和社</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会公众投资</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5.200012pt;margin-top:72.47998pt;width:61.95pt;height:672.9pt;mso-position-horizontal-relative:page;mso-position-vertical-relative:page;z-index:-12056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者道歉</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7" w:type="dxa"/>
            <w:vMerge w:val="restart"/>
            <w:tcBorders>
              <w:top w:val="single" w:sz="4" w:space="0" w:color="000000"/>
              <w:left w:val="single" w:sz="4" w:space="0" w:color="000000"/>
              <w:right w:val="single" w:sz="4" w:space="0" w:color="000000"/>
            </w:tcBorders>
          </w:tcPr>
          <w:p>
            <w:pPr>
              <w:pStyle w:val="TableParagraph"/>
              <w:spacing w:line="13458"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8"/>
                <w:sz w:val="20"/>
                <w:szCs w:val="20"/>
              </w:rPr>
              <w:pict>
                <v:group style="width:55.8pt;height:672.9pt;mso-position-horizontal-relative:char;mso-position-vertical-relative:line" coordorigin="0,0" coordsize="1116,13458">
                  <v:group style="position:absolute;left:0;top:0;width:1116;height:13458" coordorigin="0,0" coordsize="1116,13458">
                    <v:shape style="position:absolute;left:0;top:0;width:1116;height:13458" coordorigin="0,0" coordsize="1116,13458" path="m0,13458l1116,13458,1116,0,0,0,0,13458xe" filled="true" fillcolor="#ffffff" stroked="false">
                      <v:path arrowok="t"/>
                      <v:fill type="solid"/>
                    </v:shape>
                  </v:group>
                </v:group>
              </w:pict>
            </w:r>
            <w:r>
              <w:rPr>
                <w:rFonts w:ascii="Times New Roman" w:hAnsi="Times New Roman" w:cs="Times New Roman" w:eastAsia="Times New Roman" w:hint="default"/>
                <w:position w:val="-268"/>
                <w:sz w:val="20"/>
                <w:szCs w:val="20"/>
              </w:rPr>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尽快研究将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投资者利益</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损失降低到</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最小的处理</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方案，尽可能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地保护本公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司投资者利</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90"/>
                <w:sz w:val="18"/>
                <w:szCs w:val="18"/>
              </w:rPr>
              <w:t>。</w:t>
            </w:r>
            <w:r>
              <w:rPr>
                <w:rFonts w:ascii="宋体" w:hAnsi="宋体" w:cs="宋体" w:eastAsia="宋体" w:hint="default"/>
                <w:sz w:val="18"/>
                <w:szCs w:val="18"/>
              </w:rPr>
              <w:t>（四）公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司发行前持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东如未能履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行、确已无法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履行或无法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按期履行其</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所作出的减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持意向承诺，</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其将采取如</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下措施：</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及中国证监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会指定的披</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露媒体上公</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开说明未履</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行承诺的原</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因、具体情况</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和相关约束</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性措施并向</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公司股东和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社会公众投</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资者道歉；</w:t>
            </w:r>
            <w:r>
              <w:rPr>
                <w:rFonts w:ascii="Times New Roman" w:hAnsi="Times New Roman" w:cs="Times New Roman" w:eastAsia="Times New Roman" w:hint="default"/>
                <w:sz w:val="18"/>
                <w:szCs w:val="18"/>
              </w:rPr>
              <w:t>2</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转让相关股</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份所取得的</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收益归公司</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w:t>
            </w:r>
            <w:r>
              <w:rPr>
                <w:rFonts w:ascii="Times New Roman" w:hAnsi="Times New Roman" w:cs="Times New Roman" w:eastAsia="Times New Roman" w:hint="default"/>
                <w:sz w:val="18"/>
                <w:szCs w:val="18"/>
              </w:rPr>
              <w:t>3</w:t>
            </w:r>
            <w:r>
              <w:rPr>
                <w:rFonts w:ascii="宋体" w:hAnsi="宋体" w:cs="宋体" w:eastAsia="宋体" w:hint="default"/>
                <w:sz w:val="18"/>
                <w:szCs w:val="18"/>
              </w:rPr>
              <w:t>、如</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未履行减持</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意向，其持有</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自其未履行</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上述减持意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月内不得减</w:t>
            </w: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w:t>
            </w: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813"/>
        <w:gridCol w:w="1137"/>
        <w:gridCol w:w="1126"/>
        <w:gridCol w:w="1127"/>
        <w:gridCol w:w="1126"/>
        <w:gridCol w:w="1121"/>
        <w:gridCol w:w="1096"/>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3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2"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44" w:right="1192"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根据财政部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月发布的《关于修订印发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号），要求执</w:t>
      </w:r>
    </w:p>
    <w:p>
      <w:pPr>
        <w:pStyle w:val="BodyText"/>
        <w:spacing w:line="217" w:lineRule="exact"/>
        <w:ind w:right="0"/>
        <w:jc w:val="left"/>
      </w:pPr>
      <w:r>
        <w:rPr/>
        <w:t>行企业会计准则的非金融企业应当按照企业会计准则和通知要求编制财务报表，对企业财务报表格式进行相应调整，公司对</w:t>
      </w:r>
    </w:p>
    <w:p>
      <w:pPr>
        <w:pStyle w:val="BodyText"/>
        <w:spacing w:line="240" w:lineRule="auto" w:before="77"/>
        <w:ind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日财务报表列报进行相应调整。</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44" w:right="1118" w:hanging="29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w w:val="100"/>
        </w:rPr>
        <w:t>本公司报告期新增一家合并单位</w:t>
      </w:r>
      <w:r>
        <w:rPr>
          <w:rFonts w:ascii="Times New Roman" w:hAnsi="Times New Roman" w:cs="Times New Roman" w:eastAsia="Times New Roman" w:hint="default"/>
          <w:spacing w:val="-2"/>
          <w:w w:val="100"/>
        </w:rPr>
        <w:t>“</w:t>
      </w:r>
      <w:r>
        <w:rPr>
          <w:spacing w:val="-2"/>
          <w:w w:val="100"/>
        </w:rPr>
        <w:t>深圳前海乐寻坊区块链科技有限公司</w:t>
      </w:r>
      <w:r>
        <w:rPr>
          <w:rFonts w:ascii="Times New Roman" w:hAnsi="Times New Roman" w:cs="Times New Roman" w:eastAsia="Times New Roman" w:hint="default"/>
          <w:spacing w:val="-2"/>
          <w:w w:val="100"/>
        </w:rPr>
        <w:t>”</w:t>
      </w:r>
      <w:r>
        <w:rPr>
          <w:spacing w:val="-2"/>
          <w:w w:val="100"/>
        </w:rPr>
        <w:t>，是由深圳四方精创资讯股份有限公司于</w:t>
      </w:r>
      <w:r>
        <w:rPr>
          <w:rFonts w:ascii="Times New Roman" w:hAnsi="Times New Roman" w:cs="Times New Roman" w:eastAsia="Times New Roman" w:hint="default"/>
          <w:spacing w:val="-2"/>
          <w:w w:val="100"/>
        </w:rPr>
        <w:t>2018</w:t>
      </w:r>
      <w:r>
        <w:rPr>
          <w:spacing w:val="-2"/>
          <w:w w:val="100"/>
        </w:rPr>
        <w:t>年</w:t>
      </w:r>
      <w:r>
        <w:rPr>
          <w:rFonts w:ascii="Times New Roman" w:hAnsi="Times New Roman" w:cs="Times New Roman" w:eastAsia="Times New Roman" w:hint="default"/>
          <w:spacing w:val="-2"/>
          <w:w w:val="100"/>
        </w:rPr>
        <w:t>8</w:t>
      </w:r>
    </w:p>
    <w:p>
      <w:pPr>
        <w:pStyle w:val="BodyText"/>
        <w:spacing w:line="231" w:lineRule="exact"/>
        <w:ind w:right="0"/>
        <w:jc w:val="left"/>
      </w:pPr>
      <w:r>
        <w:rPr/>
        <w:t>月</w:t>
      </w:r>
      <w:r>
        <w:rPr>
          <w:rFonts w:ascii="Times New Roman" w:hAnsi="Times New Roman" w:cs="Times New Roman" w:eastAsia="Times New Roman" w:hint="default"/>
        </w:rPr>
        <w:t>15</w:t>
      </w:r>
      <w:r>
        <w:rPr/>
        <w:t>日在深圳登记设立，截止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日，实缴注册资本为人民币</w:t>
      </w:r>
      <w:r>
        <w:rPr>
          <w:rFonts w:ascii="Times New Roman" w:hAnsi="Times New Roman" w:cs="Times New Roman" w:eastAsia="Times New Roman" w:hint="default"/>
        </w:rPr>
        <w:t>200</w:t>
      </w:r>
      <w:r>
        <w:rPr/>
        <w:t>万元。</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吉争雄、杨诗学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332" w:hRule="exact"/>
        </w:trPr>
        <w:tc>
          <w:tcPr>
            <w:tcW w:w="4792" w:type="dxa"/>
            <w:tcBorders>
              <w:top w:val="nil" w:sz="6" w:space="0" w:color="auto"/>
              <w:left w:val="nil" w:sz="6" w:space="0" w:color="auto"/>
              <w:bottom w:val="single" w:sz="4" w:space="0" w:color="000000"/>
              <w:right w:val="nil" w:sz="6" w:space="0" w:color="auto"/>
            </w:tcBorders>
          </w:tcPr>
          <w:p>
            <w:pPr/>
          </w:p>
        </w:tc>
        <w:tc>
          <w:tcPr>
            <w:tcW w:w="4777"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0"/>
        <w:jc w:val="both"/>
      </w:pPr>
      <w:r>
        <w:rPr/>
        <w:pict>
          <v:group style="position:absolute;margin-left:55.200001pt;margin-top:-36.978271pt;width:485pt;height:.1pt;mso-position-horizontal-relative:page;mso-position-vertical-relative:paragraph;z-index:-1205584" coordorigin="1104,-740" coordsize="9700,2">
            <v:shape style="position:absolute;left:1104;top:-740;width:9700;height:2" coordorigin="1104,-740" coordsize="9700,0" path="m1104,-740l10804,-740e" filled="false" stroked="true" strokeweight=".72pt" strokecolor="#000000">
              <v:path arrowok="t"/>
            </v:shape>
            <w10:wrap type="none"/>
          </v:group>
        </w:pict>
      </w:r>
      <w:r>
        <w:rPr/>
        <w:t>是否改聘会计师事务所</w:t>
      </w:r>
    </w:p>
    <w:p>
      <w:pPr>
        <w:pStyle w:val="BodyText"/>
        <w:spacing w:line="338" w:lineRule="auto" w:before="11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日，公司召开第二届董事会第二十八次会议，审议通过了《关于向激励对象授予预留限制性股票的议案》，</w:t>
      </w:r>
    </w:p>
    <w:p>
      <w:pPr>
        <w:pStyle w:val="BodyText"/>
        <w:spacing w:line="240" w:lineRule="auto" w:before="63"/>
        <w:ind w:right="0"/>
        <w:jc w:val="both"/>
      </w:pPr>
      <w:r>
        <w:rPr>
          <w:rFonts w:ascii="Times New Roman" w:hAnsi="Times New Roman" w:cs="Times New Roman" w:eastAsia="Times New Roman" w:hint="default"/>
          <w:spacing w:val="2"/>
        </w:rPr>
        <w:t>2016</w:t>
      </w:r>
      <w:r>
        <w:rPr>
          <w:spacing w:val="2"/>
        </w:rPr>
        <w:t>年限制性股票激励计划规定的预留限制性股票的授予条件已经成就，确定</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16</w:t>
      </w:r>
      <w:r>
        <w:rPr>
          <w:spacing w:val="2"/>
        </w:rPr>
        <w:t>日为授予日，授予价格为每股</w:t>
      </w:r>
    </w:p>
    <w:p>
      <w:pPr>
        <w:pStyle w:val="BodyText"/>
        <w:spacing w:line="240" w:lineRule="auto" w:before="63"/>
        <w:ind w:right="0"/>
        <w:jc w:val="both"/>
      </w:pPr>
      <w:r>
        <w:rPr>
          <w:rFonts w:ascii="Times New Roman" w:hAnsi="Times New Roman" w:cs="Times New Roman" w:eastAsia="Times New Roman" w:hint="default"/>
        </w:rPr>
        <w:t>23.82</w:t>
      </w:r>
      <w:r>
        <w:rPr/>
        <w:t>元，授予</w:t>
      </w:r>
      <w:r>
        <w:rPr>
          <w:rFonts w:ascii="Times New Roman" w:hAnsi="Times New Roman" w:cs="Times New Roman" w:eastAsia="Times New Roman" w:hint="default"/>
        </w:rPr>
        <w:t>2</w:t>
      </w:r>
      <w:r>
        <w:rPr/>
        <w:t>名激励对象</w:t>
      </w:r>
      <w:r>
        <w:rPr>
          <w:rFonts w:ascii="Times New Roman" w:hAnsi="Times New Roman" w:cs="Times New Roman" w:eastAsia="Times New Roman" w:hint="default"/>
        </w:rPr>
        <w:t>276,000</w:t>
      </w:r>
      <w:r>
        <w:rPr/>
        <w:t>股限制性股票。</w:t>
      </w:r>
    </w:p>
    <w:p>
      <w:pPr>
        <w:pStyle w:val="BodyText"/>
        <w:spacing w:line="240" w:lineRule="auto" w:before="63"/>
        <w:ind w:right="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日，公司召开第三届董事会第二次会议，审议通过了《关于回购注销部分已授予限制性股票的议案》，根据</w:t>
      </w:r>
    </w:p>
    <w:p>
      <w:pPr>
        <w:pStyle w:val="BodyText"/>
        <w:spacing w:line="302" w:lineRule="auto" w:before="63"/>
        <w:ind w:right="1129"/>
        <w:jc w:val="both"/>
        <w:rPr>
          <w:rFonts w:ascii="Times New Roman" w:hAnsi="Times New Roman" w:cs="Times New Roman" w:eastAsia="Times New Roman" w:hint="default"/>
        </w:rPr>
      </w:pPr>
      <w:r>
        <w:rPr>
          <w:spacing w:val="-2"/>
        </w:rPr>
        <w:t>《深圳四方精创资讯股份有限公司限制性股票激励计划（草案）》，公司向离职员工回购注销其已获授但未解锁的全部限制</w:t>
      </w:r>
      <w:r>
        <w:rPr>
          <w:spacing w:val="-66"/>
        </w:rPr>
        <w:t> </w:t>
      </w:r>
      <w:r>
        <w:rPr>
          <w:spacing w:val="-66"/>
        </w:rPr>
      </w:r>
      <w:r>
        <w:rPr/>
        <w:t>性股票</w:t>
      </w:r>
      <w:r>
        <w:rPr>
          <w:rFonts w:ascii="Times New Roman" w:hAnsi="Times New Roman" w:cs="Times New Roman" w:eastAsia="Times New Roman" w:hint="default"/>
        </w:rPr>
        <w:t>31,220</w:t>
      </w:r>
      <w:r>
        <w:rPr/>
        <w:t>股，回购价格为授予价格人民币</w:t>
      </w:r>
      <w:r>
        <w:rPr>
          <w:rFonts w:ascii="Times New Roman" w:hAnsi="Times New Roman" w:cs="Times New Roman" w:eastAsia="Times New Roman" w:hint="default"/>
        </w:rPr>
        <w:t>25.59</w:t>
      </w:r>
      <w:r>
        <w:rPr/>
        <w:t>元</w:t>
      </w:r>
      <w:r>
        <w:rPr>
          <w:rFonts w:ascii="Times New Roman" w:hAnsi="Times New Roman" w:cs="Times New Roman" w:eastAsia="Times New Roman" w:hint="default"/>
        </w:rPr>
        <w:t>/</w:t>
      </w:r>
      <w:r>
        <w:rPr/>
        <w:t>股；根据《深圳四方精创资讯股份有限公司</w:t>
      </w:r>
      <w:r>
        <w:rPr>
          <w:rFonts w:ascii="Times New Roman" w:hAnsi="Times New Roman" w:cs="Times New Roman" w:eastAsia="Times New Roman" w:hint="default"/>
        </w:rPr>
        <w:t>2016</w:t>
      </w:r>
      <w:r>
        <w:rPr/>
        <w:t>年限制性股票激励计</w:t>
      </w:r>
      <w:r>
        <w:rPr>
          <w:spacing w:val="-49"/>
        </w:rPr>
        <w:t> </w:t>
      </w:r>
      <w:r>
        <w:rPr>
          <w:spacing w:val="-49"/>
        </w:rPr>
      </w:r>
      <w:r>
        <w:rPr/>
        <w:t>划（草案）》，公司向离职员工回购注销其已获授但未解锁的全部限制性股票</w:t>
      </w:r>
      <w:r>
        <w:rPr>
          <w:rFonts w:ascii="Times New Roman" w:hAnsi="Times New Roman" w:cs="Times New Roman" w:eastAsia="Times New Roman" w:hint="default"/>
        </w:rPr>
        <w:t>24,200</w:t>
      </w:r>
      <w:r>
        <w:rPr/>
        <w:t>股，回购价格为授予价格人民币</w:t>
      </w:r>
      <w:r>
        <w:rPr>
          <w:rFonts w:ascii="Times New Roman" w:hAnsi="Times New Roman" w:cs="Times New Roman" w:eastAsia="Times New Roman" w:hint="default"/>
        </w:rPr>
        <w:t>28.90 </w:t>
      </w:r>
      <w:r>
        <w:rPr/>
        <w:t>元</w:t>
      </w:r>
      <w:r>
        <w:rPr>
          <w:rFonts w:ascii="Times New Roman" w:hAnsi="Times New Roman" w:cs="Times New Roman" w:eastAsia="Times New Roman" w:hint="default"/>
        </w:rPr>
        <w:t>/</w:t>
      </w:r>
      <w:r>
        <w:rPr/>
        <w:t>股；根据《深圳四方精创资讯股份有限公司</w:t>
      </w:r>
      <w:r>
        <w:rPr>
          <w:rFonts w:ascii="Times New Roman" w:hAnsi="Times New Roman" w:cs="Times New Roman" w:eastAsia="Times New Roman" w:hint="default"/>
        </w:rPr>
        <w:t>2017</w:t>
      </w:r>
      <w:r>
        <w:rPr/>
        <w:t>年限制性股票激励计划（草案）》，公司向离职员工回购注销其已获授</w:t>
      </w:r>
      <w:r>
        <w:rPr>
          <w:spacing w:val="-47"/>
        </w:rPr>
        <w:t> </w:t>
      </w:r>
      <w:r>
        <w:rPr>
          <w:spacing w:val="-47"/>
        </w:rPr>
      </w:r>
      <w:r>
        <w:rPr/>
        <w:t>但未解锁的全部限制性股票</w:t>
      </w:r>
      <w:r>
        <w:rPr>
          <w:rFonts w:ascii="Times New Roman" w:hAnsi="Times New Roman" w:cs="Times New Roman" w:eastAsia="Times New Roman" w:hint="default"/>
        </w:rPr>
        <w:t>13,300</w:t>
      </w:r>
      <w:r>
        <w:rPr/>
        <w:t>股，回购价格为授予价格人民币</w:t>
      </w:r>
      <w:r>
        <w:rPr>
          <w:rFonts w:ascii="Times New Roman" w:hAnsi="Times New Roman" w:cs="Times New Roman" w:eastAsia="Times New Roman" w:hint="default"/>
        </w:rPr>
        <w:t>21.26</w:t>
      </w:r>
      <w:r>
        <w:rPr/>
        <w:t>元</w:t>
      </w:r>
      <w:r>
        <w:rPr>
          <w:rFonts w:ascii="Times New Roman" w:hAnsi="Times New Roman" w:cs="Times New Roman" w:eastAsia="Times New Roman" w:hint="default"/>
        </w:rPr>
        <w:t>/</w:t>
      </w:r>
      <w:r>
        <w:rPr/>
        <w:t>股。审议通过了《关于</w:t>
      </w:r>
      <w:r>
        <w:rPr>
          <w:rFonts w:ascii="Times New Roman" w:hAnsi="Times New Roman" w:cs="Times New Roman" w:eastAsia="Times New Roman" w:hint="default"/>
        </w:rPr>
        <w:t>2015</w:t>
      </w:r>
      <w:r>
        <w:rPr/>
        <w:t>年限制性股票激励计</w:t>
      </w:r>
      <w:r>
        <w:rPr>
          <w:spacing w:val="-50"/>
        </w:rPr>
        <w:t> </w:t>
      </w:r>
      <w:r>
        <w:rPr>
          <w:spacing w:val="-50"/>
        </w:rPr>
      </w:r>
      <w:r>
        <w:rPr/>
        <w:t>划首次授予部分第二个解锁期解锁条件成就的议案》，解锁符合解锁条件的激励对象</w:t>
      </w:r>
      <w:r>
        <w:rPr>
          <w:rFonts w:ascii="Times New Roman" w:hAnsi="Times New Roman" w:cs="Times New Roman" w:eastAsia="Times New Roman" w:hint="default"/>
        </w:rPr>
        <w:t>129</w:t>
      </w:r>
      <w:r>
        <w:rPr/>
        <w:t>名，解锁数量为</w:t>
      </w:r>
      <w:r>
        <w:rPr>
          <w:rFonts w:ascii="Times New Roman" w:hAnsi="Times New Roman" w:cs="Times New Roman" w:eastAsia="Times New Roman" w:hint="default"/>
        </w:rPr>
        <w:t>1,147,740</w:t>
      </w:r>
      <w:r>
        <w:rPr/>
        <w:t>股。审议</w:t>
      </w:r>
      <w:r>
        <w:rPr>
          <w:spacing w:val="-85"/>
        </w:rPr>
        <w:t> </w:t>
      </w:r>
      <w:r>
        <w:rPr/>
        <w:t>通过了《关于</w:t>
      </w:r>
      <w:r>
        <w:rPr>
          <w:rFonts w:ascii="Times New Roman" w:hAnsi="Times New Roman" w:cs="Times New Roman" w:eastAsia="Times New Roman" w:hint="default"/>
        </w:rPr>
        <w:t>2015</w:t>
      </w:r>
      <w:r>
        <w:rPr/>
        <w:t>年限制性股票激励计划预留部分第一个解锁期解锁条件成就的议案》，同意对符合解锁条件的激励对象</w:t>
      </w:r>
      <w:r>
        <w:rPr>
          <w:rFonts w:ascii="Times New Roman" w:hAnsi="Times New Roman" w:cs="Times New Roman" w:eastAsia="Times New Roman" w:hint="default"/>
        </w:rPr>
        <w:t>1</w:t>
      </w:r>
    </w:p>
    <w:p>
      <w:pPr>
        <w:spacing w:after="0" w:line="302" w:lineRule="auto"/>
        <w:jc w:val="both"/>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5"/>
        <w:rPr>
          <w:rFonts w:ascii="Times New Roman" w:hAnsi="Times New Roman" w:cs="Times New Roman" w:eastAsia="Times New Roman" w:hint="default"/>
          <w:sz w:val="24"/>
          <w:szCs w:val="24"/>
        </w:rPr>
      </w:pPr>
    </w:p>
    <w:p>
      <w:pPr>
        <w:pStyle w:val="BodyText"/>
        <w:spacing w:line="300" w:lineRule="auto" w:before="44"/>
        <w:ind w:right="1028"/>
        <w:jc w:val="left"/>
      </w:pPr>
      <w:r>
        <w:rPr>
          <w:spacing w:val="-4"/>
        </w:rPr>
        <w:t>名，解锁数量为</w:t>
      </w:r>
      <w:r>
        <w:rPr>
          <w:rFonts w:ascii="Times New Roman" w:hAnsi="Times New Roman" w:cs="Times New Roman" w:eastAsia="Times New Roman" w:hint="default"/>
          <w:spacing w:val="-4"/>
        </w:rPr>
        <w:t>215,000</w:t>
      </w:r>
      <w:r>
        <w:rPr>
          <w:spacing w:val="-4"/>
        </w:rPr>
        <w:t>股。审议通过了《关于</w:t>
      </w:r>
      <w:r>
        <w:rPr>
          <w:rFonts w:ascii="Times New Roman" w:hAnsi="Times New Roman" w:cs="Times New Roman" w:eastAsia="Times New Roman" w:hint="default"/>
          <w:spacing w:val="-4"/>
        </w:rPr>
        <w:t>2016</w:t>
      </w:r>
      <w:r>
        <w:rPr>
          <w:spacing w:val="-4"/>
        </w:rPr>
        <w:t>年限制性股票激励计划首次授予部分第一个解锁期解锁条件成就的议案》，</w:t>
      </w:r>
      <w:r>
        <w:rPr>
          <w:spacing w:val="-64"/>
        </w:rPr>
        <w:t> </w:t>
      </w:r>
      <w:r>
        <w:rPr>
          <w:spacing w:val="-64"/>
        </w:rPr>
      </w:r>
      <w:r>
        <w:rPr/>
        <w:t>同意对符合解锁条件的激励对象</w:t>
      </w:r>
      <w:r>
        <w:rPr>
          <w:rFonts w:ascii="Times New Roman" w:hAnsi="Times New Roman" w:cs="Times New Roman" w:eastAsia="Times New Roman" w:hint="default"/>
        </w:rPr>
        <w:t>140</w:t>
      </w:r>
      <w:r>
        <w:rPr/>
        <w:t>名，解锁数量为</w:t>
      </w:r>
      <w:r>
        <w:rPr>
          <w:rFonts w:ascii="Times New Roman" w:hAnsi="Times New Roman" w:cs="Times New Roman" w:eastAsia="Times New Roman" w:hint="default"/>
        </w:rPr>
        <w:t>311,340</w:t>
      </w:r>
      <w:r>
        <w:rPr/>
        <w:t>股。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日，公司召开第三届董事会第七次会议，审议通过了《关于回购注销部分已授予限制性股票的议案》，根据</w:t>
      </w:r>
      <w:r>
        <w:rPr>
          <w:spacing w:val="-58"/>
        </w:rPr>
        <w:t> </w:t>
      </w:r>
      <w:r>
        <w:rPr>
          <w:spacing w:val="-58"/>
        </w:rPr>
      </w:r>
      <w:r>
        <w:rPr/>
        <w:t>公司《</w:t>
      </w:r>
      <w:r>
        <w:rPr>
          <w:rFonts w:ascii="Times New Roman" w:hAnsi="Times New Roman" w:cs="Times New Roman" w:eastAsia="Times New Roman" w:hint="default"/>
        </w:rPr>
        <w:t>2015</w:t>
      </w:r>
      <w:r>
        <w:rPr/>
        <w:t>年限制性股票激励计划（草案）》，公司向离职员工回购注销其已获授但未解锁的全部限制性股票</w:t>
      </w:r>
      <w:r>
        <w:rPr>
          <w:rFonts w:ascii="Times New Roman" w:hAnsi="Times New Roman" w:cs="Times New Roman" w:eastAsia="Times New Roman" w:hint="default"/>
        </w:rPr>
        <w:t>50,846</w:t>
      </w:r>
      <w:r>
        <w:rPr/>
        <w:t>股，回 购价格为人民币</w:t>
      </w:r>
      <w:r>
        <w:rPr>
          <w:rFonts w:ascii="Times New Roman" w:hAnsi="Times New Roman" w:cs="Times New Roman" w:eastAsia="Times New Roman" w:hint="default"/>
        </w:rPr>
        <w:t>14.2126</w:t>
      </w:r>
      <w:r>
        <w:rPr/>
        <w:t>元</w:t>
      </w:r>
      <w:r>
        <w:rPr>
          <w:rFonts w:ascii="Times New Roman" w:hAnsi="Times New Roman" w:cs="Times New Roman" w:eastAsia="Times New Roman" w:hint="default"/>
        </w:rPr>
        <w:t>/</w:t>
      </w:r>
      <w:r>
        <w:rPr/>
        <w:t>股；根据公司《</w:t>
      </w:r>
      <w:r>
        <w:rPr>
          <w:rFonts w:ascii="Times New Roman" w:hAnsi="Times New Roman" w:cs="Times New Roman" w:eastAsia="Times New Roman" w:hint="default"/>
        </w:rPr>
        <w:t>2016</w:t>
      </w:r>
      <w:r>
        <w:rPr/>
        <w:t>年限制性股票激励计划（草案）》，公司向离职员工回购注销其已获授但未 解锁的全部限制性股票</w:t>
      </w:r>
      <w:r>
        <w:rPr>
          <w:rFonts w:ascii="Times New Roman" w:hAnsi="Times New Roman" w:cs="Times New Roman" w:eastAsia="Times New Roman" w:hint="default"/>
        </w:rPr>
        <w:t>179,854</w:t>
      </w:r>
      <w:r>
        <w:rPr/>
        <w:t>股，回购价格为人民币</w:t>
      </w:r>
      <w:r>
        <w:rPr>
          <w:rFonts w:ascii="Times New Roman" w:hAnsi="Times New Roman" w:cs="Times New Roman" w:eastAsia="Times New Roman" w:hint="default"/>
        </w:rPr>
        <w:t>16.0510</w:t>
      </w:r>
      <w:r>
        <w:rPr/>
        <w:t>元</w:t>
      </w:r>
      <w:r>
        <w:rPr>
          <w:rFonts w:ascii="Times New Roman" w:hAnsi="Times New Roman" w:cs="Times New Roman" w:eastAsia="Times New Roman" w:hint="default"/>
        </w:rPr>
        <w:t>/</w:t>
      </w:r>
      <w:r>
        <w:rPr/>
        <w:t>股；根据公司《</w:t>
      </w:r>
      <w:r>
        <w:rPr>
          <w:rFonts w:ascii="Times New Roman" w:hAnsi="Times New Roman" w:cs="Times New Roman" w:eastAsia="Times New Roman" w:hint="default"/>
        </w:rPr>
        <w:t>2017</w:t>
      </w:r>
      <w:r>
        <w:rPr/>
        <w:t>年限制性股票激励计划（草案）》，公 司向离职员工回购注销其已获授但未解锁的全部限制性股票</w:t>
      </w:r>
      <w:r>
        <w:rPr>
          <w:rFonts w:ascii="Times New Roman" w:hAnsi="Times New Roman" w:cs="Times New Roman" w:eastAsia="Times New Roman" w:hint="default"/>
        </w:rPr>
        <w:t>109,291</w:t>
      </w:r>
      <w:r>
        <w:rPr/>
        <w:t>股，回购价格为人民币</w:t>
      </w:r>
      <w:r>
        <w:rPr>
          <w:rFonts w:ascii="Times New Roman" w:hAnsi="Times New Roman" w:cs="Times New Roman" w:eastAsia="Times New Roman" w:hint="default"/>
        </w:rPr>
        <w:t>11.8077</w:t>
      </w:r>
      <w:r>
        <w:rPr/>
        <w:t>元</w:t>
      </w:r>
      <w:r>
        <w:rPr>
          <w:rFonts w:ascii="Times New Roman" w:hAnsi="Times New Roman" w:cs="Times New Roman" w:eastAsia="Times New Roman" w:hint="default"/>
        </w:rPr>
        <w:t>/</w:t>
      </w:r>
      <w:r>
        <w:rPr/>
        <w:t>股。审议通过《关于取 </w:t>
      </w:r>
      <w:r>
        <w:rPr>
          <w:spacing w:val="-2"/>
        </w:rPr>
        <w:t>消授予</w:t>
      </w:r>
      <w:r>
        <w:rPr>
          <w:rFonts w:ascii="Times New Roman" w:hAnsi="Times New Roman" w:cs="Times New Roman" w:eastAsia="Times New Roman" w:hint="default"/>
          <w:spacing w:val="-2"/>
        </w:rPr>
        <w:t>2017</w:t>
      </w:r>
      <w:r>
        <w:rPr>
          <w:spacing w:val="-2"/>
        </w:rPr>
        <w:t>年限制性股票激励计划预留限制性股票的议案》，公司在预留限制性股票授予期限内没有满足可授予限制性股票</w:t>
      </w:r>
      <w:r>
        <w:rPr>
          <w:spacing w:val="-60"/>
        </w:rPr>
        <w:t> </w:t>
      </w:r>
      <w:r>
        <w:rPr>
          <w:spacing w:val="-60"/>
        </w:rPr>
      </w:r>
      <w:r>
        <w:rPr/>
        <w:t>条件的潜在激励对象，因此公司取消授予预留的限制性股票</w:t>
      </w:r>
      <w:r>
        <w:rPr>
          <w:rFonts w:ascii="Times New Roman" w:hAnsi="Times New Roman" w:cs="Times New Roman" w:eastAsia="Times New Roman" w:hint="default"/>
        </w:rPr>
        <w:t>63.32</w:t>
      </w:r>
      <w:r>
        <w:rPr/>
        <w:t>万股。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日，公司召开第三届董事会第九次会议，审议通过了《关于回购注销部分已授予限制性股票的议案》，根</w:t>
      </w:r>
      <w:r>
        <w:rPr>
          <w:spacing w:val="-83"/>
        </w:rPr>
        <w:t> </w:t>
      </w:r>
      <w:r>
        <w:rPr>
          <w:spacing w:val="-83"/>
        </w:rPr>
      </w:r>
      <w:r>
        <w:rPr>
          <w:spacing w:val="-2"/>
        </w:rPr>
        <w:t>据公司《深圳四方精创资讯股份有限公司</w:t>
      </w:r>
      <w:r>
        <w:rPr>
          <w:rFonts w:ascii="Times New Roman" w:hAnsi="Times New Roman" w:cs="Times New Roman" w:eastAsia="Times New Roman" w:hint="default"/>
          <w:spacing w:val="-2"/>
        </w:rPr>
        <w:t>2017</w:t>
      </w:r>
      <w:r>
        <w:rPr>
          <w:spacing w:val="-2"/>
        </w:rPr>
        <w:t>年限制性股票激励计划（草案）》，公司回购注销已不具备激励对象资格的激</w:t>
      </w:r>
      <w:r>
        <w:rPr>
          <w:spacing w:val="-62"/>
        </w:rPr>
        <w:t> </w:t>
      </w:r>
      <w:r>
        <w:rPr>
          <w:spacing w:val="-62"/>
        </w:rPr>
      </w:r>
      <w:r>
        <w:rPr/>
        <w:t>励对象已获授但未解锁的全部限制性股票</w:t>
      </w:r>
      <w:r>
        <w:rPr>
          <w:rFonts w:ascii="Times New Roman" w:hAnsi="Times New Roman" w:cs="Times New Roman" w:eastAsia="Times New Roman" w:hint="default"/>
        </w:rPr>
        <w:t>61,217</w:t>
      </w:r>
      <w:r>
        <w:rPr/>
        <w:t>股，回购价格为人民币</w:t>
      </w:r>
      <w:r>
        <w:rPr>
          <w:rFonts w:ascii="Times New Roman" w:hAnsi="Times New Roman" w:cs="Times New Roman" w:eastAsia="Times New Roman" w:hint="default"/>
        </w:rPr>
        <w:t>11.8077</w:t>
      </w:r>
      <w:r>
        <w:rPr/>
        <w:t>元</w:t>
      </w:r>
      <w:r>
        <w:rPr>
          <w:rFonts w:ascii="Times New Roman" w:hAnsi="Times New Roman" w:cs="Times New Roman" w:eastAsia="Times New Roman" w:hint="default"/>
        </w:rPr>
        <w:t>/</w:t>
      </w:r>
      <w:r>
        <w:rPr/>
        <w:t>股。审议通过了《关于 </w:t>
      </w:r>
      <w:r>
        <w:rPr>
          <w:rFonts w:ascii="Times New Roman" w:hAnsi="Times New Roman" w:cs="Times New Roman" w:eastAsia="Times New Roman" w:hint="default"/>
        </w:rPr>
        <w:t>2017 </w:t>
      </w:r>
      <w:r>
        <w:rPr/>
        <w:t>年限制性股</w:t>
      </w:r>
      <w:r>
        <w:rPr>
          <w:spacing w:val="-52"/>
        </w:rPr>
        <w:t> </w:t>
      </w:r>
      <w:r>
        <w:rPr>
          <w:spacing w:val="-3"/>
        </w:rPr>
        <w:t>票激励计划首次授予部分第一个解锁期解锁条件成就的议案》，同意对符合解锁条件的激励对象</w:t>
      </w:r>
      <w:r>
        <w:rPr>
          <w:rFonts w:ascii="Times New Roman" w:hAnsi="Times New Roman" w:cs="Times New Roman" w:eastAsia="Times New Roman" w:hint="default"/>
          <w:spacing w:val="-3"/>
        </w:rPr>
        <w:t>158</w:t>
      </w:r>
      <w:r>
        <w:rPr>
          <w:spacing w:val="-3"/>
        </w:rPr>
        <w:t>名，解锁数量为</w:t>
      </w:r>
      <w:r>
        <w:rPr>
          <w:rFonts w:ascii="Times New Roman" w:hAnsi="Times New Roman" w:cs="Times New Roman" w:eastAsia="Times New Roman" w:hint="default"/>
          <w:spacing w:val="-3"/>
        </w:rPr>
        <w:t>1,291,617</w:t>
      </w:r>
      <w:r>
        <w:rPr>
          <w:rFonts w:ascii="Times New Roman" w:hAnsi="Times New Roman" w:cs="Times New Roman" w:eastAsia="Times New Roman" w:hint="default"/>
          <w:spacing w:val="-36"/>
        </w:rPr>
        <w:t> </w:t>
      </w:r>
      <w:r>
        <w:rPr/>
        <w:t>股。</w:t>
      </w:r>
    </w:p>
    <w:p>
      <w:pPr>
        <w:pStyle w:val="BodyText"/>
        <w:spacing w:line="240" w:lineRule="auto" w:before="31"/>
        <w:ind w:right="0"/>
        <w:jc w:val="left"/>
      </w:pPr>
      <w:r>
        <w:rPr/>
        <w:t>相关股权激励事项公司已在临时报告中进行了披露，相关查询索引如下</w:t>
      </w:r>
      <w:r>
        <w:rPr>
          <w:spacing w:val="-16"/>
        </w:rPr>
        <w:t> </w:t>
      </w:r>
      <w:r>
        <w:rPr/>
        <w:t>：</w:t>
      </w:r>
    </w:p>
    <w:p>
      <w:pPr>
        <w:spacing w:line="240" w:lineRule="auto" w:before="11"/>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212"/>
        <w:gridCol w:w="1800"/>
        <w:gridCol w:w="2376"/>
      </w:tblGrid>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关于预留限制性股票授予完成的公告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年第一次临时股东大会的法律意见书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第二届监事会第十一次会议决议公告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独立董事关于向激励对象授予限制性股票相关事项的独立意见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4"/>
              <w:jc w:val="left"/>
              <w:rPr>
                <w:rFonts w:ascii="宋体" w:hAnsi="宋体" w:cs="宋体" w:eastAsia="宋体" w:hint="default"/>
                <w:sz w:val="18"/>
                <w:szCs w:val="18"/>
              </w:rPr>
            </w:pPr>
            <w:r>
              <w:rPr>
                <w:rFonts w:ascii="宋体" w:hAnsi="宋体" w:cs="宋体" w:eastAsia="宋体" w:hint="default"/>
                <w:spacing w:val="-1"/>
                <w:sz w:val="18"/>
                <w:szCs w:val="18"/>
              </w:rPr>
              <w:t>北京市金杜（深圳）律师事务所关于公司</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年限制性股票激励计</w:t>
            </w:r>
            <w:r>
              <w:rPr>
                <w:rFonts w:ascii="宋体" w:hAnsi="宋体" w:cs="宋体" w:eastAsia="宋体" w:hint="default"/>
                <w:sz w:val="18"/>
                <w:szCs w:val="18"/>
              </w:rPr>
              <w:t> 划授予事项之法律意见书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关于向激励对象授予限制性股票公告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第二届监事会第十二次会议决议公告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独立董事关于第二届董事会第十八次会议有关事项的独立意见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57"/>
              <w:jc w:val="left"/>
              <w:rPr>
                <w:rFonts w:ascii="宋体" w:hAnsi="宋体" w:cs="宋体" w:eastAsia="宋体" w:hint="default"/>
                <w:sz w:val="18"/>
                <w:szCs w:val="18"/>
              </w:rPr>
            </w:pPr>
            <w:r>
              <w:rPr>
                <w:rFonts w:ascii="宋体" w:hAnsi="宋体" w:cs="宋体" w:eastAsia="宋体" w:hint="default"/>
                <w:sz w:val="18"/>
                <w:szCs w:val="18"/>
              </w:rPr>
              <w:t>关于限制性股票激励计划首次授予限制性股票第一个解锁期解锁 条件成就的公告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2"/>
                <w:sz w:val="18"/>
                <w:szCs w:val="18"/>
              </w:rPr>
              <w:t>北京市金杜（深圳）律师事务所关于公司限制性股票激励计划首次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授予部分第一个解锁期解锁事项之法律意见书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第二届监事会第十三次会议决议公告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独立董事关于第二届董事会第十九次会议有关事项的独立意见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年限制性股票激励授予对象名单（调整后）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5"/>
              <w:jc w:val="left"/>
              <w:rPr>
                <w:rFonts w:ascii="宋体" w:hAnsi="宋体" w:cs="宋体" w:eastAsia="宋体" w:hint="default"/>
                <w:sz w:val="18"/>
                <w:szCs w:val="18"/>
              </w:rPr>
            </w:pPr>
            <w:r>
              <w:rPr>
                <w:rFonts w:ascii="宋体" w:hAnsi="宋体" w:cs="宋体" w:eastAsia="宋体" w:hint="default"/>
                <w:sz w:val="18"/>
                <w:szCs w:val="18"/>
              </w:rPr>
              <w:t>关于调整</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年限制性股票激励计划首次授予激励对象名单和授 予数量的公告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4"/>
              <w:jc w:val="left"/>
              <w:rPr>
                <w:rFonts w:ascii="宋体" w:hAnsi="宋体" w:cs="宋体" w:eastAsia="宋体" w:hint="default"/>
                <w:sz w:val="18"/>
                <w:szCs w:val="18"/>
              </w:rPr>
            </w:pPr>
            <w:r>
              <w:rPr>
                <w:rFonts w:ascii="宋体" w:hAnsi="宋体" w:cs="宋体" w:eastAsia="宋体" w:hint="default"/>
                <w:spacing w:val="-1"/>
                <w:sz w:val="18"/>
                <w:szCs w:val="18"/>
              </w:rPr>
              <w:t>北京市金杜（深圳）律师事务所关于公司</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年限制性股票激励计</w:t>
            </w:r>
            <w:r>
              <w:rPr>
                <w:rFonts w:ascii="宋体" w:hAnsi="宋体" w:cs="宋体" w:eastAsia="宋体" w:hint="default"/>
                <w:sz w:val="18"/>
                <w:szCs w:val="18"/>
              </w:rPr>
              <w:t> 划调整事宜之法律意见书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年限制性股票授予完成的公告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212"/>
        <w:gridCol w:w="1800"/>
        <w:gridCol w:w="2376"/>
      </w:tblGrid>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57"/>
              <w:jc w:val="left"/>
              <w:rPr>
                <w:rFonts w:ascii="宋体" w:hAnsi="宋体" w:cs="宋体" w:eastAsia="宋体" w:hint="default"/>
                <w:sz w:val="18"/>
                <w:szCs w:val="18"/>
              </w:rPr>
            </w:pPr>
            <w:r>
              <w:rPr>
                <w:rFonts w:ascii="宋体" w:hAnsi="宋体" w:cs="宋体" w:eastAsia="宋体" w:hint="default"/>
                <w:sz w:val="18"/>
                <w:szCs w:val="18"/>
              </w:rPr>
              <w:t>关于限制性股票激励计划首次授予限制性股票第一个解锁期解锁 股份上市流通的提示性公告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第二届董事会第二十三次会议决议公告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第二届监事会第十五次会议决议公告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w:t>
            </w:r>
            <w:r>
              <w:rPr>
                <w:rFonts w:ascii="宋体" w:hAnsi="宋体" w:cs="宋体" w:eastAsia="宋体" w:hint="default"/>
                <w:sz w:val="18"/>
                <w:szCs w:val="18"/>
              </w:rPr>
              <w:t>第二届董事会第二十三次会议有关事项的独立意见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关于回购注销部分限制性股票的减资公告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关于回购注销部分已授予但尚未解锁的限制性股票的公告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4"/>
              <w:jc w:val="left"/>
              <w:rPr>
                <w:rFonts w:ascii="宋体" w:hAnsi="宋体" w:cs="宋体" w:eastAsia="宋体" w:hint="default"/>
                <w:sz w:val="18"/>
                <w:szCs w:val="18"/>
              </w:rPr>
            </w:pPr>
            <w:r>
              <w:rPr>
                <w:rFonts w:ascii="宋体" w:hAnsi="宋体" w:cs="宋体" w:eastAsia="宋体" w:hint="default"/>
                <w:spacing w:val="-1"/>
                <w:sz w:val="18"/>
                <w:szCs w:val="18"/>
              </w:rPr>
              <w:t>北京市金杜（深圳）律师事务所关于公司</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年限制性股票回购注</w:t>
            </w:r>
            <w:r>
              <w:rPr>
                <w:rFonts w:ascii="宋体" w:hAnsi="宋体" w:cs="宋体" w:eastAsia="宋体" w:hint="default"/>
                <w:sz w:val="18"/>
                <w:szCs w:val="18"/>
              </w:rPr>
              <w:t> 销法律意见书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4"/>
              <w:jc w:val="left"/>
              <w:rPr>
                <w:rFonts w:ascii="宋体" w:hAnsi="宋体" w:cs="宋体" w:eastAsia="宋体" w:hint="default"/>
                <w:sz w:val="18"/>
                <w:szCs w:val="18"/>
              </w:rPr>
            </w:pPr>
            <w:r>
              <w:rPr>
                <w:rFonts w:ascii="宋体" w:hAnsi="宋体" w:cs="宋体" w:eastAsia="宋体" w:hint="default"/>
                <w:spacing w:val="-1"/>
                <w:sz w:val="18"/>
                <w:szCs w:val="18"/>
              </w:rPr>
              <w:t>北京市金杜（深圳）律师事务所关于公司</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年限制性股票回购注</w:t>
            </w:r>
            <w:r>
              <w:rPr>
                <w:rFonts w:ascii="宋体" w:hAnsi="宋体" w:cs="宋体" w:eastAsia="宋体" w:hint="default"/>
                <w:sz w:val="18"/>
                <w:szCs w:val="18"/>
              </w:rPr>
              <w:t> 销法律意见书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限制性股票激励计划提示性公告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年限制性股票激励计划（草案）</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年限制性股票激励计划（草案）摘要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年限制性股票激励计划激励对象名单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年限制性股票激励计划实施考核管理办法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第二届董事会第二十四次会议决议公告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第二届监事会第十六次会议决议公告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w:t>
            </w:r>
            <w:r>
              <w:rPr>
                <w:rFonts w:ascii="宋体" w:hAnsi="宋体" w:cs="宋体" w:eastAsia="宋体" w:hint="default"/>
                <w:sz w:val="18"/>
                <w:szCs w:val="18"/>
              </w:rPr>
              <w:t>关于第二届董事会第二十四次会议的独立意见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5"/>
              <w:jc w:val="left"/>
              <w:rPr>
                <w:rFonts w:ascii="宋体" w:hAnsi="宋体" w:cs="宋体" w:eastAsia="宋体" w:hint="default"/>
                <w:sz w:val="18"/>
                <w:szCs w:val="18"/>
              </w:rPr>
            </w:pPr>
            <w:r>
              <w:rPr>
                <w:rFonts w:ascii="宋体" w:hAnsi="宋体" w:cs="宋体" w:eastAsia="宋体" w:hint="default"/>
                <w:sz w:val="18"/>
                <w:szCs w:val="18"/>
              </w:rPr>
              <w:t>监事会关于公司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年限制性股票激励计划激励对象名单的专项 核查意见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上市公司股权激励计划自查表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5"/>
              <w:jc w:val="left"/>
              <w:rPr>
                <w:rFonts w:ascii="宋体" w:hAnsi="宋体" w:cs="宋体" w:eastAsia="宋体" w:hint="default"/>
                <w:sz w:val="18"/>
                <w:szCs w:val="18"/>
              </w:rPr>
            </w:pPr>
            <w:r>
              <w:rPr>
                <w:rFonts w:ascii="宋体" w:hAnsi="宋体" w:cs="宋体" w:eastAsia="宋体" w:hint="default"/>
                <w:sz w:val="18"/>
                <w:szCs w:val="18"/>
              </w:rPr>
              <w:t>北京市金杜律师事务所关于公司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年限制性股票激励计划（草 案）法律意见书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5"/>
              <w:jc w:val="left"/>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年限制性股票激励计划内幕信息知情人及激励对象 买卖公司股票情况的自查报告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关于部分限制性股票回购注销完成的公告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第二届董事会第二十六次会议决议公告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第二届监事会第十八次会议决议公告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95"/>
              <w:jc w:val="left"/>
              <w:rPr>
                <w:rFonts w:ascii="宋体" w:hAnsi="宋体" w:cs="宋体" w:eastAsia="宋体"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w:t>
            </w:r>
            <w:r>
              <w:rPr>
                <w:rFonts w:ascii="宋体" w:hAnsi="宋体" w:cs="宋体" w:eastAsia="宋体" w:hint="default"/>
                <w:sz w:val="18"/>
                <w:szCs w:val="18"/>
              </w:rPr>
              <w:t>关于公司第二届董事会第二十六次会议相关事项的独立 意见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监事会关于公司第二届监事会第十八次会议的专项核查意见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5"/>
              <w:jc w:val="left"/>
              <w:rPr>
                <w:rFonts w:ascii="宋体" w:hAnsi="宋体" w:cs="宋体" w:eastAsia="宋体" w:hint="default"/>
                <w:sz w:val="18"/>
                <w:szCs w:val="18"/>
              </w:rPr>
            </w:pPr>
            <w:r>
              <w:rPr>
                <w:rFonts w:ascii="宋体" w:hAnsi="宋体" w:cs="宋体" w:eastAsia="宋体" w:hint="default"/>
                <w:sz w:val="18"/>
                <w:szCs w:val="18"/>
              </w:rPr>
              <w:t>关于调整</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年限制性股票激励计划首次授予激励对象名单和授 予数量的公告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年限制性股票激励计划激励对象名单（调整后）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5"/>
              <w:jc w:val="left"/>
              <w:rPr>
                <w:rFonts w:ascii="宋体" w:hAnsi="宋体" w:cs="宋体" w:eastAsia="宋体" w:hint="default"/>
                <w:sz w:val="18"/>
                <w:szCs w:val="18"/>
              </w:rPr>
            </w:pPr>
            <w:r>
              <w:rPr>
                <w:rFonts w:ascii="宋体" w:hAnsi="宋体" w:cs="宋体" w:eastAsia="宋体" w:hint="default"/>
                <w:sz w:val="18"/>
                <w:szCs w:val="18"/>
              </w:rPr>
              <w:t>北京市金杜律师事务所关于公司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年限制性股票激励计划调整 及授予事项的法律意见书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关于向激励对象授予限制性股票公告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年限制性股票授予完成的公告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第二届董事会第二十八次会议决议公告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第二届监事会第十九次会议决议公告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212"/>
        <w:gridCol w:w="1800"/>
        <w:gridCol w:w="2376"/>
      </w:tblGrid>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独立董事关于第二届董事会第二十八次会议有关事项的独立意见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监事会关于公司第二届监事会第十九次会议的专项核查意见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关于向激励对象授予</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年预留限制性股票的公告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年限制性股票激励计划预留部分激励对象名单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5"/>
              <w:jc w:val="left"/>
              <w:rPr>
                <w:rFonts w:ascii="宋体" w:hAnsi="宋体" w:cs="宋体" w:eastAsia="宋体" w:hint="default"/>
                <w:sz w:val="18"/>
                <w:szCs w:val="18"/>
              </w:rPr>
            </w:pPr>
            <w:r>
              <w:rPr>
                <w:rFonts w:ascii="宋体" w:hAnsi="宋体" w:cs="宋体" w:eastAsia="宋体" w:hint="default"/>
                <w:sz w:val="18"/>
                <w:szCs w:val="18"/>
              </w:rPr>
              <w:t>北京市金杜律师事务所关于公司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年限制性股票激励计划预留 部分授予事项之法律意见书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年限制性股票激励计划预留部分授予完成的公告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第三届董事会第二次会议决议公告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第三届监事会第二次会议决议公告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独立董事关于第三届董事会第二次会议有关事项的独立意见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监事会关于公司第三届监事会第二次会议有关事项的核查意见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57"/>
              <w:jc w:val="left"/>
              <w:rPr>
                <w:rFonts w:ascii="宋体" w:hAnsi="宋体" w:cs="宋体" w:eastAsia="宋体" w:hint="default"/>
                <w:sz w:val="18"/>
                <w:szCs w:val="18"/>
              </w:rPr>
            </w:pPr>
            <w:r>
              <w:rPr>
                <w:rFonts w:ascii="宋体" w:hAnsi="宋体" w:cs="宋体" w:eastAsia="宋体" w:hint="default"/>
                <w:sz w:val="18"/>
                <w:szCs w:val="18"/>
              </w:rPr>
              <w:t>关于限制性股票激励计划首次授予限制性股票第二个解锁期解锁 条件成就的公告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57"/>
              <w:jc w:val="left"/>
              <w:rPr>
                <w:rFonts w:ascii="宋体" w:hAnsi="宋体" w:cs="宋体" w:eastAsia="宋体" w:hint="default"/>
                <w:sz w:val="18"/>
                <w:szCs w:val="18"/>
              </w:rPr>
            </w:pPr>
            <w:r>
              <w:rPr>
                <w:rFonts w:ascii="宋体" w:hAnsi="宋体" w:cs="宋体" w:eastAsia="宋体" w:hint="default"/>
                <w:sz w:val="18"/>
                <w:szCs w:val="18"/>
              </w:rPr>
              <w:t>关于限制性股票激励计划预留授予部分第一个解锁期解锁条件成 就的公告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5"/>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年限制性股票激励计划首次授予的限制性股票第一个解 锁期解锁条件成就的公告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关于回购注销部分已授予但尚未解锁的限制性股票的公告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关于回购注销部分限制性股票的减资公告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966"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1"/>
              <w:ind w:left="4" w:right="155"/>
              <w:jc w:val="both"/>
              <w:rPr>
                <w:rFonts w:ascii="宋体" w:hAnsi="宋体" w:cs="宋体" w:eastAsia="宋体" w:hint="default"/>
                <w:sz w:val="18"/>
                <w:szCs w:val="18"/>
              </w:rPr>
            </w:pPr>
            <w:r>
              <w:rPr>
                <w:rFonts w:ascii="宋体" w:hAnsi="宋体" w:cs="宋体" w:eastAsia="宋体" w:hint="default"/>
                <w:sz w:val="18"/>
                <w:szCs w:val="18"/>
              </w:rPr>
              <w:t>北京市金杜律师事务所关于公司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年限制性股票激励计划首次 授予部分第一个解锁期解锁及回购注销部分已授予限制性股票事 项的法律意见书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5"/>
              <w:jc w:val="left"/>
              <w:rPr>
                <w:rFonts w:ascii="宋体" w:hAnsi="宋体" w:cs="宋体" w:eastAsia="宋体" w:hint="default"/>
                <w:sz w:val="18"/>
                <w:szCs w:val="18"/>
              </w:rPr>
            </w:pPr>
            <w:r>
              <w:rPr>
                <w:rFonts w:ascii="宋体" w:hAnsi="宋体" w:cs="宋体" w:eastAsia="宋体" w:hint="default"/>
                <w:sz w:val="18"/>
                <w:szCs w:val="18"/>
              </w:rPr>
              <w:t>北京市金杜律师事务所关于公司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年限制性股票激励计划回购 注销部分已授予限制性股票事项的法律意见书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966"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z w:val="18"/>
                <w:szCs w:val="18"/>
              </w:rPr>
              <w:t>北京市金杜律师事务所关于公司限制性股票激励计划首次授予部 </w:t>
            </w:r>
            <w:r>
              <w:rPr>
                <w:rFonts w:ascii="宋体" w:hAnsi="宋体" w:cs="宋体" w:eastAsia="宋体" w:hint="default"/>
                <w:spacing w:val="-1"/>
                <w:sz w:val="18"/>
                <w:szCs w:val="18"/>
              </w:rPr>
              <w:t>分第二个解锁期解锁、预留授予部分第一个解锁期解锁及回购注销</w:t>
            </w:r>
            <w:r>
              <w:rPr>
                <w:rFonts w:ascii="宋体" w:hAnsi="宋体" w:cs="宋体" w:eastAsia="宋体" w:hint="default"/>
                <w:sz w:val="18"/>
                <w:szCs w:val="18"/>
              </w:rPr>
              <w:t> 部分已授予限制性股票事项的法律意见书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57"/>
              <w:jc w:val="left"/>
              <w:rPr>
                <w:rFonts w:ascii="宋体" w:hAnsi="宋体" w:cs="宋体" w:eastAsia="宋体" w:hint="default"/>
                <w:sz w:val="18"/>
                <w:szCs w:val="18"/>
              </w:rPr>
            </w:pPr>
            <w:r>
              <w:rPr>
                <w:rFonts w:ascii="宋体" w:hAnsi="宋体" w:cs="宋体" w:eastAsia="宋体" w:hint="default"/>
                <w:sz w:val="18"/>
                <w:szCs w:val="18"/>
              </w:rPr>
              <w:t>关于限制性股票激励计划预留授予部分第一个解锁期解锁股份上 市流通的提示性公告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966"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1"/>
              <w:ind w:left="4" w:right="5"/>
              <w:jc w:val="left"/>
              <w:rPr>
                <w:rFonts w:ascii="宋体" w:hAnsi="宋体" w:cs="宋体" w:eastAsia="宋体" w:hint="default"/>
                <w:sz w:val="18"/>
                <w:szCs w:val="18"/>
              </w:rPr>
            </w:pPr>
            <w:r>
              <w:rPr>
                <w:rFonts w:ascii="宋体" w:hAnsi="宋体" w:cs="宋体" w:eastAsia="宋体" w:hint="default"/>
                <w:spacing w:val="-1"/>
                <w:sz w:val="18"/>
                <w:szCs w:val="18"/>
              </w:rPr>
              <w:t>关于</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年限制性股票激励计划首次授予第二个解锁期解锁、</w:t>
            </w:r>
            <w:r>
              <w:rPr>
                <w:rFonts w:ascii="Times New Roman" w:hAnsi="Times New Roman" w:cs="Times New Roman" w:eastAsia="Times New Roman" w:hint="default"/>
                <w:spacing w:val="-1"/>
                <w:sz w:val="18"/>
                <w:szCs w:val="18"/>
              </w:rPr>
              <w:t>2016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年限制性股票激励计划首次授予第一个解锁期解锁股份上市流通 的提示性公告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关于限售股份解禁上市流通的提示性公告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关于部分限制性股票回购注销完成的公告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第三届董事会第七次会议决议公告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第三届监事会第四次会议决议公告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独立董事关于第三届董事会第七次会议有关事项的独立意见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监事会关于公司第三届监事会第四次会议有关事项的核查意见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关于回购注销部分限制性股票的减资公告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关于回购注销部分已授予但尚未解锁的限制性股票的公告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关于调整限制性股票回购价格的公告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212"/>
        <w:gridCol w:w="1800"/>
        <w:gridCol w:w="2376"/>
      </w:tblGrid>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关于取消授予预留限制性股票的公告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966"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1"/>
              <w:ind w:left="4" w:right="4"/>
              <w:jc w:val="left"/>
              <w:rPr>
                <w:rFonts w:ascii="宋体" w:hAnsi="宋体" w:cs="宋体" w:eastAsia="宋体" w:hint="default"/>
                <w:sz w:val="18"/>
                <w:szCs w:val="18"/>
              </w:rPr>
            </w:pPr>
            <w:r>
              <w:rPr>
                <w:rFonts w:ascii="宋体" w:hAnsi="宋体" w:cs="宋体" w:eastAsia="宋体" w:hint="default"/>
                <w:spacing w:val="-1"/>
                <w:sz w:val="18"/>
                <w:szCs w:val="18"/>
              </w:rPr>
              <w:t>北京市金杜律师事务所关于公司调整限制性股票回购价格、回购注</w:t>
            </w:r>
            <w:r>
              <w:rPr>
                <w:rFonts w:ascii="宋体" w:hAnsi="宋体" w:cs="宋体" w:eastAsia="宋体" w:hint="default"/>
                <w:sz w:val="18"/>
                <w:szCs w:val="18"/>
              </w:rPr>
              <w:t> 销部分已授予限制性股票及取消授予</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 预留限制性股票事项的法律意见书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第三届监事会第六次会议决议公告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独立董事关于第三届董事会第九次会议有关事项的独立意见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监事会关于公司第三届监事会第六次会议有关事项的核查意见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关于回购注销部分限制性股票的减资公告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5"/>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年限制性股票激励计划首次授予的限制性股票第一个解 锁期解锁条件成就的公告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966"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1"/>
              <w:ind w:left="4" w:right="155"/>
              <w:jc w:val="both"/>
              <w:rPr>
                <w:rFonts w:ascii="宋体" w:hAnsi="宋体" w:cs="宋体" w:eastAsia="宋体" w:hint="default"/>
                <w:sz w:val="18"/>
                <w:szCs w:val="18"/>
              </w:rPr>
            </w:pPr>
            <w:r>
              <w:rPr>
                <w:rFonts w:ascii="宋体" w:hAnsi="宋体" w:cs="宋体" w:eastAsia="宋体" w:hint="default"/>
                <w:sz w:val="18"/>
                <w:szCs w:val="18"/>
              </w:rPr>
              <w:t>北京市金杜律师事务所关于公司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年限制性股票激励计划首次 授予部分第一个解锁期解锁及回购注销部分已授予限制性股票事 项的法律意见书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第三届董事会第九次会议决议公告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34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关于回购注销部分已授予但尚未解锁的限制性股票的公告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r>
        <w:trPr>
          <w:trHeight w:val="654"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5"/>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年限制性股票激励计划首次授予第一个解锁期解锁股份 上市流通的提示性公告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color w:val="6C6C6C"/>
                <w:sz w:val="18"/>
              </w:rPr>
            </w:r>
            <w:hyperlink r:id="rId11">
              <w:r>
                <w:rPr>
                  <w:rFonts w:ascii="Times New Roman"/>
                  <w:color w:val="6C6C6C"/>
                  <w:sz w:val="18"/>
                  <w:u w:val="single" w:color="6C6C6C"/>
                </w:rPr>
                <w:t>http://www.cninfo.com.cn</w:t>
              </w:r>
              <w:r>
                <w:rPr>
                  <w:rFonts w:ascii="Times New Roman"/>
                  <w:color w:val="6C6C6C"/>
                  <w:sz w:val="18"/>
                </w:rPr>
              </w:r>
              <w:r>
                <w:rPr>
                  <w:rFonts w:ascii="Times New Roman"/>
                  <w:sz w:val="18"/>
                </w:rPr>
              </w:r>
            </w:hyperlink>
          </w:p>
        </w:tc>
      </w:tr>
    </w:tbl>
    <w:p>
      <w:pPr>
        <w:spacing w:line="240" w:lineRule="auto" w:before="8"/>
        <w:rPr>
          <w:rFonts w:ascii="Times New Roman" w:hAnsi="Times New Roman" w:cs="Times New Roman" w:eastAsia="Times New Roman" w:hint="default"/>
          <w:sz w:val="27"/>
          <w:szCs w:val="27"/>
        </w:rPr>
      </w:pPr>
    </w:p>
    <w:p>
      <w:pPr>
        <w:pStyle w:val="BodyText"/>
        <w:spacing w:line="240" w:lineRule="auto" w:before="44"/>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公司报告期不存在其他重大合同。</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1" w:firstLine="360"/>
        <w:jc w:val="both"/>
      </w:pPr>
      <w:r>
        <w:rPr>
          <w:spacing w:val="-2"/>
        </w:rPr>
        <w:t>公司严格按《公司法》、《深圳证券交易所创业板股票上市规则》、《上市公司信息披露管理办法》等相关法律法规规</w:t>
      </w:r>
      <w:r>
        <w:rPr/>
        <w:t> </w:t>
      </w:r>
      <w:r>
        <w:rPr>
          <w:spacing w:val="-2"/>
        </w:rPr>
        <w:t>范要求，及时、准确、真实、完整的原则进行信息披露工作；通过实地调研、电话、电子邮箱、公司网站和投资者关系互动</w:t>
      </w:r>
      <w:r>
        <w:rPr>
          <w:spacing w:val="-67"/>
        </w:rPr>
        <w:t> </w:t>
      </w:r>
      <w:r>
        <w:rPr>
          <w:spacing w:val="-67"/>
        </w:rPr>
      </w:r>
      <w:r>
        <w:rPr/>
        <w:t>平台等多种方式与投资者进行沟通交流，提高了公司的透明度和诚信度</w:t>
      </w:r>
      <w:r>
        <w:rPr>
          <w:rFonts w:ascii="Times New Roman" w:hAnsi="Times New Roman" w:cs="Times New Roman" w:eastAsia="Times New Roman" w:hint="default"/>
        </w:rPr>
        <w:t>;</w:t>
      </w:r>
      <w:r>
        <w:rPr/>
        <w:t>公司十分重视对投资者的合理回报，上市后严格按</w:t>
      </w:r>
      <w:r>
        <w:rPr>
          <w:spacing w:val="-47"/>
        </w:rPr>
        <w:t> </w:t>
      </w:r>
      <w:r>
        <w:rPr>
          <w:spacing w:val="-47"/>
        </w:rPr>
      </w:r>
      <w:r>
        <w:rPr/>
        <w:t>照相关承诺及《公司章程》等相关法律法规的要求实施利润分配，每年均以派发现金股利的方式回馈股东。</w:t>
      </w:r>
    </w:p>
    <w:p>
      <w:pPr>
        <w:pStyle w:val="BodyText"/>
        <w:spacing w:line="319" w:lineRule="auto" w:before="61"/>
        <w:ind w:right="1133" w:firstLine="360"/>
        <w:jc w:val="both"/>
      </w:pPr>
      <w:r>
        <w:rPr>
          <w:spacing w:val="-2"/>
        </w:rPr>
        <w:t>公司始终将依法经营作为公司运行的基本原则，注重企业经济效益与社会效益的共同发展。公司严格遵守国家法律、法</w:t>
      </w:r>
      <w:r>
        <w:rPr/>
        <w:t> 规、政策的规定，始终依法经营，积极纳税，支持国家与地方的经济发展。</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精准扶贫规划" w:id="98"/>
      <w:bookmarkEnd w:id="98"/>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99"/>
      <w:bookmarkEnd w:id="9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不适用</w:t>
      </w:r>
    </w:p>
    <w:p>
      <w:pPr>
        <w:pStyle w:val="BodyText"/>
        <w:spacing w:line="240" w:lineRule="auto" w:before="26"/>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九、公司子公司重大事项" w:id="101"/>
      <w:bookmarkEnd w:id="101"/>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06" w:right="1110"/>
        <w:jc w:val="left"/>
        <w:rPr>
          <w:b w:val="0"/>
          <w:bCs w:val="0"/>
        </w:rPr>
      </w:pPr>
      <w:bookmarkStart w:name="_TOC_250006" w:id="102"/>
      <w:bookmarkStart w:name="第六节 股份变动及股东情况" w:id="103"/>
      <w:r>
        <w:rPr>
          <w:b w:val="0"/>
          <w:bCs w:val="0"/>
        </w:rPr>
      </w:r>
      <w:r>
        <w:rPr/>
        <w:t>第六节</w:t>
      </w:r>
      <w:r>
        <w:rPr>
          <w:spacing w:val="-10"/>
        </w:rPr>
        <w:t> </w:t>
      </w:r>
      <w:r>
        <w:rPr/>
        <w:t>股份变动及股东情况</w:t>
      </w:r>
      <w:bookmarkEnd w:id="10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394" w:right="1110"/>
        <w:jc w:val="left"/>
        <w:rPr>
          <w:b w:val="0"/>
          <w:bCs w:val="0"/>
        </w:rPr>
      </w:pPr>
      <w:bookmarkStart w:name="一、股份变动情况" w:id="104"/>
      <w:bookmarkEnd w:id="104"/>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94" w:right="1110"/>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62"/>
        <w:gridCol w:w="1004"/>
        <w:gridCol w:w="708"/>
        <w:gridCol w:w="994"/>
        <w:gridCol w:w="566"/>
        <w:gridCol w:w="992"/>
        <w:gridCol w:w="991"/>
        <w:gridCol w:w="993"/>
        <w:gridCol w:w="994"/>
        <w:gridCol w:w="708"/>
      </w:tblGrid>
      <w:tr>
        <w:trPr>
          <w:trHeight w:val="205"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3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7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712" w:type="dxa"/>
            <w:gridSpan w:val="2"/>
            <w:vMerge/>
            <w:tcBorders>
              <w:left w:val="single" w:sz="4" w:space="0" w:color="000000"/>
              <w:bottom w:val="single" w:sz="4" w:space="0" w:color="000000"/>
              <w:right w:val="single" w:sz="4" w:space="0" w:color="000000"/>
            </w:tcBorders>
            <w:shd w:val="clear" w:color="auto" w:fill="D2D2D2"/>
          </w:tcPr>
          <w:p>
            <w:pPr/>
          </w:p>
        </w:tc>
        <w:tc>
          <w:tcPr>
            <w:tcW w:w="4537" w:type="dxa"/>
            <w:gridSpan w:val="5"/>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41,027,180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4,300,036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-37,223,167</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-32,647,131</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8,380,049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4,728,680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3,086,666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-2,116,325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1,246,341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5,975,021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4,728,680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3,086,666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-2,116,325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1,246,341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5,975,021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36,298,500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33.65%</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1,213,370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-35,106,842</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-33,893,472</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2,405,028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34,312,500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31.81%</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-34,312,500</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-34,312,500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1,213,370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-794,342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419,028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2,405,028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66,858,370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61.97%</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82,229,204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37,154,447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119,383,651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186,242,021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95.69%</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66,858,370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61.97%</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82,229,204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37,154,447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119,383,651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186,242,021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95.69%</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107,885,550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86,529,240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-68,720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86,736,520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194,622,070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394" w:right="1110"/>
        <w:jc w:val="left"/>
      </w:pPr>
      <w:r>
        <w:rPr/>
        <w:t>股份变动的原因</w:t>
      </w:r>
    </w:p>
    <w:p>
      <w:pPr>
        <w:pStyle w:val="BodyText"/>
        <w:spacing w:line="319" w:lineRule="auto" w:before="117"/>
        <w:ind w:left="394" w:right="11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、根据第二届董事会第十五次会议审议通过的《关于向激励对象授予预留限制性股票的议案》，且于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日完成了</w:t>
      </w:r>
      <w:r>
        <w:rPr>
          <w:spacing w:val="-58"/>
        </w:rPr>
        <w:t> </w:t>
      </w:r>
      <w:r>
        <w:rPr/>
        <w:t>预留限制性股票授予登记工作，授予数量为</w:t>
      </w:r>
      <w:r>
        <w:rPr>
          <w:rFonts w:ascii="Times New Roman" w:hAnsi="Times New Roman" w:cs="Times New Roman" w:eastAsia="Times New Roman" w:hint="default"/>
        </w:rPr>
        <w:t>430,000</w:t>
      </w:r>
      <w:r>
        <w:rPr/>
        <w:t>股，公司总股本增加至</w:t>
      </w:r>
      <w:r>
        <w:rPr>
          <w:rFonts w:ascii="Times New Roman" w:hAnsi="Times New Roman" w:cs="Times New Roman" w:eastAsia="Times New Roman" w:hint="default"/>
        </w:rPr>
        <w:t>104,332,900</w:t>
      </w:r>
      <w:r>
        <w:rPr/>
        <w:t>股。</w:t>
      </w:r>
    </w:p>
    <w:p>
      <w:pPr>
        <w:pStyle w:val="BodyText"/>
        <w:spacing w:line="300" w:lineRule="auto"/>
        <w:ind w:left="394" w:right="111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日，公司召开了</w:t>
      </w:r>
      <w:r>
        <w:rPr>
          <w:rFonts w:ascii="Times New Roman" w:hAnsi="Times New Roman" w:cs="Times New Roman" w:eastAsia="Times New Roman" w:hint="default"/>
        </w:rPr>
        <w:t>2017</w:t>
      </w:r>
      <w:r>
        <w:rPr/>
        <w:t>年第一次临时股东大会，审议通过了《关于审核</w:t>
      </w:r>
      <w:r>
        <w:rPr>
          <w:rFonts w:ascii="Times New Roman" w:hAnsi="Times New Roman" w:cs="Times New Roman" w:eastAsia="Times New Roman" w:hint="default"/>
        </w:rPr>
        <w:t>&lt;</w:t>
      </w:r>
      <w:r>
        <w:rPr/>
        <w:t>深圳四方精创资讯股份有限公司</w:t>
      </w:r>
      <w:r>
        <w:rPr>
          <w:rFonts w:ascii="Times New Roman" w:hAnsi="Times New Roman" w:cs="Times New Roman" w:eastAsia="Times New Roman" w:hint="default"/>
        </w:rPr>
        <w:t>2016 </w:t>
      </w:r>
      <w:r>
        <w:rPr/>
        <w:t>年限制性股票激励计划（草案）</w:t>
      </w:r>
      <w:r>
        <w:rPr>
          <w:rFonts w:ascii="Times New Roman" w:hAnsi="Times New Roman" w:cs="Times New Roman" w:eastAsia="Times New Roman" w:hint="default"/>
        </w:rPr>
        <w:t>&gt;</w:t>
      </w:r>
      <w:r>
        <w:rPr/>
        <w:t>及其摘要的议案》、《关于授权董事会办理公司</w:t>
      </w:r>
      <w:r>
        <w:rPr>
          <w:rFonts w:ascii="Times New Roman" w:hAnsi="Times New Roman" w:cs="Times New Roman" w:eastAsia="Times New Roman" w:hint="default"/>
        </w:rPr>
        <w:t>2016</w:t>
      </w:r>
      <w:r>
        <w:rPr/>
        <w:t>年限制性股票激励计划相关事宜的议 案》等议案以及第二届董事会第十七次会议的相关决议，并于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日完成授予</w:t>
      </w:r>
      <w:r>
        <w:rPr>
          <w:rFonts w:ascii="Times New Roman" w:hAnsi="Times New Roman" w:cs="Times New Roman" w:eastAsia="Times New Roman" w:hint="default"/>
        </w:rPr>
        <w:t>145</w:t>
      </w:r>
      <w:r>
        <w:rPr/>
        <w:t>名股票激励对象共计</w:t>
      </w:r>
      <w:r>
        <w:rPr>
          <w:rFonts w:ascii="Times New Roman" w:hAnsi="Times New Roman" w:cs="Times New Roman" w:eastAsia="Times New Roman" w:hint="default"/>
        </w:rPr>
        <w:t>1,076,800</w:t>
      </w:r>
      <w:r>
        <w:rPr/>
        <w:t>股限 制性股票，公司总股本增至</w:t>
      </w:r>
      <w:r>
        <w:rPr>
          <w:rFonts w:ascii="Times New Roman" w:hAnsi="Times New Roman" w:cs="Times New Roman" w:eastAsia="Times New Roman" w:hint="default"/>
        </w:rPr>
        <w:t>105,409,700</w:t>
      </w:r>
      <w:r>
        <w:rPr/>
        <w:t>股。 </w:t>
      </w: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日，召开第二届董事会第十八次会议和第二届监事第十二次会议，审议通过了《关于</w:t>
      </w:r>
      <w:r>
        <w:rPr>
          <w:rFonts w:ascii="Times New Roman" w:hAnsi="Times New Roman" w:cs="Times New Roman" w:eastAsia="Times New Roman" w:hint="default"/>
          <w:spacing w:val="-2"/>
        </w:rPr>
        <w:t>2015</w:t>
      </w:r>
      <w:r>
        <w:rPr>
          <w:spacing w:val="-2"/>
        </w:rPr>
        <w:t>年限制性股</w:t>
      </w:r>
      <w:r>
        <w:rPr>
          <w:spacing w:val="-54"/>
        </w:rPr>
        <w:t> </w:t>
      </w:r>
      <w:r>
        <w:rPr/>
        <w:t>票激励计划首次授予部分第一个解锁期解锁条件成就的议案》，同意对符合解锁条件的</w:t>
      </w:r>
      <w:r>
        <w:rPr>
          <w:rFonts w:ascii="Times New Roman" w:hAnsi="Times New Roman" w:cs="Times New Roman" w:eastAsia="Times New Roman" w:hint="default"/>
        </w:rPr>
        <w:t>135</w:t>
      </w:r>
      <w:r>
        <w:rPr/>
        <w:t>名激励对象按规定解锁，解锁的 限制性股票数量为</w:t>
      </w:r>
      <w:r>
        <w:rPr>
          <w:rFonts w:ascii="Times New Roman" w:hAnsi="Times New Roman" w:cs="Times New Roman" w:eastAsia="Times New Roman" w:hint="default"/>
        </w:rPr>
        <w:t>1,170,870</w:t>
      </w:r>
      <w:r>
        <w:rPr/>
        <w:t>股，且于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日完成了解锁手续，上市流通日为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日，公司首次公开发行前已发行股份上市流通，解除限售股份的数量为</w:t>
      </w:r>
      <w:r>
        <w:rPr>
          <w:rFonts w:ascii="Times New Roman" w:hAnsi="Times New Roman" w:cs="Times New Roman" w:eastAsia="Times New Roman" w:hint="default"/>
        </w:rPr>
        <w:t>9,106,875</w:t>
      </w:r>
      <w:r>
        <w:rPr/>
        <w:t>股。</w:t>
      </w:r>
    </w:p>
    <w:p>
      <w:pPr>
        <w:pStyle w:val="BodyText"/>
        <w:spacing w:line="302" w:lineRule="auto" w:before="13"/>
        <w:ind w:left="394" w:right="1110"/>
        <w:jc w:val="left"/>
        <w:rPr>
          <w:rFonts w:ascii="Times New Roman" w:hAnsi="Times New Roman" w:cs="Times New Roman" w:eastAsia="Times New Roman" w:hint="default"/>
        </w:rPr>
      </w:pPr>
      <w:r>
        <w:rPr>
          <w:rFonts w:ascii="Times New Roman" w:hAnsi="Times New Roman" w:cs="Times New Roman" w:eastAsia="Times New Roman" w:hint="default"/>
          <w:spacing w:val="-2"/>
        </w:rPr>
        <w:t>5</w:t>
      </w:r>
      <w:r>
        <w:rPr>
          <w:spacing w:val="-2"/>
        </w:rPr>
        <w:t>、公司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日，召开了第二届董事会第二十三次会议和第二监事会第十五次会议，审议通过了《关于回购注销部分</w:t>
      </w:r>
      <w:r>
        <w:rPr>
          <w:spacing w:val="-58"/>
        </w:rPr>
        <w:t> </w:t>
      </w:r>
      <w:r>
        <w:rPr>
          <w:spacing w:val="-58"/>
        </w:rPr>
      </w:r>
      <w:r>
        <w:rPr>
          <w:spacing w:val="-2"/>
        </w:rPr>
        <w:t>已授予限制性股票的议案》，监事会对不符合激励条件的激励对象名单及回购注销的限制性股票数量进行了审核，独立董事</w:t>
      </w:r>
      <w:r>
        <w:rPr>
          <w:spacing w:val="-66"/>
        </w:rPr>
        <w:t> </w:t>
      </w:r>
      <w:r>
        <w:rPr>
          <w:spacing w:val="-66"/>
        </w:rPr>
      </w:r>
      <w:r>
        <w:rPr>
          <w:spacing w:val="-2"/>
        </w:rPr>
        <w:t>对此发表了同意的独立意见。并于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日，完成了关于回购注销部分已授予但尚未解锁的限制性股票工作，回购注</w:t>
      </w:r>
      <w:r>
        <w:rPr>
          <w:spacing w:val="-59"/>
        </w:rPr>
        <w:t> </w:t>
      </w:r>
      <w:r>
        <w:rPr>
          <w:spacing w:val="-59"/>
        </w:rPr>
      </w:r>
      <w:r>
        <w:rPr/>
        <w:t>销的股份数量为</w:t>
      </w:r>
      <w:r>
        <w:rPr>
          <w:rFonts w:ascii="Times New Roman" w:hAnsi="Times New Roman" w:cs="Times New Roman" w:eastAsia="Times New Roman" w:hint="default"/>
        </w:rPr>
        <w:t>37,550</w:t>
      </w:r>
      <w:r>
        <w:rPr/>
        <w:t>股，公司总股本变更为</w:t>
      </w:r>
      <w:r>
        <w:rPr>
          <w:rFonts w:ascii="Times New Roman" w:hAnsi="Times New Roman" w:cs="Times New Roman" w:eastAsia="Times New Roman" w:hint="default"/>
        </w:rPr>
        <w:t>105,372,150</w:t>
      </w:r>
      <w:r>
        <w:rPr/>
        <w:t>股。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日，公司召开</w:t>
      </w:r>
      <w:r>
        <w:rPr>
          <w:rFonts w:ascii="Times New Roman" w:hAnsi="Times New Roman" w:cs="Times New Roman" w:eastAsia="Times New Roman" w:hint="default"/>
        </w:rPr>
        <w:t>2017</w:t>
      </w:r>
      <w:r>
        <w:rPr/>
        <w:t>年第二次临时股东大会审议并通过了《关于审核</w:t>
      </w:r>
      <w:r>
        <w:rPr>
          <w:rFonts w:ascii="Times New Roman" w:hAnsi="Times New Roman" w:cs="Times New Roman" w:eastAsia="Times New Roman" w:hint="default"/>
        </w:rPr>
        <w:t>&lt;</w:t>
      </w:r>
      <w:r>
        <w:rPr/>
        <w:t>深圳四方精创资讯股份有限公司</w:t>
      </w:r>
      <w:r>
        <w:rPr>
          <w:rFonts w:ascii="Times New Roman" w:hAnsi="Times New Roman" w:cs="Times New Roman" w:eastAsia="Times New Roman" w:hint="default"/>
        </w:rPr>
        <w:t>2017 </w:t>
      </w:r>
      <w:r>
        <w:rPr/>
        <w:t>年限制性股票激励计划（草案）</w:t>
      </w:r>
      <w:r>
        <w:rPr>
          <w:rFonts w:ascii="Times New Roman" w:hAnsi="Times New Roman" w:cs="Times New Roman" w:eastAsia="Times New Roman" w:hint="default"/>
        </w:rPr>
        <w:t>&gt;</w:t>
      </w:r>
      <w:r>
        <w:rPr/>
        <w:t>及其摘要的议案》、《关于审核</w:t>
      </w:r>
      <w:r>
        <w:rPr>
          <w:rFonts w:ascii="Times New Roman" w:hAnsi="Times New Roman" w:cs="Times New Roman" w:eastAsia="Times New Roman" w:hint="default"/>
        </w:rPr>
        <w:t>&lt;</w:t>
      </w:r>
      <w:r>
        <w:rPr/>
        <w:t>深圳四方精创资讯股份有限公司</w:t>
      </w:r>
      <w:r>
        <w:rPr>
          <w:rFonts w:ascii="Times New Roman" w:hAnsi="Times New Roman" w:cs="Times New Roman" w:eastAsia="Times New Roman" w:hint="default"/>
        </w:rPr>
        <w:t>2017</w:t>
      </w:r>
      <w:r>
        <w:rPr/>
        <w:t>年限制性股票激励 计划实施考核管理办法</w:t>
      </w:r>
      <w:r>
        <w:rPr>
          <w:rFonts w:ascii="Times New Roman" w:hAnsi="Times New Roman" w:cs="Times New Roman" w:eastAsia="Times New Roman" w:hint="default"/>
        </w:rPr>
        <w:t>&gt;</w:t>
      </w:r>
      <w:r>
        <w:rPr/>
        <w:t>的议案》等议案，经第二届董事会第二十六次会议审议并通过的《关于向激励对象授予限制性股票 的议案》、《关于调整公司</w:t>
      </w:r>
      <w:r>
        <w:rPr>
          <w:rFonts w:ascii="Times New Roman" w:hAnsi="Times New Roman" w:cs="Times New Roman" w:eastAsia="Times New Roman" w:hint="default"/>
        </w:rPr>
        <w:t>2017</w:t>
      </w:r>
      <w:r>
        <w:rPr/>
        <w:t>年限制性股票激励计划激励对象及授予权益数量的议案》，并于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日完成了</w:t>
      </w:r>
      <w:r>
        <w:rPr>
          <w:rFonts w:ascii="Times New Roman" w:hAnsi="Times New Roman" w:cs="Times New Roman" w:eastAsia="Times New Roman" w:hint="default"/>
        </w:rPr>
        <w:t>2017</w:t>
      </w:r>
    </w:p>
    <w:p>
      <w:pPr>
        <w:spacing w:after="0" w:line="302" w:lineRule="auto"/>
        <w:jc w:val="left"/>
        <w:rPr>
          <w:rFonts w:ascii="Times New Roman" w:hAnsi="Times New Roman" w:cs="Times New Roman" w:eastAsia="Times New Roman" w:hint="default"/>
        </w:rPr>
        <w:sectPr>
          <w:pgSz w:w="11910" w:h="16840"/>
          <w:pgMar w:header="747" w:footer="979" w:top="1060" w:bottom="1160" w:left="740" w:right="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right="0"/>
        <w:jc w:val="left"/>
      </w:pPr>
      <w:r>
        <w:rPr/>
        <w:t>年限制性股票授予登记工作，授予价格为每股</w:t>
      </w:r>
      <w:r>
        <w:rPr>
          <w:rFonts w:ascii="Times New Roman" w:hAnsi="Times New Roman" w:cs="Times New Roman" w:eastAsia="Times New Roman" w:hint="default"/>
        </w:rPr>
        <w:t>21.26</w:t>
      </w:r>
      <w:r>
        <w:rPr/>
        <w:t>元，授予数量为</w:t>
      </w:r>
      <w:r>
        <w:rPr>
          <w:rFonts w:ascii="Times New Roman" w:hAnsi="Times New Roman" w:cs="Times New Roman" w:eastAsia="Times New Roman" w:hint="default"/>
        </w:rPr>
        <w:t>2,513,400</w:t>
      </w:r>
      <w:r>
        <w:rPr/>
        <w:t>股，公司总股本变更为</w:t>
      </w:r>
      <w:r>
        <w:rPr>
          <w:rFonts w:ascii="Times New Roman" w:hAnsi="Times New Roman" w:cs="Times New Roman" w:eastAsia="Times New Roman" w:hint="default"/>
        </w:rPr>
        <w:t>107,885,550</w:t>
      </w:r>
      <w:r>
        <w:rPr/>
        <w:t>股。</w:t>
      </w:r>
    </w:p>
    <w:p>
      <w:pPr>
        <w:pStyle w:val="BodyText"/>
        <w:spacing w:line="240" w:lineRule="auto" w:before="63"/>
        <w:ind w:right="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日，公司召开第二届董事会第二十八次会议，审议通过了《关于向激励对象授予预留限制性股票的议案》，</w:t>
      </w:r>
    </w:p>
    <w:p>
      <w:pPr>
        <w:pStyle w:val="BodyText"/>
        <w:spacing w:line="240" w:lineRule="auto" w:before="63"/>
        <w:ind w:right="0"/>
        <w:jc w:val="left"/>
      </w:pPr>
      <w:r>
        <w:rPr>
          <w:rFonts w:ascii="Times New Roman" w:hAnsi="Times New Roman" w:cs="Times New Roman" w:eastAsia="Times New Roman" w:hint="default"/>
          <w:spacing w:val="2"/>
        </w:rPr>
        <w:t>2016</w:t>
      </w:r>
      <w:r>
        <w:rPr>
          <w:spacing w:val="2"/>
        </w:rPr>
        <w:t>年限制性股票激励计划规定的预留限制性股票的授予条件已经成就，确定</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16</w:t>
      </w:r>
      <w:r>
        <w:rPr>
          <w:spacing w:val="2"/>
        </w:rPr>
        <w:t>日为授予日，授予价格为每股</w:t>
      </w:r>
    </w:p>
    <w:p>
      <w:pPr>
        <w:pStyle w:val="BodyText"/>
        <w:spacing w:line="240" w:lineRule="auto" w:before="63"/>
        <w:ind w:right="0"/>
        <w:jc w:val="left"/>
      </w:pPr>
      <w:r>
        <w:rPr>
          <w:rFonts w:ascii="Times New Roman" w:hAnsi="Times New Roman" w:cs="Times New Roman" w:eastAsia="Times New Roman" w:hint="default"/>
        </w:rPr>
        <w:t>23.82</w:t>
      </w:r>
      <w:r>
        <w:rPr>
          <w:rFonts w:ascii="Times New Roman" w:hAnsi="Times New Roman" w:cs="Times New Roman" w:eastAsia="Times New Roman" w:hint="default"/>
          <w:spacing w:val="23"/>
        </w:rPr>
        <w:t> </w:t>
      </w:r>
      <w:r>
        <w:rPr/>
        <w:t>元，授予</w:t>
      </w:r>
      <w:r>
        <w:rPr>
          <w:rFonts w:ascii="Times New Roman" w:hAnsi="Times New Roman" w:cs="Times New Roman" w:eastAsia="Times New Roman" w:hint="default"/>
        </w:rPr>
        <w:t>2</w:t>
      </w:r>
      <w:r>
        <w:rPr/>
        <w:t>名激励对象</w:t>
      </w:r>
      <w:r>
        <w:rPr>
          <w:rFonts w:ascii="Times New Roman" w:hAnsi="Times New Roman" w:cs="Times New Roman" w:eastAsia="Times New Roman" w:hint="default"/>
        </w:rPr>
        <w:t>276,000</w:t>
      </w:r>
      <w:r>
        <w:rPr/>
        <w:t>股限制性股票，变更后的股本为</w:t>
      </w:r>
      <w:r>
        <w:rPr>
          <w:rFonts w:ascii="Times New Roman" w:hAnsi="Times New Roman" w:cs="Times New Roman" w:eastAsia="Times New Roman" w:hint="default"/>
        </w:rPr>
        <w:t>108,161,550</w:t>
      </w:r>
      <w:r>
        <w:rPr/>
        <w:t>股。</w:t>
      </w:r>
    </w:p>
    <w:p>
      <w:pPr>
        <w:pStyle w:val="BodyText"/>
        <w:spacing w:line="240" w:lineRule="auto" w:before="63"/>
        <w:ind w:right="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日，公司召开第三届董事会第二次会议，审议通过了《关于回购注销部分已授予限制性股票的议案》，根据</w:t>
      </w:r>
    </w:p>
    <w:p>
      <w:pPr>
        <w:pStyle w:val="BodyText"/>
        <w:spacing w:line="302" w:lineRule="auto" w:before="63"/>
        <w:ind w:right="1025"/>
        <w:jc w:val="left"/>
      </w:pPr>
      <w:r>
        <w:rPr>
          <w:spacing w:val="-2"/>
        </w:rPr>
        <w:t>《深圳四方精创资讯股份有限公司限制性股票激励计划（草案）》，公司向离职员工回购注销其已获授但未解锁的全部限制</w:t>
      </w:r>
      <w:r>
        <w:rPr>
          <w:spacing w:val="-66"/>
        </w:rPr>
        <w:t> </w:t>
      </w:r>
      <w:r>
        <w:rPr>
          <w:spacing w:val="-66"/>
        </w:rPr>
      </w:r>
      <w:r>
        <w:rPr/>
        <w:t>性股票</w:t>
      </w:r>
      <w:r>
        <w:rPr>
          <w:rFonts w:ascii="Times New Roman" w:hAnsi="Times New Roman" w:cs="Times New Roman" w:eastAsia="Times New Roman" w:hint="default"/>
        </w:rPr>
        <w:t>31,220</w:t>
      </w:r>
      <w:r>
        <w:rPr>
          <w:rFonts w:ascii="Times New Roman" w:hAnsi="Times New Roman" w:cs="Times New Roman" w:eastAsia="Times New Roman" w:hint="default"/>
          <w:spacing w:val="15"/>
        </w:rPr>
        <w:t> </w:t>
      </w:r>
      <w:r>
        <w:rPr/>
        <w:t>股，回购价格为授予价格人民币</w:t>
      </w:r>
      <w:r>
        <w:rPr>
          <w:rFonts w:ascii="Times New Roman" w:hAnsi="Times New Roman" w:cs="Times New Roman" w:eastAsia="Times New Roman" w:hint="default"/>
        </w:rPr>
        <w:t>25.59</w:t>
      </w:r>
      <w:r>
        <w:rPr/>
        <w:t>元</w:t>
      </w:r>
      <w:r>
        <w:rPr>
          <w:rFonts w:ascii="Times New Roman" w:hAnsi="Times New Roman" w:cs="Times New Roman" w:eastAsia="Times New Roman" w:hint="default"/>
        </w:rPr>
        <w:t>/</w:t>
      </w:r>
      <w:r>
        <w:rPr/>
        <w:t>股；根据《深圳四方精创资讯股份有限公司</w:t>
      </w:r>
      <w:r>
        <w:rPr>
          <w:rFonts w:ascii="Times New Roman" w:hAnsi="Times New Roman" w:cs="Times New Roman" w:eastAsia="Times New Roman" w:hint="default"/>
        </w:rPr>
        <w:t>2016</w:t>
      </w:r>
      <w:r>
        <w:rPr/>
        <w:t>年限制性股票激励计 划（草案）》，公司向离职员工回购注销其已获授但未解锁的全部限制性股票 </w:t>
      </w:r>
      <w:r>
        <w:rPr>
          <w:rFonts w:ascii="Times New Roman" w:hAnsi="Times New Roman" w:cs="Times New Roman" w:eastAsia="Times New Roman" w:hint="default"/>
        </w:rPr>
        <w:t>24,200</w:t>
      </w:r>
      <w:r>
        <w:rPr>
          <w:rFonts w:ascii="Times New Roman" w:hAnsi="Times New Roman" w:cs="Times New Roman" w:eastAsia="Times New Roman" w:hint="default"/>
          <w:spacing w:val="-20"/>
        </w:rPr>
        <w:t> </w:t>
      </w:r>
      <w:r>
        <w:rPr/>
        <w:t>股，回购价格为授予价格人民币</w:t>
      </w:r>
      <w:r>
        <w:rPr>
          <w:rFonts w:ascii="Times New Roman" w:hAnsi="Times New Roman" w:cs="Times New Roman" w:eastAsia="Times New Roman" w:hint="default"/>
        </w:rPr>
        <w:t>28.90 </w:t>
      </w:r>
      <w:r>
        <w:rPr/>
        <w:t>元</w:t>
      </w:r>
      <w:r>
        <w:rPr>
          <w:rFonts w:ascii="Times New Roman" w:hAnsi="Times New Roman" w:cs="Times New Roman" w:eastAsia="Times New Roman" w:hint="default"/>
        </w:rPr>
        <w:t>/</w:t>
      </w:r>
      <w:r>
        <w:rPr/>
        <w:t>股；根据《深圳四方精创资讯股份有限公司</w:t>
      </w:r>
      <w:r>
        <w:rPr>
          <w:rFonts w:ascii="Times New Roman" w:hAnsi="Times New Roman" w:cs="Times New Roman" w:eastAsia="Times New Roman" w:hint="default"/>
        </w:rPr>
        <w:t>2017</w:t>
      </w:r>
      <w:r>
        <w:rPr/>
        <w:t>年限制性股票激励计划（草案）》，公司向离职员工回购注销其已获授</w:t>
      </w:r>
      <w:r>
        <w:rPr>
          <w:spacing w:val="-47"/>
        </w:rPr>
        <w:t> </w:t>
      </w:r>
      <w:r>
        <w:rPr>
          <w:spacing w:val="-47"/>
        </w:rPr>
      </w:r>
      <w:r>
        <w:rPr/>
        <w:t>但未解锁的全部限制性股票</w:t>
      </w:r>
      <w:r>
        <w:rPr>
          <w:rFonts w:ascii="Times New Roman" w:hAnsi="Times New Roman" w:cs="Times New Roman" w:eastAsia="Times New Roman" w:hint="default"/>
        </w:rPr>
        <w:t>13,300</w:t>
      </w:r>
      <w:r>
        <w:rPr/>
        <w:t>股，回购价格为授予价格人民币 </w:t>
      </w:r>
      <w:r>
        <w:rPr>
          <w:rFonts w:ascii="Times New Roman" w:hAnsi="Times New Roman" w:cs="Times New Roman" w:eastAsia="Times New Roman" w:hint="default"/>
        </w:rPr>
        <w:t>21.26 </w:t>
      </w:r>
      <w:r>
        <w:rPr/>
        <w:t>元</w:t>
      </w:r>
      <w:r>
        <w:rPr>
          <w:rFonts w:ascii="Times New Roman" w:hAnsi="Times New Roman" w:cs="Times New Roman" w:eastAsia="Times New Roman" w:hint="default"/>
        </w:rPr>
        <w:t>/</w:t>
      </w:r>
      <w:r>
        <w:rPr/>
        <w:t>股。审议通过了《关于</w:t>
      </w:r>
      <w:r>
        <w:rPr>
          <w:rFonts w:ascii="Times New Roman" w:hAnsi="Times New Roman" w:cs="Times New Roman" w:eastAsia="Times New Roman" w:hint="default"/>
        </w:rPr>
        <w:t>2015</w:t>
      </w:r>
      <w:r>
        <w:rPr/>
        <w:t>年限制性股票激励</w:t>
      </w:r>
      <w:r>
        <w:rPr>
          <w:spacing w:val="-50"/>
        </w:rPr>
        <w:t> </w:t>
      </w:r>
      <w:r>
        <w:rPr>
          <w:spacing w:val="-50"/>
        </w:rPr>
      </w:r>
      <w:r>
        <w:rPr/>
        <w:t>计划首次授予部分第二个解锁期解锁条件成就的议案》，解锁符合解锁条件的激励对象</w:t>
      </w:r>
      <w:r>
        <w:rPr>
          <w:rFonts w:ascii="Times New Roman" w:hAnsi="Times New Roman" w:cs="Times New Roman" w:eastAsia="Times New Roman" w:hint="default"/>
        </w:rPr>
        <w:t>129</w:t>
      </w:r>
      <w:r>
        <w:rPr/>
        <w:t>名，解锁数量为</w:t>
      </w:r>
      <w:r>
        <w:rPr>
          <w:rFonts w:ascii="Times New Roman" w:hAnsi="Times New Roman" w:cs="Times New Roman" w:eastAsia="Times New Roman" w:hint="default"/>
        </w:rPr>
        <w:t>1,147,740</w:t>
      </w:r>
      <w:r>
        <w:rPr/>
        <w:t>股。审</w:t>
      </w:r>
      <w:r>
        <w:rPr>
          <w:spacing w:val="-84"/>
        </w:rPr>
        <w:t> </w:t>
      </w:r>
      <w:r>
        <w:rPr>
          <w:spacing w:val="-2"/>
        </w:rPr>
        <w:t>议通过了《关于</w:t>
      </w:r>
      <w:r>
        <w:rPr>
          <w:rFonts w:ascii="Times New Roman" w:hAnsi="Times New Roman" w:cs="Times New Roman" w:eastAsia="Times New Roman" w:hint="default"/>
          <w:spacing w:val="-2"/>
        </w:rPr>
        <w:t>2015</w:t>
      </w:r>
      <w:r>
        <w:rPr>
          <w:spacing w:val="-2"/>
        </w:rPr>
        <w:t>年限制性股票激励计划预留部分第一个解锁期解锁条件成就的议案》，同意对符合解锁条件的激励对象</w:t>
      </w:r>
      <w:r>
        <w:rPr>
          <w:spacing w:val="-62"/>
        </w:rPr>
        <w:t> </w:t>
      </w:r>
      <w:r>
        <w:rPr>
          <w:spacing w:val="-62"/>
        </w:rPr>
      </w:r>
      <w:r>
        <w:rPr>
          <w:rFonts w:ascii="Times New Roman" w:hAnsi="Times New Roman" w:cs="Times New Roman" w:eastAsia="Times New Roman" w:hint="default"/>
          <w:spacing w:val="-3"/>
        </w:rPr>
        <w:t>1</w:t>
      </w:r>
      <w:r>
        <w:rPr>
          <w:spacing w:val="-3"/>
        </w:rPr>
        <w:t>名，解锁数量为</w:t>
      </w:r>
      <w:r>
        <w:rPr>
          <w:rFonts w:ascii="Times New Roman" w:hAnsi="Times New Roman" w:cs="Times New Roman" w:eastAsia="Times New Roman" w:hint="default"/>
          <w:spacing w:val="-3"/>
        </w:rPr>
        <w:t>215,000</w:t>
      </w:r>
      <w:r>
        <w:rPr>
          <w:spacing w:val="-3"/>
        </w:rPr>
        <w:t>股。审议通过了《关于</w:t>
      </w:r>
      <w:r>
        <w:rPr>
          <w:rFonts w:ascii="Times New Roman" w:hAnsi="Times New Roman" w:cs="Times New Roman" w:eastAsia="Times New Roman" w:hint="default"/>
          <w:spacing w:val="-3"/>
        </w:rPr>
        <w:t>2016</w:t>
      </w:r>
      <w:r>
        <w:rPr>
          <w:spacing w:val="-3"/>
        </w:rPr>
        <w:t>年限制性股票激励计划首次授予部分第一个解锁期解锁条件成就的议案》</w:t>
      </w:r>
      <w:r>
        <w:rPr>
          <w:spacing w:val="-36"/>
        </w:rPr>
        <w:t> </w:t>
      </w:r>
      <w:r>
        <w:rPr/>
        <w:t>同意对符合解锁条件的激励对象</w:t>
      </w:r>
      <w:r>
        <w:rPr>
          <w:rFonts w:ascii="Times New Roman" w:hAnsi="Times New Roman" w:cs="Times New Roman" w:eastAsia="Times New Roman" w:hint="default"/>
        </w:rPr>
        <w:t>140</w:t>
      </w:r>
      <w:r>
        <w:rPr/>
        <w:t>名，解锁数量为</w:t>
      </w:r>
      <w:r>
        <w:rPr>
          <w:rFonts w:ascii="Times New Roman" w:hAnsi="Times New Roman" w:cs="Times New Roman" w:eastAsia="Times New Roman" w:hint="default"/>
        </w:rPr>
        <w:t>311,340</w:t>
      </w:r>
      <w:r>
        <w:rPr/>
        <w:t>股，变更后的股本为</w:t>
      </w:r>
      <w:r>
        <w:rPr>
          <w:rFonts w:ascii="Times New Roman" w:hAnsi="Times New Roman" w:cs="Times New Roman" w:eastAsia="Times New Roman" w:hint="default"/>
        </w:rPr>
        <w:t>108,092,830</w:t>
      </w:r>
      <w:r>
        <w:rPr/>
        <w:t>股。 </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日，公司召开</w:t>
      </w:r>
      <w:r>
        <w:rPr>
          <w:rFonts w:ascii="Times New Roman" w:hAnsi="Times New Roman" w:cs="Times New Roman" w:eastAsia="Times New Roman" w:hint="default"/>
        </w:rPr>
        <w:t>2017</w:t>
      </w:r>
      <w:r>
        <w:rPr/>
        <w:t>年股东大会会议，审议通过了《关于审议</w:t>
      </w:r>
      <w:r>
        <w:rPr>
          <w:rFonts w:ascii="Times New Roman" w:hAnsi="Times New Roman" w:cs="Times New Roman" w:eastAsia="Times New Roman" w:hint="default"/>
        </w:rPr>
        <w:t>2017</w:t>
      </w:r>
      <w:r>
        <w:rPr/>
        <w:t>年度利润分配及资本公积金转增股本预案的</w:t>
      </w:r>
      <w:r>
        <w:rPr>
          <w:spacing w:val="-83"/>
        </w:rPr>
        <w:t> </w:t>
      </w:r>
      <w:r>
        <w:rPr>
          <w:spacing w:val="-83"/>
        </w:rPr>
      </w:r>
      <w:r>
        <w:rPr>
          <w:spacing w:val="-4"/>
        </w:rPr>
        <w:t>议案》，以公司现有总股本</w:t>
      </w:r>
      <w:r>
        <w:rPr>
          <w:rFonts w:ascii="Times New Roman" w:hAnsi="Times New Roman" w:cs="Times New Roman" w:eastAsia="Times New Roman" w:hint="default"/>
          <w:spacing w:val="-4"/>
        </w:rPr>
        <w:t>108,092,830</w:t>
      </w:r>
      <w:r>
        <w:rPr>
          <w:spacing w:val="-4"/>
        </w:rPr>
        <w:t>股为基数，以资本公积金向全体股东每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8.005086</w:t>
      </w:r>
      <w:r>
        <w:rPr>
          <w:spacing w:val="-4"/>
        </w:rPr>
        <w:t>股，变更后股本为</w:t>
      </w:r>
      <w:r>
        <w:rPr>
          <w:rFonts w:ascii="Times New Roman" w:hAnsi="Times New Roman" w:cs="Times New Roman" w:eastAsia="Times New Roman" w:hint="default"/>
          <w:spacing w:val="-4"/>
        </w:rPr>
        <w:t>194,622,070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股。 </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日，公司召开第三届董事会第七次会议，审议通过了《关于回购注销部分已授予限制性股票的议案》，根</w:t>
      </w:r>
      <w:r>
        <w:rPr>
          <w:spacing w:val="-83"/>
        </w:rPr>
        <w:t> </w:t>
      </w:r>
      <w:r>
        <w:rPr>
          <w:spacing w:val="-83"/>
        </w:rPr>
      </w:r>
      <w:r>
        <w:rPr/>
        <w:t>据公司《</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年限制性股票激励计划（草案）》，公司向离职员工回购注销其已获授但未解锁的全部限制性股票</w:t>
      </w:r>
      <w:r>
        <w:rPr>
          <w:rFonts w:ascii="Times New Roman" w:hAnsi="Times New Roman" w:cs="Times New Roman" w:eastAsia="Times New Roman" w:hint="default"/>
        </w:rPr>
        <w:t>50,846</w:t>
      </w:r>
      <w:r>
        <w:rPr/>
        <w:t>股， 回购价格为人民币</w:t>
      </w:r>
      <w:r>
        <w:rPr>
          <w:rFonts w:ascii="Times New Roman" w:hAnsi="Times New Roman" w:cs="Times New Roman" w:eastAsia="Times New Roman" w:hint="default"/>
        </w:rPr>
        <w:t>14.2126</w:t>
      </w:r>
      <w:r>
        <w:rPr/>
        <w:t>元</w:t>
      </w:r>
      <w:r>
        <w:rPr>
          <w:rFonts w:ascii="Times New Roman" w:hAnsi="Times New Roman" w:cs="Times New Roman" w:eastAsia="Times New Roman" w:hint="default"/>
        </w:rPr>
        <w:t>/</w:t>
      </w:r>
      <w:r>
        <w:rPr/>
        <w:t>股；根据公司《</w:t>
      </w:r>
      <w:r>
        <w:rPr>
          <w:rFonts w:ascii="Times New Roman" w:hAnsi="Times New Roman" w:cs="Times New Roman" w:eastAsia="Times New Roman" w:hint="default"/>
        </w:rPr>
        <w:t>2016</w:t>
      </w:r>
      <w:r>
        <w:rPr/>
        <w:t>年限制性股票激励计划（草案）》，公司向离职员工回购注销其已获授但 未解锁的全部限制性股票</w:t>
      </w:r>
      <w:r>
        <w:rPr>
          <w:rFonts w:ascii="Times New Roman" w:hAnsi="Times New Roman" w:cs="Times New Roman" w:eastAsia="Times New Roman" w:hint="default"/>
        </w:rPr>
        <w:t>179,854</w:t>
      </w:r>
      <w:r>
        <w:rPr/>
        <w:t>股，回购价格为人民币</w:t>
      </w:r>
      <w:r>
        <w:rPr>
          <w:rFonts w:ascii="Times New Roman" w:hAnsi="Times New Roman" w:cs="Times New Roman" w:eastAsia="Times New Roman" w:hint="default"/>
        </w:rPr>
        <w:t>16.0510</w:t>
      </w:r>
      <w:r>
        <w:rPr/>
        <w:t>元</w:t>
      </w:r>
      <w:r>
        <w:rPr>
          <w:rFonts w:ascii="Times New Roman" w:hAnsi="Times New Roman" w:cs="Times New Roman" w:eastAsia="Times New Roman" w:hint="default"/>
        </w:rPr>
        <w:t>/</w:t>
      </w:r>
      <w:r>
        <w:rPr/>
        <w:t>股；根据公司《</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年限制性股票激励计划（草案）》， 公司向离职员工回购注销其已获授但未解锁的全部限制性股票</w:t>
      </w:r>
      <w:r>
        <w:rPr>
          <w:rFonts w:ascii="Times New Roman" w:hAnsi="Times New Roman" w:cs="Times New Roman" w:eastAsia="Times New Roman" w:hint="default"/>
        </w:rPr>
        <w:t>109,291</w:t>
      </w:r>
      <w:r>
        <w:rPr/>
        <w:t>股，回购价格为人民币</w:t>
      </w:r>
      <w:r>
        <w:rPr>
          <w:rFonts w:ascii="Times New Roman" w:hAnsi="Times New Roman" w:cs="Times New Roman" w:eastAsia="Times New Roman" w:hint="default"/>
        </w:rPr>
        <w:t>11.8077</w:t>
      </w:r>
      <w:r>
        <w:rPr/>
        <w:t>元</w:t>
      </w:r>
      <w:r>
        <w:rPr>
          <w:rFonts w:ascii="Times New Roman" w:hAnsi="Times New Roman" w:cs="Times New Roman" w:eastAsia="Times New Roman" w:hint="default"/>
        </w:rPr>
        <w:t>/</w:t>
      </w:r>
      <w:r>
        <w:rPr/>
        <w:t>股。审议通过了《关 </w:t>
      </w:r>
      <w:r>
        <w:rPr>
          <w:spacing w:val="-2"/>
        </w:rPr>
        <w:t>于取消授予</w:t>
      </w:r>
      <w:r>
        <w:rPr>
          <w:rFonts w:ascii="Times New Roman" w:hAnsi="Times New Roman" w:cs="Times New Roman" w:eastAsia="Times New Roman" w:hint="default"/>
          <w:spacing w:val="-2"/>
        </w:rPr>
        <w:t>2017</w:t>
      </w:r>
      <w:r>
        <w:rPr>
          <w:spacing w:val="-2"/>
        </w:rPr>
        <w:t>年限制性股票激励计划预留限制性股票的议案》，公司在预留限制性股票授予期限内没有满足可授予限制性</w:t>
      </w:r>
      <w:r>
        <w:rPr>
          <w:spacing w:val="-60"/>
        </w:rPr>
        <w:t> </w:t>
      </w:r>
      <w:r>
        <w:rPr>
          <w:spacing w:val="-60"/>
        </w:rPr>
      </w:r>
      <w:r>
        <w:rPr/>
        <w:t>股票条件的潜在激励对象，因此公司取消授予预留的限制性股票</w:t>
      </w:r>
      <w:r>
        <w:rPr>
          <w:rFonts w:ascii="Times New Roman" w:hAnsi="Times New Roman" w:cs="Times New Roman" w:eastAsia="Times New Roman" w:hint="default"/>
        </w:rPr>
        <w:t>63.32</w:t>
      </w:r>
      <w:r>
        <w:rPr/>
        <w:t>万股，变更后股本为</w:t>
      </w:r>
      <w:r>
        <w:rPr>
          <w:rFonts w:ascii="Times New Roman" w:hAnsi="Times New Roman" w:cs="Times New Roman" w:eastAsia="Times New Roman" w:hint="default"/>
        </w:rPr>
        <w:t>194,282,079</w:t>
      </w:r>
      <w:r>
        <w:rPr/>
        <w:t>股。 </w:t>
      </w:r>
      <w:r>
        <w:rPr>
          <w:rFonts w:ascii="Times New Roman" w:hAnsi="Times New Roman" w:cs="Times New Roman" w:eastAsia="Times New Roman" w:hint="default"/>
          <w:spacing w:val="-2"/>
        </w:rPr>
        <w:t>11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日，公司召开第三届董事会第九次会议，审议通过了《关于回购注销部分已授予限制性股票的议案》，根</w:t>
      </w:r>
      <w:r>
        <w:rPr>
          <w:spacing w:val="-56"/>
        </w:rPr>
        <w:t> </w:t>
      </w:r>
      <w:r>
        <w:rPr>
          <w:spacing w:val="-56"/>
        </w:rPr>
      </w:r>
      <w:r>
        <w:rPr/>
        <w:t>据公司《深圳四方精创资讯股份有限公司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年限制性股票激励计划（草案）》，公司回购注销已不具备激励对象资格的</w:t>
      </w:r>
    </w:p>
    <w:p>
      <w:pPr>
        <w:pStyle w:val="BodyText"/>
        <w:spacing w:line="300" w:lineRule="auto" w:before="11"/>
        <w:ind w:right="1129"/>
        <w:jc w:val="both"/>
      </w:pPr>
      <w:r>
        <w:rPr/>
        <w:t>激励对象已获授但未解锁的全部限制性股票</w:t>
      </w:r>
      <w:r>
        <w:rPr>
          <w:rFonts w:ascii="Times New Roman" w:hAnsi="Times New Roman" w:cs="Times New Roman" w:eastAsia="Times New Roman" w:hint="default"/>
        </w:rPr>
        <w:t>61,217 </w:t>
      </w:r>
      <w:r>
        <w:rPr/>
        <w:t>股，回购价格为人民币 </w:t>
      </w:r>
      <w:r>
        <w:rPr>
          <w:rFonts w:ascii="Times New Roman" w:hAnsi="Times New Roman" w:cs="Times New Roman" w:eastAsia="Times New Roman" w:hint="default"/>
        </w:rPr>
        <w:t>11.8077 </w:t>
      </w:r>
      <w:r>
        <w:rPr/>
        <w:t>元</w:t>
      </w:r>
      <w:r>
        <w:rPr>
          <w:rFonts w:ascii="Times New Roman" w:hAnsi="Times New Roman" w:cs="Times New Roman" w:eastAsia="Times New Roman" w:hint="default"/>
        </w:rPr>
        <w:t>/</w:t>
      </w:r>
      <w:r>
        <w:rPr/>
        <w:t>股。审议通过了《关于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年限制</w:t>
      </w:r>
      <w:r>
        <w:rPr>
          <w:spacing w:val="1"/>
        </w:rPr>
        <w:t> </w:t>
      </w:r>
      <w:r>
        <w:rPr>
          <w:spacing w:val="2"/>
        </w:rPr>
        <w:t>性股票激励计划首次授予部分第一个解锁期解锁条件成就的议案》，同意对符合解锁条件的激励对象</w:t>
      </w:r>
      <w:r>
        <w:rPr>
          <w:rFonts w:ascii="Times New Roman" w:hAnsi="Times New Roman" w:cs="Times New Roman" w:eastAsia="Times New Roman" w:hint="default"/>
          <w:spacing w:val="2"/>
        </w:rPr>
        <w:t>158</w:t>
      </w:r>
      <w:r>
        <w:rPr>
          <w:spacing w:val="2"/>
        </w:rPr>
        <w:t>名，解锁数量为</w:t>
      </w:r>
      <w:r>
        <w:rPr>
          <w:spacing w:val="-42"/>
        </w:rPr>
        <w:t> </w:t>
      </w:r>
      <w:r>
        <w:rPr>
          <w:spacing w:val="-42"/>
        </w:rPr>
      </w:r>
      <w:r>
        <w:rPr>
          <w:rFonts w:ascii="Times New Roman" w:hAnsi="Times New Roman" w:cs="Times New Roman" w:eastAsia="Times New Roman" w:hint="default"/>
        </w:rPr>
        <w:t>1,291,617</w:t>
      </w:r>
      <w:r>
        <w:rPr/>
        <w:t>股，变更后股本为</w:t>
      </w:r>
      <w:r>
        <w:rPr>
          <w:rFonts w:ascii="Times New Roman" w:hAnsi="Times New Roman" w:cs="Times New Roman" w:eastAsia="Times New Roman" w:hint="default"/>
        </w:rPr>
        <w:t>192,220,862</w:t>
      </w:r>
      <w:r>
        <w:rPr/>
        <w:t>股。</w:t>
      </w:r>
    </w:p>
    <w:p>
      <w:pPr>
        <w:pStyle w:val="BodyText"/>
        <w:spacing w:line="240" w:lineRule="auto" w:before="53"/>
        <w:ind w:right="0"/>
        <w:jc w:val="left"/>
      </w:pPr>
      <w:r>
        <w:rPr/>
        <w:t>股份变动的批准情况</w:t>
      </w:r>
    </w:p>
    <w:p>
      <w:pPr>
        <w:pStyle w:val="BodyText"/>
        <w:spacing w:line="328"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公司因股权激励发行新股已经过公司董事会、股东大会批准，并在中国证券登记结算有限责任公司深圳分公司完成了股权登</w:t>
      </w:r>
      <w:r>
        <w:rPr>
          <w:spacing w:val="-64"/>
        </w:rPr>
        <w:t> </w:t>
      </w:r>
      <w:r>
        <w:rPr>
          <w:spacing w:val="-64"/>
        </w:rPr>
      </w:r>
      <w:r>
        <w:rPr/>
        <w:t>记手续，同时工商变更登记手续也已完成。详细信息参照公司在巨潮资讯网上的相关公告。</w:t>
      </w:r>
    </w:p>
    <w:p>
      <w:pPr>
        <w:spacing w:line="240" w:lineRule="auto" w:before="0"/>
        <w:rPr>
          <w:rFonts w:ascii="宋体" w:hAnsi="宋体" w:cs="宋体" w:eastAsia="宋体" w:hint="default"/>
          <w:sz w:val="18"/>
          <w:szCs w:val="18"/>
        </w:rPr>
      </w:pPr>
    </w:p>
    <w:p>
      <w:pPr>
        <w:pStyle w:val="BodyText"/>
        <w:spacing w:line="240" w:lineRule="auto" w:before="127"/>
        <w:ind w:right="0"/>
        <w:jc w:val="left"/>
      </w:pPr>
      <w:r>
        <w:rPr/>
        <w:t>股份变动的过户情况</w:t>
      </w:r>
    </w:p>
    <w:p>
      <w:pPr>
        <w:pStyle w:val="BodyText"/>
        <w:spacing w:line="338" w:lineRule="auto" w:before="117"/>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40" w:lineRule="auto" w:before="42"/>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1"/>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3"/>
        <w:ind w:right="19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股份变动使最近一年和最近一期基本每股收益和稀释每股收益下降，归属于公司普通股股东的每股净资产上升。</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益群集团控股有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27,742,500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27,742,500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益威集团控股有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年首期限制 性股票激励对象 </w:t>
            </w:r>
            <w:r>
              <w:rPr>
                <w:rFonts w:ascii="Times New Roman" w:hAnsi="Times New Roman" w:cs="Times New Roman" w:eastAsia="Times New Roman" w:hint="default"/>
                <w:sz w:val="18"/>
                <w:szCs w:val="18"/>
              </w:rPr>
              <w:t>133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2,709,280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956,147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1,225,028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2,978,161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每年分别按</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解锁</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年预留限制 性股票激励对象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387,109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每年分别按</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解锁</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年首期限制 性股票激励对象 </w:t>
            </w:r>
            <w:r>
              <w:rPr>
                <w:rFonts w:ascii="Times New Roman" w:hAnsi="Times New Roman" w:cs="Times New Roman" w:eastAsia="Times New Roman" w:hint="default"/>
                <w:sz w:val="18"/>
                <w:szCs w:val="18"/>
              </w:rPr>
              <w:t>143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1,062,000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335,540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1,307,991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每年分别按</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解锁</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69"/>
              <w:jc w:val="both"/>
              <w:rPr>
                <w:rFonts w:ascii="宋体" w:hAnsi="宋体" w:cs="宋体" w:eastAsia="宋体" w:hint="default"/>
                <w:sz w:val="18"/>
                <w:szCs w:val="18"/>
              </w:rPr>
            </w:pPr>
            <w:r>
              <w:rPr>
                <w:rFonts w:ascii="Times New Roman" w:hAnsi="Times New Roman" w:cs="Times New Roman" w:eastAsia="Times New Roman" w:hint="default"/>
                <w:sz w:val="18"/>
                <w:szCs w:val="18"/>
              </w:rPr>
              <w:t>207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年首期限制 性股票激励对象 </w:t>
            </w:r>
            <w:r>
              <w:rPr>
                <w:rFonts w:ascii="Times New Roman" w:hAnsi="Times New Roman" w:cs="Times New Roman" w:eastAsia="Times New Roman" w:hint="default"/>
                <w:sz w:val="18"/>
                <w:szCs w:val="18"/>
              </w:rPr>
              <w:t>171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2,513,400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1,304,917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2,001,365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3,209,848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每年分别按</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解锁</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年预留限制 性股票激励对象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496,940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496,940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每年分别按</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解锁</w:t>
            </w:r>
          </w:p>
        </w:tc>
      </w:tr>
      <w:tr>
        <w:trPr>
          <w:trHeight w:val="40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41,027,180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37,124,104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4,476,973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8,380,049</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日，召开公司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2017</w:t>
      </w:r>
      <w:r>
        <w:rPr/>
        <w:t>年第一次临时股东大会审议并通过了《关于审核</w:t>
      </w:r>
      <w:r>
        <w:rPr>
          <w:rFonts w:ascii="Times New Roman" w:hAnsi="Times New Roman" w:cs="Times New Roman" w:eastAsia="Times New Roman" w:hint="default"/>
        </w:rPr>
        <w:t>&lt;</w:t>
      </w:r>
      <w:r>
        <w:rPr/>
        <w:t>深圳四方精创资讯股份</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jc w:val="both"/>
      </w:pPr>
      <w:r>
        <w:rPr>
          <w:spacing w:val="-1"/>
        </w:rPr>
        <w:t>有限公司</w:t>
      </w:r>
      <w:r>
        <w:rPr>
          <w:rFonts w:ascii="Times New Roman" w:hAnsi="Times New Roman" w:cs="Times New Roman" w:eastAsia="Times New Roman" w:hint="default"/>
          <w:spacing w:val="-1"/>
        </w:rPr>
        <w:t>2016</w:t>
      </w:r>
      <w:r>
        <w:rPr>
          <w:spacing w:val="-1"/>
        </w:rPr>
        <w:t>年限制性股票激励计划（草案）</w:t>
      </w:r>
      <w:r>
        <w:rPr>
          <w:rFonts w:ascii="Times New Roman" w:hAnsi="Times New Roman" w:cs="Times New Roman" w:eastAsia="Times New Roman" w:hint="default"/>
          <w:spacing w:val="-1"/>
        </w:rPr>
        <w:t>&gt;</w:t>
      </w:r>
      <w:r>
        <w:rPr>
          <w:spacing w:val="-1"/>
        </w:rPr>
        <w:t>及其摘要的议案》及第二届董事会第二十八次会议审议通过的《关于向激励</w:t>
      </w:r>
      <w:r>
        <w:rPr>
          <w:spacing w:val="-42"/>
        </w:rPr>
        <w:t> </w:t>
      </w:r>
      <w:r>
        <w:rPr>
          <w:spacing w:val="-42"/>
        </w:rPr>
      </w:r>
      <w:r>
        <w:rPr>
          <w:spacing w:val="2"/>
        </w:rPr>
        <w:t>对象授予预留限制性股票的议案》，公司以</w:t>
      </w:r>
      <w:r>
        <w:rPr>
          <w:rFonts w:ascii="Times New Roman" w:hAnsi="Times New Roman" w:cs="Times New Roman" w:eastAsia="Times New Roman" w:hint="default"/>
          <w:spacing w:val="2"/>
        </w:rPr>
        <w:t>23.82</w:t>
      </w:r>
      <w:r>
        <w:rPr>
          <w:spacing w:val="2"/>
        </w:rPr>
        <w:t>元</w:t>
      </w:r>
      <w:r>
        <w:rPr>
          <w:rFonts w:ascii="Times New Roman" w:hAnsi="Times New Roman" w:cs="Times New Roman" w:eastAsia="Times New Roman" w:hint="default"/>
          <w:spacing w:val="2"/>
        </w:rPr>
        <w:t>/</w:t>
      </w:r>
      <w:r>
        <w:rPr>
          <w:spacing w:val="2"/>
        </w:rPr>
        <w:t>股的价格向王超、胡晓宇授予限制性股票</w:t>
      </w:r>
      <w:r>
        <w:rPr>
          <w:rFonts w:ascii="Times New Roman" w:hAnsi="Times New Roman" w:cs="Times New Roman" w:eastAsia="Times New Roman" w:hint="default"/>
          <w:spacing w:val="2"/>
        </w:rPr>
        <w:t>276,000</w:t>
      </w:r>
      <w:r>
        <w:rPr>
          <w:spacing w:val="2"/>
        </w:rPr>
        <w:t>股，变更后的股本为</w:t>
      </w:r>
      <w:r>
        <w:rPr/>
        <w:t> </w:t>
      </w:r>
      <w:r>
        <w:rPr>
          <w:rFonts w:ascii="Times New Roman" w:hAnsi="Times New Roman" w:cs="Times New Roman" w:eastAsia="Times New Roman" w:hint="default"/>
        </w:rPr>
        <w:t>108,161,550</w:t>
      </w:r>
      <w:r>
        <w:rPr/>
        <w:t>股。</w:t>
      </w:r>
    </w:p>
    <w:p>
      <w:pPr>
        <w:pStyle w:val="BodyText"/>
        <w:spacing w:line="300" w:lineRule="auto" w:before="133"/>
        <w:ind w:right="1041"/>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日，召开公司第三届董事会第二次会议审议通过的《关于回购注销部分已授予限制性股票的议案》，公司回</w:t>
      </w:r>
      <w:r>
        <w:rPr>
          <w:spacing w:val="-59"/>
        </w:rPr>
        <w:t> </w:t>
      </w:r>
      <w:r>
        <w:rPr>
          <w:spacing w:val="-59"/>
        </w:rPr>
      </w:r>
      <w:r>
        <w:rPr/>
        <w:t>购注销部分已授予限制性股票，向董玲玲、孙舰、朱炳飞、谭伟明、王海燕、刘海生、梅世城、谭新安及李海锋回购</w:t>
      </w:r>
      <w:r>
        <w:rPr>
          <w:rFonts w:ascii="Times New Roman" w:hAnsi="Times New Roman" w:cs="Times New Roman" w:eastAsia="Times New Roman" w:hint="default"/>
        </w:rPr>
        <w:t>68,720 </w:t>
      </w:r>
      <w:r>
        <w:rPr/>
        <w:t>股，变更后的股本为</w:t>
      </w:r>
      <w:r>
        <w:rPr>
          <w:rFonts w:ascii="Times New Roman" w:hAnsi="Times New Roman" w:cs="Times New Roman" w:eastAsia="Times New Roman" w:hint="default"/>
        </w:rPr>
        <w:t>108,092,830</w:t>
      </w:r>
      <w:r>
        <w:rPr/>
        <w:t>股。</w:t>
      </w:r>
    </w:p>
    <w:p>
      <w:pPr>
        <w:pStyle w:val="BodyText"/>
        <w:spacing w:line="300" w:lineRule="auto" w:before="133"/>
        <w:ind w:right="1041"/>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日，召开</w:t>
      </w:r>
      <w:r>
        <w:rPr>
          <w:rFonts w:ascii="Times New Roman" w:hAnsi="Times New Roman" w:cs="Times New Roman" w:eastAsia="Times New Roman" w:hint="default"/>
          <w:spacing w:val="-2"/>
        </w:rPr>
        <w:t>2017</w:t>
      </w:r>
      <w:r>
        <w:rPr>
          <w:spacing w:val="-2"/>
        </w:rPr>
        <w:t>年股东大会会议审议通过的《关于审议</w:t>
      </w:r>
      <w:r>
        <w:rPr>
          <w:rFonts w:ascii="Times New Roman" w:hAnsi="Times New Roman" w:cs="Times New Roman" w:eastAsia="Times New Roman" w:hint="default"/>
          <w:spacing w:val="-2"/>
        </w:rPr>
        <w:t>2017</w:t>
      </w:r>
      <w:r>
        <w:rPr>
          <w:spacing w:val="-2"/>
        </w:rPr>
        <w:t>年度利润分配及资本公积金转增股本预案的议案》，</w:t>
      </w:r>
      <w:r>
        <w:rPr>
          <w:spacing w:val="-51"/>
        </w:rPr>
        <w:t> </w:t>
      </w:r>
      <w:r>
        <w:rPr>
          <w:spacing w:val="-51"/>
        </w:rPr>
      </w:r>
      <w:r>
        <w:rPr/>
        <w:t>以公司现有总股本</w:t>
      </w:r>
      <w:r>
        <w:rPr>
          <w:rFonts w:ascii="Times New Roman" w:hAnsi="Times New Roman" w:cs="Times New Roman" w:eastAsia="Times New Roman" w:hint="default"/>
        </w:rPr>
        <w:t>108,092,830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8.005086</w:t>
      </w:r>
      <w:r>
        <w:rPr/>
        <w:t>股，变更后股本为</w:t>
      </w:r>
      <w:r>
        <w:rPr>
          <w:rFonts w:ascii="Times New Roman" w:hAnsi="Times New Roman" w:cs="Times New Roman" w:eastAsia="Times New Roman" w:hint="default"/>
        </w:rPr>
        <w:t>194,622,070</w:t>
      </w:r>
      <w:r>
        <w:rPr/>
        <w:t>股。</w:t>
      </w:r>
    </w:p>
    <w:p>
      <w:pPr>
        <w:pStyle w:val="BodyText"/>
        <w:spacing w:line="300" w:lineRule="auto" w:before="133"/>
        <w:ind w:right="1131"/>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日，召开公司第三届董事会第七次会议审议通过的《关于回购注销部分已授予限制性股票的议案》，公司回</w:t>
      </w:r>
      <w:r>
        <w:rPr>
          <w:spacing w:val="-59"/>
        </w:rPr>
        <w:t> </w:t>
      </w:r>
      <w:r>
        <w:rPr>
          <w:spacing w:val="-59"/>
        </w:rPr>
      </w:r>
      <w:r>
        <w:rPr/>
        <w:t>购注销</w:t>
      </w:r>
      <w:r>
        <w:rPr>
          <w:rFonts w:ascii="Times New Roman" w:hAnsi="Times New Roman" w:cs="Times New Roman" w:eastAsia="Times New Roman" w:hint="default"/>
        </w:rPr>
        <w:t>32</w:t>
      </w:r>
      <w:r>
        <w:rPr/>
        <w:t>名激励对象已获授但尚未解锁的限制性股票共</w:t>
      </w:r>
      <w:r>
        <w:rPr>
          <w:rFonts w:ascii="Times New Roman" w:hAnsi="Times New Roman" w:cs="Times New Roman" w:eastAsia="Times New Roman" w:hint="default"/>
        </w:rPr>
        <w:t>339,991</w:t>
      </w:r>
      <w:r>
        <w:rPr/>
        <w:t>股，变更完成后，股本为</w:t>
      </w:r>
      <w:r>
        <w:rPr>
          <w:rFonts w:ascii="Times New Roman" w:hAnsi="Times New Roman" w:cs="Times New Roman" w:eastAsia="Times New Roman" w:hint="default"/>
        </w:rPr>
        <w:t>194,282,079</w:t>
      </w:r>
      <w:r>
        <w:rPr/>
        <w:t>股。</w:t>
      </w:r>
    </w:p>
    <w:p>
      <w:pPr>
        <w:pStyle w:val="BodyText"/>
        <w:spacing w:line="300" w:lineRule="auto" w:before="133"/>
        <w:ind w:right="113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日，召开公司召开第三届董事会第九次会议审议通过了《关于回购注销部分已授予限制性股票的议案》，</w:t>
      </w:r>
      <w:r>
        <w:rPr>
          <w:spacing w:val="-83"/>
        </w:rPr>
        <w:t> </w:t>
      </w:r>
      <w:r>
        <w:rPr>
          <w:spacing w:val="-83"/>
        </w:rPr>
      </w:r>
      <w:r>
        <w:rPr/>
        <w:t>回购注销</w:t>
      </w:r>
      <w:r>
        <w:rPr>
          <w:rFonts w:ascii="Times New Roman" w:hAnsi="Times New Roman" w:cs="Times New Roman" w:eastAsia="Times New Roman" w:hint="default"/>
        </w:rPr>
        <w:t>2</w:t>
      </w:r>
      <w:r>
        <w:rPr/>
        <w:t>名激励对象已获授但尚未解锁的限制性股票共</w:t>
      </w:r>
      <w:r>
        <w:rPr>
          <w:rFonts w:ascii="Times New Roman" w:hAnsi="Times New Roman" w:cs="Times New Roman" w:eastAsia="Times New Roman" w:hint="default"/>
        </w:rPr>
        <w:t>61,217</w:t>
      </w:r>
      <w:r>
        <w:rPr/>
        <w:t>股；审议通过了《关于</w:t>
      </w:r>
      <w:r>
        <w:rPr>
          <w:rFonts w:ascii="Times New Roman" w:hAnsi="Times New Roman" w:cs="Times New Roman" w:eastAsia="Times New Roman" w:hint="default"/>
        </w:rPr>
        <w:t>2017</w:t>
      </w:r>
      <w:r>
        <w:rPr/>
        <w:t>年限制性股票激励计划首次授予</w:t>
      </w:r>
      <w:r>
        <w:rPr>
          <w:spacing w:val="-47"/>
        </w:rPr>
        <w:t> </w:t>
      </w:r>
      <w:r>
        <w:rPr>
          <w:spacing w:val="-47"/>
        </w:rPr>
      </w:r>
      <w:r>
        <w:rPr/>
        <w:t>部分第一个解锁期解锁条件成就的议案》，同意对符合解锁条件的激励对象</w:t>
      </w:r>
      <w:r>
        <w:rPr>
          <w:rFonts w:ascii="Times New Roman" w:hAnsi="Times New Roman" w:cs="Times New Roman" w:eastAsia="Times New Roman" w:hint="default"/>
        </w:rPr>
        <w:t>158</w:t>
      </w:r>
      <w:r>
        <w:rPr/>
        <w:t>名，解锁数量为</w:t>
      </w:r>
      <w:r>
        <w:rPr>
          <w:rFonts w:ascii="Times New Roman" w:hAnsi="Times New Roman" w:cs="Times New Roman" w:eastAsia="Times New Roman" w:hint="default"/>
        </w:rPr>
        <w:t>1,291,617</w:t>
      </w:r>
      <w:r>
        <w:rPr/>
        <w:t>股，变更完成后，</w:t>
      </w:r>
      <w:r>
        <w:rPr>
          <w:spacing w:val="-84"/>
        </w:rPr>
        <w:t> </w:t>
      </w:r>
      <w:r>
        <w:rPr/>
        <w:t>股本为</w:t>
      </w:r>
      <w:r>
        <w:rPr>
          <w:rFonts w:ascii="Times New Roman" w:hAnsi="Times New Roman" w:cs="Times New Roman" w:eastAsia="Times New Roman" w:hint="default"/>
        </w:rPr>
        <w:t>194,220,862</w:t>
      </w:r>
      <w:r>
        <w:rPr/>
        <w:t>股。</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8.351707pt;width:85.6pt;height:31.2pt;mso-position-horizontal-relative:page;mso-position-vertical-relative:paragraph;z-index:-1205536"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399994pt;margin-top:68.351707pt;width:52.45pt;height:31.2pt;mso-position-horizontal-relative:page;mso-position-vertical-relative:paragraph;z-index:-1205512" coordorigin="9648,1367" coordsize="1049,624">
            <v:shape style="position:absolute;left:9648;top:1367;width:1049;height:624" coordorigin="9648,1367" coordsize="1049,624" path="m9648,1991l10697,1991,10697,1367,9648,1367,9648,1991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5"/>
        <w:gridCol w:w="134"/>
        <w:gridCol w:w="673"/>
        <w:gridCol w:w="411"/>
        <w:gridCol w:w="850"/>
        <w:gridCol w:w="178"/>
        <w:gridCol w:w="875"/>
        <w:gridCol w:w="344"/>
        <w:gridCol w:w="589"/>
        <w:gridCol w:w="718"/>
        <w:gridCol w:w="133"/>
        <w:gridCol w:w="973"/>
        <w:gridCol w:w="1012"/>
        <w:gridCol w:w="274"/>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16,488</w:t>
            </w:r>
          </w:p>
        </w:tc>
        <w:tc>
          <w:tcPr>
            <w:tcW w:w="1439"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3" w:right="0"/>
              <w:jc w:val="left"/>
              <w:rPr>
                <w:rFonts w:ascii="Times New Roman" w:hAnsi="Times New Roman" w:cs="Times New Roman" w:eastAsia="Times New Roman" w:hint="default"/>
                <w:sz w:val="18"/>
                <w:szCs w:val="18"/>
              </w:rPr>
            </w:pPr>
            <w:r>
              <w:rPr>
                <w:rFonts w:ascii="Times New Roman"/>
                <w:sz w:val="18"/>
              </w:rPr>
              <w:t>18,946</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06"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z w:val="18"/>
              </w:rPr>
              <w:t>0</w:t>
            </w:r>
          </w:p>
        </w:tc>
        <w:tc>
          <w:tcPr>
            <w:tcW w:w="12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9"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6" w:type="dxa"/>
            <w:gridSpan w:val="2"/>
            <w:vMerge/>
            <w:tcBorders>
              <w:left w:val="single" w:sz="10" w:space="0" w:color="D2D2D2"/>
              <w:right w:val="single" w:sz="13" w:space="0" w:color="D2D2D2"/>
            </w:tcBorders>
          </w:tcPr>
          <w:p>
            <w:pPr/>
          </w:p>
        </w:tc>
        <w:tc>
          <w:tcPr>
            <w:tcW w:w="128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5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106" w:type="dxa"/>
            <w:gridSpan w:val="2"/>
            <w:vMerge/>
            <w:tcBorders>
              <w:left w:val="single" w:sz="10" w:space="0" w:color="D2D2D2"/>
              <w:right w:val="single" w:sz="13" w:space="0" w:color="D2D2D2"/>
            </w:tcBorders>
          </w:tcPr>
          <w:p>
            <w:pPr/>
          </w:p>
        </w:tc>
        <w:tc>
          <w:tcPr>
            <w:tcW w:w="128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106" w:type="dxa"/>
            <w:gridSpan w:val="2"/>
            <w:vMerge/>
            <w:tcBorders>
              <w:left w:val="single" w:sz="10" w:space="0" w:color="D2D2D2"/>
              <w:right w:val="single" w:sz="13" w:space="0" w:color="D2D2D2"/>
            </w:tcBorders>
          </w:tcPr>
          <w:p>
            <w:pPr/>
          </w:p>
        </w:tc>
        <w:tc>
          <w:tcPr>
            <w:tcW w:w="128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106" w:type="dxa"/>
            <w:gridSpan w:val="2"/>
            <w:vMerge/>
            <w:tcBorders>
              <w:left w:val="single" w:sz="10" w:space="0" w:color="D2D2D2"/>
              <w:right w:val="single" w:sz="13" w:space="0" w:color="D2D2D2"/>
            </w:tcBorders>
          </w:tcPr>
          <w:p>
            <w:pPr/>
          </w:p>
        </w:tc>
        <w:tc>
          <w:tcPr>
            <w:tcW w:w="128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106" w:type="dxa"/>
            <w:gridSpan w:val="2"/>
            <w:vMerge/>
            <w:tcBorders>
              <w:left w:val="single" w:sz="10" w:space="0" w:color="D2D2D2"/>
              <w:right w:val="single" w:sz="13" w:space="0" w:color="D2D2D2"/>
            </w:tcBorders>
          </w:tcPr>
          <w:p>
            <w:pPr/>
          </w:p>
        </w:tc>
        <w:tc>
          <w:tcPr>
            <w:tcW w:w="128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39"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06" w:type="dxa"/>
            <w:gridSpan w:val="2"/>
            <w:vMerge/>
            <w:tcBorders>
              <w:left w:val="single" w:sz="10" w:space="0" w:color="D2D2D2"/>
              <w:bottom w:val="single" w:sz="4" w:space="0" w:color="000000"/>
              <w:right w:val="single" w:sz="13" w:space="0" w:color="D2D2D2"/>
            </w:tcBorders>
          </w:tcPr>
          <w:p>
            <w:pPr/>
          </w:p>
        </w:tc>
        <w:tc>
          <w:tcPr>
            <w:tcW w:w="128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084" w:type="dxa"/>
            <w:gridSpan w:val="2"/>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05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0" w:right="10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9"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7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2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35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4"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0" w:right="7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32"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973" w:type="dxa"/>
            <w:vMerge/>
            <w:tcBorders>
              <w:left w:val="single" w:sz="4" w:space="0" w:color="000000"/>
              <w:right w:val="single" w:sz="4" w:space="0" w:color="000000"/>
            </w:tcBorders>
            <w:shd w:val="clear" w:color="auto" w:fill="D2D2D2"/>
          </w:tcPr>
          <w:p>
            <w:pPr/>
          </w:p>
        </w:tc>
        <w:tc>
          <w:tcPr>
            <w:tcW w:w="235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3" w:type="dxa"/>
            <w:gridSpan w:val="2"/>
            <w:vMerge/>
            <w:tcBorders>
              <w:left w:val="single" w:sz="4" w:space="0" w:color="000000"/>
              <w:right w:val="single" w:sz="4" w:space="0" w:color="000000"/>
            </w:tcBorders>
            <w:shd w:val="clear" w:color="auto" w:fill="D2D2D2"/>
          </w:tcPr>
          <w:p>
            <w:pPr/>
          </w:p>
        </w:tc>
        <w:tc>
          <w:tcPr>
            <w:tcW w:w="932"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973" w:type="dxa"/>
            <w:vMerge/>
            <w:tcBorders>
              <w:left w:val="single" w:sz="4" w:space="0" w:color="000000"/>
              <w:right w:val="single" w:sz="4" w:space="0" w:color="000000"/>
            </w:tcBorders>
            <w:shd w:val="clear" w:color="auto" w:fill="D2D2D2"/>
          </w:tcPr>
          <w:p>
            <w:pPr/>
          </w:p>
        </w:tc>
        <w:tc>
          <w:tcPr>
            <w:tcW w:w="2357"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4"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3" w:type="dxa"/>
            <w:gridSpan w:val="2"/>
            <w:vMerge/>
            <w:tcBorders>
              <w:left w:val="single" w:sz="4" w:space="0" w:color="000000"/>
              <w:right w:val="single" w:sz="4" w:space="0" w:color="000000"/>
            </w:tcBorders>
            <w:shd w:val="clear" w:color="auto" w:fill="D2D2D2"/>
          </w:tcPr>
          <w:p>
            <w:pPr/>
          </w:p>
        </w:tc>
        <w:tc>
          <w:tcPr>
            <w:tcW w:w="932"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973" w:type="dxa"/>
            <w:vMerge/>
            <w:tcBorders>
              <w:left w:val="single" w:sz="4" w:space="0" w:color="000000"/>
              <w:right w:val="single" w:sz="4" w:space="0" w:color="000000"/>
            </w:tcBorders>
            <w:shd w:val="clear" w:color="auto" w:fill="D2D2D2"/>
          </w:tcPr>
          <w:p>
            <w:pP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15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084" w:type="dxa"/>
            <w:gridSpan w:val="2"/>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053" w:type="dxa"/>
            <w:gridSpan w:val="2"/>
            <w:vMerge/>
            <w:tcBorders>
              <w:left w:val="single" w:sz="4" w:space="0" w:color="000000"/>
              <w:bottom w:val="nil" w:sz="6" w:space="0" w:color="auto"/>
              <w:right w:val="single" w:sz="4" w:space="0" w:color="000000"/>
            </w:tcBorders>
            <w:shd w:val="clear" w:color="auto" w:fill="D2D2D2"/>
          </w:tcPr>
          <w:p>
            <w:pPr/>
          </w:p>
        </w:tc>
        <w:tc>
          <w:tcPr>
            <w:tcW w:w="932"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973" w:type="dxa"/>
            <w:vMerge/>
            <w:tcBorders>
              <w:left w:val="single" w:sz="4" w:space="0" w:color="000000"/>
              <w:right w:val="single" w:sz="4" w:space="0" w:color="000000"/>
            </w:tcBorders>
            <w:shd w:val="clear" w:color="auto" w:fill="D2D2D2"/>
          </w:tcPr>
          <w:p>
            <w:pPr/>
          </w:p>
        </w:tc>
        <w:tc>
          <w:tcPr>
            <w:tcW w:w="1012" w:type="dxa"/>
            <w:vMerge/>
            <w:tcBorders>
              <w:left w:val="single" w:sz="4" w:space="0" w:color="000000"/>
              <w:right w:val="single" w:sz="4" w:space="0" w:color="000000"/>
            </w:tcBorders>
            <w:shd w:val="clear" w:color="auto" w:fill="D2D2D2"/>
          </w:tcPr>
          <w:p>
            <w:pPr/>
          </w:p>
        </w:tc>
        <w:tc>
          <w:tcPr>
            <w:tcW w:w="1345"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084"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5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gridSpan w:val="2"/>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973"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345"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益群集团控股有 限公司</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25.67%</w:t>
            </w:r>
          </w:p>
        </w:tc>
        <w:tc>
          <w:tcPr>
            <w:tcW w:w="1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49,950,610</w:t>
            </w: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22,208,110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49,950,610</w:t>
            </w:r>
          </w:p>
        </w:tc>
        <w:tc>
          <w:tcPr>
            <w:tcW w:w="1012" w:type="dxa"/>
            <w:tcBorders>
              <w:top w:val="single" w:sz="48" w:space="0" w:color="D2D2D2"/>
              <w:left w:val="single" w:sz="4" w:space="0" w:color="000000"/>
              <w:bottom w:val="single" w:sz="4" w:space="0" w:color="000000"/>
              <w:right w:val="single" w:sz="4" w:space="0" w:color="000000"/>
            </w:tcBorders>
          </w:tcPr>
          <w:p>
            <w:pPr/>
          </w:p>
        </w:tc>
        <w:tc>
          <w:tcPr>
            <w:tcW w:w="1345" w:type="dxa"/>
            <w:gridSpan w:val="3"/>
            <w:tcBorders>
              <w:top w:val="single" w:sz="48" w:space="0" w:color="D2D2D2"/>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益志集团控股有 限公司</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7.82%</w:t>
            </w:r>
          </w:p>
        </w:tc>
        <w:tc>
          <w:tcPr>
            <w:tcW w:w="1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15,218,799</w:t>
            </w: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6,766,299</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15,218,799</w:t>
            </w:r>
          </w:p>
        </w:tc>
        <w:tc>
          <w:tcPr>
            <w:tcW w:w="1012" w:type="dxa"/>
            <w:tcBorders>
              <w:top w:val="single" w:sz="4" w:space="0" w:color="000000"/>
              <w:left w:val="single" w:sz="4" w:space="0" w:color="000000"/>
              <w:bottom w:val="single" w:sz="4" w:space="0" w:color="000000"/>
              <w:right w:val="single" w:sz="4" w:space="0" w:color="000000"/>
            </w:tcBorders>
          </w:tcPr>
          <w:p>
            <w:pPr/>
          </w:p>
        </w:tc>
        <w:tc>
          <w:tcPr>
            <w:tcW w:w="1345" w:type="dxa"/>
            <w:gridSpan w:val="3"/>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436"/>
              <w:jc w:val="left"/>
              <w:rPr>
                <w:rFonts w:ascii="Times New Roman" w:hAnsi="Times New Roman" w:cs="Times New Roman" w:eastAsia="Times New Roman" w:hint="default"/>
                <w:sz w:val="18"/>
                <w:szCs w:val="18"/>
              </w:rPr>
            </w:pPr>
            <w:r>
              <w:rPr>
                <w:rFonts w:ascii="Times New Roman"/>
                <w:sz w:val="18"/>
              </w:rPr>
              <w:t>SYSTEX</w:t>
            </w:r>
            <w:r>
              <w:rPr>
                <w:rFonts w:ascii="Times New Roman"/>
                <w:w w:val="99"/>
                <w:sz w:val="18"/>
              </w:rPr>
              <w:t> </w:t>
            </w:r>
            <w:r>
              <w:rPr>
                <w:rFonts w:ascii="Times New Roman"/>
                <w:sz w:val="18"/>
              </w:rPr>
              <w:t>SOLUTIONS</w:t>
            </w:r>
          </w:p>
          <w:p>
            <w:pPr>
              <w:pStyle w:val="TableParagraph"/>
              <w:spacing w:line="216"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w:t>
            </w:r>
          </w:p>
        </w:tc>
        <w:tc>
          <w:tcPr>
            <w:tcW w:w="1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14,940,428</w:t>
            </w: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2,323,928</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14,940,428</w:t>
            </w:r>
          </w:p>
        </w:tc>
        <w:tc>
          <w:tcPr>
            <w:tcW w:w="1012" w:type="dxa"/>
            <w:tcBorders>
              <w:top w:val="single" w:sz="4" w:space="0" w:color="000000"/>
              <w:left w:val="single" w:sz="4" w:space="0" w:color="000000"/>
              <w:bottom w:val="single" w:sz="4" w:space="0" w:color="000000"/>
              <w:right w:val="single" w:sz="4" w:space="0" w:color="000000"/>
            </w:tcBorders>
          </w:tcPr>
          <w:p>
            <w:pPr/>
          </w:p>
        </w:tc>
        <w:tc>
          <w:tcPr>
            <w:tcW w:w="1345"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益威集团控股有</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6.08%</w:t>
            </w:r>
          </w:p>
        </w:tc>
        <w:tc>
          <w:tcPr>
            <w:tcW w:w="1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6" w:right="0"/>
              <w:jc w:val="left"/>
              <w:rPr>
                <w:rFonts w:ascii="Times New Roman" w:hAnsi="Times New Roman" w:cs="Times New Roman" w:eastAsia="Times New Roman" w:hint="default"/>
                <w:sz w:val="18"/>
                <w:szCs w:val="18"/>
              </w:rPr>
            </w:pPr>
            <w:r>
              <w:rPr>
                <w:rFonts w:ascii="Times New Roman"/>
                <w:sz w:val="18"/>
              </w:rPr>
              <w:t>11,829,342</w:t>
            </w: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0" w:right="0"/>
              <w:jc w:val="left"/>
              <w:rPr>
                <w:rFonts w:ascii="Times New Roman" w:hAnsi="Times New Roman" w:cs="Times New Roman" w:eastAsia="Times New Roman" w:hint="default"/>
                <w:sz w:val="18"/>
                <w:szCs w:val="18"/>
              </w:rPr>
            </w:pPr>
            <w:r>
              <w:rPr>
                <w:rFonts w:ascii="Times New Roman"/>
                <w:sz w:val="18"/>
              </w:rPr>
              <w:t>5,259,342</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pacing w:val="-1"/>
                <w:sz w:val="18"/>
              </w:rPr>
              <w:t>11,829,342</w:t>
            </w:r>
          </w:p>
        </w:tc>
        <w:tc>
          <w:tcPr>
            <w:tcW w:w="1012" w:type="dxa"/>
            <w:tcBorders>
              <w:top w:val="single" w:sz="4" w:space="0" w:color="000000"/>
              <w:left w:val="single" w:sz="4" w:space="0" w:color="000000"/>
              <w:bottom w:val="single" w:sz="4" w:space="0" w:color="000000"/>
              <w:right w:val="single" w:sz="4" w:space="0" w:color="000000"/>
            </w:tcBorders>
          </w:tcPr>
          <w:p>
            <w:pPr/>
          </w:p>
        </w:tc>
        <w:tc>
          <w:tcPr>
            <w:tcW w:w="1345"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084"/>
        <w:gridCol w:w="850"/>
        <w:gridCol w:w="1053"/>
        <w:gridCol w:w="932"/>
        <w:gridCol w:w="851"/>
        <w:gridCol w:w="993"/>
        <w:gridCol w:w="992"/>
        <w:gridCol w:w="1345"/>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石河子市威升精 科股权投资合伙 企业（有限合伙）</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2,778,394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1,165,594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2,778,394</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石河子市信方精 科股权投资合伙 企业（有限合伙）</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2,360,724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835,524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2,360,724</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石河子市冠维新 科股权投资合伙 企业（有限合伙）</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2,236,182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746,782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2,236,182</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石河子市建方新 科股权投资合伙 企业（有限合伙）</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2,065,922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826,522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2,065,922</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郑秀姿</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0.94%</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1,823,001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1,102,996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1,823,001</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弘高亚太投资有 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0.78%</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1,522,440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676,879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1,522,440</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6"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公司实际控制人为周志群先生，周志群先生持有公司控股股东益群集团控股有限公司</w:t>
            </w:r>
          </w:p>
          <w:p>
            <w:pPr>
              <w:pStyle w:val="TableParagraph"/>
              <w:spacing w:line="240" w:lineRule="auto" w:before="76"/>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55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678"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3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55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678"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3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553" w:type="dxa"/>
            <w:gridSpan w:val="2"/>
            <w:vMerge/>
            <w:tcBorders>
              <w:left w:val="single" w:sz="4" w:space="0" w:color="000000"/>
              <w:bottom w:val="nil" w:sz="6" w:space="0" w:color="auto"/>
              <w:right w:val="single" w:sz="4" w:space="0" w:color="000000"/>
            </w:tcBorders>
            <w:shd w:val="clear" w:color="auto" w:fill="D2D2D2"/>
          </w:tcPr>
          <w:p>
            <w:pPr/>
          </w:p>
        </w:tc>
        <w:tc>
          <w:tcPr>
            <w:tcW w:w="4678" w:type="dxa"/>
            <w:gridSpan w:val="5"/>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55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678"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34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益群集团控股有限公司</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49,950,610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49,950,610</w:t>
            </w: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益志集团控股有限公司</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15,218,799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15,218,799</w:t>
            </w: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1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SYSTEX</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SOLUTIONS</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 </w:t>
            </w:r>
            <w:r>
              <w:rPr>
                <w:rFonts w:ascii="Times New Roman" w:hAnsi="Times New Roman" w:cs="Times New Roman" w:eastAsia="Times New Roman" w:hint="default"/>
                <w:sz w:val="18"/>
                <w:szCs w:val="18"/>
              </w:rPr>
              <w:t>LIMITED</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14,940,428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14,940,428</w:t>
            </w: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益威集团控股有限公司</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11,829,342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11,829,342</w:t>
            </w: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石河子市威升精科股权投资合 伙企业（有限合伙）</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2,778,394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2,778,394</w:t>
            </w: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石河子市信方精科股权投资合 伙企业（有限合伙）</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2,360,724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2,360,724</w:t>
            </w: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石河子市冠维新科股权投资合 伙企业（有限合伙）</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2,236,182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2,236,182</w:t>
            </w: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石河子市建方新科股权投资合 伙企业（有限合伙）</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2,065,922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2,065,922</w:t>
            </w: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中国银河证券股份有限公司客 户信用交易担保证券账户</w:t>
            </w:r>
          </w:p>
        </w:tc>
        <w:tc>
          <w:tcPr>
            <w:tcW w:w="46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1,994,272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1,994,272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41"/>
        <w:gridCol w:w="4690"/>
        <w:gridCol w:w="992"/>
        <w:gridCol w:w="1345"/>
      </w:tblGrid>
      <w:tr>
        <w:trPr>
          <w:trHeight w:val="714" w:hRule="exact"/>
        </w:trPr>
        <w:tc>
          <w:tcPr>
            <w:tcW w:w="2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郑秀姿</w:t>
            </w:r>
          </w:p>
        </w:tc>
        <w:tc>
          <w:tcPr>
            <w:tcW w:w="4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1,823,001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1" w:right="0"/>
              <w:jc w:val="left"/>
              <w:rPr>
                <w:rFonts w:ascii="Times New Roman" w:hAnsi="Times New Roman" w:cs="Times New Roman" w:eastAsia="Times New Roman" w:hint="default"/>
                <w:sz w:val="18"/>
                <w:szCs w:val="18"/>
              </w:rPr>
            </w:pPr>
            <w:r>
              <w:rPr>
                <w:rFonts w:ascii="Times New Roman"/>
                <w:sz w:val="18"/>
              </w:rPr>
              <w:t>1,823,001</w:t>
            </w:r>
          </w:p>
        </w:tc>
      </w:tr>
      <w:tr>
        <w:trPr>
          <w:trHeight w:val="1338"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302" w:lineRule="auto" w:before="63"/>
              <w:ind w:left="22" w:right="76"/>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 一致行动的说明</w:t>
            </w:r>
          </w:p>
        </w:tc>
        <w:tc>
          <w:tcPr>
            <w:tcW w:w="7028" w:type="dxa"/>
            <w:gridSpan w:val="3"/>
            <w:tcBorders>
              <w:top w:val="single" w:sz="4" w:space="0" w:color="000000"/>
              <w:left w:val="single" w:sz="13" w:space="0" w:color="D2D2D2"/>
              <w:bottom w:val="single" w:sz="4" w:space="0" w:color="000000"/>
              <w:right w:val="single" w:sz="4" w:space="0" w:color="000000"/>
            </w:tcBorders>
          </w:tcPr>
          <w:p>
            <w:pPr>
              <w:pStyle w:val="TableParagraph"/>
              <w:spacing w:line="31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350.3pt;height:15.6pt;mso-position-horizontal-relative:char;mso-position-vertical-relative:line" coordorigin="0,0" coordsize="7006,312">
                  <v:group style="position:absolute;left:0;top:0;width:7006;height:312" coordorigin="0,0" coordsize="7006,312">
                    <v:shape style="position:absolute;left:0;top:0;width:7006;height:312" coordorigin="0,0" coordsize="7006,312" path="m0,312l7005,312,7005,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公司实际控制人为周志群先生，周志群先生持有公司控股股东益群集团控股有限公司</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bl>
    <w:p>
      <w:pPr>
        <w:pStyle w:val="BodyText"/>
        <w:spacing w:line="240" w:lineRule="auto" w:before="51"/>
        <w:ind w:right="0"/>
        <w:jc w:val="left"/>
      </w:pPr>
      <w:r>
        <w:rPr/>
        <w:pict>
          <v:shape style="position:absolute;margin-left:79.379997pt;margin-top:-66.938293pt;width:455.5pt;height:15.6pt;mso-position-horizontal-relative:page;mso-position-vertical-relative:paragraph;z-index:-1205464" type="#_x0000_t202" filled="false" stroked="false">
            <v:textbox inset="0,0,0,0">
              <w:txbxContent>
                <w:p>
                  <w:pPr>
                    <w:pStyle w:val="BodyText"/>
                    <w:spacing w:line="240" w:lineRule="auto" w:before="51"/>
                    <w:ind w:left="0" w:right="0"/>
                    <w:jc w:val="left"/>
                  </w:pPr>
                  <w:r>
                    <w:rPr/>
                    <w:t>名无限售流通股股东之间，</w:t>
                  </w:r>
                </w:p>
              </w:txbxContent>
            </v:textbox>
            <w10:wrap type="none"/>
          </v:shape>
        </w:pict>
      </w: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772"/>
        <w:jc w:val="left"/>
      </w:pPr>
      <w:r>
        <w:rPr/>
        <w:t>控股股东性质：外商控股 控股股东类型：法人</w:t>
      </w:r>
    </w:p>
    <w:tbl>
      <w:tblPr>
        <w:tblW w:w="0" w:type="auto"/>
        <w:jc w:val="left"/>
        <w:tblInd w:w="149" w:type="dxa"/>
        <w:tblLayout w:type="fixed"/>
        <w:tblCellMar>
          <w:top w:w="0" w:type="dxa"/>
          <w:left w:w="0" w:type="dxa"/>
          <w:bottom w:w="0" w:type="dxa"/>
          <w:right w:w="0" w:type="dxa"/>
        </w:tblCellMar>
        <w:tblLook w:val="01E0"/>
      </w:tblPr>
      <w:tblGrid>
        <w:gridCol w:w="2200"/>
        <w:gridCol w:w="1792"/>
        <w:gridCol w:w="1592"/>
        <w:gridCol w:w="1754"/>
        <w:gridCol w:w="2231"/>
      </w:tblGrid>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00" w:right="54"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益群集团控股有限公司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1653499</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除投资本公司外，无其他经 营业务</w:t>
            </w:r>
          </w:p>
        </w:tc>
      </w:tr>
      <w:tr>
        <w:trPr>
          <w:trHeight w:val="1026"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控股股东报告期内变更</w:t>
      </w:r>
    </w:p>
    <w:p>
      <w:pPr>
        <w:pStyle w:val="BodyText"/>
        <w:spacing w:line="338" w:lineRule="auto" w:before="117"/>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及其一致行动人" w:id="114"/>
      <w:bookmarkEnd w:id="114"/>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实际控制人性质：境外自然人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44"/>
        <w:ind w:left="0" w:right="1140"/>
        <w:jc w:val="right"/>
      </w:pPr>
      <w:r>
        <w:rPr/>
        <w:pict>
          <v:shape style="position:absolute;margin-left:56.459999pt;margin-top:-56.648327pt;width:479.2pt;height:112.1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周志群先生持有公司控股股东益群控股</w:t>
                        </w:r>
                        <w:r>
                          <w:rPr>
                            <w:rFonts w:ascii="宋体" w:hAnsi="宋体" w:cs="宋体" w:eastAsia="宋体" w:hint="default"/>
                            <w:spacing w:val="-24"/>
                            <w:sz w:val="18"/>
                            <w:szCs w:val="18"/>
                          </w:rPr>
                          <w:t> </w:t>
                        </w:r>
                        <w:r>
                          <w:rPr>
                            <w:rFonts w:ascii="Times New Roman" w:hAnsi="Times New Roman" w:cs="Times New Roman" w:eastAsia="Times New Roman" w:hint="default"/>
                            <w:spacing w:val="-5"/>
                            <w:sz w:val="18"/>
                            <w:szCs w:val="18"/>
                          </w:rPr>
                          <w:t>100%</w:t>
                        </w:r>
                        <w:r>
                          <w:rPr>
                            <w:rFonts w:ascii="宋体" w:hAnsi="宋体" w:cs="宋体" w:eastAsia="宋体" w:hint="default"/>
                            <w:spacing w:val="-5"/>
                            <w:sz w:val="18"/>
                            <w:szCs w:val="18"/>
                          </w:rPr>
                          <w:t>股权，周志群先生现任本公司董事长、总经理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line="3839" w:lineRule="exact"/>
        <w:ind w:left="2562"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3077447" cy="2437828"/>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3077447" cy="2437828"/>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0"/>
        <w:rPr>
          <w:rFonts w:ascii="宋体" w:hAnsi="宋体" w:cs="宋体" w:eastAsia="宋体" w:hint="default"/>
          <w:sz w:val="20"/>
          <w:szCs w:val="20"/>
        </w:rPr>
      </w:pPr>
    </w:p>
    <w:p>
      <w:pPr>
        <w:spacing w:before="165"/>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17"/>
      <w:bookmarkStart w:name="第七节 优先股相关情况" w:id="118"/>
      <w:r>
        <w:rPr>
          <w:b w:val="0"/>
          <w:bCs w:val="0"/>
        </w:rPr>
      </w:r>
      <w:r>
        <w:rPr/>
        <w:t>第七节</w:t>
      </w:r>
      <w:r>
        <w:rPr>
          <w:spacing w:val="-8"/>
        </w:rPr>
        <w:t> </w:t>
      </w:r>
      <w:r>
        <w:rPr/>
        <w:t>优先股相关情况</w:t>
      </w:r>
      <w:bookmarkEnd w:id="117"/>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19"/>
      <w:bookmarkStart w:name="第八节 董事、监事、高级管理人员和员工情况" w:id="120"/>
      <w:r>
        <w:rPr>
          <w:b w:val="0"/>
          <w:bCs w:val="0"/>
        </w:rPr>
      </w:r>
      <w:r>
        <w:rPr/>
        <w:t>第八节</w:t>
      </w:r>
      <w:r>
        <w:rPr>
          <w:spacing w:val="-16"/>
        </w:rPr>
        <w:t> </w:t>
      </w:r>
      <w:r>
        <w:rPr/>
        <w:t>董事、监事、高级管理人员和员工情况</w:t>
      </w:r>
      <w:bookmarkEnd w:id="119"/>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96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董事、常 务副总经 理、董事 会秘书、 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435,813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257,187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邓修生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顾嘉勇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苏哲锋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麦荣昌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杨时飞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胡行军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朱天伟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罗川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黄永雄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435,813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257,187</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顾嘉勇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胡行军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黄永雄</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三、任职情况" w:id="123"/>
      <w:bookmarkEnd w:id="123"/>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302" w:lineRule="auto" w:before="115"/>
        <w:ind w:right="1129"/>
        <w:jc w:val="both"/>
      </w:pPr>
      <w:r>
        <w:rPr>
          <w:rFonts w:ascii="Times New Roman" w:hAnsi="Times New Roman" w:cs="Times New Roman" w:eastAsia="Times New Roman" w:hint="default"/>
        </w:rPr>
        <w:t>1</w:t>
      </w:r>
      <w:r>
        <w:rPr/>
        <w:t>、周志群，男，</w:t>
      </w:r>
      <w:r>
        <w:rPr>
          <w:rFonts w:ascii="Times New Roman" w:hAnsi="Times New Roman" w:cs="Times New Roman" w:eastAsia="Times New Roman" w:hint="default"/>
        </w:rPr>
        <w:t>1971</w:t>
      </w:r>
      <w:r>
        <w:rPr/>
        <w:t>年生，中国国籍，香港永久居民。毕业于香港中文大学，社会科学学士。</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2001</w:t>
      </w:r>
      <w:r>
        <w:rPr/>
        <w:t>年就职于永丰 </w:t>
      </w:r>
      <w:r>
        <w:rPr>
          <w:spacing w:val="-5"/>
        </w:rPr>
        <w:t>余精业科技电子（北京）有限公司，任华南区区域经理；</w:t>
      </w:r>
      <w:r>
        <w:rPr>
          <w:rFonts w:ascii="Times New Roman" w:hAnsi="Times New Roman" w:cs="Times New Roman" w:eastAsia="Times New Roman" w:hint="default"/>
          <w:spacing w:val="-5"/>
        </w:rPr>
        <w:t>2001</w:t>
      </w:r>
      <w:r>
        <w:rPr>
          <w:spacing w:val="-5"/>
        </w:rPr>
        <w:t>年至</w:t>
      </w:r>
      <w:r>
        <w:rPr>
          <w:rFonts w:ascii="Times New Roman" w:hAnsi="Times New Roman" w:cs="Times New Roman" w:eastAsia="Times New Roman" w:hint="default"/>
          <w:spacing w:val="-5"/>
        </w:rPr>
        <w:t>2003</w:t>
      </w:r>
      <w:r>
        <w:rPr>
          <w:spacing w:val="-5"/>
        </w:rPr>
        <w:t>年就职于深圳联合新创科技有限公司，任总经理。</w:t>
      </w:r>
      <w:r>
        <w:rPr>
          <w:rFonts w:ascii="Times New Roman" w:hAnsi="Times New Roman" w:cs="Times New Roman" w:eastAsia="Times New Roman" w:hint="default"/>
          <w:spacing w:val="-5"/>
        </w:rPr>
        <w:t>2003</w:t>
      </w:r>
      <w:r>
        <w:rPr>
          <w:rFonts w:ascii="Times New Roman" w:hAnsi="Times New Roman" w:cs="Times New Roman" w:eastAsia="Times New Roman" w:hint="default"/>
          <w:spacing w:val="-4"/>
        </w:rPr>
        <w:t> </w:t>
      </w:r>
      <w:r>
        <w:rPr/>
        <w:t>年和邓修生共同创立四方深圳并一直担任董事长、总经理职务。现任四方精创董事长兼总经理、四方香港总经理。</w:t>
      </w:r>
    </w:p>
    <w:p>
      <w:pPr>
        <w:pStyle w:val="BodyText"/>
        <w:spacing w:line="300" w:lineRule="auto" w:before="69"/>
        <w:ind w:right="1130"/>
        <w:jc w:val="both"/>
      </w:pPr>
      <w:r>
        <w:rPr>
          <w:rFonts w:ascii="Times New Roman" w:hAnsi="Times New Roman" w:cs="Times New Roman" w:eastAsia="Times New Roman" w:hint="default"/>
        </w:rPr>
        <w:t>2</w:t>
      </w:r>
      <w:r>
        <w:rPr/>
        <w:t>、邓修生，男，</w:t>
      </w:r>
      <w:r>
        <w:rPr>
          <w:rFonts w:ascii="Times New Roman" w:hAnsi="Times New Roman" w:cs="Times New Roman" w:eastAsia="Times New Roman" w:hint="default"/>
        </w:rPr>
        <w:t>1967</w:t>
      </w:r>
      <w:r>
        <w:rPr/>
        <w:t>年生，中国台湾居民。毕业于台湾逢甲大学，资讯工程学学士。</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2001</w:t>
      </w:r>
      <w:r>
        <w:rPr/>
        <w:t>年就职于永丰余精业科 </w:t>
      </w:r>
      <w:r>
        <w:rPr>
          <w:spacing w:val="-2"/>
        </w:rPr>
        <w:t>技电子（北京）有限公司任技术部经理，</w:t>
      </w:r>
      <w:r>
        <w:rPr>
          <w:rFonts w:ascii="Times New Roman" w:hAnsi="Times New Roman" w:cs="Times New Roman" w:eastAsia="Times New Roman" w:hint="default"/>
          <w:spacing w:val="-2"/>
        </w:rPr>
        <w:t>2001</w:t>
      </w:r>
      <w:r>
        <w:rPr>
          <w:spacing w:val="-2"/>
        </w:rPr>
        <w:t>年入职宏仁华乙信息技术有限公司任技术部经理，</w:t>
      </w:r>
      <w:r>
        <w:rPr>
          <w:rFonts w:ascii="Times New Roman" w:hAnsi="Times New Roman" w:cs="Times New Roman" w:eastAsia="Times New Roman" w:hint="default"/>
          <w:spacing w:val="-2"/>
        </w:rPr>
        <w:t>2002</w:t>
      </w:r>
      <w:r>
        <w:rPr>
          <w:spacing w:val="-2"/>
        </w:rPr>
        <w:t>年入职深圳联合新创科</w:t>
      </w:r>
      <w:r>
        <w:rPr>
          <w:spacing w:val="-57"/>
        </w:rPr>
        <w:t> </w:t>
      </w:r>
      <w:r>
        <w:rPr>
          <w:spacing w:val="-2"/>
        </w:rPr>
        <w:t>技有限公司任技术总监。</w:t>
      </w:r>
      <w:r>
        <w:rPr>
          <w:rFonts w:ascii="Times New Roman" w:hAnsi="Times New Roman" w:cs="Times New Roman" w:eastAsia="Times New Roman" w:hint="default"/>
          <w:spacing w:val="-2"/>
        </w:rPr>
        <w:t>2003</w:t>
      </w:r>
      <w:r>
        <w:rPr>
          <w:spacing w:val="-2"/>
        </w:rPr>
        <w:t>年和周志群共同创立四方深圳担任技术总监。现任四方精创董事、副总经理，四方香港副总经</w:t>
      </w:r>
      <w:r>
        <w:rPr>
          <w:spacing w:val="-61"/>
        </w:rPr>
        <w:t> </w:t>
      </w:r>
      <w:r>
        <w:rPr>
          <w:spacing w:val="-61"/>
        </w:rPr>
      </w:r>
      <w:r>
        <w:rPr/>
        <w:t>理。</w:t>
      </w:r>
    </w:p>
    <w:p>
      <w:pPr>
        <w:pStyle w:val="BodyText"/>
        <w:spacing w:line="300" w:lineRule="auto" w:before="70"/>
        <w:ind w:right="1130"/>
        <w:jc w:val="both"/>
      </w:pPr>
      <w:r>
        <w:rPr>
          <w:rFonts w:ascii="Times New Roman" w:hAnsi="Times New Roman" w:cs="Times New Roman" w:eastAsia="Times New Roman" w:hint="default"/>
        </w:rPr>
        <w:t>3</w:t>
      </w:r>
      <w:r>
        <w:rPr/>
        <w:t>、李琳，女，</w:t>
      </w:r>
      <w:r>
        <w:rPr>
          <w:rFonts w:ascii="Times New Roman" w:hAnsi="Times New Roman" w:cs="Times New Roman" w:eastAsia="Times New Roman" w:hint="default"/>
        </w:rPr>
        <w:t>1966</w:t>
      </w:r>
      <w:r>
        <w:rPr/>
        <w:t>年生，中国国籍，香港永久居民。毕业于英国</w:t>
      </w:r>
      <w:r>
        <w:rPr>
          <w:rFonts w:ascii="Times New Roman" w:hAnsi="Times New Roman" w:cs="Times New Roman" w:eastAsia="Times New Roman" w:hint="default"/>
        </w:rPr>
        <w:t>Edinburgh</w:t>
      </w:r>
      <w:r>
        <w:rPr>
          <w:rFonts w:ascii="Times New Roman" w:hAnsi="Times New Roman" w:cs="Times New Roman" w:eastAsia="Times New Roman" w:hint="default"/>
          <w:spacing w:val="-27"/>
        </w:rPr>
        <w:t> </w:t>
      </w:r>
      <w:r>
        <w:rPr>
          <w:rFonts w:ascii="Times New Roman" w:hAnsi="Times New Roman" w:cs="Times New Roman" w:eastAsia="Times New Roman" w:hint="default"/>
        </w:rPr>
        <w:t>Napier</w:t>
      </w:r>
      <w:r>
        <w:rPr/>
        <w:t>大学，工商管理硕士。</w:t>
      </w:r>
      <w:r>
        <w:rPr>
          <w:rFonts w:ascii="Times New Roman" w:hAnsi="Times New Roman" w:cs="Times New Roman" w:eastAsia="Times New Roman" w:hint="default"/>
        </w:rPr>
        <w:t>1989</w:t>
      </w:r>
      <w:r>
        <w:rPr/>
        <w:t>年至</w:t>
      </w:r>
      <w:r>
        <w:rPr>
          <w:rFonts w:ascii="Times New Roman" w:hAnsi="Times New Roman" w:cs="Times New Roman" w:eastAsia="Times New Roman" w:hint="default"/>
        </w:rPr>
        <w:t>2006</w:t>
      </w:r>
      <w:r>
        <w:rPr/>
        <w:t>年先</w:t>
      </w:r>
      <w:r>
        <w:rPr>
          <w:spacing w:val="1"/>
        </w:rPr>
        <w:t> </w:t>
      </w:r>
      <w:r>
        <w:rPr/>
        <w:t>后任职于成都国营</w:t>
      </w:r>
      <w:r>
        <w:rPr>
          <w:rFonts w:ascii="Times New Roman" w:hAnsi="Times New Roman" w:cs="Times New Roman" w:eastAsia="Times New Roman" w:hint="default"/>
        </w:rPr>
        <w:t>906</w:t>
      </w:r>
      <w:r>
        <w:rPr/>
        <w:t>厂、美商卫达国际股份有限公司驻广州办事处及深圳企业联合会、企业家协会等单位。</w:t>
      </w:r>
      <w:r>
        <w:rPr>
          <w:rFonts w:ascii="Times New Roman" w:hAnsi="Times New Roman" w:cs="Times New Roman" w:eastAsia="Times New Roman" w:hint="default"/>
        </w:rPr>
        <w:t>2008</w:t>
      </w:r>
      <w:r>
        <w:rPr/>
        <w:t>年任联合 </w:t>
      </w:r>
      <w:r>
        <w:rPr>
          <w:spacing w:val="-2"/>
        </w:rPr>
        <w:t>资讯董事，</w:t>
      </w:r>
      <w:r>
        <w:rPr>
          <w:rFonts w:ascii="Times New Roman" w:hAnsi="Times New Roman" w:cs="Times New Roman" w:eastAsia="Times New Roman" w:hint="default"/>
          <w:spacing w:val="-2"/>
        </w:rPr>
        <w:t>2009</w:t>
      </w:r>
      <w:r>
        <w:rPr>
          <w:spacing w:val="-2"/>
        </w:rPr>
        <w:t>年加入四方深圳任发展部总监并兼任四方香港副总经理。现任四方精创董事、常务副总经理、财务负责人兼</w:t>
      </w:r>
      <w:r>
        <w:rPr>
          <w:spacing w:val="-61"/>
        </w:rPr>
        <w:t> </w:t>
      </w:r>
      <w:r>
        <w:rPr>
          <w:spacing w:val="-61"/>
        </w:rPr>
      </w:r>
      <w:r>
        <w:rPr/>
        <w:t>董事会秘书，四方香港副总经理。</w:t>
      </w:r>
    </w:p>
    <w:p>
      <w:pPr>
        <w:pStyle w:val="BodyText"/>
        <w:spacing w:line="300" w:lineRule="auto" w:before="70"/>
        <w:ind w:right="1139"/>
        <w:jc w:val="both"/>
      </w:pPr>
      <w:r>
        <w:rPr>
          <w:rFonts w:ascii="Times New Roman" w:hAnsi="Times New Roman" w:cs="Times New Roman" w:eastAsia="Times New Roman" w:hint="default"/>
        </w:rPr>
        <w:t>4</w:t>
      </w:r>
      <w:r>
        <w:rPr/>
        <w:t>、林隆奋，男，</w:t>
      </w:r>
      <w:r>
        <w:rPr>
          <w:rFonts w:ascii="Times New Roman" w:hAnsi="Times New Roman" w:cs="Times New Roman" w:eastAsia="Times New Roman" w:hint="default"/>
        </w:rPr>
        <w:t>1962</w:t>
      </w:r>
      <w:r>
        <w:rPr/>
        <w:t>年生，中国台湾居民。毕业于美国加州太平洋大学，计算机科学硕士，中欧国际商学院</w:t>
      </w:r>
      <w:r>
        <w:rPr>
          <w:rFonts w:ascii="Times New Roman" w:hAnsi="Times New Roman" w:cs="Times New Roman" w:eastAsia="Times New Roman" w:hint="default"/>
        </w:rPr>
        <w:t>EMBA</w:t>
      </w:r>
      <w:r>
        <w:rPr/>
        <w:t>。</w:t>
      </w:r>
      <w:r>
        <w:rPr>
          <w:rFonts w:ascii="Times New Roman" w:hAnsi="Times New Roman" w:cs="Times New Roman" w:eastAsia="Times New Roman" w:hint="default"/>
        </w:rPr>
        <w:t>2002 </w:t>
      </w:r>
      <w:r>
        <w:rPr/>
        <w:t>年至</w:t>
      </w:r>
      <w:r>
        <w:rPr>
          <w:rFonts w:ascii="Times New Roman" w:hAnsi="Times New Roman" w:cs="Times New Roman" w:eastAsia="Times New Roman" w:hint="default"/>
        </w:rPr>
        <w:t>2006</w:t>
      </w:r>
      <w:r>
        <w:rPr/>
        <w:t>年期间任职精诚信息股份有限公司执行长暨总经理、董事；</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月期间任职精诚信息股份有限公司营 运长、董事；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月起至今担任精诚资讯股份有限公司总经理、董事；</w:t>
      </w:r>
      <w:r>
        <w:rPr>
          <w:rFonts w:ascii="Times New Roman" w:hAnsi="Times New Roman" w:cs="Times New Roman" w:eastAsia="Times New Roman" w:hint="default"/>
        </w:rPr>
        <w:t>2011</w:t>
      </w:r>
      <w:r>
        <w:rPr/>
        <w:t>年担任</w:t>
      </w:r>
      <w:r>
        <w:rPr>
          <w:rFonts w:ascii="Times New Roman" w:hAnsi="Times New Roman" w:cs="Times New Roman" w:eastAsia="Times New Roman" w:hint="default"/>
        </w:rPr>
        <w:t>Systex</w:t>
      </w:r>
      <w:r>
        <w:rPr>
          <w:rFonts w:ascii="Times New Roman" w:hAnsi="Times New Roman" w:cs="Times New Roman" w:eastAsia="Times New Roman" w:hint="default"/>
          <w:spacing w:val="-2"/>
        </w:rPr>
        <w:t> </w:t>
      </w:r>
      <w:r>
        <w:rPr>
          <w:rFonts w:ascii="Times New Roman" w:hAnsi="Times New Roman" w:cs="Times New Roman" w:eastAsia="Times New Roman" w:hint="default"/>
        </w:rPr>
        <w:t>Solutions</w:t>
      </w:r>
      <w:r>
        <w:rPr/>
        <w:t>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月起 至今任四方精创董事。</w:t>
      </w:r>
    </w:p>
    <w:p>
      <w:pPr>
        <w:pStyle w:val="BodyText"/>
        <w:spacing w:line="300" w:lineRule="auto" w:before="71"/>
        <w:ind w:right="1041"/>
        <w:jc w:val="left"/>
      </w:pPr>
      <w:r>
        <w:rPr>
          <w:rFonts w:ascii="Times New Roman" w:hAnsi="Times New Roman" w:cs="Times New Roman" w:eastAsia="Times New Roman" w:hint="default"/>
        </w:rPr>
        <w:t>5</w:t>
      </w:r>
      <w:r>
        <w:rPr/>
        <w:t>、张力，男，</w:t>
      </w:r>
      <w:r>
        <w:rPr>
          <w:rFonts w:ascii="Times New Roman" w:hAnsi="Times New Roman" w:cs="Times New Roman" w:eastAsia="Times New Roman" w:hint="default"/>
        </w:rPr>
        <w:t>1976</w:t>
      </w:r>
      <w:r>
        <w:rPr/>
        <w:t>年生，中国国籍，无境外永久居留权。毕业于澳大利亚</w:t>
      </w:r>
      <w:r>
        <w:rPr>
          <w:rFonts w:ascii="Times New Roman" w:hAnsi="Times New Roman" w:cs="Times New Roman" w:eastAsia="Times New Roman" w:hint="default"/>
        </w:rPr>
        <w:t>Macquarie</w:t>
      </w:r>
      <w:r>
        <w:rPr>
          <w:rFonts w:ascii="Times New Roman" w:hAnsi="Times New Roman" w:cs="Times New Roman" w:eastAsia="Times New Roman" w:hint="default"/>
          <w:spacing w:val="-1"/>
        </w:rPr>
        <w:t> </w:t>
      </w:r>
      <w:r>
        <w:rPr>
          <w:rFonts w:ascii="Times New Roman" w:hAnsi="Times New Roman" w:cs="Times New Roman" w:eastAsia="Times New Roman" w:hint="default"/>
        </w:rPr>
        <w:t>University</w:t>
      </w:r>
      <w:r>
        <w:rPr/>
        <w:t>，硕士学位。中国注册会计 师，中国注册税务师，澳大利亚注册会计师。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月任职于信永中和会计师事务所，</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 </w:t>
      </w:r>
      <w:r>
        <w:rPr>
          <w:spacing w:val="-2"/>
        </w:rPr>
        <w:t>月任职于信永中和（香港）会计师事务所，</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月到</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月任职于大华会计师事务所，</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月到</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月担任致</w:t>
      </w:r>
      <w:r>
        <w:rPr>
          <w:spacing w:val="-45"/>
        </w:rPr>
        <w:t> </w:t>
      </w:r>
      <w:r>
        <w:rPr>
          <w:spacing w:val="-3"/>
        </w:rPr>
        <w:t>同会计师事务所合伙人，</w:t>
      </w:r>
      <w:r>
        <w:rPr>
          <w:rFonts w:ascii="Times New Roman" w:hAnsi="Times New Roman" w:cs="Times New Roman" w:eastAsia="Times New Roman" w:hint="default"/>
          <w:spacing w:val="-3"/>
        </w:rPr>
        <w:t>2013</w:t>
      </w:r>
      <w:r>
        <w:rPr>
          <w:spacing w:val="-3"/>
        </w:rPr>
        <w:t>年至今任深圳市兆驰股份有限公司独立董事，</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2</w:t>
      </w:r>
      <w:r>
        <w:rPr>
          <w:spacing w:val="-3"/>
        </w:rPr>
        <w:t>月至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22</w:t>
      </w:r>
      <w:r>
        <w:rPr>
          <w:spacing w:val="-3"/>
        </w:rPr>
        <w:t>日任四方精创独立董事。</w:t>
      </w:r>
      <w:r>
        <w:rPr>
          <w:spacing w:val="-73"/>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月起任上会会计师事务所合伙人。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月起担任深圳市德方纳米科技股份有限公司独立董事。</w:t>
      </w:r>
    </w:p>
    <w:p>
      <w:pPr>
        <w:pStyle w:val="BodyText"/>
        <w:spacing w:line="300" w:lineRule="auto" w:before="51"/>
        <w:ind w:right="1130" w:firstLine="73"/>
        <w:jc w:val="both"/>
      </w:pPr>
      <w:r>
        <w:rPr>
          <w:rFonts w:ascii="Times New Roman" w:hAnsi="Times New Roman" w:cs="Times New Roman" w:eastAsia="Times New Roman" w:hint="default"/>
          <w:spacing w:val="-1"/>
        </w:rPr>
        <w:t>6</w:t>
      </w:r>
      <w:r>
        <w:rPr>
          <w:spacing w:val="-1"/>
        </w:rPr>
        <w:t>、何敏，男，</w:t>
      </w:r>
      <w:r>
        <w:rPr>
          <w:rFonts w:ascii="Times New Roman" w:hAnsi="Times New Roman" w:cs="Times New Roman" w:eastAsia="Times New Roman" w:hint="default"/>
          <w:spacing w:val="-1"/>
        </w:rPr>
        <w:t>1969</w:t>
      </w:r>
      <w:r>
        <w:rPr>
          <w:spacing w:val="-1"/>
        </w:rPr>
        <w:t>年生，中国国籍，香港永久居民。毕业于伦敦商业学院，金融硕士，清华大学</w:t>
      </w:r>
      <w:r>
        <w:rPr>
          <w:rFonts w:ascii="Times New Roman" w:hAnsi="Times New Roman" w:cs="Times New Roman" w:eastAsia="Times New Roman" w:hint="default"/>
          <w:spacing w:val="-1"/>
        </w:rPr>
        <w:t>EMBA</w:t>
      </w:r>
      <w:r>
        <w:rPr>
          <w:spacing w:val="-1"/>
        </w:rPr>
        <w:t>。注册会计师、注</w:t>
      </w:r>
      <w:r>
        <w:rPr/>
        <w:t> </w:t>
      </w:r>
      <w:r>
        <w:rPr>
          <w:spacing w:val="-2"/>
        </w:rPr>
        <w:t>册金融分析师。</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2009</w:t>
      </w:r>
      <w:r>
        <w:rPr>
          <w:spacing w:val="-2"/>
        </w:rPr>
        <w:t>年任里昂证券增长和发展私募股权基金的中国区主管和董事总经理及其于北京设立的人民币外</w:t>
      </w:r>
      <w:r>
        <w:rPr>
          <w:spacing w:val="-56"/>
        </w:rPr>
        <w:t> </w:t>
      </w:r>
      <w:r>
        <w:rPr>
          <w:spacing w:val="-2"/>
        </w:rPr>
        <w:t>商投资创投基金的法定代表人。</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2014</w:t>
      </w:r>
      <w:r>
        <w:rPr>
          <w:spacing w:val="-2"/>
        </w:rPr>
        <w:t>年任香港财经分析师学会董事。</w:t>
      </w:r>
      <w:r>
        <w:rPr>
          <w:rFonts w:ascii="Times New Roman" w:hAnsi="Times New Roman" w:cs="Times New Roman" w:eastAsia="Times New Roman" w:hint="default"/>
          <w:spacing w:val="-2"/>
        </w:rPr>
        <w:t>2009</w:t>
      </w:r>
      <w:r>
        <w:rPr>
          <w:spacing w:val="-2"/>
        </w:rPr>
        <w:t>年至今任花样年控股集团有限公司独立董</w:t>
      </w:r>
      <w:r>
        <w:rPr>
          <w:spacing w:val="-52"/>
        </w:rPr>
        <w:t> </w:t>
      </w:r>
      <w:r>
        <w:rPr>
          <w:spacing w:val="-2"/>
        </w:rPr>
        <w:t>事。</w:t>
      </w:r>
      <w:r>
        <w:rPr>
          <w:rFonts w:ascii="Times New Roman" w:hAnsi="Times New Roman" w:cs="Times New Roman" w:eastAsia="Times New Roman" w:hint="default"/>
          <w:spacing w:val="-2"/>
        </w:rPr>
        <w:t>2013</w:t>
      </w:r>
      <w:r>
        <w:rPr>
          <w:spacing w:val="-2"/>
        </w:rPr>
        <w:t>年至今任福寿园国际集团有限公司独立董事。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月起至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22</w:t>
      </w:r>
      <w:r>
        <w:rPr>
          <w:spacing w:val="-2"/>
        </w:rPr>
        <w:t>日任四方精创独立董事。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05</w:t>
      </w:r>
      <w:r>
        <w:rPr>
          <w:spacing w:val="-2"/>
        </w:rPr>
        <w:t>月起至</w:t>
      </w:r>
      <w:r>
        <w:rPr>
          <w:spacing w:val="-44"/>
        </w:rPr>
        <w:t> </w:t>
      </w:r>
      <w:r>
        <w:rPr/>
        <w:t>今任</w:t>
      </w:r>
      <w:r>
        <w:rPr>
          <w:rFonts w:ascii="Times New Roman" w:hAnsi="Times New Roman" w:cs="Times New Roman" w:eastAsia="Times New Roman" w:hint="default"/>
        </w:rPr>
        <w:t>Allivision</w:t>
      </w:r>
      <w:r>
        <w:rPr>
          <w:rFonts w:ascii="Times New Roman" w:hAnsi="Times New Roman" w:cs="Times New Roman" w:eastAsia="Times New Roman" w:hint="default"/>
          <w:spacing w:val="-22"/>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22"/>
        </w:rPr>
        <w:t> </w:t>
      </w:r>
      <w:r>
        <w:rPr>
          <w:rFonts w:ascii="Times New Roman" w:hAnsi="Times New Roman" w:cs="Times New Roman" w:eastAsia="Times New Roman" w:hint="default"/>
        </w:rPr>
        <w:t>Limited</w:t>
      </w:r>
      <w:r>
        <w:rPr/>
        <w:t>董事、总经理。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07</w:t>
      </w:r>
      <w:r>
        <w:rPr/>
        <w:t>月起至今任中国消防企业集团有限公司独立董事。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09</w:t>
      </w:r>
      <w:r>
        <w:rPr/>
        <w:t>月起</w:t>
      </w:r>
      <w:r>
        <w:rPr>
          <w:spacing w:val="1"/>
        </w:rPr>
        <w:t> </w:t>
      </w:r>
      <w:r>
        <w:rPr/>
        <w:t>至今任深圳市大象联合空间建设股份有限公司董事。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月起至今任新融宇集团</w:t>
      </w:r>
      <w:r>
        <w:rPr>
          <w:rFonts w:ascii="Times New Roman" w:hAnsi="Times New Roman" w:cs="Times New Roman" w:eastAsia="Times New Roman" w:hint="default"/>
        </w:rPr>
        <w:t>(</w:t>
      </w:r>
      <w:r>
        <w:rPr/>
        <w:t>控股</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有限公司独立董事。</w:t>
      </w:r>
    </w:p>
    <w:p>
      <w:pPr>
        <w:pStyle w:val="BodyText"/>
        <w:spacing w:line="319" w:lineRule="auto" w:before="51"/>
        <w:ind w:right="1119"/>
        <w:jc w:val="left"/>
        <w:rPr>
          <w:rFonts w:ascii="Times New Roman" w:hAnsi="Times New Roman" w:cs="Times New Roman" w:eastAsia="Times New Roman" w:hint="default"/>
        </w:rPr>
      </w:pPr>
      <w:r>
        <w:rPr>
          <w:rFonts w:ascii="Times New Roman" w:hAnsi="Times New Roman" w:cs="Times New Roman" w:eastAsia="Times New Roman" w:hint="default"/>
          <w:spacing w:val="-1"/>
        </w:rPr>
        <w:t>7</w:t>
      </w:r>
      <w:r>
        <w:rPr>
          <w:spacing w:val="-1"/>
        </w:rPr>
        <w:t>、顾嘉勇，男，</w:t>
      </w:r>
      <w:r>
        <w:rPr>
          <w:rFonts w:ascii="Times New Roman" w:hAnsi="Times New Roman" w:cs="Times New Roman" w:eastAsia="Times New Roman" w:hint="default"/>
          <w:spacing w:val="-1"/>
        </w:rPr>
        <w:t>1973</w:t>
      </w:r>
      <w:r>
        <w:rPr>
          <w:spacing w:val="-1"/>
        </w:rPr>
        <w:t>年生，中国国籍，香港永久居民。毕业于加拿大蒙特利尔</w:t>
      </w:r>
      <w:r>
        <w:rPr>
          <w:rFonts w:ascii="Times New Roman" w:hAnsi="Times New Roman" w:cs="Times New Roman" w:eastAsia="Times New Roman" w:hint="default"/>
          <w:spacing w:val="-1"/>
        </w:rPr>
        <w:t>McGill</w:t>
      </w:r>
      <w:r>
        <w:rPr>
          <w:rFonts w:ascii="Times New Roman" w:hAnsi="Times New Roman" w:cs="Times New Roman" w:eastAsia="Times New Roman" w:hint="default"/>
        </w:rPr>
        <w:t> </w:t>
      </w:r>
      <w:r>
        <w:rPr>
          <w:rFonts w:ascii="Times New Roman" w:hAnsi="Times New Roman" w:cs="Times New Roman" w:eastAsia="Times New Roman" w:hint="default"/>
          <w:spacing w:val="-1"/>
        </w:rPr>
        <w:t>University</w:t>
      </w:r>
      <w:r>
        <w:rPr>
          <w:spacing w:val="-1"/>
        </w:rPr>
        <w:t>，工商管理硕士。</w:t>
      </w:r>
      <w:r>
        <w:rPr>
          <w:rFonts w:ascii="Times New Roman" w:hAnsi="Times New Roman" w:cs="Times New Roman" w:eastAsia="Times New Roman" w:hint="default"/>
          <w:spacing w:val="-1"/>
        </w:rPr>
        <w:t>1995</w:t>
      </w:r>
      <w:r>
        <w:rPr>
          <w:spacing w:val="-1"/>
        </w:rPr>
        <w:t>年至</w:t>
      </w:r>
      <w:r>
        <w:rPr>
          <w:spacing w:val="-82"/>
        </w:rPr>
        <w:t> </w:t>
      </w:r>
      <w:r>
        <w:rPr/>
        <w:t>今任新兴光学集团控股有限公司副主席兼首席财务官兼执行董事，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日任四方精创独立董事。 </w:t>
      </w:r>
      <w:r>
        <w:rPr>
          <w:rFonts w:ascii="Times New Roman" w:hAnsi="Times New Roman" w:cs="Times New Roman" w:eastAsia="Times New Roman" w:hint="default"/>
          <w:spacing w:val="-3"/>
        </w:rPr>
        <w:t>8</w:t>
      </w:r>
      <w:r>
        <w:rPr>
          <w:spacing w:val="-3"/>
        </w:rPr>
        <w:t>、杨时飞，男，</w:t>
      </w:r>
      <w:r>
        <w:rPr>
          <w:rFonts w:ascii="Times New Roman" w:hAnsi="Times New Roman" w:cs="Times New Roman" w:eastAsia="Times New Roman" w:hint="default"/>
          <w:spacing w:val="-3"/>
        </w:rPr>
        <w:t>1974</w:t>
      </w:r>
      <w:r>
        <w:rPr>
          <w:spacing w:val="-3"/>
        </w:rPr>
        <w:t>年出生，中国国籍，香港永久居民。毕业于香港中文大学，工商管理学系学士，专修专业会计科。</w:t>
      </w:r>
      <w:r>
        <w:rPr>
          <w:rFonts w:ascii="Times New Roman" w:hAnsi="Times New Roman" w:cs="Times New Roman" w:eastAsia="Times New Roman" w:hint="default"/>
          <w:spacing w:val="-3"/>
        </w:rPr>
        <w:t>1998</w:t>
      </w:r>
    </w:p>
    <w:p>
      <w:pPr>
        <w:pStyle w:val="BodyText"/>
        <w:spacing w:line="314" w:lineRule="auto"/>
        <w:ind w:right="1119"/>
        <w:jc w:val="left"/>
        <w:rPr>
          <w:rFonts w:ascii="Times New Roman" w:hAnsi="Times New Roman" w:cs="Times New Roman" w:eastAsia="Times New Roman" w:hint="default"/>
        </w:rPr>
      </w:pPr>
      <w:r>
        <w:rPr/>
        <w:t>年至</w:t>
      </w:r>
      <w:r>
        <w:rPr>
          <w:rFonts w:ascii="Times New Roman" w:hAnsi="Times New Roman" w:cs="Times New Roman" w:eastAsia="Times New Roman" w:hint="default"/>
        </w:rPr>
        <w:t>2000</w:t>
      </w:r>
      <w:r>
        <w:rPr/>
        <w:t>年任职德勤会计师行，</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2004</w:t>
      </w:r>
      <w:r>
        <w:rPr/>
        <w:t>年出任瑞致达</w:t>
      </w:r>
      <w:r>
        <w:rPr>
          <w:rFonts w:ascii="Times New Roman" w:hAnsi="Times New Roman" w:cs="Times New Roman" w:eastAsia="Times New Roman" w:hint="default"/>
        </w:rPr>
        <w:t>(</w:t>
      </w:r>
      <w:r>
        <w:rPr/>
        <w:t>前为</w:t>
      </w:r>
      <w:r>
        <w:rPr>
          <w:rFonts w:ascii="Times New Roman" w:hAnsi="Times New Roman" w:cs="Times New Roman" w:eastAsia="Times New Roman" w:hint="default"/>
        </w:rPr>
        <w:t>Acceptor Trust</w:t>
      </w:r>
      <w:r>
        <w:rPr>
          <w:rFonts w:ascii="Times New Roman" w:hAnsi="Times New Roman" w:cs="Times New Roman" w:eastAsia="Times New Roman" w:hint="default"/>
          <w:spacing w:val="-3"/>
        </w:rPr>
        <w:t> </w:t>
      </w:r>
      <w:r>
        <w:rPr>
          <w:rFonts w:ascii="Times New Roman" w:hAnsi="Times New Roman" w:cs="Times New Roman" w:eastAsia="Times New Roman" w:hint="default"/>
        </w:rPr>
        <w:t>Group)</w:t>
      </w:r>
      <w:r>
        <w:rPr/>
        <w:t>企业解决方案及管理高级经理，之后 </w:t>
      </w:r>
      <w:r>
        <w:rPr>
          <w:spacing w:val="-2"/>
        </w:rPr>
        <w:t>从事高端客户私人信托规划至今超过十年，曾出任恒生银行于巴哈马海外业务代表，花旗私人银行财富管理信托业务助理副</w:t>
      </w:r>
      <w:r>
        <w:rPr>
          <w:spacing w:val="-64"/>
        </w:rPr>
        <w:t> </w:t>
      </w:r>
      <w:r>
        <w:rPr>
          <w:spacing w:val="-64"/>
        </w:rPr>
      </w:r>
      <w:r>
        <w:rPr>
          <w:spacing w:val="-1"/>
        </w:rPr>
        <w:t>总裁，交通银行信托及财富管理业务高级经理，华泰金融控股</w:t>
      </w:r>
      <w:r>
        <w:rPr>
          <w:rFonts w:ascii="Times New Roman" w:hAnsi="Times New Roman" w:cs="Times New Roman" w:eastAsia="Times New Roman" w:hint="default"/>
          <w:spacing w:val="-1"/>
        </w:rPr>
        <w:t>(</w:t>
      </w:r>
      <w:r>
        <w:rPr>
          <w:spacing w:val="-1"/>
        </w:rPr>
        <w:t>香港</w:t>
      </w:r>
      <w:r>
        <w:rPr>
          <w:rFonts w:ascii="Times New Roman" w:hAnsi="Times New Roman" w:cs="Times New Roman" w:eastAsia="Times New Roman" w:hint="default"/>
          <w:spacing w:val="-1"/>
        </w:rPr>
        <w:t>)</w:t>
      </w:r>
      <w:r>
        <w:rPr>
          <w:spacing w:val="-1"/>
        </w:rPr>
        <w:t>有限公司财富策划处私人财富管理副总裁。拥有香港会</w:t>
      </w:r>
      <w:r>
        <w:rPr>
          <w:spacing w:val="-59"/>
        </w:rPr>
        <w:t> </w:t>
      </w:r>
      <w:r>
        <w:rPr>
          <w:spacing w:val="-59"/>
        </w:rPr>
      </w:r>
      <w:r>
        <w:rPr/>
        <w:t>计师公会注册会计师</w:t>
      </w:r>
      <w:r>
        <w:rPr>
          <w:rFonts w:ascii="Times New Roman" w:hAnsi="Times New Roman" w:cs="Times New Roman" w:eastAsia="Times New Roman" w:hint="default"/>
        </w:rPr>
        <w:t>(CPA)</w:t>
      </w:r>
      <w:r>
        <w:rPr/>
        <w:t>及信托和遗产从业者协会</w:t>
      </w:r>
      <w:r>
        <w:rPr>
          <w:rFonts w:ascii="Times New Roman" w:hAnsi="Times New Roman" w:cs="Times New Roman" w:eastAsia="Times New Roman" w:hint="default"/>
        </w:rPr>
        <w:t>(TEP)</w:t>
      </w:r>
      <w:r>
        <w:rPr/>
        <w:t>专业资格，</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月起至今任四方精创独立董事。 </w:t>
      </w:r>
      <w:r>
        <w:rPr>
          <w:rFonts w:ascii="Times New Roman" w:hAnsi="Times New Roman" w:cs="Times New Roman" w:eastAsia="Times New Roman" w:hint="default"/>
          <w:spacing w:val="-3"/>
        </w:rPr>
        <w:t>9</w:t>
      </w:r>
      <w:r>
        <w:rPr>
          <w:spacing w:val="-3"/>
        </w:rPr>
        <w:t>、麦荣昌，男，</w:t>
      </w:r>
      <w:r>
        <w:rPr>
          <w:rFonts w:ascii="Times New Roman" w:hAnsi="Times New Roman" w:cs="Times New Roman" w:eastAsia="Times New Roman" w:hint="default"/>
          <w:spacing w:val="-3"/>
        </w:rPr>
        <w:t>1961</w:t>
      </w:r>
      <w:r>
        <w:rPr>
          <w:spacing w:val="-3"/>
        </w:rPr>
        <w:t>年出生，中国国籍，香港永久居民，加拿大居留权，毕业于加拿大滑铁卢大学，数学和电脑学士。</w:t>
      </w:r>
      <w:r>
        <w:rPr>
          <w:rFonts w:ascii="Times New Roman" w:hAnsi="Times New Roman" w:cs="Times New Roman" w:eastAsia="Times New Roman" w:hint="default"/>
          <w:spacing w:val="-3"/>
        </w:rPr>
        <w:t>1985</w:t>
      </w:r>
    </w:p>
    <w:p>
      <w:pPr>
        <w:pStyle w:val="BodyText"/>
        <w:spacing w:line="319" w:lineRule="auto" w:before="1"/>
        <w:ind w:right="0"/>
        <w:jc w:val="left"/>
        <w:rPr>
          <w:rFonts w:ascii="Times New Roman" w:hAnsi="Times New Roman" w:cs="Times New Roman" w:eastAsia="Times New Roman" w:hint="default"/>
        </w:rPr>
      </w:pP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月期间任职</w:t>
      </w:r>
      <w:r>
        <w:rPr>
          <w:rFonts w:ascii="Times New Roman" w:hAnsi="Times New Roman" w:cs="Times New Roman" w:eastAsia="Times New Roman" w:hint="default"/>
        </w:rPr>
        <w:t>IBM China/HongKong Limited</w:t>
      </w:r>
      <w:r>
        <w:rPr/>
        <w:t>营业经理，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月期间任职</w:t>
      </w:r>
      <w:r>
        <w:rPr>
          <w:rFonts w:ascii="Times New Roman" w:hAnsi="Times New Roman" w:cs="Times New Roman" w:eastAsia="Times New Roman" w:hint="default"/>
        </w:rPr>
        <w:t>Delano</w:t>
      </w:r>
      <w:r>
        <w:rPr>
          <w:rFonts w:ascii="Times New Roman" w:hAnsi="Times New Roman" w:cs="Times New Roman" w:eastAsia="Times New Roman" w:hint="default"/>
          <w:spacing w:val="-3"/>
        </w:rPr>
        <w:t> </w:t>
      </w:r>
      <w:r>
        <w:rPr>
          <w:rFonts w:ascii="Times New Roman" w:hAnsi="Times New Roman" w:cs="Times New Roman" w:eastAsia="Times New Roman" w:hint="default"/>
        </w:rPr>
        <w:t>Technology</w:t>
      </w:r>
      <w:r>
        <w:rPr>
          <w:rFonts w:ascii="Times New Roman" w:hAnsi="Times New Roman" w:cs="Times New Roman" w:eastAsia="Times New Roman" w:hint="default"/>
        </w:rPr>
        <w:t> Corp.</w:t>
      </w:r>
      <w:r>
        <w:rPr/>
        <w:t>总经理，</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月至今任职马己仙国际（亚洲）有限公司行政总裁，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月起至今任四方精创独立董事。 </w:t>
      </w:r>
      <w:r>
        <w:rPr>
          <w:rFonts w:ascii="Times New Roman" w:hAnsi="Times New Roman" w:cs="Times New Roman" w:eastAsia="Times New Roman" w:hint="default"/>
          <w:spacing w:val="-2"/>
        </w:rPr>
        <w:t>10</w:t>
      </w:r>
      <w:r>
        <w:rPr>
          <w:spacing w:val="-2"/>
        </w:rPr>
        <w:t>、苏哲锋，男，</w:t>
      </w:r>
      <w:r>
        <w:rPr>
          <w:rFonts w:ascii="Times New Roman" w:hAnsi="Times New Roman" w:cs="Times New Roman" w:eastAsia="Times New Roman" w:hint="default"/>
          <w:spacing w:val="-2"/>
        </w:rPr>
        <w:t>1971</w:t>
      </w:r>
      <w:r>
        <w:rPr>
          <w:spacing w:val="-2"/>
        </w:rPr>
        <w:t>年出生，中国国籍，香港永久居民，毕业于香港科技大学，电子电机工程学士。</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5</w:t>
      </w:r>
    </w:p>
    <w:p>
      <w:pPr>
        <w:pStyle w:val="BodyText"/>
        <w:spacing w:line="302" w:lineRule="auto"/>
        <w:ind w:right="1130"/>
        <w:jc w:val="both"/>
      </w:pPr>
      <w:r>
        <w:rPr>
          <w:spacing w:val="-2"/>
        </w:rPr>
        <w:t>月期间任职香港加贺电子有限公司销售总监；</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6</w:t>
      </w:r>
      <w:r>
        <w:rPr>
          <w:spacing w:val="-2"/>
        </w:rPr>
        <w:t>月至今任职德龙微电子技术有限公司总经理，</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月起至今任四方</w:t>
      </w:r>
      <w:r>
        <w:rPr>
          <w:spacing w:val="-54"/>
        </w:rPr>
        <w:t> </w:t>
      </w:r>
      <w:r>
        <w:rPr/>
        <w:t>精创独立董事。</w:t>
      </w:r>
    </w:p>
    <w:p>
      <w:pPr>
        <w:pStyle w:val="BodyText"/>
        <w:spacing w:line="240" w:lineRule="auto" w:before="70"/>
        <w:ind w:right="0"/>
        <w:jc w:val="both"/>
      </w:pPr>
      <w:r>
        <w:rPr/>
        <w:t>（二）监事会成员</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2"/>
        <w:jc w:val="left"/>
      </w:pPr>
      <w:r>
        <w:rPr>
          <w:rFonts w:ascii="Times New Roman" w:hAnsi="Times New Roman" w:cs="Times New Roman" w:eastAsia="Times New Roman" w:hint="default"/>
        </w:rPr>
        <w:t>1</w:t>
      </w:r>
      <w:r>
        <w:rPr/>
        <w:t>、胡行军，男，</w:t>
      </w:r>
      <w:r>
        <w:rPr>
          <w:rFonts w:ascii="Times New Roman" w:hAnsi="Times New Roman" w:cs="Times New Roman" w:eastAsia="Times New Roman" w:hint="default"/>
        </w:rPr>
        <w:t>1972</w:t>
      </w:r>
      <w:r>
        <w:rPr/>
        <w:t>年生，中国国籍，无境外永久居留权。毕业于宁波大学物理专业，本科学历。</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1995</w:t>
      </w:r>
      <w:r>
        <w:rPr/>
        <w:t>年就职于 </w:t>
      </w:r>
      <w:r>
        <w:rPr>
          <w:spacing w:val="-2"/>
        </w:rPr>
        <w:t>宁波恒鑫食品有限公司；</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1998</w:t>
      </w:r>
      <w:r>
        <w:rPr>
          <w:spacing w:val="-2"/>
        </w:rPr>
        <w:t>年就职于宁波雨果音像有限公司工程部副经理；</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2001</w:t>
      </w:r>
      <w:r>
        <w:rPr>
          <w:spacing w:val="-2"/>
        </w:rPr>
        <w:t>年就职于永丰余精业科</w:t>
      </w:r>
      <w:r>
        <w:rPr>
          <w:spacing w:val="-48"/>
        </w:rPr>
        <w:t> </w:t>
      </w:r>
      <w:r>
        <w:rPr/>
        <w:t>技电子（北京）有限公司任程序员、技术经理；</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2002</w:t>
      </w:r>
      <w:r>
        <w:rPr/>
        <w:t>年就职于宏仁华乙信息技术有限公司，任系统分析师；</w:t>
      </w:r>
      <w:r>
        <w:rPr>
          <w:rFonts w:ascii="Times New Roman" w:hAnsi="Times New Roman" w:cs="Times New Roman" w:eastAsia="Times New Roman" w:hint="default"/>
        </w:rPr>
        <w:t>2002 </w:t>
      </w:r>
      <w:r>
        <w:rPr>
          <w:spacing w:val="-2"/>
        </w:rPr>
        <w:t>年至</w:t>
      </w:r>
      <w:r>
        <w:rPr>
          <w:rFonts w:ascii="Times New Roman" w:hAnsi="Times New Roman" w:cs="Times New Roman" w:eastAsia="Times New Roman" w:hint="default"/>
          <w:spacing w:val="-2"/>
        </w:rPr>
        <w:t>2005</w:t>
      </w:r>
      <w:r>
        <w:rPr>
          <w:spacing w:val="-2"/>
        </w:rPr>
        <w:t>年就职于深圳市联合新创科技有限公司，任系统分析师；</w:t>
      </w:r>
      <w:r>
        <w:rPr>
          <w:rFonts w:ascii="Times New Roman" w:hAnsi="Times New Roman" w:cs="Times New Roman" w:eastAsia="Times New Roman" w:hint="default"/>
          <w:spacing w:val="-2"/>
        </w:rPr>
        <w:t>2005</w:t>
      </w:r>
      <w:r>
        <w:rPr>
          <w:spacing w:val="-2"/>
        </w:rPr>
        <w:t>年至今任四方精创高级经理，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月起至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3"/>
        </w:rPr>
        <w:t> </w:t>
      </w:r>
      <w:r>
        <w:rPr/>
        <w:t>月</w:t>
      </w:r>
      <w:r>
        <w:rPr>
          <w:rFonts w:ascii="Times New Roman" w:hAnsi="Times New Roman" w:cs="Times New Roman" w:eastAsia="Times New Roman" w:hint="default"/>
        </w:rPr>
        <w:t>22</w:t>
      </w:r>
      <w:r>
        <w:rPr/>
        <w:t>日任四方精创监事会主席（职工监事）。</w:t>
      </w:r>
    </w:p>
    <w:p>
      <w:pPr>
        <w:pStyle w:val="BodyText"/>
        <w:spacing w:line="300" w:lineRule="auto" w:before="51"/>
        <w:ind w:right="1129"/>
        <w:jc w:val="both"/>
      </w:pPr>
      <w:r>
        <w:rPr>
          <w:rFonts w:ascii="Times New Roman" w:hAnsi="Times New Roman" w:cs="Times New Roman" w:eastAsia="Times New Roman" w:hint="default"/>
        </w:rPr>
        <w:t>2</w:t>
      </w:r>
      <w:r>
        <w:rPr/>
        <w:t>、王勇，男，</w:t>
      </w:r>
      <w:r>
        <w:rPr>
          <w:rFonts w:ascii="Times New Roman" w:hAnsi="Times New Roman" w:cs="Times New Roman" w:eastAsia="Times New Roman" w:hint="default"/>
        </w:rPr>
        <w:t>1974</w:t>
      </w:r>
      <w:r>
        <w:rPr/>
        <w:t>年生，中国国籍，无境外永久居留权。毕业于西南交通大学机电一体化专业，本科学历。</w:t>
      </w:r>
      <w:r>
        <w:rPr>
          <w:rFonts w:ascii="Times New Roman" w:hAnsi="Times New Roman" w:cs="Times New Roman" w:eastAsia="Times New Roman" w:hint="default"/>
        </w:rPr>
        <w:t>1996</w:t>
      </w:r>
      <w:r>
        <w:rPr/>
        <w:t>年就职于 </w:t>
      </w:r>
      <w:r>
        <w:rPr>
          <w:spacing w:val="-1"/>
        </w:rPr>
        <w:t>青岛四方机车车辆厂；</w:t>
      </w:r>
      <w:r>
        <w:rPr>
          <w:rFonts w:ascii="Times New Roman" w:hAnsi="Times New Roman" w:cs="Times New Roman" w:eastAsia="Times New Roman" w:hint="default"/>
          <w:spacing w:val="-1"/>
        </w:rPr>
        <w:t>1997</w:t>
      </w:r>
      <w:r>
        <w:rPr>
          <w:spacing w:val="-1"/>
        </w:rPr>
        <w:t>年就职于青岛银业电子科技有限公司；</w:t>
      </w:r>
      <w:r>
        <w:rPr>
          <w:rFonts w:ascii="Times New Roman" w:hAnsi="Times New Roman" w:cs="Times New Roman" w:eastAsia="Times New Roman" w:hint="default"/>
          <w:spacing w:val="-1"/>
        </w:rPr>
        <w:t>1997</w:t>
      </w:r>
      <w:r>
        <w:rPr>
          <w:spacing w:val="-1"/>
        </w:rPr>
        <w:t>年至</w:t>
      </w:r>
      <w:r>
        <w:rPr>
          <w:rFonts w:ascii="Times New Roman" w:hAnsi="Times New Roman" w:cs="Times New Roman" w:eastAsia="Times New Roman" w:hint="default"/>
          <w:spacing w:val="-1"/>
        </w:rPr>
        <w:t>2002</w:t>
      </w:r>
      <w:r>
        <w:rPr>
          <w:spacing w:val="-1"/>
        </w:rPr>
        <w:t>年就职于永丰余精业科技电子</w:t>
      </w:r>
      <w:r>
        <w:rPr>
          <w:rFonts w:ascii="Times New Roman" w:hAnsi="Times New Roman" w:cs="Times New Roman" w:eastAsia="Times New Roman" w:hint="default"/>
          <w:spacing w:val="-1"/>
        </w:rPr>
        <w:t>(</w:t>
      </w:r>
      <w:r>
        <w:rPr>
          <w:spacing w:val="-1"/>
        </w:rPr>
        <w:t>北京</w:t>
      </w:r>
      <w:r>
        <w:rPr>
          <w:rFonts w:ascii="Times New Roman" w:hAnsi="Times New Roman" w:cs="Times New Roman" w:eastAsia="Times New Roman" w:hint="default"/>
          <w:spacing w:val="-1"/>
        </w:rPr>
        <w:t>)</w:t>
      </w:r>
      <w:r>
        <w:rPr>
          <w:spacing w:val="-1"/>
        </w:rPr>
        <w:t>有限公</w:t>
      </w:r>
      <w:r>
        <w:rPr>
          <w:spacing w:val="-51"/>
        </w:rPr>
        <w:t> </w:t>
      </w:r>
      <w:r>
        <w:rPr>
          <w:spacing w:val="-2"/>
        </w:rPr>
        <w:t>司，任程序员、高级程序员、技术经理；</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2005</w:t>
      </w:r>
      <w:r>
        <w:rPr>
          <w:spacing w:val="-2"/>
        </w:rPr>
        <w:t>年就职于深圳市联合新创科技有限公司，任系统分析师，</w:t>
      </w:r>
      <w:r>
        <w:rPr>
          <w:rFonts w:ascii="Times New Roman" w:hAnsi="Times New Roman" w:cs="Times New Roman" w:eastAsia="Times New Roman" w:hint="default"/>
          <w:spacing w:val="-2"/>
        </w:rPr>
        <w:t>2005</w:t>
      </w:r>
      <w:r>
        <w:rPr>
          <w:spacing w:val="-2"/>
        </w:rPr>
        <w:t>年至今</w:t>
      </w:r>
      <w:r>
        <w:rPr>
          <w:spacing w:val="-54"/>
        </w:rPr>
        <w:t> </w:t>
      </w:r>
      <w:r>
        <w:rPr/>
        <w:t>任四方精创高级经理，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日任四方精创监事。</w:t>
      </w:r>
    </w:p>
    <w:p>
      <w:pPr>
        <w:pStyle w:val="BodyText"/>
        <w:spacing w:line="300" w:lineRule="auto" w:before="52"/>
        <w:ind w:right="1139"/>
        <w:jc w:val="both"/>
      </w:pPr>
      <w:r>
        <w:rPr>
          <w:rFonts w:ascii="Times New Roman" w:hAnsi="Times New Roman" w:cs="Times New Roman" w:eastAsia="Times New Roman" w:hint="default"/>
        </w:rPr>
        <w:t>3</w:t>
      </w:r>
      <w:r>
        <w:rPr/>
        <w:t>、郑登元，男，</w:t>
      </w:r>
      <w:r>
        <w:rPr>
          <w:rFonts w:ascii="Times New Roman" w:hAnsi="Times New Roman" w:cs="Times New Roman" w:eastAsia="Times New Roman" w:hint="default"/>
        </w:rPr>
        <w:t>1959</w:t>
      </w:r>
      <w:r>
        <w:rPr/>
        <w:t>年生，中国台湾居民。毕业于台湾辅仁大学会计系，复旦大学</w:t>
      </w:r>
      <w:r>
        <w:rPr>
          <w:rFonts w:ascii="Times New Roman" w:hAnsi="Times New Roman" w:cs="Times New Roman" w:eastAsia="Times New Roman" w:hint="default"/>
        </w:rPr>
        <w:t>EMBA</w:t>
      </w:r>
      <w:r>
        <w:rPr/>
        <w:t>。</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2006</w:t>
      </w:r>
      <w:r>
        <w:rPr/>
        <w:t>年期间任职精诚 信息股有限公司财务副总经理、董事，</w:t>
      </w:r>
      <w:r>
        <w:rPr>
          <w:rFonts w:ascii="Times New Roman" w:hAnsi="Times New Roman" w:cs="Times New Roman" w:eastAsia="Times New Roman" w:hint="default"/>
        </w:rPr>
        <w:t>2007</w:t>
      </w:r>
      <w:r>
        <w:rPr/>
        <w:t>年起至今担任精诚资讯股份有限公司幕僚长暨资深副总经理、董事，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 起至今任四方精创监事。</w:t>
      </w:r>
    </w:p>
    <w:p>
      <w:pPr>
        <w:pStyle w:val="BodyText"/>
        <w:spacing w:line="300" w:lineRule="auto" w:before="70"/>
        <w:ind w:right="1132"/>
        <w:jc w:val="both"/>
      </w:pPr>
      <w:r>
        <w:rPr>
          <w:rFonts w:ascii="Times New Roman" w:hAnsi="Times New Roman" w:cs="Times New Roman" w:eastAsia="Times New Roman" w:hint="default"/>
        </w:rPr>
        <w:t>4</w:t>
      </w:r>
      <w:r>
        <w:rPr/>
        <w:t>、朱天伟，男，</w:t>
      </w:r>
      <w:r>
        <w:rPr>
          <w:rFonts w:ascii="Times New Roman" w:hAnsi="Times New Roman" w:cs="Times New Roman" w:eastAsia="Times New Roman" w:hint="default"/>
        </w:rPr>
        <w:t>1980</w:t>
      </w:r>
      <w:r>
        <w:rPr/>
        <w:t>年出生，中国国籍，无境外永久居留权。毕业于中山大学计算机应用专业本科学历，清华大学在职研 </w:t>
      </w:r>
      <w:r>
        <w:rPr>
          <w:spacing w:val="-2"/>
        </w:rPr>
        <w:t>究生工程硕士学位。曾任职深圳赛格日立彩色显示器件有限公司，深圳市星伦网络科技有限公司；</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2005</w:t>
      </w:r>
      <w:r>
        <w:rPr>
          <w:spacing w:val="-2"/>
        </w:rPr>
        <w:t>年就职于深</w:t>
      </w:r>
      <w:r>
        <w:rPr>
          <w:spacing w:val="-57"/>
        </w:rPr>
        <w:t> </w:t>
      </w:r>
      <w:r>
        <w:rPr/>
        <w:t>圳市联合新创科技有限公司任软件工程师；</w:t>
      </w:r>
      <w:r>
        <w:rPr>
          <w:rFonts w:ascii="Times New Roman" w:hAnsi="Times New Roman" w:cs="Times New Roman" w:eastAsia="Times New Roman" w:hint="default"/>
        </w:rPr>
        <w:t>2005</w:t>
      </w:r>
      <w:r>
        <w:rPr/>
        <w:t>年至今任四方精创系统分析师、项目经理、部门总监，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月起至今任 四方精创监事。</w:t>
      </w:r>
    </w:p>
    <w:p>
      <w:pPr>
        <w:pStyle w:val="BodyText"/>
        <w:spacing w:line="240" w:lineRule="auto" w:before="70"/>
        <w:ind w:right="0"/>
        <w:jc w:val="both"/>
      </w:pPr>
      <w:r>
        <w:rPr>
          <w:rFonts w:ascii="Times New Roman" w:hAnsi="Times New Roman" w:cs="Times New Roman" w:eastAsia="Times New Roman" w:hint="default"/>
        </w:rPr>
        <w:t>5</w:t>
      </w:r>
      <w:r>
        <w:rPr/>
        <w:t>、高翔，男，</w:t>
      </w:r>
      <w:r>
        <w:rPr>
          <w:rFonts w:ascii="Times New Roman" w:hAnsi="Times New Roman" w:cs="Times New Roman" w:eastAsia="Times New Roman" w:hint="default"/>
        </w:rPr>
        <w:t>1975</w:t>
      </w:r>
      <w:r>
        <w:rPr/>
        <w:t>年出生，中国国籍，无境外永久居留权。毕业于中国环境管理干部学院环境信息管理专业，大专学历。</w:t>
      </w:r>
    </w:p>
    <w:p>
      <w:pPr>
        <w:pStyle w:val="BodyText"/>
        <w:spacing w:line="300" w:lineRule="auto" w:before="63"/>
        <w:ind w:right="1130"/>
        <w:jc w:val="both"/>
      </w:pP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2001</w:t>
      </w:r>
      <w:r>
        <w:rPr>
          <w:spacing w:val="-2"/>
        </w:rPr>
        <w:t>年就职于永丰余精业科技电子（北京）有限公司任程序员、技术经理；</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2005</w:t>
      </w:r>
      <w:r>
        <w:rPr>
          <w:spacing w:val="-2"/>
        </w:rPr>
        <w:t>年就职于深圳市联合新创</w:t>
      </w:r>
      <w:r>
        <w:rPr>
          <w:spacing w:val="-50"/>
        </w:rPr>
        <w:t> </w:t>
      </w:r>
      <w:r>
        <w:rPr/>
        <w:t>科技有限公司，任系统分析师；</w:t>
      </w:r>
      <w:r>
        <w:rPr>
          <w:rFonts w:ascii="Times New Roman" w:hAnsi="Times New Roman" w:cs="Times New Roman" w:eastAsia="Times New Roman" w:hint="default"/>
        </w:rPr>
        <w:t>2005</w:t>
      </w:r>
      <w:r>
        <w:rPr/>
        <w:t>年至今任四方精创高级经理、部门总监，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月起至今任四方精创监事会主席（职 工监事）。</w:t>
      </w:r>
    </w:p>
    <w:p>
      <w:pPr>
        <w:pStyle w:val="BodyText"/>
        <w:spacing w:line="240" w:lineRule="auto" w:before="72"/>
        <w:ind w:right="0"/>
        <w:jc w:val="both"/>
      </w:pPr>
      <w:r>
        <w:rPr/>
        <w:t>（三）高级管理人员</w:t>
      </w:r>
    </w:p>
    <w:p>
      <w:pPr>
        <w:pStyle w:val="BodyText"/>
        <w:spacing w:line="240" w:lineRule="auto" w:before="116"/>
        <w:ind w:right="0"/>
        <w:jc w:val="both"/>
      </w:pPr>
      <w:r>
        <w:rPr>
          <w:rFonts w:ascii="Times New Roman" w:hAnsi="Times New Roman" w:cs="Times New Roman" w:eastAsia="Times New Roman" w:hint="default"/>
        </w:rPr>
        <w:t>1</w:t>
      </w:r>
      <w:r>
        <w:rPr/>
        <w:t>、周志群，总经理，参见本节（一）董事会成员</w:t>
      </w:r>
      <w:r>
        <w:rPr>
          <w:rFonts w:ascii="Times New Roman" w:hAnsi="Times New Roman" w:cs="Times New Roman" w:eastAsia="Times New Roman" w:hint="default"/>
        </w:rPr>
        <w:t>”</w:t>
      </w:r>
      <w:r>
        <w:rPr/>
        <w:t>。</w:t>
      </w:r>
    </w:p>
    <w:p>
      <w:pPr>
        <w:pStyle w:val="BodyText"/>
        <w:spacing w:line="240" w:lineRule="auto" w:before="102"/>
        <w:ind w:right="0"/>
        <w:jc w:val="both"/>
      </w:pPr>
      <w:r>
        <w:rPr>
          <w:rFonts w:ascii="Times New Roman" w:hAnsi="Times New Roman" w:cs="Times New Roman" w:eastAsia="Times New Roman" w:hint="default"/>
        </w:rPr>
        <w:t>2</w:t>
      </w:r>
      <w:r>
        <w:rPr/>
        <w:t>、邓修生，副总经理，参见本节（一）董事会成员</w:t>
      </w:r>
      <w:r>
        <w:rPr>
          <w:rFonts w:ascii="Times New Roman" w:hAnsi="Times New Roman" w:cs="Times New Roman" w:eastAsia="Times New Roman" w:hint="default"/>
        </w:rPr>
        <w:t>”</w:t>
      </w:r>
      <w:r>
        <w:rPr/>
        <w:t>。</w:t>
      </w:r>
    </w:p>
    <w:p>
      <w:pPr>
        <w:pStyle w:val="BodyText"/>
        <w:spacing w:line="240" w:lineRule="auto" w:before="103"/>
        <w:ind w:right="0"/>
        <w:jc w:val="both"/>
      </w:pPr>
      <w:r>
        <w:rPr>
          <w:rFonts w:ascii="Times New Roman" w:hAnsi="Times New Roman" w:cs="Times New Roman" w:eastAsia="Times New Roman" w:hint="default"/>
        </w:rPr>
        <w:t>3</w:t>
      </w:r>
      <w:r>
        <w:rPr/>
        <w:t>、李琳，副总经理、财务负责人、董事会秘书，参见本节（一）董事会成员</w:t>
      </w:r>
      <w:r>
        <w:rPr>
          <w:rFonts w:ascii="Times New Roman" w:hAnsi="Times New Roman" w:cs="Times New Roman" w:eastAsia="Times New Roman" w:hint="default"/>
        </w:rPr>
        <w:t>”</w:t>
      </w:r>
      <w:r>
        <w:rPr/>
        <w:t>。</w:t>
      </w:r>
    </w:p>
    <w:p>
      <w:pPr>
        <w:pStyle w:val="BodyText"/>
        <w:spacing w:line="300" w:lineRule="auto" w:before="101"/>
        <w:ind w:right="1042"/>
        <w:jc w:val="both"/>
      </w:pPr>
      <w:r>
        <w:rPr>
          <w:rFonts w:ascii="Times New Roman" w:hAnsi="Times New Roman" w:cs="Times New Roman" w:eastAsia="Times New Roman" w:hint="default"/>
        </w:rPr>
        <w:t>4</w:t>
      </w:r>
      <w:r>
        <w:rPr/>
        <w:t>、罗川，男，</w:t>
      </w:r>
      <w:r>
        <w:rPr>
          <w:rFonts w:ascii="Times New Roman" w:hAnsi="Times New Roman" w:cs="Times New Roman" w:eastAsia="Times New Roman" w:hint="default"/>
        </w:rPr>
        <w:t>1971</w:t>
      </w:r>
      <w:r>
        <w:rPr/>
        <w:t>年生，中国国籍，无境外永久居留权。毕业于四川大学计算机应用专业，本科学历。</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2000</w:t>
      </w:r>
      <w:r>
        <w:rPr/>
        <w:t>年就 </w:t>
      </w:r>
      <w:r>
        <w:rPr>
          <w:spacing w:val="-2"/>
        </w:rPr>
        <w:t>职于永丰余精业科技电子（北京）有限公司，任工程师、技术经理；</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2002</w:t>
      </w:r>
      <w:r>
        <w:rPr>
          <w:spacing w:val="-2"/>
        </w:rPr>
        <w:t>年就职于北京科蓝软件系统有限公司，任</w:t>
      </w:r>
      <w:r>
        <w:rPr>
          <w:spacing w:val="-59"/>
        </w:rPr>
        <w:t> </w:t>
      </w:r>
      <w:r>
        <w:rPr>
          <w:spacing w:val="-59"/>
        </w:rPr>
      </w:r>
      <w:r>
        <w:rPr>
          <w:spacing w:val="-2"/>
        </w:rPr>
        <w:t>市场部经理；</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2007</w:t>
      </w:r>
      <w:r>
        <w:rPr>
          <w:spacing w:val="-2"/>
        </w:rPr>
        <w:t>年深圳市联合新创科技有限公司，任副总经理、总经理；</w:t>
      </w:r>
      <w:r>
        <w:rPr>
          <w:rFonts w:ascii="Times New Roman" w:hAnsi="Times New Roman" w:cs="Times New Roman" w:eastAsia="Times New Roman" w:hint="default"/>
          <w:spacing w:val="-2"/>
        </w:rPr>
        <w:t>2007</w:t>
      </w:r>
      <w:r>
        <w:rPr>
          <w:spacing w:val="-2"/>
        </w:rPr>
        <w:t>年就职于四方深圳，任副总经理兼</w:t>
      </w:r>
      <w:r>
        <w:rPr>
          <w:spacing w:val="-54"/>
        </w:rPr>
        <w:t> </w:t>
      </w:r>
      <w:r>
        <w:rPr>
          <w:spacing w:val="-54"/>
        </w:rPr>
      </w:r>
      <w:r>
        <w:rPr/>
        <w:t>销售总监，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日任四方精创总经理兼销售总监。</w:t>
      </w:r>
    </w:p>
    <w:p>
      <w:pPr>
        <w:pStyle w:val="BodyText"/>
        <w:spacing w:line="240" w:lineRule="auto" w:before="51"/>
        <w:ind w:right="0"/>
        <w:jc w:val="both"/>
      </w:pPr>
      <w:r>
        <w:rPr>
          <w:rFonts w:ascii="Times New Roman" w:hAnsi="Times New Roman" w:cs="Times New Roman" w:eastAsia="Times New Roman" w:hint="default"/>
        </w:rPr>
        <w:t>5</w:t>
      </w:r>
      <w:r>
        <w:rPr/>
        <w:t>、黄永雄，男，</w:t>
      </w:r>
      <w:r>
        <w:rPr>
          <w:rFonts w:ascii="Times New Roman" w:hAnsi="Times New Roman" w:cs="Times New Roman" w:eastAsia="Times New Roman" w:hint="default"/>
        </w:rPr>
        <w:t>1962</w:t>
      </w:r>
      <w:r>
        <w:rPr/>
        <w:t>年生，中国国籍，香港永久居民。毕业于加拿大</w:t>
      </w:r>
      <w:r>
        <w:rPr>
          <w:rFonts w:ascii="Times New Roman" w:hAnsi="Times New Roman" w:cs="Times New Roman" w:eastAsia="Times New Roman" w:hint="default"/>
        </w:rPr>
        <w:t>Alberta</w:t>
      </w:r>
      <w:r>
        <w:rPr/>
        <w:t>大学，计算机科学（商务应用）专业学士学位。</w:t>
      </w:r>
    </w:p>
    <w:p>
      <w:pPr>
        <w:pStyle w:val="BodyText"/>
        <w:spacing w:line="302" w:lineRule="auto" w:before="63"/>
        <w:ind w:right="1139"/>
        <w:jc w:val="both"/>
      </w:pPr>
      <w:r>
        <w:rPr>
          <w:rFonts w:ascii="Times New Roman" w:hAnsi="Times New Roman" w:cs="Times New Roman" w:eastAsia="Times New Roman" w:hint="default"/>
        </w:rPr>
        <w:t>1989</w:t>
      </w:r>
      <w:r>
        <w:rPr/>
        <w:t>年至</w:t>
      </w:r>
      <w:r>
        <w:rPr>
          <w:rFonts w:ascii="Times New Roman" w:hAnsi="Times New Roman" w:cs="Times New Roman" w:eastAsia="Times New Roman" w:hint="default"/>
        </w:rPr>
        <w:t>1991</w:t>
      </w:r>
      <w:r>
        <w:rPr/>
        <w:t>年就职于香港志鸿科技有限公司，</w:t>
      </w:r>
      <w:r>
        <w:rPr>
          <w:rFonts w:ascii="Times New Roman" w:hAnsi="Times New Roman" w:cs="Times New Roman" w:eastAsia="Times New Roman" w:hint="default"/>
        </w:rPr>
        <w:t>1991</w:t>
      </w:r>
      <w:r>
        <w:rPr/>
        <w:t>年至</w:t>
      </w:r>
      <w:r>
        <w:rPr>
          <w:rFonts w:ascii="Times New Roman" w:hAnsi="Times New Roman" w:cs="Times New Roman" w:eastAsia="Times New Roman" w:hint="default"/>
        </w:rPr>
        <w:t>2001</w:t>
      </w:r>
      <w:r>
        <w:rPr/>
        <w:t>年先后就职于花旗银行、渣打银行，</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 任四方精创副总经理、四方香港副总经理。</w:t>
      </w:r>
    </w:p>
    <w:p>
      <w:pPr>
        <w:pStyle w:val="BodyText"/>
        <w:spacing w:line="240" w:lineRule="auto" w:before="70"/>
        <w:ind w:right="0"/>
        <w:jc w:val="both"/>
      </w:pPr>
      <w:r>
        <w:rPr/>
        <w:t>在股东单位任职情况</w:t>
      </w:r>
    </w:p>
    <w:p>
      <w:pPr>
        <w:pStyle w:val="BodyText"/>
        <w:spacing w:line="240" w:lineRule="auto" w:before="11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益群集团控股有限公司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SYSTEX</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SOLUTIONS</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益志集团控股有限公司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邓修生</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益威集团控股有限公司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深圳俊图精科投资有限公司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黄永雄</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弘高亚太投资有限公司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胡行军</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石河子市威升精科股权投资合伙企业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石河子市冠维新科股权投资合伙企业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高翔</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石河子市信方精科股权投资合伙企业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四方精创信息（香港）有限公司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四方精创信息（香港）有限公司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黄永雄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SYSTEX</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SOLUTIONS</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精诚资讯股份有限公司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精璞投资股份有限公司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金桥资讯股份有限公司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精聚资讯股份有限公司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精诚软体服务股份有限公司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康和资讯系统股份有限公司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精诚随想行动科技股份有限公司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精诚科技整合股份有限公司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奇唯科技股份有限公司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嘉利科技股份有限公司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知意图股份有限公司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台湾计算机服务股份有限公司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内秋应智能科技股份有限公司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精诚精诠信息科技有限公司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精诚恒逸软件有限公司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精诚胜龙信息系统有限公司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Kimo.com (BVI)</w:t>
            </w:r>
            <w:r>
              <w:rPr>
                <w:rFonts w:ascii="Times New Roman"/>
                <w:spacing w:val="-3"/>
                <w:sz w:val="18"/>
              </w:rPr>
              <w:t> </w:t>
            </w:r>
            <w:r>
              <w:rPr>
                <w:rFonts w:ascii="Times New Roman"/>
                <w:sz w:val="18"/>
              </w:rPr>
              <w:t>Corporation</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Systex Capital Group,</w:t>
            </w:r>
            <w:r>
              <w:rPr>
                <w:rFonts w:ascii="Times New Roman"/>
                <w:spacing w:val="-4"/>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Sysware Singapore Pte.</w:t>
            </w:r>
            <w:r>
              <w:rPr>
                <w:rFonts w:ascii="Times New Roman"/>
                <w:spacing w:val="-8"/>
                <w:sz w:val="18"/>
              </w:rPr>
              <w:t> </w:t>
            </w:r>
            <w:r>
              <w:rPr>
                <w:rFonts w:ascii="Times New Roman"/>
                <w:sz w:val="18"/>
              </w:rPr>
              <w:t>Ltd.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精联资讯股份有限公司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精智资讯科技股份有限公司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精睿资讯科技股份有限公司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上会会计师事务所（特殊普通合伙）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深圳市兆驰股份有限公司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深圳市德方纳米科技股份有限公司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顾嘉勇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新兴光学集团控股有限公司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副主席兼首 席财务官兼 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花样年集团控股有限公司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福寿园国际集团有限公司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Allivision International</w:t>
            </w:r>
            <w:r>
              <w:rPr>
                <w:rFonts w:ascii="Times New Roman"/>
                <w:spacing w:val="-5"/>
                <w:sz w:val="18"/>
              </w:rPr>
              <w:t> </w:t>
            </w:r>
            <w:r>
              <w:rPr>
                <w:rFonts w:ascii="Times New Roman"/>
                <w:sz w:val="18"/>
              </w:rPr>
              <w:t>Limited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中国消防企业集团有限公司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深圳市大象联合空间建设股份有限公司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新融宇集团</w:t>
            </w:r>
            <w:r>
              <w:rPr>
                <w:rFonts w:ascii="Times New Roman" w:hAnsi="Times New Roman" w:cs="Times New Roman" w:eastAsia="Times New Roman" w:hint="default"/>
                <w:sz w:val="18"/>
                <w:szCs w:val="18"/>
              </w:rPr>
              <w:t>(</w:t>
            </w:r>
            <w:r>
              <w:rPr>
                <w:rFonts w:ascii="宋体" w:hAnsi="宋体" w:cs="宋体" w:eastAsia="宋体" w:hint="default"/>
                <w:sz w:val="18"/>
                <w:szCs w:val="18"/>
              </w:rPr>
              <w:t>控股</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精诚资讯股份有限公司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董事、幕僚长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暨资深副总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精诚资讯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瑞宝资讯科技</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精诚精诠信息科技有限公司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精诚恒逸软件有限公司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精诚瑞宝计算机系统有限公司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精诚胜龙信息系统有限公司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7" w:lineRule="auto" w:before="115"/>
        <w:ind w:right="1212"/>
        <w:jc w:val="left"/>
      </w:pPr>
      <w:r>
        <w:rPr>
          <w:rFonts w:ascii="Times New Roman" w:hAnsi="Times New Roman" w:cs="Times New Roman" w:eastAsia="Times New Roman" w:hint="default"/>
        </w:rPr>
        <w:t>1</w:t>
      </w:r>
      <w:r>
        <w:rPr/>
        <w:t>、董事、监事、高级管理人员报酬决策程序： 董事、监事及高级管理人员的薪酬方案由董事会薪酬与考核委员会拟定，经董事会、监事会、股东大会审议通过后实施。 </w:t>
      </w:r>
      <w:r>
        <w:rPr>
          <w:rFonts w:ascii="Times New Roman" w:hAnsi="Times New Roman" w:cs="Times New Roman" w:eastAsia="Times New Roman" w:hint="default"/>
        </w:rPr>
        <w:t>2</w:t>
      </w:r>
      <w:r>
        <w:rPr/>
        <w:t>、董事、监事、高级管理人员报酬确定依据： 董事、监事和高级管理人员的报酬按照公司规定，结合其经营绩效、工作能力、岗位职责等考核确定并发放。 </w:t>
      </w:r>
      <w:r>
        <w:rPr>
          <w:rFonts w:ascii="Times New Roman" w:hAnsi="Times New Roman" w:cs="Times New Roman" w:eastAsia="Times New Roman" w:hint="default"/>
        </w:rPr>
        <w:t>3</w:t>
      </w:r>
      <w:r>
        <w:rPr/>
        <w:t>、董事、监事和高级管理人员报酬实际支付情况： 本报告期实际支付董事、监事和高级管理人员报酬总额为</w:t>
      </w:r>
      <w:r>
        <w:rPr>
          <w:rFonts w:ascii="Times New Roman" w:hAnsi="Times New Roman" w:cs="Times New Roman" w:eastAsia="Times New Roman" w:hint="default"/>
        </w:rPr>
        <w:t>330.77</w:t>
      </w:r>
      <w:r>
        <w:rPr/>
        <w:t>万元。</w:t>
      </w:r>
    </w:p>
    <w:p>
      <w:pPr>
        <w:pStyle w:val="BodyText"/>
        <w:spacing w:line="240" w:lineRule="auto" w:before="48"/>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周志群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董事、常务副总 经理、董事会秘 书、财务负责人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邓修生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林隆奋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顾嘉勇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胡行军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郑登元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黄永雄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麦荣昌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杨时飞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苏哲锋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朱天伟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330.77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公司董事、高级管理人员报告期内被授予的股权激励情况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公司员工情况" w:id="125"/>
      <w:bookmarkEnd w:id="125"/>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1,871</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right="1034" w:firstLine="360"/>
        <w:jc w:val="left"/>
      </w:pPr>
      <w:r>
        <w:rPr>
          <w:spacing w:val="-3"/>
        </w:rPr>
        <w:t>公司秉持</w:t>
      </w:r>
      <w:r>
        <w:rPr>
          <w:rFonts w:ascii="Times New Roman" w:hAnsi="Times New Roman" w:cs="Times New Roman" w:eastAsia="Times New Roman" w:hint="default"/>
          <w:spacing w:val="-3"/>
        </w:rPr>
        <w:t>“</w:t>
      </w:r>
      <w:r>
        <w:rPr>
          <w:spacing w:val="-3"/>
        </w:rPr>
        <w:t>勿忘初衷，四方精英；创业开拓，贡献社会</w:t>
      </w:r>
      <w:r>
        <w:rPr>
          <w:rFonts w:ascii="Times New Roman" w:hAnsi="Times New Roman" w:cs="Times New Roman" w:eastAsia="Times New Roman" w:hint="default"/>
          <w:spacing w:val="-3"/>
        </w:rPr>
        <w:t>”</w:t>
      </w:r>
      <w:r>
        <w:rPr>
          <w:spacing w:val="-3"/>
        </w:rPr>
        <w:t>的经营理念，持续定位有竞争力的薪酬政策，通过不断完善公平、</w:t>
      </w:r>
      <w:r>
        <w:rPr/>
        <w:t> </w:t>
      </w:r>
      <w:r>
        <w:rPr>
          <w:spacing w:val="-2"/>
        </w:rPr>
        <w:t>健全的薪酬绩效体系，保证员工薪酬的内部公平性与外部竞争力。员工薪酬分为基本薪酬和绩效奖金两部分，基本薪酬部分</w:t>
      </w:r>
      <w:r>
        <w:rPr>
          <w:spacing w:val="-66"/>
        </w:rPr>
        <w:t> </w:t>
      </w:r>
      <w:r>
        <w:rPr>
          <w:spacing w:val="-66"/>
        </w:rPr>
      </w:r>
      <w:r>
        <w:rPr/>
        <w:t>由岗位价值、专业技术水平等因素确定；绩效奖金部分以企业年度经营目标为导向。</w:t>
      </w:r>
    </w:p>
    <w:p>
      <w:pPr>
        <w:pStyle w:val="BodyText"/>
        <w:spacing w:line="300" w:lineRule="auto" w:before="24"/>
        <w:ind w:right="0" w:firstLine="360"/>
        <w:jc w:val="left"/>
      </w:pPr>
      <w:r>
        <w:rPr>
          <w:spacing w:val="-2"/>
        </w:rPr>
        <w:t>为进一步吸引和保留核心骨干人才，公司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2017</w:t>
      </w:r>
      <w:r>
        <w:rPr>
          <w:spacing w:val="-2"/>
        </w:rPr>
        <w:t>年均推出限制性股票激励计划，在实现公司与员工共同发展的同</w:t>
      </w:r>
      <w:r>
        <w:rPr/>
        <w:t> 时，彰显了公司在激励优秀人才方面的决心。</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firstLine="360"/>
        <w:jc w:val="left"/>
      </w:pPr>
      <w:r>
        <w:rPr>
          <w:spacing w:val="-2"/>
        </w:rPr>
        <w:t>公司根据人力资源规划制定各部门不同岗位的年度培训计划，采取内训和外训相结合的方式，对各岗位员工进行专门培</w:t>
      </w:r>
      <w:r>
        <w:rPr/>
        <w:t> </w:t>
      </w:r>
      <w:r>
        <w:rPr>
          <w:spacing w:val="-2"/>
        </w:rPr>
        <w:t>训。培训主要包括：入职培训、业务培训，技术培训，高级管理培训，帮助员工提升其职业素养、业务能力及专业技能，提</w:t>
      </w:r>
    </w:p>
    <w:p>
      <w:pPr>
        <w:spacing w:after="0" w:line="316"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升公司员工的整体素质，为公司培养发展所需的专业化人才，从而为公司持续发展提供人力资源的保障。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3" w:id="130"/>
      <w:bookmarkStart w:name="第九节 公司治理" w:id="131"/>
      <w:r>
        <w:rPr>
          <w:b w:val="0"/>
          <w:bCs w:val="0"/>
        </w:rPr>
      </w:r>
      <w:r>
        <w:rPr/>
        <w:t>第九节</w:t>
      </w:r>
      <w:r>
        <w:rPr>
          <w:spacing w:val="-5"/>
        </w:rPr>
        <w:t> </w:t>
      </w:r>
      <w:r>
        <w:rPr/>
        <w:t>公司治理</w:t>
      </w:r>
      <w:bookmarkEnd w:id="13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34" w:right="0"/>
        <w:jc w:val="left"/>
      </w:pPr>
      <w:r>
        <w:rPr>
          <w:spacing w:val="-4"/>
        </w:rPr>
        <w:t>报告期内，公司严格按照《公司法》、《证券法》、《上市公司治理准则》、《深圳证券交易所创业板股票上市规则》、</w:t>
      </w:r>
    </w:p>
    <w:p>
      <w:pPr>
        <w:pStyle w:val="BodyText"/>
        <w:spacing w:line="316" w:lineRule="auto" w:before="76"/>
        <w:ind w:right="1118"/>
        <w:jc w:val="left"/>
      </w:pPr>
      <w:r>
        <w:rPr>
          <w:spacing w:val="-2"/>
        </w:rPr>
        <w:t>《深圳证券交易所创业板上市公司规范运作指引》等有关法律法规、规范性文件的要求，不断完善公司法人治理结构，建立</w:t>
      </w:r>
      <w:r>
        <w:rPr>
          <w:spacing w:val="-66"/>
        </w:rPr>
        <w:t> </w:t>
      </w:r>
      <w:r>
        <w:rPr>
          <w:spacing w:val="-66"/>
        </w:rPr>
      </w:r>
      <w:r>
        <w:rPr>
          <w:spacing w:val="-2"/>
        </w:rPr>
        <w:t>健全公司内部管理制度，完善内部控制制度，促进公司规范运作，提高公司治理水平。截至本报告期末，公司股东大会、董</w:t>
      </w:r>
      <w:r>
        <w:rPr>
          <w:spacing w:val="-67"/>
        </w:rPr>
        <w:t> </w:t>
      </w:r>
      <w:r>
        <w:rPr>
          <w:spacing w:val="-67"/>
        </w:rPr>
      </w:r>
      <w:r>
        <w:rPr>
          <w:spacing w:val="-2"/>
        </w:rPr>
        <w:t>事会及各专门委员会、监事会、独立董事、董事会秘书和管理层均依法运作，切实履行应尽的职责和义务，未出现违法、违</w:t>
      </w:r>
      <w:r>
        <w:rPr>
          <w:spacing w:val="-67"/>
        </w:rPr>
        <w:t> </w:t>
      </w:r>
      <w:r>
        <w:rPr>
          <w:spacing w:val="-67"/>
        </w:rPr>
      </w:r>
      <w:r>
        <w:rPr/>
        <w:t>规现象，公司治理的实际状况符合中国证监会、深圳证券交易所等发布的法律法规和规范性文件的要求。 </w:t>
      </w:r>
      <w:r>
        <w:rPr>
          <w:rFonts w:ascii="Times New Roman" w:hAnsi="Times New Roman" w:cs="Times New Roman" w:eastAsia="Times New Roman" w:hint="default"/>
        </w:rPr>
        <w:t>1</w:t>
      </w:r>
      <w:r>
        <w:rPr/>
        <w:t>、关于股东和股东大会</w:t>
      </w:r>
    </w:p>
    <w:p>
      <w:pPr>
        <w:pStyle w:val="BodyText"/>
        <w:spacing w:line="309" w:lineRule="auto"/>
        <w:ind w:right="1122" w:firstLine="380"/>
        <w:jc w:val="left"/>
      </w:pPr>
      <w:r>
        <w:rPr/>
        <w:t>公司严格按照《公司法》、《公司章程》和《股东大会议事规则》等法律、法规要求，规范股东大会召集、召开、表 决程序，确保所有股东享有平等地位、平等权利，充分行使自己的权利，并承担相应的义务。报告期内，公司共召开</w:t>
      </w:r>
      <w:r>
        <w:rPr>
          <w:rFonts w:ascii="Times New Roman" w:hAnsi="Times New Roman" w:cs="Times New Roman" w:eastAsia="Times New Roman" w:hint="default"/>
        </w:rPr>
        <w:t>2</w:t>
      </w:r>
      <w:r>
        <w:rPr/>
        <w:t>次股 东大会，均使用网络投票和现场投票相结合的形式召开，为股东参加股东大会提供便利。</w:t>
      </w:r>
    </w:p>
    <w:p>
      <w:pPr>
        <w:pStyle w:val="BodyText"/>
        <w:spacing w:line="300" w:lineRule="auto" w:before="24"/>
        <w:ind w:left="534" w:right="1192" w:hanging="381"/>
        <w:jc w:val="left"/>
      </w:pPr>
      <w:r>
        <w:rPr>
          <w:rFonts w:ascii="Times New Roman" w:hAnsi="Times New Roman" w:cs="Times New Roman" w:eastAsia="Times New Roman" w:hint="default"/>
        </w:rPr>
        <w:t>2</w:t>
      </w:r>
      <w:r>
        <w:rPr/>
        <w:t>．关于公司与控股股东 公司拥有独立完整的业务和自主经营能力，在业务、人员、资产、机构、财务上独立于控股股东，公司董事会、监事</w:t>
      </w:r>
    </w:p>
    <w:p>
      <w:pPr>
        <w:pStyle w:val="BodyText"/>
        <w:spacing w:line="316" w:lineRule="auto" w:before="31"/>
        <w:ind w:right="0"/>
        <w:jc w:val="left"/>
      </w:pPr>
      <w:r>
        <w:rPr>
          <w:spacing w:val="-2"/>
        </w:rPr>
        <w:t>会和内部机构独立运作。公司控股股东严格规范自己的行为，没有超越股东大会直接或间接干预公司的决策和经营活动。报</w:t>
      </w:r>
      <w:r>
        <w:rPr>
          <w:spacing w:val="-66"/>
        </w:rPr>
        <w:t> </w:t>
      </w:r>
      <w:r>
        <w:rPr>
          <w:spacing w:val="-66"/>
        </w:rPr>
      </w:r>
      <w:r>
        <w:rPr/>
        <w:t>告期内</w:t>
      </w:r>
      <w:r>
        <w:rPr>
          <w:rFonts w:ascii="Times New Roman" w:hAnsi="Times New Roman" w:cs="Times New Roman" w:eastAsia="Times New Roman" w:hint="default"/>
        </w:rPr>
        <w:t>,</w:t>
      </w:r>
      <w:r>
        <w:rPr/>
        <w:t>公司没有为控股股东提供担保，亦不存在控股股东非经营性占用公司资金的行为。</w:t>
      </w:r>
    </w:p>
    <w:p>
      <w:pPr>
        <w:pStyle w:val="BodyText"/>
        <w:spacing w:line="300" w:lineRule="auto"/>
        <w:ind w:left="534" w:right="1192" w:hanging="381"/>
        <w:jc w:val="left"/>
      </w:pPr>
      <w:r>
        <w:rPr>
          <w:rFonts w:ascii="Times New Roman" w:hAnsi="Times New Roman" w:cs="Times New Roman" w:eastAsia="Times New Roman" w:hint="default"/>
        </w:rPr>
        <w:t>3</w:t>
      </w:r>
      <w:r>
        <w:rPr/>
        <w:t>、关于董事和董事会 公司董事会设董事</w:t>
      </w:r>
      <w:r>
        <w:rPr>
          <w:rFonts w:ascii="Times New Roman" w:hAnsi="Times New Roman" w:cs="Times New Roman" w:eastAsia="Times New Roman" w:hint="default"/>
        </w:rPr>
        <w:t>7</w:t>
      </w:r>
      <w:r>
        <w:rPr/>
        <w:t>名，其中独立董事</w:t>
      </w:r>
      <w:r>
        <w:rPr>
          <w:rFonts w:ascii="Times New Roman" w:hAnsi="Times New Roman" w:cs="Times New Roman" w:eastAsia="Times New Roman" w:hint="default"/>
        </w:rPr>
        <w:t>3</w:t>
      </w:r>
      <w:r>
        <w:rPr/>
        <w:t>名，下设立了审计委员会、提名委员会、薪酬与考核委员会、战略委员会。董</w:t>
      </w:r>
    </w:p>
    <w:p>
      <w:pPr>
        <w:pStyle w:val="BodyText"/>
        <w:spacing w:line="319" w:lineRule="auto" w:before="13"/>
        <w:ind w:right="1032"/>
        <w:jc w:val="left"/>
      </w:pPr>
      <w:r>
        <w:rPr/>
        <w:t>事会对股东大会负责，对公司经营活动中的重大事项进行审议并做出决定，或提交股东大会审议，各位董事均能勤勉尽责、 </w:t>
      </w:r>
      <w:r>
        <w:rPr>
          <w:spacing w:val="-2"/>
        </w:rPr>
        <w:t>诚信自律，且对公司重大决策事项、战略规划以及内部控制等方面提出建设性意见。公司已制定《董事会议事规则》、《独</w:t>
      </w:r>
      <w:r>
        <w:rPr>
          <w:spacing w:val="-71"/>
        </w:rPr>
        <w:t> </w:t>
      </w:r>
      <w:r>
        <w:rPr>
          <w:spacing w:val="-71"/>
        </w:rPr>
      </w:r>
      <w:r>
        <w:rPr>
          <w:spacing w:val="-2"/>
        </w:rPr>
        <w:t>立董事制度》等制度确保董事会规范、高效运作和审慎、科学决策。董事会会议严格按照董事会议事规则召开，本报告期内</w:t>
      </w:r>
      <w:r>
        <w:rPr>
          <w:spacing w:val="-66"/>
        </w:rPr>
        <w:t> </w:t>
      </w:r>
      <w:r>
        <w:rPr>
          <w:spacing w:val="-66"/>
        </w:rPr>
      </w:r>
      <w:r>
        <w:rPr/>
        <w:t>共召开董事会会议</w:t>
      </w:r>
      <w:r>
        <w:rPr>
          <w:rFonts w:ascii="Times New Roman" w:hAnsi="Times New Roman" w:cs="Times New Roman" w:eastAsia="Times New Roman" w:hint="default"/>
        </w:rPr>
        <w:t>11</w:t>
      </w:r>
      <w:r>
        <w:rPr/>
        <w:t>次。</w:t>
      </w:r>
    </w:p>
    <w:p>
      <w:pPr>
        <w:pStyle w:val="BodyText"/>
        <w:spacing w:line="300" w:lineRule="auto"/>
        <w:ind w:left="604" w:right="1032" w:hanging="450"/>
        <w:jc w:val="left"/>
      </w:pPr>
      <w:r>
        <w:rPr>
          <w:rFonts w:ascii="Times New Roman" w:hAnsi="Times New Roman" w:cs="Times New Roman" w:eastAsia="Times New Roman" w:hint="default"/>
        </w:rPr>
        <w:t>4</w:t>
      </w:r>
      <w:r>
        <w:rPr/>
        <w:t>．关于监事和监事会 </w:t>
      </w:r>
      <w:r>
        <w:rPr>
          <w:spacing w:val="-5"/>
        </w:rPr>
        <w:t>公司监事会设监事</w:t>
      </w:r>
      <w:r>
        <w:rPr>
          <w:rFonts w:ascii="Times New Roman" w:hAnsi="Times New Roman" w:cs="Times New Roman" w:eastAsia="Times New Roman" w:hint="default"/>
          <w:spacing w:val="-5"/>
        </w:rPr>
        <w:t>3</w:t>
      </w:r>
      <w:r>
        <w:rPr>
          <w:spacing w:val="-5"/>
        </w:rPr>
        <w:t>名，其中职工监事</w:t>
      </w:r>
      <w:r>
        <w:rPr>
          <w:rFonts w:ascii="Times New Roman" w:hAnsi="Times New Roman" w:cs="Times New Roman" w:eastAsia="Times New Roman" w:hint="default"/>
          <w:spacing w:val="-5"/>
        </w:rPr>
        <w:t>1</w:t>
      </w:r>
      <w:r>
        <w:rPr>
          <w:spacing w:val="-5"/>
        </w:rPr>
        <w:t>名，监事会的人数和构成符合法律、法规的要求。各位监事严格按照《公司法》、</w:t>
      </w:r>
    </w:p>
    <w:p>
      <w:pPr>
        <w:pStyle w:val="BodyText"/>
        <w:spacing w:line="309" w:lineRule="auto" w:before="13"/>
        <w:ind w:right="1133"/>
        <w:jc w:val="both"/>
      </w:pPr>
      <w:r>
        <w:rPr>
          <w:spacing w:val="-2"/>
        </w:rPr>
        <w:t>《公司章程》和《监事会议事规则》的有关规定认真履行职责，对公司财务状况、重大事项以及公司董事及高级管理人员履</w:t>
      </w:r>
      <w:r>
        <w:rPr>
          <w:spacing w:val="-66"/>
        </w:rPr>
        <w:t> </w:t>
      </w:r>
      <w:r>
        <w:rPr>
          <w:spacing w:val="-66"/>
        </w:rPr>
      </w:r>
      <w:r>
        <w:rPr/>
        <w:t>行职责的合法合规性等进行监督，维护公司及股东的合法权益。报告期内，公司共召开</w:t>
      </w:r>
      <w:r>
        <w:rPr>
          <w:rFonts w:ascii="Times New Roman" w:hAnsi="Times New Roman" w:cs="Times New Roman" w:eastAsia="Times New Roman" w:hint="default"/>
        </w:rPr>
        <w:t>8</w:t>
      </w:r>
      <w:r>
        <w:rPr/>
        <w:t>次监事会，会议均由监事会主席召 集、召开。</w:t>
      </w:r>
    </w:p>
    <w:p>
      <w:pPr>
        <w:pStyle w:val="BodyText"/>
        <w:spacing w:line="300" w:lineRule="auto" w:before="24"/>
        <w:ind w:left="514" w:right="0" w:hanging="360"/>
        <w:jc w:val="left"/>
      </w:pPr>
      <w:r>
        <w:rPr>
          <w:rFonts w:ascii="Times New Roman" w:hAnsi="Times New Roman" w:cs="Times New Roman" w:eastAsia="Times New Roman" w:hint="default"/>
        </w:rPr>
        <w:t>5</w:t>
      </w:r>
      <w:r>
        <w:rPr/>
        <w:t>、关于绩效评价与激励约束机制 </w:t>
      </w:r>
      <w:r>
        <w:rPr>
          <w:spacing w:val="-2"/>
        </w:rPr>
        <w:t>公司已建立企业绩效激励与评价体系，并不断完善。公司董事、监事和高级管理人员的绩效评价标准和激励约束机制公</w:t>
      </w:r>
    </w:p>
    <w:p>
      <w:pPr>
        <w:pStyle w:val="BodyText"/>
        <w:spacing w:line="316" w:lineRule="auto" w:before="31"/>
        <w:ind w:right="0"/>
        <w:jc w:val="left"/>
      </w:pPr>
      <w:r>
        <w:rPr>
          <w:spacing w:val="-2"/>
        </w:rPr>
        <w:t>开、透明，符合法律、法规的规定。公司董事会设立了薪酬与考核委员会，负责薪酬政策及方案的制定与审定。公司高级管</w:t>
      </w:r>
      <w:r>
        <w:rPr>
          <w:spacing w:val="-68"/>
        </w:rPr>
        <w:t> </w:t>
      </w:r>
      <w:r>
        <w:rPr>
          <w:spacing w:val="-68"/>
        </w:rPr>
      </w:r>
      <w:r>
        <w:rPr/>
        <w:t>理人员均认真履行工作职责，较好地完成了董事会制定的经营管理任务。</w:t>
      </w:r>
    </w:p>
    <w:p>
      <w:pPr>
        <w:pStyle w:val="BodyText"/>
        <w:spacing w:line="300" w:lineRule="auto" w:before="19"/>
        <w:ind w:left="514" w:right="1118" w:hanging="360"/>
        <w:jc w:val="left"/>
      </w:pPr>
      <w:r>
        <w:rPr>
          <w:rFonts w:ascii="Times New Roman" w:hAnsi="Times New Roman" w:cs="Times New Roman" w:eastAsia="Times New Roman" w:hint="default"/>
        </w:rPr>
        <w:t>6</w:t>
      </w:r>
      <w:r>
        <w:rPr/>
        <w:t>、关于相关利益者 </w:t>
      </w:r>
      <w:r>
        <w:rPr>
          <w:spacing w:val="-2"/>
        </w:rPr>
        <w:t>公司能够充分尊重和维护相关利益者的合法权益，积极与相关利益者沟通和交流，努力实现社会、股东、公司、员工等</w:t>
      </w:r>
    </w:p>
    <w:p>
      <w:pPr>
        <w:pStyle w:val="BodyText"/>
        <w:spacing w:line="240" w:lineRule="auto" w:before="31"/>
        <w:ind w:right="0"/>
        <w:jc w:val="left"/>
      </w:pPr>
      <w:r>
        <w:rPr/>
        <w:t>各方利益的协调平衡，共同推动公司持续、稳定、健康发展。</w:t>
      </w:r>
    </w:p>
    <w:p>
      <w:pPr>
        <w:pStyle w:val="BodyText"/>
        <w:spacing w:line="340" w:lineRule="auto" w:before="76"/>
        <w:ind w:left="514" w:right="0" w:hanging="360"/>
        <w:jc w:val="left"/>
      </w:pPr>
      <w:r>
        <w:rPr>
          <w:rFonts w:ascii="Times New Roman" w:hAnsi="Times New Roman" w:cs="Times New Roman" w:eastAsia="Times New Roman" w:hint="default"/>
        </w:rPr>
        <w:t>7</w:t>
      </w:r>
      <w:r>
        <w:rPr/>
        <w:t>、关于信息披露与透明度 </w:t>
      </w:r>
      <w:r>
        <w:rPr>
          <w:spacing w:val="-2"/>
        </w:rPr>
        <w:t>公司严格按照有关法律法规和公司《信息披露管理办法》的规定，加强信息披露事务管理，履行信息披露义务，并指定</w:t>
      </w:r>
    </w:p>
    <w:p>
      <w:pPr>
        <w:pStyle w:val="BodyText"/>
        <w:spacing w:line="302" w:lineRule="auto"/>
        <w:ind w:right="0"/>
        <w:jc w:val="left"/>
      </w:pPr>
      <w:r>
        <w:rPr/>
        <w:t>《证券时报》、《上海证券报》、和中国证监会创业板指定信息披露网站（巨潮资讯网</w:t>
      </w:r>
      <w:hyperlink r:id="rId11">
        <w:r>
          <w:rPr>
            <w:rFonts w:ascii="Times New Roman" w:hAnsi="Times New Roman" w:cs="Times New Roman" w:eastAsia="Times New Roman" w:hint="default"/>
          </w:rPr>
          <w:t>www.cninfo.com.cn</w:t>
        </w:r>
      </w:hyperlink>
      <w:r>
        <w:rPr/>
        <w:t>）为公司信息披</w:t>
      </w:r>
      <w:r>
        <w:rPr>
          <w:spacing w:val="-28"/>
        </w:rPr>
        <w:t> </w:t>
      </w:r>
      <w:r>
        <w:rPr>
          <w:spacing w:val="-28"/>
        </w:rPr>
      </w:r>
      <w:r>
        <w:rPr/>
        <w:t>露报纸和网站，真实、准确、及时、完整的披露信息，确保所有投资者公平获取公司信息。</w:t>
      </w:r>
    </w:p>
    <w:p>
      <w:pPr>
        <w:pStyle w:val="BodyText"/>
        <w:spacing w:line="240" w:lineRule="auto" w:before="70"/>
        <w:ind w:right="0"/>
        <w:jc w:val="left"/>
      </w:pPr>
      <w:r>
        <w:rPr/>
        <w:t>公司治理的实际状况与中国证监会发布的有关上市公司治理的规范性文件是否存在重大差异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公司治理的实际状况与中国证监会发布的有关上市公司治理的规范性文件不存在重大差异。</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1" w:firstLine="380"/>
        <w:jc w:val="both"/>
      </w:pPr>
      <w:r>
        <w:rPr/>
        <w:t>公司控股股东严格按照《公司法》、《证券法》、《深圳证券交易所创业板股票上市规则》、《深圳证券交易所创业</w:t>
      </w:r>
      <w:r>
        <w:rPr>
          <w:spacing w:val="1"/>
        </w:rPr>
        <w:t> </w:t>
      </w:r>
      <w:r>
        <w:rPr>
          <w:spacing w:val="-2"/>
        </w:rPr>
        <w:t>板上市公司规范运作指引》、《公司章程》等规定和要求，不存在超越公司股东大会直接或间接干预公司的决策和经营活动</w:t>
      </w:r>
      <w:r>
        <w:rPr>
          <w:spacing w:val="-65"/>
        </w:rPr>
        <w:t> </w:t>
      </w:r>
      <w:r>
        <w:rPr>
          <w:spacing w:val="-65"/>
        </w:rPr>
      </w:r>
      <w:r>
        <w:rPr>
          <w:spacing w:val="-2"/>
        </w:rPr>
        <w:t>的行为，未损害公司及其他股东的利益，不存在控股股东占用公司资金的现象，公司亦无为控股股东提供担保的情形。公司</w:t>
      </w:r>
      <w:r>
        <w:rPr>
          <w:spacing w:val="-66"/>
        </w:rPr>
        <w:t> </w:t>
      </w:r>
      <w:r>
        <w:rPr>
          <w:spacing w:val="-66"/>
        </w:rPr>
      </w:r>
      <w:r>
        <w:rPr>
          <w:spacing w:val="-2"/>
        </w:rPr>
        <w:t>拥有独立完整的业务和自主经营能力，在业务、人员、资产、机构、财务上独立于控股股东，公司董事会、监事会和内部机</w:t>
      </w:r>
      <w:r>
        <w:rPr>
          <w:spacing w:val="-72"/>
        </w:rPr>
        <w:t> </w:t>
      </w:r>
      <w:r>
        <w:rPr>
          <w:spacing w:val="-72"/>
        </w:rPr>
      </w:r>
      <w:r>
        <w:rPr/>
        <w:t>构独立运作。</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4"/>
      <w:bookmarkEnd w:id="134"/>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2018-025</w:t>
            </w:r>
            <w:r>
              <w:rPr>
                <w:rFonts w:ascii="宋体" w:hAnsi="宋体" w:cs="宋体" w:eastAsia="宋体" w:hint="default"/>
                <w:sz w:val="18"/>
                <w:szCs w:val="18"/>
              </w:rPr>
              <w:t>）</w:t>
            </w:r>
          </w:p>
          <w:p>
            <w:pPr>
              <w:pStyle w:val="TableParagraph"/>
              <w:spacing w:line="240" w:lineRule="auto" w:before="104"/>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 决议公告（公告编 号：</w:t>
            </w:r>
            <w:r>
              <w:rPr>
                <w:rFonts w:ascii="Times New Roman" w:hAnsi="Times New Roman" w:cs="Times New Roman" w:eastAsia="Times New Roman" w:hint="default"/>
                <w:sz w:val="18"/>
                <w:szCs w:val="18"/>
              </w:rPr>
              <w:t>2018-059</w:t>
            </w:r>
            <w:r>
              <w:rPr>
                <w:rFonts w:ascii="宋体" w:hAnsi="宋体" w:cs="宋体" w:eastAsia="宋体" w:hint="default"/>
                <w:sz w:val="18"/>
                <w:szCs w:val="18"/>
              </w:rPr>
              <w:t>）</w:t>
            </w:r>
          </w:p>
          <w:p>
            <w:pPr>
              <w:pStyle w:val="TableParagraph"/>
              <w:spacing w:line="240" w:lineRule="auto" w:before="46"/>
              <w:ind w:left="23" w:right="0"/>
              <w:jc w:val="both"/>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顾嘉勇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麦荣昌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杨时飞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苏哲锋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both"/>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38"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38" w:lineRule="auto" w:before="117"/>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41"/>
        <w:ind w:right="0" w:firstLine="360"/>
        <w:jc w:val="left"/>
      </w:pPr>
      <w:r>
        <w:rPr>
          <w:spacing w:val="-4"/>
        </w:rPr>
        <w:t>公司独立董事勤勉尽责，严格按照中国证监会的相关规定及《公司章程》、《董事会议事规则》和《独立董事工作制度》</w:t>
      </w:r>
      <w:r>
        <w:rPr/>
        <w:t> </w:t>
      </w:r>
      <w:r>
        <w:rPr>
          <w:spacing w:val="-2"/>
        </w:rPr>
        <w:t>开展工作，关注公司运作，独立履行职责，对公司内部控制建设、管理体系建设、人才梯队建设和重大决策等方面提出了很</w:t>
      </w:r>
      <w:r>
        <w:rPr>
          <w:spacing w:val="-66"/>
        </w:rPr>
        <w:t> </w:t>
      </w:r>
      <w:r>
        <w:rPr>
          <w:spacing w:val="-66"/>
        </w:rPr>
      </w:r>
      <w:r>
        <w:rPr>
          <w:spacing w:val="-2"/>
        </w:rPr>
        <w:t>多宝贵的专业性建议，对公司财务及生产经营活动进行了有效监督，提高了公司决策的科学性，为完善公司监督机制，维护</w:t>
      </w:r>
      <w:r>
        <w:rPr>
          <w:spacing w:val="-66"/>
        </w:rPr>
        <w:t> </w:t>
      </w:r>
      <w:r>
        <w:rPr>
          <w:spacing w:val="-66"/>
        </w:rPr>
      </w:r>
      <w:r>
        <w:rPr/>
        <w:t>公司和全体股东的合法权益发挥了应有的作用。</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公司董事会下设立了审计委员会、提名委员会、薪酬与考核委员会、战略委员会等四个专门委员会。分别制定了《战略</w:t>
      </w:r>
    </w:p>
    <w:p>
      <w:pPr>
        <w:spacing w:line="240" w:lineRule="auto" w:before="3"/>
        <w:rPr>
          <w:rFonts w:ascii="宋体" w:hAnsi="宋体" w:cs="宋体" w:eastAsia="宋体" w:hint="default"/>
          <w:sz w:val="18"/>
          <w:szCs w:val="18"/>
        </w:rPr>
      </w:pPr>
    </w:p>
    <w:p>
      <w:pPr>
        <w:pStyle w:val="BodyText"/>
        <w:spacing w:line="240" w:lineRule="auto"/>
        <w:ind w:right="0"/>
        <w:jc w:val="both"/>
      </w:pPr>
      <w:r>
        <w:rPr/>
        <w:t>委员会议事规则》、《提名委员会议事规则》、《审计委员会议事规则》以及《薪酬与考核委员会议事规则》，</w:t>
      </w:r>
      <w:r>
        <w:rPr>
          <w:rFonts w:ascii="Times New Roman" w:hAnsi="Times New Roman" w:cs="Times New Roman" w:eastAsia="Times New Roman" w:hint="default"/>
        </w:rPr>
        <w:t>201</w:t>
      </w:r>
      <w:r>
        <w:rPr>
          <w:rFonts w:ascii="Arial" w:hAnsi="Arial" w:cs="Arial" w:eastAsia="Arial" w:hint="default"/>
        </w:rPr>
        <w:t>8</w:t>
      </w:r>
      <w:r>
        <w:rPr/>
        <w:t>年度，</w:t>
      </w:r>
    </w:p>
    <w:p>
      <w:pPr>
        <w:spacing w:line="240" w:lineRule="auto" w:before="3"/>
        <w:rPr>
          <w:rFonts w:ascii="宋体" w:hAnsi="宋体" w:cs="宋体" w:eastAsia="宋体" w:hint="default"/>
          <w:sz w:val="16"/>
          <w:szCs w:val="16"/>
        </w:rPr>
      </w:pPr>
    </w:p>
    <w:p>
      <w:pPr>
        <w:pStyle w:val="BodyText"/>
        <w:spacing w:line="319" w:lineRule="auto"/>
        <w:ind w:right="1131"/>
        <w:jc w:val="both"/>
      </w:pPr>
      <w:r>
        <w:rPr>
          <w:spacing w:val="-2"/>
        </w:rPr>
        <w:t>各专门委员会本着勤勉尽责的原则，按照有关法律、法规、规范性文件及公司各专门委员会议事规则的规定开展工作。对促</w:t>
      </w:r>
      <w:r>
        <w:rPr>
          <w:spacing w:val="-66"/>
        </w:rPr>
        <w:t> </w:t>
      </w:r>
      <w:r>
        <w:rPr>
          <w:spacing w:val="-66"/>
        </w:rPr>
      </w:r>
      <w:r>
        <w:rPr>
          <w:spacing w:val="-2"/>
        </w:rPr>
        <w:t>进公司内部控制建设和完善工作起到了积极的作用，维护了公司及全体股东的利益。注：公司应当披露董事会下设专门委员</w:t>
      </w:r>
      <w:r>
        <w:rPr>
          <w:spacing w:val="-66"/>
        </w:rPr>
        <w:t> </w:t>
      </w:r>
      <w:r>
        <w:rPr>
          <w:spacing w:val="-66"/>
        </w:rPr>
      </w:r>
      <w:r>
        <w:rPr/>
        <w:t>会在报告期内提出的重要意见和建议。存在异议事项的，应当披露具体情况。</w:t>
      </w: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七、监事会工作情况" w:id="143"/>
      <w:bookmarkEnd w:id="143"/>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38" w:lineRule="auto" w:before="116"/>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公司建立了较为完善的高级管理人员绩效考评体系、奖惩激励机制和薪酬制度。公司高级管理人员严格按照相关法律法</w:t>
      </w:r>
      <w:r>
        <w:rPr/>
        <w:t> </w:t>
      </w:r>
      <w:r>
        <w:rPr>
          <w:spacing w:val="-2"/>
        </w:rPr>
        <w:t>规的规定和要求进行聘任，确保公开、透明、公正。董事会下设的薪酬与考核委员会负责制定高级管理人员的薪酬方案并报</w:t>
      </w:r>
      <w:r>
        <w:rPr>
          <w:spacing w:val="-66"/>
        </w:rPr>
        <w:t> </w:t>
      </w:r>
      <w:r>
        <w:rPr>
          <w:spacing w:val="-66"/>
        </w:rPr>
      </w:r>
      <w:r>
        <w:rPr/>
        <w:t>董事会审批。报告期内，公司高级管理人员薪酬方案严格执行了公司薪酬管理制度。</w:t>
      </w:r>
    </w:p>
    <w:p>
      <w:pPr>
        <w:spacing w:after="0" w:line="319"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r>
        <w:rPr/>
        <w:pict>
          <v:group style="position:absolute;margin-left:383.980011pt;margin-top:364.519989pt;width:149.8pt;height:15.6pt;mso-position-horizontal-relative:page;mso-position-vertical-relative:page;z-index:-1205416" coordorigin="7680,7290" coordsize="2996,312">
            <v:shape style="position:absolute;left:7680;top:7290;width:2996;height:312" coordorigin="7680,7290" coordsize="2996,312" path="m7680,7602l10675,7602,10675,7290,7680,7290,7680,7602xe" filled="true" fillcolor="#ffffff" stroked="false">
              <v:path arrowok="t"/>
              <v:fill type="solid"/>
            </v:shape>
            <w10:wrap type="none"/>
          </v:group>
        </w:pict>
      </w:r>
    </w:p>
    <w:p>
      <w:pPr>
        <w:pStyle w:val="Heading2"/>
        <w:spacing w:line="240" w:lineRule="auto" w:before="26"/>
        <w:ind w:right="0"/>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72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312" w:lineRule="auto" w:before="52"/>
              <w:ind w:left="22" w:right="-3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、公司董事、监事和高级管理人员的舞弊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行为；</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、公司更正已公布的财务报告；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pacing w:val="-35"/>
                <w:sz w:val="18"/>
                <w:szCs w:val="18"/>
              </w:rPr>
              <w:t> </w:t>
            </w:r>
            <w:r>
              <w:rPr>
                <w:rFonts w:ascii="宋体" w:hAnsi="宋体" w:cs="宋体" w:eastAsia="宋体" w:hint="default"/>
                <w:sz w:val="18"/>
                <w:szCs w:val="18"/>
              </w:rPr>
              <w:t>注册会计师发现的却未被公司内部控制识</w:t>
            </w:r>
            <w:r>
              <w:rPr>
                <w:rFonts w:ascii="宋体" w:hAnsi="宋体" w:cs="宋体" w:eastAsia="宋体" w:hint="default"/>
                <w:sz w:val="18"/>
                <w:szCs w:val="18"/>
              </w:rPr>
              <w:t> </w:t>
            </w:r>
            <w:r>
              <w:rPr>
                <w:rFonts w:ascii="宋体" w:hAnsi="宋体" w:cs="宋体" w:eastAsia="宋体" w:hint="default"/>
                <w:spacing w:val="-4"/>
                <w:sz w:val="18"/>
                <w:szCs w:val="18"/>
              </w:rPr>
              <w:t>别的当期财务报告中的重大错报；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部门对公司的对外财务报告和财务报告内 部控制监督无效。财务报告重要缺陷的迹 象包括：未按照公认的会计准则选择和应 用会计政策；未建立反舞弊程序和控制措 施；对于非常规或特殊交易的账务处理没 有建立相应的控制机制；对期末财务报告 过程的控制存在缺陷不能合理保证财务报 表达到真实、完整的目标。</w:t>
            </w:r>
          </w:p>
        </w:tc>
        <w:tc>
          <w:tcPr>
            <w:tcW w:w="3051" w:type="dxa"/>
            <w:vMerge w:val="restart"/>
            <w:tcBorders>
              <w:top w:val="single" w:sz="4" w:space="0" w:color="000000"/>
              <w:left w:val="single" w:sz="9" w:space="0" w:color="FFFFFF"/>
              <w:right w:val="single" w:sz="4" w:space="0" w:color="000000"/>
            </w:tcBorders>
          </w:tcPr>
          <w:p>
            <w:pPr>
              <w:pStyle w:val="TableParagraph"/>
              <w:spacing w:line="316" w:lineRule="auto" w:before="52"/>
              <w:ind w:left="16" w:right="-42"/>
              <w:jc w:val="left"/>
              <w:rPr>
                <w:rFonts w:ascii="宋体" w:hAnsi="宋体" w:cs="宋体" w:eastAsia="宋体" w:hint="default"/>
                <w:sz w:val="18"/>
                <w:szCs w:val="18"/>
              </w:rPr>
            </w:pPr>
            <w:r>
              <w:rPr>
                <w:rFonts w:ascii="宋体" w:hAnsi="宋体" w:cs="宋体" w:eastAsia="宋体" w:hint="default"/>
                <w:sz w:val="18"/>
                <w:szCs w:val="18"/>
              </w:rPr>
              <w:t>主要以缺陷对业务流程有效性的影响 </w:t>
            </w:r>
            <w:r>
              <w:rPr>
                <w:rFonts w:ascii="宋体" w:hAnsi="宋体" w:cs="宋体" w:eastAsia="宋体" w:hint="default"/>
                <w:spacing w:val="-4"/>
                <w:sz w:val="18"/>
                <w:szCs w:val="18"/>
              </w:rPr>
              <w:t>程度、发生的可能性作判断。如果缺陷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发生的可能性较小，会降低工作效率或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效果、或加大效果的不确定性、或使之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偏离预期目标为一般缺陷；如果缺陷发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生的可能性较高，会显著降低工作效率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或效果，或显著加大效果的不确定性、 或使之显著偏离预期目标为重要缺陷； </w:t>
            </w:r>
            <w:r>
              <w:rPr>
                <w:rFonts w:ascii="宋体" w:hAnsi="宋体" w:cs="宋体" w:eastAsia="宋体" w:hint="default"/>
                <w:spacing w:val="-4"/>
                <w:sz w:val="18"/>
                <w:szCs w:val="18"/>
              </w:rPr>
              <w:t>如果缺陷发生的可能性高，会严重降低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工作效率或效果、或严重加大效果的不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确定性、或使之严重偏离预期目标为重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172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2014"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失与利润相关的，以营业收入指标衡量。 如果该缺陷单独或连同其他缺陷可能导致 财务报告错报金额小于营业收入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 </w:t>
            </w:r>
            <w:r>
              <w:rPr>
                <w:rFonts w:ascii="宋体" w:hAnsi="宋体" w:cs="宋体" w:eastAsia="宋体" w:hint="default"/>
                <w:spacing w:val="-3"/>
                <w:sz w:val="18"/>
                <w:szCs w:val="18"/>
              </w:rPr>
              <w:t>认定为一般缺陷，如果超过营业收入</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，则认定为重要缺陷，如果超过</w:t>
            </w:r>
            <w:r>
              <w:rPr>
                <w:rFonts w:ascii="宋体" w:hAnsi="宋体" w:cs="宋体" w:eastAsia="宋体" w:hint="default"/>
                <w:sz w:val="18"/>
                <w:szCs w:val="18"/>
              </w:rPr>
              <w:t> 营业收入</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，则认定为重大缺陷；内部控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制缺陷可能导致或导致的损失与资产管理 相关的，以资产总额指标衡量，如果该缺 陷单独或连同其他缺陷可能导致的财务报 告错误金额小于资产总额</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，则认定为</w:t>
            </w:r>
            <w:r>
              <w:rPr>
                <w:rFonts w:ascii="宋体" w:hAnsi="宋体" w:cs="宋体" w:eastAsia="宋体" w:hint="default"/>
                <w:sz w:val="18"/>
                <w:szCs w:val="18"/>
              </w:rPr>
              <w:t> </w:t>
            </w:r>
            <w:r>
              <w:rPr>
                <w:rFonts w:ascii="宋体" w:hAnsi="宋体" w:cs="宋体" w:eastAsia="宋体" w:hint="default"/>
                <w:spacing w:val="-3"/>
                <w:sz w:val="18"/>
                <w:szCs w:val="18"/>
              </w:rPr>
              <w:t>一般缺陷，如果超过资产总额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则认定为重要缺陷，如果超过资产总额</w:t>
            </w:r>
          </w:p>
        </w:tc>
        <w:tc>
          <w:tcPr>
            <w:tcW w:w="3051"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20"/>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的损失与利润相关的，以营业收入指标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衡量。如果该缺陷单独或连同其他缺陷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可能导致财务报告错报金额小于营业 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 过营业收入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，则认定为</w:t>
            </w:r>
            <w:r>
              <w:rPr>
                <w:rFonts w:ascii="宋体" w:hAnsi="宋体" w:cs="宋体" w:eastAsia="宋体" w:hint="default"/>
                <w:sz w:val="18"/>
                <w:szCs w:val="18"/>
              </w:rPr>
              <w:t> 重要缺陷，如果超过营业收入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 </w:t>
            </w:r>
            <w:r>
              <w:rPr>
                <w:rFonts w:ascii="宋体" w:hAnsi="宋体" w:cs="宋体" w:eastAsia="宋体" w:hint="default"/>
                <w:spacing w:val="-4"/>
                <w:sz w:val="18"/>
                <w:szCs w:val="18"/>
              </w:rPr>
              <w:t>认定为重大缺陷；内部控制缺陷可能导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致或导致的损失与资产管理相关的，以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资产总额指标衡量，如果该缺陷单独或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连同其他缺陷可能导致的财务报告错 误金额小于资产总额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 一般缺陷，如果超过资产总额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01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6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31"/>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则认定为重要缺陷，如果超过 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49"/>
      <w:bookmarkStart w:name="第十节 公司债券相关情况" w:id="150"/>
      <w:r>
        <w:rPr>
          <w:b w:val="0"/>
          <w:bCs w:val="0"/>
        </w:rPr>
      </w:r>
      <w:r>
        <w:rPr/>
        <w:t>第十节</w:t>
      </w:r>
      <w:r>
        <w:rPr>
          <w:spacing w:val="-9"/>
        </w:rPr>
        <w:t> </w:t>
      </w:r>
      <w:r>
        <w:rPr/>
        <w:t>公司债券相关情况</w:t>
      </w:r>
      <w:bookmarkEnd w:id="149"/>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_TOC_250001" w:id="151"/>
      <w:bookmarkStart w:name="第十一节 财务报告" w:id="152"/>
      <w:r>
        <w:rPr>
          <w:b w:val="0"/>
          <w:bCs w:val="0"/>
        </w:rPr>
      </w:r>
      <w:r>
        <w:rPr/>
        <w:t>第十一节</w:t>
      </w:r>
      <w:r>
        <w:rPr>
          <w:spacing w:val="-6"/>
        </w:rPr>
        <w:t> </w:t>
      </w:r>
      <w:r>
        <w:rPr/>
        <w:t>财务报告</w:t>
      </w:r>
      <w:bookmarkEnd w:id="15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3"/>
      <w:bookmarkEnd w:id="15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广会审字</w:t>
            </w:r>
            <w:r>
              <w:rPr>
                <w:rFonts w:ascii="Times New Roman" w:hAnsi="Times New Roman" w:cs="Times New Roman" w:eastAsia="Times New Roman" w:hint="default"/>
                <w:sz w:val="18"/>
                <w:szCs w:val="18"/>
              </w:rPr>
              <w:t>[2019]G18031550037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吉争雄、杨诗学</w:t>
            </w:r>
          </w:p>
        </w:tc>
      </w:tr>
    </w:tbl>
    <w:p>
      <w:pPr>
        <w:pStyle w:val="BodyText"/>
        <w:spacing w:line="240" w:lineRule="auto" w:before="51"/>
        <w:ind w:left="2424" w:right="3400"/>
        <w:jc w:val="center"/>
      </w:pPr>
      <w:r>
        <w:rPr/>
        <w:t>审计报告正文</w:t>
      </w:r>
    </w:p>
    <w:p>
      <w:pPr>
        <w:spacing w:line="240" w:lineRule="auto" w:before="11"/>
        <w:rPr>
          <w:rFonts w:ascii="宋体" w:hAnsi="宋体" w:cs="宋体" w:eastAsia="宋体" w:hint="default"/>
          <w:sz w:val="29"/>
          <w:szCs w:val="29"/>
        </w:rPr>
      </w:pPr>
    </w:p>
    <w:p>
      <w:pPr>
        <w:pStyle w:val="BodyText"/>
        <w:spacing w:line="240" w:lineRule="auto" w:before="44"/>
        <w:ind w:right="0"/>
        <w:jc w:val="left"/>
      </w:pPr>
      <w:r>
        <w:rPr/>
        <w:t>深圳四方精创资讯股份有限公司全体股东：</w:t>
      </w:r>
    </w:p>
    <w:p>
      <w:pPr>
        <w:spacing w:line="240" w:lineRule="auto" w:before="2"/>
        <w:rPr>
          <w:rFonts w:ascii="宋体" w:hAnsi="宋体" w:cs="宋体" w:eastAsia="宋体" w:hint="default"/>
          <w:sz w:val="24"/>
          <w:szCs w:val="24"/>
        </w:rPr>
      </w:pPr>
    </w:p>
    <w:p>
      <w:pPr>
        <w:pStyle w:val="BodyText"/>
        <w:spacing w:line="240" w:lineRule="auto"/>
        <w:ind w:right="0"/>
        <w:jc w:val="left"/>
      </w:pPr>
      <w:r>
        <w:rPr/>
        <w:t>一、审计意见</w:t>
      </w:r>
    </w:p>
    <w:p>
      <w:pPr>
        <w:spacing w:line="240" w:lineRule="auto" w:before="0"/>
        <w:rPr>
          <w:rFonts w:ascii="宋体" w:hAnsi="宋体" w:cs="宋体" w:eastAsia="宋体" w:hint="default"/>
          <w:sz w:val="15"/>
          <w:szCs w:val="15"/>
        </w:rPr>
      </w:pPr>
    </w:p>
    <w:p>
      <w:pPr>
        <w:pStyle w:val="BodyText"/>
        <w:spacing w:line="300" w:lineRule="auto"/>
        <w:ind w:right="1132" w:firstLine="373"/>
        <w:jc w:val="both"/>
      </w:pPr>
      <w:r>
        <w:rPr>
          <w:spacing w:val="-2"/>
        </w:rPr>
        <w:t>我们审计了深圳四方精创资讯股份有限公司（以下简称</w:t>
      </w:r>
      <w:r>
        <w:rPr>
          <w:rFonts w:ascii="Times New Roman" w:hAnsi="Times New Roman" w:cs="Times New Roman" w:eastAsia="Times New Roman" w:hint="default"/>
          <w:spacing w:val="-2"/>
        </w:rPr>
        <w:t>“</w:t>
      </w:r>
      <w:r>
        <w:rPr>
          <w:spacing w:val="-2"/>
        </w:rPr>
        <w:t>四方精创</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w:t>
      </w:r>
      <w:r>
        <w:rPr/>
        <w:t> </w:t>
      </w:r>
      <w:r>
        <w:rPr>
          <w:spacing w:val="-2"/>
        </w:rPr>
        <w:t>产负债表，</w:t>
      </w:r>
      <w:r>
        <w:rPr>
          <w:rFonts w:ascii="Times New Roman" w:hAnsi="Times New Roman" w:cs="Times New Roman" w:eastAsia="Times New Roman" w:hint="default"/>
          <w:spacing w:val="-2"/>
        </w:rPr>
        <w:t>2018</w:t>
      </w:r>
      <w:r>
        <w:rPr>
          <w:spacing w:val="-2"/>
        </w:rPr>
        <w:t>年度的合并及母公司利润表、合并及母公司现金流量表、合并及母公司股东权益变动表以及相关财务报表附</w:t>
      </w:r>
      <w:r>
        <w:rPr>
          <w:spacing w:val="-62"/>
        </w:rPr>
        <w:t> </w:t>
      </w:r>
      <w:r>
        <w:rPr>
          <w:spacing w:val="-62"/>
        </w:rPr>
      </w:r>
      <w:r>
        <w:rPr/>
        <w:t>注。</w:t>
      </w:r>
    </w:p>
    <w:p>
      <w:pPr>
        <w:pStyle w:val="BodyText"/>
        <w:spacing w:line="300" w:lineRule="auto" w:before="152"/>
        <w:ind w:right="1129" w:firstLine="373"/>
        <w:jc w:val="both"/>
      </w:pPr>
      <w:r>
        <w:rPr/>
        <w:t>我们认为，后附的财务报表在所有重大方面按照企业会计准则的规定编制，公允反映了四方精创</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 务状况以及</w:t>
      </w:r>
      <w:r>
        <w:rPr>
          <w:rFonts w:ascii="Times New Roman" w:hAnsi="Times New Roman" w:cs="Times New Roman" w:eastAsia="Times New Roman" w:hint="default"/>
        </w:rPr>
        <w:t>2018</w:t>
      </w:r>
      <w:r>
        <w:rPr/>
        <w:t>年度的经营成果和现金流量。</w:t>
      </w:r>
    </w:p>
    <w:p>
      <w:pPr>
        <w:pStyle w:val="BodyText"/>
        <w:spacing w:line="440" w:lineRule="atLeast" w:before="48"/>
        <w:ind w:left="527" w:right="0" w:hanging="374"/>
        <w:jc w:val="left"/>
      </w:pPr>
      <w:r>
        <w:rPr/>
        <w:t>二、形成审计意见的基础 </w:t>
      </w:r>
      <w:r>
        <w:rPr>
          <w:spacing w:val="-2"/>
          <w:w w:val="100"/>
        </w:rPr>
        <w:t>我们按照中国注册会计师审计准则的规定执行了审计工作。审计报告的</w:t>
      </w:r>
      <w:r>
        <w:rPr>
          <w:rFonts w:ascii="Times New Roman" w:hAnsi="Times New Roman" w:cs="Times New Roman" w:eastAsia="Times New Roman" w:hint="default"/>
          <w:spacing w:val="-2"/>
          <w:w w:val="100"/>
        </w:rPr>
        <w:t>“</w:t>
      </w:r>
      <w:r>
        <w:rPr>
          <w:spacing w:val="-2"/>
          <w:w w:val="100"/>
        </w:rPr>
        <w:t>注册会计师对财务报表审计的责任</w:t>
      </w:r>
      <w:r>
        <w:rPr>
          <w:rFonts w:ascii="Times New Roman" w:hAnsi="Times New Roman" w:cs="Times New Roman" w:eastAsia="Times New Roman" w:hint="default"/>
          <w:spacing w:val="-2"/>
          <w:w w:val="100"/>
        </w:rPr>
        <w:t>”</w:t>
      </w:r>
      <w:r>
        <w:rPr>
          <w:spacing w:val="-2"/>
          <w:w w:val="100"/>
        </w:rPr>
        <w:t>部分进一步</w:t>
      </w:r>
    </w:p>
    <w:p>
      <w:pPr>
        <w:pStyle w:val="BodyText"/>
        <w:spacing w:line="316" w:lineRule="auto" w:before="63"/>
        <w:ind w:right="0"/>
        <w:jc w:val="left"/>
      </w:pPr>
      <w:r>
        <w:rPr>
          <w:spacing w:val="-2"/>
        </w:rPr>
        <w:t>阐述了我们在这些准则下的责任。按照中国注册会计师职业道德守则，我们独立于四方精创，并履行了职业道德方面的其他</w:t>
      </w:r>
      <w:r>
        <w:rPr>
          <w:spacing w:val="-66"/>
        </w:rPr>
        <w:t> </w:t>
      </w:r>
      <w:r>
        <w:rPr>
          <w:spacing w:val="-66"/>
        </w:rPr>
      </w:r>
      <w:r>
        <w:rPr/>
        <w:t>责任。我们相信，我们获取的审计证据是充分、适当的，为发表审计意见提供了基础。</w:t>
      </w:r>
    </w:p>
    <w:p>
      <w:pPr>
        <w:pStyle w:val="BodyText"/>
        <w:spacing w:line="430" w:lineRule="atLeast" w:before="64"/>
        <w:ind w:left="527" w:right="1118" w:hanging="374"/>
        <w:jc w:val="left"/>
      </w:pPr>
      <w:r>
        <w:rPr/>
        <w:t>三、关键审计事项 关键审计事项是我们根据职业判断，认为对本期财务报表审计最为重要的事项。这些事项的应对以对财务报表整体进</w:t>
      </w:r>
    </w:p>
    <w:p>
      <w:pPr>
        <w:pStyle w:val="BodyText"/>
        <w:spacing w:line="240" w:lineRule="auto" w:before="76"/>
        <w:ind w:right="0"/>
        <w:jc w:val="left"/>
      </w:pPr>
      <w:r>
        <w:rPr/>
        <w:t>行审计并形成审计意见为背景，我们不对这些事项单独发表意见。</w:t>
      </w:r>
    </w:p>
    <w:p>
      <w:pPr>
        <w:spacing w:line="240" w:lineRule="auto" w:before="0"/>
        <w:rPr>
          <w:rFonts w:ascii="宋体" w:hAnsi="宋体" w:cs="宋体" w:eastAsia="宋体" w:hint="default"/>
          <w:sz w:val="15"/>
          <w:szCs w:val="15"/>
        </w:rPr>
      </w:pPr>
    </w:p>
    <w:p>
      <w:pPr>
        <w:pStyle w:val="BodyText"/>
        <w:spacing w:line="240" w:lineRule="auto"/>
        <w:ind w:right="0"/>
        <w:jc w:val="left"/>
      </w:pPr>
      <w:r>
        <w:rPr/>
        <w:t>（一）收入确认</w:t>
      </w:r>
    </w:p>
    <w:p>
      <w:pPr>
        <w:spacing w:line="240" w:lineRule="auto" w:before="0"/>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1</w:t>
      </w:r>
      <w:r>
        <w:rPr/>
        <w:t>、事项描述</w:t>
      </w:r>
    </w:p>
    <w:p>
      <w:pPr>
        <w:spacing w:line="240" w:lineRule="auto" w:before="13"/>
        <w:rPr>
          <w:rFonts w:ascii="宋体" w:hAnsi="宋体" w:cs="宋体" w:eastAsia="宋体" w:hint="default"/>
          <w:sz w:val="13"/>
          <w:szCs w:val="13"/>
        </w:rPr>
      </w:pPr>
    </w:p>
    <w:p>
      <w:pPr>
        <w:pStyle w:val="BodyText"/>
        <w:spacing w:line="300" w:lineRule="auto"/>
        <w:ind w:right="1040" w:firstLine="290"/>
        <w:jc w:val="both"/>
      </w:pPr>
      <w:r>
        <w:rPr/>
        <w:t>请参阅财务报表附注</w:t>
      </w:r>
      <w:r>
        <w:rPr>
          <w:rFonts w:ascii="Times New Roman" w:hAnsi="Times New Roman" w:cs="Times New Roman" w:eastAsia="Times New Roman" w:hint="default"/>
        </w:rPr>
        <w:t>“</w:t>
      </w:r>
      <w:r>
        <w:rPr/>
        <w:t>三、重要会计政策及会计估计</w:t>
      </w:r>
      <w:r>
        <w:rPr>
          <w:rFonts w:ascii="Times New Roman" w:hAnsi="Times New Roman" w:cs="Times New Roman" w:eastAsia="Times New Roman" w:hint="default"/>
        </w:rPr>
        <w:t>”23 </w:t>
      </w:r>
      <w:r>
        <w:rPr>
          <w:spacing w:val="-3"/>
        </w:rPr>
        <w:t>所述的会计政策、</w:t>
      </w:r>
      <w:r>
        <w:rPr>
          <w:rFonts w:ascii="Times New Roman" w:hAnsi="Times New Roman" w:cs="Times New Roman" w:eastAsia="Times New Roman" w:hint="default"/>
          <w:spacing w:val="-3"/>
        </w:rPr>
        <w:t>“</w:t>
      </w:r>
      <w:r>
        <w:rPr>
          <w:spacing w:val="-3"/>
        </w:rPr>
        <w:t>五、合并财务报表主要项目注释</w:t>
      </w:r>
      <w:r>
        <w:rPr>
          <w:rFonts w:ascii="Times New Roman" w:hAnsi="Times New Roman" w:cs="Times New Roman" w:eastAsia="Times New Roman" w:hint="default"/>
          <w:spacing w:val="-3"/>
        </w:rPr>
        <w:t>”25</w:t>
      </w:r>
      <w:r>
        <w:rPr>
          <w:rFonts w:ascii="Times New Roman" w:hAnsi="Times New Roman" w:cs="Times New Roman" w:eastAsia="Times New Roman" w:hint="default"/>
          <w:spacing w:val="24"/>
        </w:rPr>
        <w:t> </w:t>
      </w:r>
      <w:r>
        <w:rPr/>
        <w:t>及</w:t>
      </w:r>
      <w:r>
        <w:rPr>
          <w:rFonts w:ascii="Times New Roman" w:hAnsi="Times New Roman" w:cs="Times New Roman" w:eastAsia="Times New Roman" w:hint="default"/>
        </w:rPr>
        <w:t>“</w:t>
      </w:r>
      <w:r>
        <w:rPr/>
        <w:t>十三、 母公司财务报表主要项目注释</w:t>
      </w:r>
      <w:r>
        <w:rPr>
          <w:rFonts w:ascii="Times New Roman" w:hAnsi="Times New Roman" w:cs="Times New Roman" w:eastAsia="Times New Roman" w:hint="default"/>
        </w:rPr>
        <w:t>”4</w:t>
      </w:r>
      <w:r>
        <w:rPr/>
        <w:t>。</w:t>
      </w:r>
    </w:p>
    <w:p>
      <w:pPr>
        <w:pStyle w:val="BodyText"/>
        <w:spacing w:line="316" w:lineRule="auto" w:before="133"/>
        <w:ind w:right="1122" w:firstLine="290"/>
        <w:jc w:val="both"/>
      </w:pPr>
      <w:r>
        <w:rPr/>
        <w:t>四方精创主要从事大型商业银行的软件开发、应用维护及系统集成业务。由于营业收入是四方精创关键业绩指标之一， 且管理层在收入方面可能存在重大错报风险，因此，我们将收入的确认作为关键审计事项。</w:t>
      </w:r>
    </w:p>
    <w:p>
      <w:pPr>
        <w:pStyle w:val="BodyText"/>
        <w:spacing w:line="240" w:lineRule="auto" w:before="139"/>
        <w:ind w:right="0"/>
        <w:jc w:val="left"/>
      </w:pPr>
      <w:r>
        <w:rPr>
          <w:rFonts w:ascii="Times New Roman" w:hAnsi="Times New Roman" w:cs="Times New Roman" w:eastAsia="Times New Roman" w:hint="default"/>
        </w:rPr>
        <w:t>2</w:t>
      </w:r>
      <w:r>
        <w:rPr/>
        <w:t>、审计应对</w:t>
      </w:r>
    </w:p>
    <w:p>
      <w:pPr>
        <w:spacing w:line="240" w:lineRule="auto" w:before="13"/>
        <w:rPr>
          <w:rFonts w:ascii="宋体" w:hAnsi="宋体" w:cs="宋体" w:eastAsia="宋体" w:hint="default"/>
          <w:sz w:val="13"/>
          <w:szCs w:val="13"/>
        </w:rPr>
      </w:pPr>
    </w:p>
    <w:p>
      <w:pPr>
        <w:pStyle w:val="BodyText"/>
        <w:spacing w:line="240" w:lineRule="auto"/>
        <w:ind w:left="444" w:right="0"/>
        <w:jc w:val="left"/>
      </w:pPr>
      <w:r>
        <w:rPr/>
        <w:t>（</w:t>
      </w:r>
      <w:r>
        <w:rPr>
          <w:rFonts w:ascii="Times New Roman" w:hAnsi="Times New Roman" w:cs="Times New Roman" w:eastAsia="Times New Roman" w:hint="default"/>
        </w:rPr>
        <w:t>1</w:t>
      </w:r>
      <w:r>
        <w:rPr/>
        <w:t>）评价和测试管理层与收入确认相关的关键内部控制的设计和运行有效性；</w:t>
      </w:r>
    </w:p>
    <w:p>
      <w:pPr>
        <w:spacing w:line="240" w:lineRule="auto" w:before="13"/>
        <w:rPr>
          <w:rFonts w:ascii="宋体" w:hAnsi="宋体" w:cs="宋体" w:eastAsia="宋体" w:hint="default"/>
          <w:sz w:val="13"/>
          <w:szCs w:val="13"/>
        </w:rPr>
      </w:pPr>
    </w:p>
    <w:p>
      <w:pPr>
        <w:pStyle w:val="BodyText"/>
        <w:spacing w:line="240" w:lineRule="auto"/>
        <w:ind w:left="444" w:right="0"/>
        <w:jc w:val="left"/>
      </w:pPr>
      <w:r>
        <w:rPr/>
        <w:t>（</w:t>
      </w:r>
      <w:r>
        <w:rPr>
          <w:rFonts w:ascii="Times New Roman" w:hAnsi="Times New Roman" w:cs="Times New Roman" w:eastAsia="Times New Roman" w:hint="default"/>
        </w:rPr>
        <w:t>2</w:t>
      </w:r>
      <w:r>
        <w:rPr/>
        <w:t>）检查主要客户合同相关条款，并评价公司收入确认是否符合会计准则的要求；</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firstLine="290"/>
        <w:jc w:val="left"/>
      </w:pPr>
      <w:r>
        <w:rPr/>
        <w:t>（</w:t>
      </w:r>
      <w:r>
        <w:rPr>
          <w:rFonts w:ascii="Times New Roman" w:hAnsi="Times New Roman" w:cs="Times New Roman" w:eastAsia="Times New Roman" w:hint="default"/>
        </w:rPr>
        <w:t>3</w:t>
      </w:r>
      <w:r>
        <w:rPr/>
        <w:t>）检查本年销售合同台账，对本年记录的收入交易选取样本，核对销售合同、发票、送货单、验收单（工作量确认</w:t>
      </w:r>
      <w:r>
        <w:rPr>
          <w:spacing w:val="1"/>
        </w:rPr>
        <w:t> </w:t>
      </w:r>
      <w:r>
        <w:rPr/>
        <w:t>单）等支持性文件，并结合函证程序，评价收入确认的真实性和完整性；</w:t>
      </w:r>
    </w:p>
    <w:p>
      <w:pPr>
        <w:pStyle w:val="BodyText"/>
        <w:spacing w:line="300" w:lineRule="auto" w:before="151"/>
        <w:ind w:right="0" w:firstLine="290"/>
        <w:jc w:val="left"/>
      </w:pPr>
      <w:r>
        <w:rPr/>
        <w:t>（</w:t>
      </w:r>
      <w:r>
        <w:rPr>
          <w:rFonts w:ascii="Times New Roman" w:hAnsi="Times New Roman" w:cs="Times New Roman" w:eastAsia="Times New Roman" w:hint="default"/>
        </w:rPr>
        <w:t>4</w:t>
      </w:r>
      <w:r>
        <w:rPr/>
        <w:t>）对收入和成本执行分析性程序，包括：本期各月份收入、成本、毛利率波动分析，各类型服务本期收入、成本、</w:t>
      </w:r>
      <w:r>
        <w:rPr>
          <w:spacing w:val="1"/>
        </w:rPr>
        <w:t> </w:t>
      </w:r>
      <w:r>
        <w:rPr/>
        <w:t>毛利率与上期比较分析等分析性程序，评价收入确认的准确性；</w:t>
      </w:r>
    </w:p>
    <w:p>
      <w:pPr>
        <w:pStyle w:val="BodyText"/>
        <w:spacing w:line="240" w:lineRule="auto" w:before="152"/>
        <w:ind w:left="444" w:right="0"/>
        <w:jc w:val="left"/>
      </w:pPr>
      <w:r>
        <w:rPr/>
        <w:t>（</w:t>
      </w:r>
      <w:r>
        <w:rPr>
          <w:rFonts w:ascii="Times New Roman" w:hAnsi="Times New Roman" w:cs="Times New Roman" w:eastAsia="Times New Roman" w:hint="default"/>
        </w:rPr>
        <w:t>5</w:t>
      </w:r>
      <w:r>
        <w:rPr/>
        <w:t>）对营业收入执行截止测试，确认收入确认是否记录在正确的会计期间。</w:t>
      </w:r>
    </w:p>
    <w:p>
      <w:pPr>
        <w:spacing w:line="240" w:lineRule="auto" w:before="13"/>
        <w:rPr>
          <w:rFonts w:ascii="宋体" w:hAnsi="宋体" w:cs="宋体" w:eastAsia="宋体" w:hint="default"/>
          <w:sz w:val="13"/>
          <w:szCs w:val="13"/>
        </w:rPr>
      </w:pPr>
    </w:p>
    <w:p>
      <w:pPr>
        <w:pStyle w:val="BodyText"/>
        <w:spacing w:line="240" w:lineRule="auto"/>
        <w:ind w:left="444" w:right="0"/>
        <w:jc w:val="left"/>
      </w:pPr>
      <w:r>
        <w:rPr/>
        <w:t>（</w:t>
      </w:r>
      <w:r>
        <w:rPr>
          <w:rFonts w:ascii="Times New Roman" w:hAnsi="Times New Roman" w:cs="Times New Roman" w:eastAsia="Times New Roman" w:hint="default"/>
        </w:rPr>
        <w:t>6</w:t>
      </w:r>
      <w:r>
        <w:rPr/>
        <w:t>）对本年新增的大客户进行背景了解，关注是否存在关联交易。</w:t>
      </w:r>
    </w:p>
    <w:p>
      <w:pPr>
        <w:spacing w:line="240" w:lineRule="auto" w:before="13"/>
        <w:rPr>
          <w:rFonts w:ascii="宋体" w:hAnsi="宋体" w:cs="宋体" w:eastAsia="宋体" w:hint="default"/>
          <w:sz w:val="13"/>
          <w:szCs w:val="13"/>
        </w:rPr>
      </w:pPr>
    </w:p>
    <w:p>
      <w:pPr>
        <w:pStyle w:val="BodyText"/>
        <w:spacing w:line="240" w:lineRule="auto"/>
        <w:ind w:right="0"/>
        <w:jc w:val="left"/>
      </w:pPr>
      <w:r>
        <w:rPr/>
        <w:t>（二）应收账款减值</w:t>
      </w:r>
    </w:p>
    <w:p>
      <w:pPr>
        <w:spacing w:line="240" w:lineRule="auto" w:before="0"/>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1</w:t>
      </w:r>
      <w:r>
        <w:rPr/>
        <w:t>、事项描述</w:t>
      </w:r>
    </w:p>
    <w:p>
      <w:pPr>
        <w:spacing w:line="240" w:lineRule="auto" w:before="13"/>
        <w:rPr>
          <w:rFonts w:ascii="宋体" w:hAnsi="宋体" w:cs="宋体" w:eastAsia="宋体" w:hint="default"/>
          <w:sz w:val="13"/>
          <w:szCs w:val="13"/>
        </w:rPr>
      </w:pPr>
    </w:p>
    <w:p>
      <w:pPr>
        <w:pStyle w:val="BodyText"/>
        <w:spacing w:line="300" w:lineRule="auto"/>
        <w:ind w:right="1023" w:firstLine="380"/>
        <w:jc w:val="left"/>
      </w:pPr>
      <w:r>
        <w:rPr/>
        <w:t>请参阅财务报表附注</w:t>
      </w:r>
      <w:r>
        <w:rPr>
          <w:rFonts w:ascii="Times New Roman" w:hAnsi="Times New Roman" w:cs="Times New Roman" w:eastAsia="Times New Roman" w:hint="default"/>
        </w:rPr>
        <w:t>“</w:t>
      </w:r>
      <w:r>
        <w:rPr/>
        <w:t>三、重要会计政策及会计估计</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所述的会计政策及</w:t>
      </w:r>
      <w:r>
        <w:rPr>
          <w:rFonts w:ascii="Times New Roman" w:hAnsi="Times New Roman" w:cs="Times New Roman" w:eastAsia="Times New Roman" w:hint="default"/>
        </w:rPr>
        <w:t>“</w:t>
      </w:r>
      <w:r>
        <w:rPr/>
        <w:t>五、合并财务报表主要项目注释</w:t>
      </w:r>
      <w:r>
        <w:rPr>
          <w:rFonts w:ascii="Times New Roman" w:hAnsi="Times New Roman" w:cs="Times New Roman" w:eastAsia="Times New Roman" w:hint="default"/>
        </w:rPr>
        <w:t>”2</w:t>
      </w:r>
      <w:r>
        <w:rPr/>
        <w:t>及</w:t>
      </w:r>
      <w:r>
        <w:rPr>
          <w:rFonts w:ascii="Times New Roman" w:hAnsi="Times New Roman" w:cs="Times New Roman" w:eastAsia="Times New Roman" w:hint="default"/>
        </w:rPr>
        <w:t>“</w:t>
      </w:r>
      <w:r>
        <w:rPr/>
        <w:t>十三、 母公司财务报表主要项目注释</w:t>
      </w:r>
      <w:r>
        <w:rPr>
          <w:rFonts w:ascii="Times New Roman" w:hAnsi="Times New Roman" w:cs="Times New Roman" w:eastAsia="Times New Roman" w:hint="default"/>
        </w:rPr>
        <w:t>”1</w:t>
      </w:r>
      <w:r>
        <w:rPr/>
        <w:t>。</w:t>
      </w:r>
    </w:p>
    <w:p>
      <w:pPr>
        <w:pStyle w:val="BodyText"/>
        <w:spacing w:line="312" w:lineRule="auto" w:before="133"/>
        <w:ind w:right="1131" w:firstLine="380"/>
        <w:jc w:val="both"/>
      </w:pP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日，四方精创应收账款余额</w:t>
      </w:r>
      <w:r>
        <w:rPr>
          <w:rFonts w:ascii="Times New Roman" w:hAnsi="Times New Roman" w:cs="Times New Roman" w:eastAsia="Times New Roman" w:hint="default"/>
          <w:spacing w:val="-1"/>
        </w:rPr>
        <w:t>20,058.45</w:t>
      </w:r>
      <w:r>
        <w:rPr>
          <w:spacing w:val="-1"/>
        </w:rPr>
        <w:t>万元，坏账准备余额</w:t>
      </w:r>
      <w:r>
        <w:rPr>
          <w:rFonts w:ascii="Times New Roman" w:hAnsi="Times New Roman" w:cs="Times New Roman" w:eastAsia="Times New Roman" w:hint="default"/>
          <w:spacing w:val="-1"/>
        </w:rPr>
        <w:t>707.62</w:t>
      </w:r>
      <w:r>
        <w:rPr>
          <w:spacing w:val="-1"/>
        </w:rPr>
        <w:t>万元。四方精创根据应收账款的可收</w:t>
      </w:r>
      <w:r>
        <w:rPr/>
        <w:t> </w:t>
      </w:r>
      <w:r>
        <w:rPr>
          <w:spacing w:val="-2"/>
        </w:rPr>
        <w:t>回性为判断基础确认坏账准备。应收账款年末价值的确定需要管理层识别已发生减值的项目和客观证据、评估预期未来可获</w:t>
      </w:r>
      <w:r>
        <w:rPr>
          <w:spacing w:val="-64"/>
        </w:rPr>
        <w:t> </w:t>
      </w:r>
      <w:r>
        <w:rPr>
          <w:spacing w:val="-64"/>
        </w:rPr>
      </w:r>
      <w:r>
        <w:rPr>
          <w:spacing w:val="-2"/>
        </w:rPr>
        <w:t>取的现金流量并确定其现值，涉及管理层运用重大会计估计和判断，且应收账款坏账准备对于财务报表具有重要性，因此我</w:t>
      </w:r>
      <w:r>
        <w:rPr>
          <w:spacing w:val="-66"/>
        </w:rPr>
        <w:t> </w:t>
      </w:r>
      <w:r>
        <w:rPr>
          <w:spacing w:val="-66"/>
        </w:rPr>
      </w:r>
      <w:r>
        <w:rPr/>
        <w:t>们将应收账款坏账准备确定为关键审计事项。</w:t>
      </w:r>
    </w:p>
    <w:p>
      <w:pPr>
        <w:pStyle w:val="BodyText"/>
        <w:spacing w:line="240" w:lineRule="auto" w:before="142"/>
        <w:ind w:right="0"/>
        <w:jc w:val="left"/>
      </w:pPr>
      <w:r>
        <w:rPr>
          <w:rFonts w:ascii="Times New Roman" w:hAnsi="Times New Roman" w:cs="Times New Roman" w:eastAsia="Times New Roman" w:hint="default"/>
        </w:rPr>
        <w:t>2</w:t>
      </w:r>
      <w:r>
        <w:rPr/>
        <w:t>、审计应对</w:t>
      </w:r>
    </w:p>
    <w:p>
      <w:pPr>
        <w:spacing w:line="240" w:lineRule="auto" w:before="13"/>
        <w:rPr>
          <w:rFonts w:ascii="宋体" w:hAnsi="宋体" w:cs="宋体" w:eastAsia="宋体" w:hint="default"/>
          <w:sz w:val="13"/>
          <w:szCs w:val="13"/>
        </w:rPr>
      </w:pPr>
    </w:p>
    <w:p>
      <w:pPr>
        <w:pStyle w:val="BodyText"/>
        <w:spacing w:line="240" w:lineRule="auto"/>
        <w:ind w:left="444" w:right="0"/>
        <w:jc w:val="left"/>
      </w:pPr>
      <w:r>
        <w:rPr/>
        <w:t>（</w:t>
      </w:r>
      <w:r>
        <w:rPr>
          <w:rFonts w:ascii="Times New Roman" w:hAnsi="Times New Roman" w:cs="Times New Roman" w:eastAsia="Times New Roman" w:hint="default"/>
        </w:rPr>
        <w:t>1</w:t>
      </w:r>
      <w:r>
        <w:rPr/>
        <w:t>）测试和评价管理层对应收账款管理内部控制制度的设计和运行的有效性；</w:t>
      </w:r>
    </w:p>
    <w:p>
      <w:pPr>
        <w:spacing w:line="240" w:lineRule="auto" w:before="13"/>
        <w:rPr>
          <w:rFonts w:ascii="宋体" w:hAnsi="宋体" w:cs="宋体" w:eastAsia="宋体" w:hint="default"/>
          <w:sz w:val="13"/>
          <w:szCs w:val="13"/>
        </w:rPr>
      </w:pPr>
    </w:p>
    <w:p>
      <w:pPr>
        <w:pStyle w:val="BodyText"/>
        <w:spacing w:line="240" w:lineRule="auto"/>
        <w:ind w:left="444" w:right="0"/>
        <w:jc w:val="left"/>
      </w:pPr>
      <w:r>
        <w:rPr/>
        <w:t>（</w:t>
      </w:r>
      <w:r>
        <w:rPr>
          <w:rFonts w:ascii="Times New Roman" w:hAnsi="Times New Roman" w:cs="Times New Roman" w:eastAsia="Times New Roman" w:hint="default"/>
        </w:rPr>
        <w:t>2</w:t>
      </w:r>
      <w:r>
        <w:rPr/>
        <w:t>）复核管理层有关应收账款坏账准备计提会计政策的合理性及一致性；</w:t>
      </w:r>
    </w:p>
    <w:p>
      <w:pPr>
        <w:spacing w:line="240" w:lineRule="auto" w:before="13"/>
        <w:rPr>
          <w:rFonts w:ascii="宋体" w:hAnsi="宋体" w:cs="宋体" w:eastAsia="宋体" w:hint="default"/>
          <w:sz w:val="13"/>
          <w:szCs w:val="13"/>
        </w:rPr>
      </w:pPr>
    </w:p>
    <w:p>
      <w:pPr>
        <w:pStyle w:val="BodyText"/>
        <w:spacing w:line="300" w:lineRule="auto"/>
        <w:ind w:right="0" w:firstLine="290"/>
        <w:jc w:val="left"/>
      </w:pPr>
      <w:r>
        <w:rPr/>
        <w:t>（</w:t>
      </w:r>
      <w:r>
        <w:rPr>
          <w:rFonts w:ascii="Times New Roman" w:hAnsi="Times New Roman" w:cs="Times New Roman" w:eastAsia="Times New Roman" w:hint="default"/>
        </w:rPr>
        <w:t>3</w:t>
      </w:r>
      <w:r>
        <w:rPr/>
        <w:t>）对于按账龄分析法计提坏账准备的应收账款，获取账龄分析表及坏账准备计提表，并按照坏账政策重新计算坏账 计提金额是否准确；</w:t>
      </w:r>
    </w:p>
    <w:p>
      <w:pPr>
        <w:pStyle w:val="BodyText"/>
        <w:spacing w:line="300" w:lineRule="auto" w:before="151"/>
        <w:ind w:right="0" w:firstLine="290"/>
        <w:jc w:val="left"/>
      </w:pPr>
      <w:r>
        <w:rPr/>
        <w:t>（</w:t>
      </w:r>
      <w:r>
        <w:rPr>
          <w:rFonts w:ascii="Times New Roman" w:hAnsi="Times New Roman" w:cs="Times New Roman" w:eastAsia="Times New Roman" w:hint="default"/>
        </w:rPr>
        <w:t>4</w:t>
      </w:r>
      <w:r>
        <w:rPr/>
        <w:t>）选取样本对金额重大的应收账款余额实施了函证程序，并将函证结果与公司账面记录的金额进行核对，对于未回</w:t>
      </w:r>
      <w:r>
        <w:rPr>
          <w:spacing w:val="1"/>
        </w:rPr>
        <w:t> </w:t>
      </w:r>
      <w:r>
        <w:rPr/>
        <w:t>函的余额执行替代程序；</w:t>
      </w:r>
    </w:p>
    <w:p>
      <w:pPr>
        <w:pStyle w:val="BodyText"/>
        <w:spacing w:line="309" w:lineRule="auto" w:before="151"/>
        <w:ind w:right="1132" w:firstLine="290"/>
        <w:jc w:val="both"/>
      </w:pPr>
      <w:r>
        <w:rPr/>
        <w:t>（</w:t>
      </w:r>
      <w:r>
        <w:rPr>
          <w:rFonts w:ascii="Times New Roman" w:hAnsi="Times New Roman" w:cs="Times New Roman" w:eastAsia="Times New Roman" w:hint="default"/>
        </w:rPr>
        <w:t>5</w:t>
      </w:r>
      <w:r>
        <w:rPr/>
        <w:t>）对应收账款余额较大及账龄时间长的客户，我们通过公开渠道查询与债务人有关的信息，必要时实施走访，以识</w:t>
      </w:r>
      <w:r>
        <w:rPr>
          <w:spacing w:val="1"/>
        </w:rPr>
        <w:t> </w:t>
      </w:r>
      <w:r>
        <w:rPr>
          <w:spacing w:val="-2"/>
        </w:rPr>
        <w:t>别是否存在影响公司应收账款坏账准备评估结果的情形。对于账龄时间长的应收账款，我们还与管理层进行了沟通，了解账</w:t>
      </w:r>
      <w:r>
        <w:rPr>
          <w:spacing w:val="-66"/>
        </w:rPr>
        <w:t> </w:t>
      </w:r>
      <w:r>
        <w:rPr>
          <w:spacing w:val="-66"/>
        </w:rPr>
      </w:r>
      <w:r>
        <w:rPr/>
        <w:t>龄时间长的原因以及管理层对于其可回收性的评估；</w:t>
      </w:r>
    </w:p>
    <w:p>
      <w:pPr>
        <w:pStyle w:val="BodyText"/>
        <w:spacing w:line="532" w:lineRule="auto" w:before="144"/>
        <w:ind w:right="4972" w:firstLine="290"/>
        <w:jc w:val="left"/>
      </w:pPr>
      <w:r>
        <w:rPr/>
        <w:t>（</w:t>
      </w:r>
      <w:r>
        <w:rPr>
          <w:rFonts w:ascii="Times New Roman" w:hAnsi="Times New Roman" w:cs="Times New Roman" w:eastAsia="Times New Roman" w:hint="default"/>
        </w:rPr>
        <w:t>6</w:t>
      </w:r>
      <w:r>
        <w:rPr/>
        <w:t>）结合期后回款情况检查，评价管理层对坏账准备计提的合理性。 四、其他信息</w:t>
      </w:r>
    </w:p>
    <w:p>
      <w:pPr>
        <w:pStyle w:val="BodyText"/>
        <w:spacing w:line="226" w:lineRule="exact"/>
        <w:ind w:left="534" w:right="0"/>
        <w:jc w:val="left"/>
      </w:pPr>
      <w:r>
        <w:rPr/>
        <w:t>四方精创管理层（以下简称管理层）对其他信息负责。其他信息包括四方精创</w:t>
      </w:r>
      <w:r>
        <w:rPr>
          <w:rFonts w:ascii="Times New Roman" w:hAnsi="Times New Roman" w:cs="Times New Roman" w:eastAsia="Times New Roman" w:hint="default"/>
        </w:rPr>
        <w:t>2018</w:t>
      </w:r>
      <w:r>
        <w:rPr/>
        <w:t>年度报告中涵盖的信息，但不包括</w:t>
      </w:r>
    </w:p>
    <w:p>
      <w:pPr>
        <w:pStyle w:val="BodyText"/>
        <w:spacing w:line="240" w:lineRule="auto" w:before="63"/>
        <w:ind w:right="0"/>
        <w:jc w:val="left"/>
      </w:pPr>
      <w:r>
        <w:rPr/>
        <w:t>财务报表和我们的审计报告。</w:t>
      </w:r>
    </w:p>
    <w:p>
      <w:pPr>
        <w:pStyle w:val="BodyText"/>
        <w:spacing w:line="430" w:lineRule="atLeast" w:before="2"/>
        <w:ind w:left="534" w:right="0"/>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240" w:lineRule="auto" w:before="76"/>
        <w:ind w:right="0"/>
        <w:jc w:val="left"/>
      </w:pPr>
      <w:r>
        <w:rPr/>
        <w:t>过程中了解到的情况存在重大不一致或者似乎存在重大错报。</w:t>
      </w:r>
    </w:p>
    <w:p>
      <w:pPr>
        <w:spacing w:line="240" w:lineRule="auto" w:before="0"/>
        <w:rPr>
          <w:rFonts w:ascii="宋体" w:hAnsi="宋体" w:cs="宋体" w:eastAsia="宋体" w:hint="default"/>
          <w:sz w:val="15"/>
          <w:szCs w:val="15"/>
        </w:rPr>
      </w:pPr>
    </w:p>
    <w:p>
      <w:pPr>
        <w:pStyle w:val="BodyText"/>
        <w:spacing w:line="319" w:lineRule="auto"/>
        <w:ind w:right="1118" w:firstLine="380"/>
        <w:jc w:val="left"/>
      </w:pPr>
      <w:r>
        <w:rPr/>
        <w:t>基于我们已执行的工作，如果我们确定其他信息存在重大错报，我们应当报告该事实。在这方面，我们无任何事项需</w:t>
      </w:r>
      <w:r>
        <w:rPr>
          <w:spacing w:val="1"/>
        </w:rPr>
        <w:t> </w:t>
      </w:r>
      <w:r>
        <w:rPr/>
        <w:t>要报告。</w:t>
      </w:r>
    </w:p>
    <w:p>
      <w:pPr>
        <w:pStyle w:val="BodyText"/>
        <w:spacing w:line="430" w:lineRule="atLeast" w:before="62"/>
        <w:ind w:left="534" w:right="0" w:hanging="381"/>
        <w:jc w:val="left"/>
      </w:pPr>
      <w:r>
        <w:rPr/>
        <w:t>五、管理层和治理层对财务报表的责任 管理层负责按照企业会计准则的规定编制财务报表，使其实现公允反映，并设计、执行和维护必要的内部控制，以使</w:t>
      </w:r>
    </w:p>
    <w:p>
      <w:pPr>
        <w:pStyle w:val="BodyText"/>
        <w:spacing w:line="240" w:lineRule="auto" w:before="76"/>
        <w:ind w:right="0"/>
        <w:jc w:val="left"/>
      </w:pPr>
      <w:r>
        <w:rPr/>
        <w:t>财务报表不存在由于舞弊或错误导致的重大错报。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firstLine="380"/>
        <w:jc w:val="both"/>
      </w:pPr>
      <w:r>
        <w:rPr/>
        <w:t>在编制财务报表时，管理层负责评估四方精创的持续经营能力，披露与持续经营相关的事项（如适用），并运用持续</w:t>
      </w:r>
      <w:r>
        <w:rPr>
          <w:spacing w:val="1"/>
        </w:rPr>
        <w:t> </w:t>
      </w:r>
      <w:r>
        <w:rPr/>
        <w:t>经营假设，除非管理层计划清算四方精创、终止运营或别无其他现实的选择。</w:t>
      </w:r>
    </w:p>
    <w:p>
      <w:pPr>
        <w:pStyle w:val="BodyText"/>
        <w:spacing w:line="441" w:lineRule="auto" w:before="139"/>
        <w:ind w:right="6952" w:firstLine="380"/>
        <w:jc w:val="left"/>
      </w:pPr>
      <w:r>
        <w:rPr/>
        <w:t>治理层负责监督四方精创的财务报告过程。 六、注册会计师对财务报表审计的责任</w:t>
      </w:r>
    </w:p>
    <w:p>
      <w:pPr>
        <w:pStyle w:val="BodyText"/>
        <w:spacing w:line="316" w:lineRule="auto" w:before="45"/>
        <w:ind w:right="1132" w:firstLine="380"/>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39"/>
        <w:ind w:left="534" w:right="0"/>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5"/>
          <w:szCs w:val="15"/>
        </w:rPr>
      </w:pPr>
    </w:p>
    <w:p>
      <w:pPr>
        <w:pStyle w:val="BodyText"/>
        <w:spacing w:line="309" w:lineRule="auto"/>
        <w:ind w:right="1032" w:firstLine="29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44"/>
        <w:ind w:left="444"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spacing w:line="240" w:lineRule="auto" w:before="13"/>
        <w:rPr>
          <w:rFonts w:ascii="宋体" w:hAnsi="宋体" w:cs="宋体" w:eastAsia="宋体" w:hint="default"/>
          <w:sz w:val="13"/>
          <w:szCs w:val="13"/>
        </w:rPr>
      </w:pPr>
    </w:p>
    <w:p>
      <w:pPr>
        <w:pStyle w:val="BodyText"/>
        <w:spacing w:line="240" w:lineRule="auto"/>
        <w:ind w:left="444"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13"/>
        <w:rPr>
          <w:rFonts w:ascii="宋体" w:hAnsi="宋体" w:cs="宋体" w:eastAsia="宋体" w:hint="default"/>
          <w:sz w:val="13"/>
          <w:szCs w:val="13"/>
        </w:rPr>
      </w:pPr>
    </w:p>
    <w:p>
      <w:pPr>
        <w:pStyle w:val="BodyText"/>
        <w:spacing w:line="312" w:lineRule="auto"/>
        <w:ind w:right="1131" w:firstLine="29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）对管理层使用持续经营假设的恰当性得出结论。同时，根据获取的审计证据，就可能导致对四方精创持续经营能</w:t>
      </w:r>
      <w:r>
        <w:rPr>
          <w:spacing w:val="1"/>
        </w:rPr>
        <w:t>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于截至审计报告日可获得的信息。然而，未来的事项或情况可能导致四方精创不能持续经营。</w:t>
      </w:r>
    </w:p>
    <w:p>
      <w:pPr>
        <w:pStyle w:val="BodyText"/>
        <w:spacing w:line="240" w:lineRule="auto" w:before="142"/>
        <w:ind w:left="444"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spacing w:line="240" w:lineRule="auto" w:before="0"/>
        <w:rPr>
          <w:rFonts w:ascii="宋体" w:hAnsi="宋体" w:cs="宋体" w:eastAsia="宋体" w:hint="default"/>
          <w:sz w:val="14"/>
          <w:szCs w:val="14"/>
        </w:rPr>
      </w:pPr>
    </w:p>
    <w:p>
      <w:pPr>
        <w:pStyle w:val="BodyText"/>
        <w:spacing w:line="300" w:lineRule="auto"/>
        <w:ind w:right="1132" w:firstLine="290"/>
        <w:jc w:val="both"/>
      </w:pPr>
      <w:r>
        <w:rPr/>
        <w:t>（</w:t>
      </w:r>
      <w:r>
        <w:rPr>
          <w:rFonts w:ascii="Times New Roman" w:hAnsi="Times New Roman" w:cs="Times New Roman" w:eastAsia="Times New Roman" w:hint="default"/>
        </w:rPr>
        <w:t>6</w:t>
      </w:r>
      <w:r>
        <w:rPr/>
        <w:t>）就四方精创中实体或业务活动的财务信息获取充分、适当的审计证据，以对合并财务报表发表审计意见。我们负</w:t>
      </w:r>
      <w:r>
        <w:rPr>
          <w:spacing w:val="1"/>
        </w:rPr>
        <w:t> </w:t>
      </w:r>
      <w:r>
        <w:rPr/>
        <w:t>责指导、监督和执行集团审计，并对审计意见承担全部责任。</w:t>
      </w:r>
    </w:p>
    <w:p>
      <w:pPr>
        <w:pStyle w:val="BodyText"/>
        <w:spacing w:line="316" w:lineRule="auto" w:before="151"/>
        <w:ind w:right="1133" w:firstLine="380"/>
        <w:jc w:val="both"/>
      </w:pPr>
      <w:r>
        <w:rPr/>
        <w:t>我们与治理层就计划的审计范围、时间安排和重大审计发现等事项进行沟通，包括沟通我们在审计中识别出的值得关</w:t>
      </w:r>
      <w:r>
        <w:rPr>
          <w:spacing w:val="1"/>
        </w:rPr>
        <w:t> </w:t>
      </w:r>
      <w:r>
        <w:rPr/>
        <w:t>注的内部控制缺陷。</w:t>
      </w:r>
    </w:p>
    <w:p>
      <w:pPr>
        <w:pStyle w:val="BodyText"/>
        <w:spacing w:line="316" w:lineRule="auto" w:before="139"/>
        <w:ind w:right="1133" w:firstLine="380"/>
        <w:jc w:val="both"/>
      </w:pPr>
      <w:r>
        <w:rPr/>
        <w:t>我们还就已遵守与独立性相关的职业道德要求向治理层提供声明，并与治理层沟通可能被合理认为影响我们独立性的</w:t>
      </w:r>
      <w:r>
        <w:rPr>
          <w:spacing w:val="1"/>
        </w:rPr>
        <w:t> </w:t>
      </w:r>
      <w:r>
        <w:rPr/>
        <w:t>所有关系和其他事项，以及相关的防范措施（如适用）。</w:t>
      </w:r>
    </w:p>
    <w:p>
      <w:pPr>
        <w:pStyle w:val="BodyText"/>
        <w:spacing w:line="316" w:lineRule="auto" w:before="19"/>
        <w:ind w:right="1132" w:firstLine="380"/>
        <w:jc w:val="both"/>
      </w:pPr>
      <w:r>
        <w:rPr/>
        <w:t>从与治理层沟通过的事项中，我们确定哪些事项对本期财务报表审计最为重要，因而构成关键审计事项。我们在审计</w:t>
      </w:r>
      <w:r>
        <w:rPr>
          <w:spacing w:val="1"/>
        </w:rPr>
        <w:t> </w:t>
      </w:r>
      <w:r>
        <w:rPr>
          <w:spacing w:val="-2"/>
        </w:rPr>
        <w:t>报告中描述这些事项，除非法律法规禁止公开披露这些事项，或在极少数情形下，如果合理预期在审计报告中沟通某事项造</w:t>
      </w:r>
      <w:r>
        <w:rPr>
          <w:spacing w:val="-65"/>
        </w:rPr>
        <w:t> </w:t>
      </w:r>
      <w:r>
        <w:rPr>
          <w:spacing w:val="-65"/>
        </w:rPr>
      </w:r>
      <w:r>
        <w:rPr/>
        <w:t>成的负面后果超过在公众利益方面产生的益处，我们确定不应在审计报告中沟通该事项。</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财务报表" w:id="154"/>
      <w:bookmarkEnd w:id="154"/>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5"/>
      <w:bookmarkEnd w:id="15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编制单位：深圳四方精创资讯股份有限公司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153" w:right="-16"/>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04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66"/>
        <w:gridCol w:w="3423"/>
        <w:gridCol w:w="2968"/>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534,347,564.35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544,287,620.00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193,508,351.03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191,749,045.89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193,508,351.03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191,749,045.89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4,482,111.97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2,534,001.60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4,472,103.38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3,905,548.63</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1,375,451.60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829,273.79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5,852,198.13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5,379,867.20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4,668,278.73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1,639,214.65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747,330,607.59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749,495,297.97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88,579,565.00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78,110,000.00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48,095,753.10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26,689,937.93</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285,952,429.70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18,764,730.64</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30,887,754.50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273,164,469.53</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23"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29,172,094.30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24,785,733.59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2,351,029.35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787,795.36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823,621.89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6,573,226.95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485,862,247.84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428,875,894.00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1,233,192,855.43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1,178,371,191.97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566,782.47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1,792,594.95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338,122.03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2,515,708.60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66,918,346.66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52,726,690.47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2,504,426.70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4,164,071.21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106,558,162.68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166,163,258.80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1,897,336.86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1,456,712.00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176,885,840.54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227,362,324.03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2,102,469.18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1,687,799.67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2,102,469.18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1,687,799.67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178,988,309.72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229,050,123.70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194,282,079.00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107,885,550.00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595,996,446.74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682,673,411.66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104,047,153.71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164,427,447.20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1,895,202.84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-1,022,259.68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58,410,201.45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51,893,338.95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307,667,769.39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272,318,474.54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1,054,204,545.71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949,321,068.27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1,054,204,545.71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949,321,068.27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1,233,192,855.43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1,178,371,191.97</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561" w:val="left" w:leader="none"/>
        </w:tabs>
        <w:spacing w:line="240" w:lineRule="auto" w:before="44"/>
        <w:ind w:left="0" w:right="1229"/>
        <w:jc w:val="right"/>
      </w:pPr>
      <w:r>
        <w:rPr/>
        <w:t>法定代表人：周志群</w:t>
        <w:tab/>
        <w:t>主管会计工作负责人：李琳</w:t>
        <w:tab/>
        <w:t>会计机构负责人：施国艳</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6"/>
      <w:bookmarkEnd w:id="15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411,063,959.91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485,708,011.69</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288,143,423.03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225,645,934.95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288,143,423.03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225,645,934.95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2,822,895.86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2,268,486.46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3,919,890.36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3,799,803.60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1,375,451.60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829,273.79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5,852,198.13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5,379,867.20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4,536,171.15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1,639,214.65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716,338,538.44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724,441,318.55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88,579,565.00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78,110,000.00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54,826,991.32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37,713,705.33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284,248,786.83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17,897,107.52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30,887,754.50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273,164,469.53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29,172,094.30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24,785,733.59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1,340,935.27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787,795.36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823,621.89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6,573,226.95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489,879,749.11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439,032,038.28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1,206,218,287.55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1,163,473,356.83</w:t>
            </w:r>
          </w:p>
        </w:tc>
      </w:tr>
    </w:tbl>
    <w:p>
      <w:pPr>
        <w:spacing w:after="0" w:line="240" w:lineRule="auto"/>
        <w:jc w:val="right"/>
        <w:rPr>
          <w:rFonts w:ascii="Times New Roman" w:hAnsi="Times New Roman" w:cs="Times New Roman" w:eastAsia="Times New Roman" w:hint="default"/>
          <w:sz w:val="18"/>
          <w:szCs w:val="18"/>
        </w:rPr>
        <w:sectPr>
          <w:footerReference w:type="default" r:id="rId14"/>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3"/>
        <w:gridCol w:w="3318"/>
        <w:gridCol w:w="2966"/>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566,782.47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1,792,594.95</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338,122.03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2,515,708.60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62,442,964.58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51,862,283.06</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2,504,426.70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3,692,498.21</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106,518,639.43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166,145,632.35</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1,897,336.86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1,456,712.00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172,370,935.21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226,008,717.17</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172,370,935.21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226,008,717.17</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194,282,079.00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107,885,550.00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596,002,606.82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684,627,116.99</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104,047,153.71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164,427,447.20</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58,410,201.45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51,893,338.95</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289,199,618.78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257,486,080.92</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1,033,847,352.34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937,464,639.66</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1,206,218,287.55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1,163,473,356.83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57"/>
      <w:bookmarkEnd w:id="15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487,816,568.83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507,805,831.97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487,816,568.83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507,805,831.97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425,161,588.12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418,967,366.13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296,668,303.89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264,458,756.04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1,065,202.97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371,079.41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2,393,949.15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2,429,283.84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57,742,008.94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58,312,207.17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75,321,614.94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94,551,500.83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-10,808,267.21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-2,953,829.39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6,441,627.14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4,778,202.92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2,778,775.44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1,798,368.23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5,037,730.55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-61,080.23</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2,897,730.55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-61,080.23</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67,692,711.26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88,777,385.61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4,399,233.04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3,872,394.94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1,027,062.73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94,626.63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71,064,881.57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92,555,153.92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2,260,499.63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4,391,792.36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68,804,381.94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88,163,361.56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68,804,381.94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88,163,361.56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68,804,381.94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88,163,361.56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2,917,462.52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-1,926,925.05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2,917,462.52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-1,926,925.05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2,917,462.52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-1,926,925.05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2,917,462.52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-1,926,925.05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71,721,844.46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86,236,436.51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71,721,844.46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86,236,436.51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r>
    </w:tbl>
    <w:p>
      <w:pPr>
        <w:pStyle w:val="BodyText"/>
        <w:tabs>
          <w:tab w:pos="366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法定代表人：周志群</w:t>
        <w:tab/>
        <w:t>主管会计工作负责人：李琳</w:t>
        <w:tab/>
        <w:t>会计机构负责人：施国艳</w:t>
      </w:r>
    </w:p>
    <w:p>
      <w:pPr>
        <w:pStyle w:val="Heading3"/>
        <w:spacing w:line="240" w:lineRule="auto" w:before="63"/>
        <w:ind w:right="0"/>
        <w:jc w:val="left"/>
        <w:rPr>
          <w:b w:val="0"/>
          <w:bCs w:val="0"/>
        </w:rPr>
      </w:pPr>
      <w:bookmarkStart w:name="4、母公司利润表" w:id="158"/>
      <w:bookmarkEnd w:id="15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465,951,536.46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493,456,387.66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293,630,471.56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261,154,829.97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1,061,020.42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371,079.41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2,393,949.15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2,429,283.84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41,063,594.82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51,820,322.88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75,321,614.94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94,551,500.83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-10,416,957.48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-2,901,033.68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6,383,361.79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4,774,967.38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1,801,458.11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1,507,914.63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2,253,285.99</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113,285.99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63,349,670.93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84,522,489.78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4,399,233.04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3,872,394.94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1,027,062.73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94,626.63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66,721,841.24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88,300,258.09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1,553,216.29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3,326,400.05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65,168,624.95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84,973,858.04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65,168,624.95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84,973,858.04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65,168,624.95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84,973,858.04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59"/>
      <w:bookmarkEnd w:id="15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498,994,673.11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447,689,198.90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3,745,610.55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10,699,746.00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9,047,863.36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513,440,029.66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456,737,062.26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60,715,670.41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73,519,148.39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330,025,184.19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292,270,371.69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10,944,942.90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5,011,495.61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32,459,572.03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36,284,933.22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434,145,369.53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407,085,948.91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79,294,660.13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49,651,113.35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40,550,565.40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60,775,679.36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25,469,565.00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105,086,040.81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66,020,130.40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165,861,720.17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-63,873,130.40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-165,861,720.17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6,574,320.00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96,981,404.00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6,574,320.00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96,981,404.00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26,497,599.73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25,468,348.00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6,887,828.80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1,123,912.70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33,385,428.53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26,592,260.70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-26,811,108.53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70,389,143.30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1,356,923.15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-1,701,902.40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-10,032,655.65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-47,523,365.92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542,287,620.00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589,810,985.92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532,254,964.35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542,287,620.00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0"/>
      <w:bookmarkEnd w:id="16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414,315,856.69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384,329,199.35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3,745,610.55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10,641,808.07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9,019,588.21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428,703,275.31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393,348,787.56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56,881,523.52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71,290,583.81</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319,688,801.47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287,060,335.40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9,758,852.01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4,762,470.82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27,359,230.11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34,042,670.50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413,688,407.11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397,156,060.53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15,014,868.20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-3,807,272.97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37,617,846.45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60,596,971.34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27,469,565.00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105,086,000.00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65,087,411.45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165,682,971.34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-62,940,411.45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-165,682,971.34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6,574,320.00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96,981,404.00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6,574,320.00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96,981,404.00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26,497,599.73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25,468,348.00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6,887,828.80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1,123,912.70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33,385,428.53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26,592,260.70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-26,811,108.53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70,389,143.30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-74,736,651.78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-99,101,101.01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483,708,011.69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582,809,112.70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408,971,359.91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483,708,011.69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61"/>
      <w:bookmarkEnd w:id="16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83"/>
        <w:gridCol w:w="1007"/>
        <w:gridCol w:w="530"/>
        <w:gridCol w:w="532"/>
        <w:gridCol w:w="530"/>
        <w:gridCol w:w="665"/>
        <w:gridCol w:w="665"/>
        <w:gridCol w:w="665"/>
        <w:gridCol w:w="665"/>
        <w:gridCol w:w="664"/>
        <w:gridCol w:w="666"/>
        <w:gridCol w:w="676"/>
        <w:gridCol w:w="236"/>
        <w:gridCol w:w="1076"/>
      </w:tblGrid>
      <w:tr>
        <w:trPr>
          <w:trHeight w:val="402" w:hRule="exact"/>
        </w:trPr>
        <w:tc>
          <w:tcPr>
            <w:tcW w:w="983" w:type="dxa"/>
            <w:vMerge w:val="restart"/>
            <w:tcBorders>
              <w:top w:val="single" w:sz="4" w:space="0" w:color="000000"/>
              <w:left w:val="single" w:sz="4" w:space="0" w:color="000000"/>
              <w:right w:val="single" w:sz="4" w:space="0" w:color="000000"/>
            </w:tcBorders>
            <w:shd w:val="clear" w:color="auto" w:fill="D2D2D2"/>
          </w:tcPr>
          <w:p>
            <w:pPr/>
          </w:p>
        </w:tc>
        <w:tc>
          <w:tcPr>
            <w:tcW w:w="857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983" w:type="dxa"/>
            <w:vMerge/>
            <w:tcBorders>
              <w:left w:val="single" w:sz="4" w:space="0" w:color="000000"/>
              <w:right w:val="single" w:sz="4" w:space="0" w:color="000000"/>
            </w:tcBorders>
            <w:shd w:val="clear" w:color="auto" w:fill="D2D2D2"/>
          </w:tcPr>
          <w:p>
            <w:pPr/>
          </w:p>
        </w:tc>
        <w:tc>
          <w:tcPr>
            <w:tcW w:w="72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2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1076" w:type="dxa"/>
            <w:vMerge w:val="restart"/>
            <w:tcBorders>
              <w:top w:val="single" w:sz="4" w:space="0" w:color="000000"/>
              <w:left w:val="single" w:sz="4" w:space="0" w:color="000000"/>
              <w:right w:val="single" w:sz="4" w:space="0" w:color="000000"/>
            </w:tcBorders>
            <w:shd w:val="clear" w:color="auto" w:fill="D2D2D2"/>
          </w:tcPr>
          <w:p>
            <w:pPr/>
          </w:p>
        </w:tc>
      </w:tr>
      <w:tr>
        <w:trPr>
          <w:trHeight w:val="205" w:hRule="exact"/>
        </w:trPr>
        <w:tc>
          <w:tcPr>
            <w:tcW w:w="983" w:type="dxa"/>
            <w:vMerge/>
            <w:tcBorders>
              <w:left w:val="single" w:sz="4" w:space="0" w:color="000000"/>
              <w:bottom w:val="nil" w:sz="6" w:space="0" w:color="auto"/>
              <w:right w:val="single" w:sz="4" w:space="0" w:color="000000"/>
            </w:tcBorders>
            <w:shd w:val="clear" w:color="auto" w:fill="D2D2D2"/>
          </w:tcPr>
          <w:p>
            <w:pPr/>
          </w:p>
        </w:tc>
        <w:tc>
          <w:tcPr>
            <w:tcW w:w="1007"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4" w:type="dxa"/>
            <w:vMerge w:val="restart"/>
            <w:tcBorders>
              <w:top w:val="single" w:sz="4" w:space="0" w:color="000000"/>
              <w:left w:val="single" w:sz="4" w:space="0" w:color="000000"/>
              <w:right w:val="single" w:sz="4" w:space="0" w:color="000000"/>
            </w:tcBorders>
            <w:shd w:val="clear" w:color="auto" w:fill="D2D2D2"/>
          </w:tcPr>
          <w:p>
            <w:pPr/>
          </w:p>
        </w:tc>
        <w:tc>
          <w:tcPr>
            <w:tcW w:w="666" w:type="dxa"/>
            <w:vMerge w:val="restart"/>
            <w:tcBorders>
              <w:top w:val="single" w:sz="4" w:space="0" w:color="000000"/>
              <w:left w:val="single" w:sz="4" w:space="0" w:color="000000"/>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
        </w:tc>
        <w:tc>
          <w:tcPr>
            <w:tcW w:w="236" w:type="dxa"/>
            <w:vMerge/>
            <w:tcBorders>
              <w:left w:val="single" w:sz="4" w:space="0" w:color="000000"/>
              <w:right w:val="single" w:sz="4" w:space="0" w:color="000000"/>
            </w:tcBorders>
            <w:shd w:val="clear" w:color="auto" w:fill="D2D2D2"/>
          </w:tcPr>
          <w:p>
            <w:pPr/>
          </w:p>
        </w:tc>
        <w:tc>
          <w:tcPr>
            <w:tcW w:w="1076" w:type="dxa"/>
            <w:vMerge/>
            <w:tcBorders>
              <w:left w:val="single" w:sz="4" w:space="0" w:color="000000"/>
              <w:bottom w:val="nil" w:sz="6" w:space="0" w:color="auto"/>
              <w:right w:val="single" w:sz="4" w:space="0" w:color="000000"/>
            </w:tcBorders>
            <w:shd w:val="clear" w:color="auto" w:fill="D2D2D2"/>
          </w:tcPr>
          <w:p>
            <w:pPr/>
          </w:p>
        </w:tc>
      </w:tr>
      <w:tr>
        <w:trPr>
          <w:trHeight w:val="224" w:hRule="exact"/>
        </w:trPr>
        <w:tc>
          <w:tcPr>
            <w:tcW w:w="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9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07" w:type="dxa"/>
            <w:vMerge/>
            <w:tcBorders>
              <w:left w:val="single" w:sz="4" w:space="0" w:color="000000"/>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bottom w:val="nil" w:sz="6" w:space="0" w:color="auto"/>
              <w:right w:val="single" w:sz="4" w:space="0" w:color="000000"/>
            </w:tcBorders>
            <w:shd w:val="clear" w:color="auto" w:fill="D2D2D2"/>
          </w:tcPr>
          <w:p>
            <w:pPr/>
          </w:p>
        </w:tc>
        <w:tc>
          <w:tcPr>
            <w:tcW w:w="236" w:type="dxa"/>
            <w:vMerge/>
            <w:tcBorders>
              <w:left w:val="single" w:sz="4" w:space="0" w:color="000000"/>
              <w:right w:val="single" w:sz="4" w:space="0" w:color="000000"/>
            </w:tcBorders>
            <w:shd w:val="clear" w:color="auto" w:fill="D2D2D2"/>
          </w:tcPr>
          <w:p>
            <w:pPr/>
          </w:p>
        </w:tc>
        <w:tc>
          <w:tcPr>
            <w:tcW w:w="10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358" w:right="77"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51" w:hRule="exact"/>
        </w:trPr>
        <w:tc>
          <w:tcPr>
            <w:tcW w:w="983" w:type="dxa"/>
            <w:vMerge/>
            <w:tcBorders>
              <w:left w:val="single" w:sz="4" w:space="0" w:color="000000"/>
              <w:bottom w:val="single" w:sz="4" w:space="0" w:color="FFFFFF"/>
              <w:right w:val="single" w:sz="4" w:space="0" w:color="000000"/>
            </w:tcBorders>
            <w:shd w:val="clear" w:color="auto" w:fill="D2D2D2"/>
          </w:tcPr>
          <w:p>
            <w:pPr/>
          </w:p>
        </w:tc>
        <w:tc>
          <w:tcPr>
            <w:tcW w:w="1007" w:type="dxa"/>
            <w:vMerge/>
            <w:tcBorders>
              <w:left w:val="single" w:sz="4" w:space="0" w:color="000000"/>
              <w:bottom w:val="single" w:sz="4" w:space="0" w:color="FFFFFF"/>
              <w:right w:val="single" w:sz="4" w:space="0" w:color="000000"/>
            </w:tcBorders>
            <w:shd w:val="clear" w:color="auto" w:fill="D2D2D2"/>
          </w:tcPr>
          <w:p>
            <w:pPr/>
          </w:p>
        </w:tc>
        <w:tc>
          <w:tcPr>
            <w:tcW w:w="53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3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6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236" w:type="dxa"/>
            <w:vMerge/>
            <w:tcBorders>
              <w:left w:val="single" w:sz="4" w:space="0" w:color="000000"/>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r>
      <w:tr>
        <w:trPr>
          <w:trHeight w:val="205" w:hRule="exact"/>
        </w:trPr>
        <w:tc>
          <w:tcPr>
            <w:tcW w:w="983" w:type="dxa"/>
            <w:vMerge w:val="restart"/>
            <w:tcBorders>
              <w:top w:val="single" w:sz="4" w:space="0" w:color="FFFFFF"/>
              <w:left w:val="single" w:sz="4" w:space="0" w:color="000000"/>
              <w:right w:val="single" w:sz="4" w:space="0" w:color="000000"/>
            </w:tcBorders>
            <w:shd w:val="clear" w:color="auto" w:fill="D2D2D2"/>
          </w:tcPr>
          <w:p>
            <w:pPr/>
          </w:p>
        </w:tc>
        <w:tc>
          <w:tcPr>
            <w:tcW w:w="100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236" w:type="dxa"/>
            <w:vMerge/>
            <w:tcBorders>
              <w:left w:val="single" w:sz="4" w:space="0" w:color="000000"/>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r>
      <w:tr>
        <w:trPr>
          <w:trHeight w:val="169" w:hRule="exact"/>
        </w:trPr>
        <w:tc>
          <w:tcPr>
            <w:tcW w:w="983" w:type="dxa"/>
            <w:vMerge/>
            <w:tcBorders>
              <w:left w:val="single" w:sz="4" w:space="0" w:color="000000"/>
              <w:right w:val="single" w:sz="4" w:space="0" w:color="000000"/>
            </w:tcBorders>
            <w:shd w:val="clear" w:color="auto" w:fill="D2D2D2"/>
          </w:tcPr>
          <w:p>
            <w:pPr/>
          </w:p>
        </w:tc>
        <w:tc>
          <w:tcPr>
            <w:tcW w:w="1007"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236" w:type="dxa"/>
            <w:vMerge/>
            <w:tcBorders>
              <w:left w:val="single" w:sz="4" w:space="0" w:color="000000"/>
              <w:right w:val="single" w:sz="4" w:space="0" w:color="000000"/>
            </w:tcBorders>
            <w:shd w:val="clear" w:color="auto" w:fill="D2D2D2"/>
          </w:tcPr>
          <w:p>
            <w:pPr/>
          </w:p>
        </w:tc>
        <w:tc>
          <w:tcPr>
            <w:tcW w:w="1076"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983" w:type="dxa"/>
            <w:vMerge/>
            <w:tcBorders>
              <w:left w:val="single" w:sz="4" w:space="0" w:color="000000"/>
              <w:right w:val="single" w:sz="4" w:space="0" w:color="000000"/>
            </w:tcBorders>
            <w:shd w:val="clear" w:color="auto" w:fill="D2D2D2"/>
          </w:tcPr>
          <w:p>
            <w:pPr/>
          </w:p>
        </w:tc>
        <w:tc>
          <w:tcPr>
            <w:tcW w:w="1007"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bottom w:val="nil" w:sz="6" w:space="0" w:color="auto"/>
              <w:right w:val="single" w:sz="4" w:space="0" w:color="000000"/>
            </w:tcBorders>
            <w:shd w:val="clear" w:color="auto" w:fill="D2D2D2"/>
          </w:tcPr>
          <w:p>
            <w:pPr/>
          </w:p>
        </w:tc>
        <w:tc>
          <w:tcPr>
            <w:tcW w:w="236" w:type="dxa"/>
            <w:vMerge/>
            <w:tcBorders>
              <w:left w:val="single" w:sz="4" w:space="0" w:color="000000"/>
              <w:right w:val="single" w:sz="4" w:space="0" w:color="000000"/>
            </w:tcBorders>
            <w:shd w:val="clear" w:color="auto" w:fill="D2D2D2"/>
          </w:tcPr>
          <w:p>
            <w:pPr/>
          </w:p>
        </w:tc>
        <w:tc>
          <w:tcPr>
            <w:tcW w:w="1076" w:type="dxa"/>
            <w:vMerge w:val="restart"/>
            <w:tcBorders>
              <w:top w:val="nil" w:sz="6" w:space="0" w:color="auto"/>
              <w:left w:val="single" w:sz="4" w:space="0" w:color="000000"/>
              <w:right w:val="single" w:sz="4" w:space="0" w:color="000000"/>
            </w:tcBorders>
            <w:shd w:val="clear" w:color="auto" w:fill="D2D2D2"/>
          </w:tcPr>
          <w:p>
            <w:pPr/>
          </w:p>
        </w:tc>
      </w:tr>
      <w:tr>
        <w:trPr>
          <w:trHeight w:val="200" w:hRule="exact"/>
        </w:trPr>
        <w:tc>
          <w:tcPr>
            <w:tcW w:w="983" w:type="dxa"/>
            <w:vMerge/>
            <w:tcBorders>
              <w:left w:val="single" w:sz="4" w:space="0" w:color="000000"/>
              <w:right w:val="single" w:sz="4" w:space="0" w:color="000000"/>
            </w:tcBorders>
            <w:shd w:val="clear" w:color="auto" w:fill="D2D2D2"/>
          </w:tcPr>
          <w:p>
            <w:pPr/>
          </w:p>
        </w:tc>
        <w:tc>
          <w:tcPr>
            <w:tcW w:w="1007"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532" w:type="dxa"/>
            <w:vMerge/>
            <w:tcBorders>
              <w:left w:val="single" w:sz="4" w:space="0" w:color="000000"/>
              <w:bottom w:val="nil" w:sz="6" w:space="0" w:color="auto"/>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4" w:type="dxa"/>
            <w:vMerge w:val="restart"/>
            <w:tcBorders>
              <w:top w:val="nil" w:sz="6" w:space="0" w:color="auto"/>
              <w:left w:val="single" w:sz="4" w:space="0" w:color="000000"/>
              <w:right w:val="single" w:sz="4" w:space="0" w:color="000000"/>
            </w:tcBorders>
            <w:shd w:val="clear" w:color="auto" w:fill="D2D2D2"/>
          </w:tcPr>
          <w:p>
            <w:pPr/>
          </w:p>
        </w:tc>
        <w:tc>
          <w:tcPr>
            <w:tcW w:w="666" w:type="dxa"/>
            <w:vMerge w:val="restart"/>
            <w:tcBorders>
              <w:top w:val="nil" w:sz="6" w:space="0" w:color="auto"/>
              <w:left w:val="single" w:sz="4" w:space="0" w:color="000000"/>
              <w:right w:val="single" w:sz="4" w:space="0" w:color="000000"/>
            </w:tcBorders>
            <w:shd w:val="clear" w:color="auto" w:fill="D2D2D2"/>
          </w:tcPr>
          <w:p>
            <w:pPr/>
          </w:p>
        </w:tc>
        <w:tc>
          <w:tcPr>
            <w:tcW w:w="676" w:type="dxa"/>
            <w:vMerge w:val="restart"/>
            <w:tcBorders>
              <w:top w:val="nil" w:sz="6" w:space="0" w:color="auto"/>
              <w:left w:val="single" w:sz="4" w:space="0" w:color="000000"/>
              <w:right w:val="single" w:sz="4" w:space="0" w:color="000000"/>
            </w:tcBorders>
            <w:shd w:val="clear" w:color="auto" w:fill="D2D2D2"/>
          </w:tcPr>
          <w:p>
            <w:pPr/>
          </w:p>
        </w:tc>
        <w:tc>
          <w:tcPr>
            <w:tcW w:w="236" w:type="dxa"/>
            <w:vMerge/>
            <w:tcBorders>
              <w:left w:val="single" w:sz="4" w:space="0" w:color="000000"/>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r>
      <w:tr>
        <w:trPr>
          <w:trHeight w:val="227" w:hRule="exact"/>
        </w:trPr>
        <w:tc>
          <w:tcPr>
            <w:tcW w:w="983" w:type="dxa"/>
            <w:vMerge/>
            <w:tcBorders>
              <w:left w:val="single" w:sz="4" w:space="0" w:color="000000"/>
              <w:bottom w:val="single" w:sz="4" w:space="0" w:color="000000"/>
              <w:right w:val="single" w:sz="4" w:space="0" w:color="000000"/>
            </w:tcBorders>
            <w:shd w:val="clear" w:color="auto" w:fill="D2D2D2"/>
          </w:tcPr>
          <w:p>
            <w:pPr/>
          </w:p>
        </w:tc>
        <w:tc>
          <w:tcPr>
            <w:tcW w:w="1007"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236"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一、上年期 末余额</w:t>
            </w:r>
          </w:p>
        </w:tc>
        <w:tc>
          <w:tcPr>
            <w:tcW w:w="10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107,885,550.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682,673</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,411.66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164,427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,447.20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-1,022,2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59.68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51,893,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338.95</w:t>
            </w:r>
          </w:p>
        </w:tc>
        <w:tc>
          <w:tcPr>
            <w:tcW w:w="66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272,318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,474.54</w:t>
            </w:r>
          </w:p>
        </w:tc>
        <w:tc>
          <w:tcPr>
            <w:tcW w:w="23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949,321,068.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加：会</w:t>
            </w:r>
          </w:p>
        </w:tc>
        <w:tc>
          <w:tcPr>
            <w:tcW w:w="1007"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23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007"/>
        <w:gridCol w:w="530"/>
        <w:gridCol w:w="532"/>
        <w:gridCol w:w="530"/>
        <w:gridCol w:w="665"/>
        <w:gridCol w:w="665"/>
        <w:gridCol w:w="665"/>
        <w:gridCol w:w="665"/>
        <w:gridCol w:w="664"/>
        <w:gridCol w:w="666"/>
        <w:gridCol w:w="665"/>
        <w:gridCol w:w="259"/>
        <w:gridCol w:w="1064"/>
      </w:tblGrid>
      <w:tr>
        <w:trPr>
          <w:trHeight w:val="36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计政策变更</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8"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8"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二、本年期 初余额</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107,885,550.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682,673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,411.66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164,427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,447.20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-1,022,2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59.68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51,893,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338.95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272,318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,474.54</w:t>
            </w: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949,321,068.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r>
      <w:tr>
        <w:trPr>
          <w:trHeight w:val="1650"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三、本期增 减变动金额</w:t>
            </w:r>
          </w:p>
          <w:p>
            <w:pPr>
              <w:pStyle w:val="TableParagraph"/>
              <w:spacing w:line="309" w:lineRule="auto" w:before="19"/>
              <w:ind w:left="22" w:right="240"/>
              <w:jc w:val="both"/>
              <w:rPr>
                <w:rFonts w:ascii="宋体" w:hAnsi="宋体" w:cs="宋体" w:eastAsia="宋体" w:hint="default"/>
                <w:sz w:val="18"/>
                <w:szCs w:val="18"/>
              </w:rPr>
            </w:pPr>
            <w:r>
              <w:rPr>
                <w:rFonts w:ascii="宋体" w:hAnsi="宋体" w:cs="宋体" w:eastAsia="宋体" w:hint="default"/>
                <w:sz w:val="18"/>
                <w:szCs w:val="18"/>
              </w:rPr>
              <w:t>（减少以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86,396,529.0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 w:right="0"/>
              <w:jc w:val="center"/>
              <w:rPr>
                <w:rFonts w:ascii="Times New Roman" w:hAnsi="Times New Roman" w:cs="Times New Roman" w:eastAsia="Times New Roman" w:hint="default"/>
                <w:sz w:val="18"/>
                <w:szCs w:val="18"/>
              </w:rPr>
            </w:pPr>
            <w:r>
              <w:rPr>
                <w:rFonts w:ascii="Times New Roman"/>
                <w:sz w:val="18"/>
              </w:rPr>
              <w:t>-86,676,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964.92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 w:right="0"/>
              <w:jc w:val="center"/>
              <w:rPr>
                <w:rFonts w:ascii="Times New Roman" w:hAnsi="Times New Roman" w:cs="Times New Roman" w:eastAsia="Times New Roman" w:hint="default"/>
                <w:sz w:val="18"/>
                <w:szCs w:val="18"/>
              </w:rPr>
            </w:pPr>
            <w:r>
              <w:rPr>
                <w:rFonts w:ascii="Times New Roman"/>
                <w:sz w:val="18"/>
              </w:rPr>
              <w:t>-60,380,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293.49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7" w:right="0"/>
              <w:jc w:val="center"/>
              <w:rPr>
                <w:rFonts w:ascii="Times New Roman" w:hAnsi="Times New Roman" w:cs="Times New Roman" w:eastAsia="Times New Roman" w:hint="default"/>
                <w:sz w:val="18"/>
                <w:szCs w:val="18"/>
              </w:rPr>
            </w:pPr>
            <w:r>
              <w:rPr>
                <w:rFonts w:ascii="Times New Roman"/>
                <w:sz w:val="18"/>
              </w:rPr>
              <w:t>2,917,4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62.52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9" w:right="0"/>
              <w:jc w:val="center"/>
              <w:rPr>
                <w:rFonts w:ascii="Times New Roman" w:hAnsi="Times New Roman" w:cs="Times New Roman" w:eastAsia="Times New Roman" w:hint="default"/>
                <w:sz w:val="18"/>
                <w:szCs w:val="18"/>
              </w:rPr>
            </w:pPr>
            <w:r>
              <w:rPr>
                <w:rFonts w:ascii="Times New Roman"/>
                <w:sz w:val="18"/>
              </w:rPr>
              <w:t>6,516,8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62.50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1" w:right="0"/>
              <w:jc w:val="left"/>
              <w:rPr>
                <w:rFonts w:ascii="Times New Roman" w:hAnsi="Times New Roman" w:cs="Times New Roman" w:eastAsia="Times New Roman" w:hint="default"/>
                <w:sz w:val="18"/>
                <w:szCs w:val="18"/>
              </w:rPr>
            </w:pPr>
            <w:r>
              <w:rPr>
                <w:rFonts w:ascii="Times New Roman"/>
                <w:sz w:val="18"/>
              </w:rPr>
              <w:t>35,349,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294.85</w:t>
            </w: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104,883,477.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（一）综合 收益总额</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2,917,4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62.52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68,804,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381.94</w:t>
            </w: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71,721,844.4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（二）所有 者投入和减 少资本</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-132,711.00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-2,095,2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70.17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-60,380,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293.49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58,152,312.3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．所有者投</w:t>
            </w:r>
            <w:r>
              <w:rPr>
                <w:rFonts w:ascii="宋体" w:hAnsi="宋体" w:cs="宋体" w:eastAsia="宋体" w:hint="default"/>
                <w:sz w:val="18"/>
                <w:szCs w:val="18"/>
              </w:rPr>
              <w:t> 入的普通股</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-132,711.00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-169,09</w:t>
            </w:r>
          </w:p>
          <w:p>
            <w:pPr>
              <w:pStyle w:val="TableParagraph"/>
              <w:spacing w:line="240" w:lineRule="auto" w:before="105"/>
              <w:ind w:left="317" w:right="0"/>
              <w:jc w:val="left"/>
              <w:rPr>
                <w:rFonts w:ascii="Times New Roman" w:hAnsi="Times New Roman" w:cs="Times New Roman" w:eastAsia="Times New Roman" w:hint="default"/>
                <w:sz w:val="18"/>
                <w:szCs w:val="18"/>
              </w:rPr>
            </w:pPr>
            <w:r>
              <w:rPr>
                <w:rFonts w:ascii="Times New Roman"/>
                <w:sz w:val="18"/>
              </w:rPr>
              <w:t>1.85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-301,802.85</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．其他权益</w:t>
            </w:r>
            <w:r>
              <w:rPr>
                <w:rFonts w:ascii="宋体" w:hAnsi="宋体" w:cs="宋体" w:eastAsia="宋体" w:hint="default"/>
                <w:sz w:val="18"/>
                <w:szCs w:val="18"/>
              </w:rPr>
              <w:t> 工具持有者 投入资本</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．股份支付</w:t>
            </w:r>
            <w:r>
              <w:rPr>
                <w:rFonts w:ascii="宋体" w:hAnsi="宋体" w:cs="宋体" w:eastAsia="宋体" w:hint="default"/>
                <w:sz w:val="18"/>
                <w:szCs w:val="18"/>
              </w:rPr>
              <w:t> 计入所有者 权益的金额</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-1,926,1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78.32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-60,380,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293.49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58,454,115.1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（三）利润 分配</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6,516,8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62.50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-33,455,</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087.09</w:t>
            </w: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-26,938,224.5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．提取盈余</w:t>
            </w:r>
            <w:r>
              <w:rPr>
                <w:rFonts w:ascii="宋体" w:hAnsi="宋体" w:cs="宋体" w:eastAsia="宋体" w:hint="default"/>
                <w:sz w:val="18"/>
                <w:szCs w:val="18"/>
              </w:rPr>
              <w:t> 公积</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6,516,8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62.50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-6,516,8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62.50</w:t>
            </w: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．提取一般</w:t>
            </w:r>
            <w:r>
              <w:rPr>
                <w:rFonts w:ascii="宋体" w:hAnsi="宋体" w:cs="宋体" w:eastAsia="宋体" w:hint="default"/>
                <w:sz w:val="18"/>
                <w:szCs w:val="18"/>
              </w:rPr>
              <w:t> 风险准备</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．对所有者</w:t>
            </w:r>
          </w:p>
          <w:p>
            <w:pPr>
              <w:pStyle w:val="TableParagraph"/>
              <w:spacing w:line="319" w:lineRule="auto" w:before="62"/>
              <w:ind w:left="22" w:right="60"/>
              <w:jc w:val="left"/>
              <w:rPr>
                <w:rFonts w:ascii="宋体" w:hAnsi="宋体" w:cs="宋体" w:eastAsia="宋体" w:hint="default"/>
                <w:sz w:val="18"/>
                <w:szCs w:val="18"/>
              </w:rPr>
            </w:pPr>
            <w:r>
              <w:rPr>
                <w:rFonts w:ascii="宋体" w:hAnsi="宋体" w:cs="宋体" w:eastAsia="宋体" w:hint="default"/>
                <w:sz w:val="18"/>
                <w:szCs w:val="18"/>
              </w:rPr>
              <w:t>（或股东） 的分配</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-26,938,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224.59</w:t>
            </w: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-26,938,224.5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007"/>
        <w:gridCol w:w="530"/>
        <w:gridCol w:w="532"/>
        <w:gridCol w:w="530"/>
        <w:gridCol w:w="665"/>
        <w:gridCol w:w="665"/>
        <w:gridCol w:w="665"/>
        <w:gridCol w:w="665"/>
        <w:gridCol w:w="664"/>
        <w:gridCol w:w="666"/>
        <w:gridCol w:w="665"/>
        <w:gridCol w:w="259"/>
        <w:gridCol w:w="1064"/>
      </w:tblGrid>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（四）所有 者权益内部 结转</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86,529,240.0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-86,529,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．资本公积</w:t>
            </w:r>
            <w:r>
              <w:rPr>
                <w:rFonts w:ascii="宋体" w:hAnsi="宋体" w:cs="宋体" w:eastAsia="宋体" w:hint="default"/>
                <w:sz w:val="18"/>
                <w:szCs w:val="18"/>
              </w:rPr>
              <w:t> 转增资本</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86,529,240.0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-86,529,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．盈余公积</w:t>
            </w:r>
            <w:r>
              <w:rPr>
                <w:rFonts w:ascii="宋体" w:hAnsi="宋体" w:cs="宋体" w:eastAsia="宋体" w:hint="default"/>
                <w:sz w:val="18"/>
                <w:szCs w:val="18"/>
              </w:rPr>
              <w:t> 转增资本</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．盈余公积</w:t>
            </w:r>
            <w:r>
              <w:rPr>
                <w:rFonts w:ascii="宋体" w:hAnsi="宋体" w:cs="宋体" w:eastAsia="宋体" w:hint="default"/>
                <w:sz w:val="18"/>
                <w:szCs w:val="18"/>
              </w:rPr>
              <w:t> 弥补亏损</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．设定受益</w:t>
            </w:r>
            <w:r>
              <w:rPr>
                <w:rFonts w:ascii="宋体" w:hAnsi="宋体" w:cs="宋体" w:eastAsia="宋体" w:hint="default"/>
                <w:sz w:val="18"/>
                <w:szCs w:val="18"/>
              </w:rPr>
              <w:t> 计划变动额 结转留存收 益</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（五）专项 储备</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．本期提取</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．本期使用</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07"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1,947,5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45.25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1,947,545.25</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四、本期期 末余额</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194,282,079.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595,996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,446.74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104,047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,153.71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1,895,2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02.84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58,410,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201.45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307,667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,769.39</w:t>
            </w:r>
          </w:p>
        </w:tc>
        <w:tc>
          <w:tcPr>
            <w:tcW w:w="2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1,054,204,54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5.71</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103,90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2,900.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578,068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,006.80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99,289,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776.00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904,665</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43,395,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953.15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218,992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,123.78</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845,973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,873.10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103,90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2,900.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578,068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,006.80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99,289,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776.00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904,665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43,395,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218,992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,123.78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845,973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,873.10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3,982,</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650.00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104,605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,404.86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65,137,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671.20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-1,926,9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25.05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8,497,3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85.80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53,326,</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350.76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103,347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,195.17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-1,926,9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25.05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88,163,</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361.56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86,236,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436.51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3,982,</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650.00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104,605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,404.86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65,137,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671.20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43,450,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383.66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3,982,</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650.00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91,881,</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295.27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95,863,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945.27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12,724,</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109.59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65,137,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671.20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-52,413,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561.61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8,497,3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85.80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-34,837,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010.80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-26,339,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625.00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8,497,3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85.80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-8,497,3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85.80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-26,339,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625.00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-26,339,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625.00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107,88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5,550.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682,673</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,411.66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164,427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,447.20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-1,022,2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59.68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51,893,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338.95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272,318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,474.54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949,321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,068.27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62"/>
      <w:bookmarkEnd w:id="16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107,885,</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550.00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684,627,1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16.99</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9"/>
              <w:ind w:left="45" w:right="0"/>
              <w:jc w:val="left"/>
              <w:rPr>
                <w:rFonts w:ascii="Times New Roman" w:hAnsi="Times New Roman" w:cs="Times New Roman" w:eastAsia="Times New Roman" w:hint="default"/>
                <w:sz w:val="18"/>
                <w:szCs w:val="18"/>
              </w:rPr>
            </w:pPr>
            <w:r>
              <w:rPr>
                <w:rFonts w:ascii="Times New Roman"/>
                <w:sz w:val="18"/>
              </w:rPr>
              <w:t>164,427,4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47.20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51,893,33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8.95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257,486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,080.92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937,464,6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39.66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107,885,</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550.00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684,627,1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16.99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164,427,4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47.20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51,893,33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8.95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257,486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,080.92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937,464,6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39.66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86,396,5</w:t>
            </w:r>
          </w:p>
          <w:p>
            <w:pPr>
              <w:pStyle w:val="TableParagraph"/>
              <w:spacing w:line="240" w:lineRule="auto" w:before="106"/>
              <w:ind w:left="241" w:right="0"/>
              <w:jc w:val="left"/>
              <w:rPr>
                <w:rFonts w:ascii="Times New Roman" w:hAnsi="Times New Roman" w:cs="Times New Roman" w:eastAsia="Times New Roman" w:hint="default"/>
                <w:sz w:val="18"/>
                <w:szCs w:val="18"/>
              </w:rPr>
            </w:pPr>
            <w:r>
              <w:rPr>
                <w:rFonts w:ascii="Times New Roman"/>
                <w:sz w:val="18"/>
              </w:rPr>
              <w:t>29.00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-88,624,5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10.17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-60,380,2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93.49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6,516,862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31,713,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537.86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96,382,71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2.68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65,168,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624.95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65,168,62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4.95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-132,71</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-2,095,27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-60,380,2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93.49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58,152,31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2.32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-132,71</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-169,091.</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-301,802.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-1,926,17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-60,380,2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93.49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58,454,11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6,516,862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-33,455,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087.09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-26,938,2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24.59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6,516,862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-6,516,8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62.50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-26,938,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224.59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-26,938,2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24.59</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86,529,2</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-86,529,2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86,529,2</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-86,529,2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194,282,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079.00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596,002,6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06.82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104,047,1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53.71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58,410,20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1.45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289,199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,618.78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1,033,847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,352.34</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2"/>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1"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10" w:space="0" w:color="D2D2D2"/>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103,902,</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900.00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580,021,7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12.13</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99,289,77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6.00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43,395,95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3.15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207,349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,233.68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835,380,0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22.96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103,902,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580,021,7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12.13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99,289,77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43,395,95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207,349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,233.68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835,380,0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22.96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3,982,65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104,605,4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04.86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65,137,67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8,497,385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50,136,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847.24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102,084,6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16.70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84,973,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858.04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84,973,85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8.04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3,982,65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104,605,4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04.86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65,137,67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43,450,38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3.66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3,982,65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91,881,29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95,863,94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5.27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12,724,10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65,137,67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-52,413,5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61.61</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8,497,385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-34,837,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010.80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-26,339,6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25.00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8,497,385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-8,497,3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85.80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-26,339,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625.00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-26,339,6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107,885,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550.00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684,627,1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16.99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164,427,4</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47.20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51,893,33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257,486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,080.92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937,464,6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39.66</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63"/>
      <w:bookmarkEnd w:id="163"/>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（一）公司概况</w:t>
      </w:r>
      <w:r>
        <w:rPr>
          <w:b w:val="0"/>
          <w:bCs w:val="0"/>
        </w:rPr>
      </w:r>
    </w:p>
    <w:p>
      <w:pPr>
        <w:pStyle w:val="Heading4"/>
        <w:spacing w:line="430" w:lineRule="atLeast" w:before="18"/>
        <w:ind w:left="574" w:right="1118" w:hanging="420"/>
        <w:jc w:val="left"/>
      </w:pPr>
      <w:r>
        <w:rPr>
          <w:rFonts w:ascii="Times New Roman" w:hAnsi="Times New Roman" w:cs="Times New Roman" w:eastAsia="Times New Roman" w:hint="default"/>
          <w:b/>
          <w:bCs/>
        </w:rPr>
        <w:t>1</w:t>
      </w:r>
      <w:r>
        <w:rPr>
          <w:rFonts w:ascii="宋体" w:hAnsi="宋体" w:cs="宋体" w:eastAsia="宋体" w:hint="default"/>
          <w:b/>
          <w:bCs/>
        </w:rPr>
        <w:t>、公司历史沿革</w:t>
      </w:r>
      <w:r>
        <w:rPr>
          <w:rFonts w:ascii="宋体" w:hAnsi="宋体" w:cs="宋体" w:eastAsia="宋体" w:hint="default"/>
          <w:b/>
          <w:bCs/>
          <w:w w:val="99"/>
        </w:rPr>
        <w:t> </w:t>
      </w:r>
      <w:r>
        <w:rPr/>
        <w:t>深圳四方精创资讯股份有限公司（以下简称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四方精创</w:t>
      </w:r>
      <w:r>
        <w:rPr>
          <w:rFonts w:ascii="Times New Roman" w:hAnsi="Times New Roman" w:cs="Times New Roman" w:eastAsia="Times New Roman" w:hint="default"/>
        </w:rPr>
        <w:t>”</w:t>
      </w:r>
      <w:r>
        <w:rPr/>
        <w:t>）前身为四方精创资讯</w:t>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有限公</w:t>
      </w:r>
    </w:p>
    <w:p>
      <w:pPr>
        <w:pStyle w:val="Heading4"/>
        <w:spacing w:line="256" w:lineRule="auto" w:before="21"/>
        <w:ind w:right="1116" w:firstLine="0"/>
        <w:jc w:val="left"/>
      </w:pPr>
      <w:r>
        <w:rPr/>
        <w:t>司（以下简称</w:t>
      </w:r>
      <w:r>
        <w:rPr>
          <w:rFonts w:ascii="Times New Roman" w:hAnsi="Times New Roman" w:cs="Times New Roman" w:eastAsia="Times New Roman" w:hint="default"/>
        </w:rPr>
        <w:t>“</w:t>
      </w:r>
      <w:r>
        <w:rPr/>
        <w:t>四方有限</w:t>
      </w:r>
      <w:r>
        <w:rPr>
          <w:rFonts w:ascii="Times New Roman" w:hAnsi="Times New Roman" w:cs="Times New Roman" w:eastAsia="Times New Roman" w:hint="default"/>
        </w:rPr>
        <w:t>”</w:t>
      </w:r>
      <w:r>
        <w:rPr/>
        <w:t>），成立于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日，成立时注册资本人民币</w:t>
      </w:r>
      <w:r>
        <w:rPr>
          <w:rFonts w:ascii="Times New Roman" w:hAnsi="Times New Roman" w:cs="Times New Roman" w:eastAsia="Times New Roman" w:hint="default"/>
        </w:rPr>
        <w:t>100</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日四 方精创领取股份公司营业执照，注册号为</w:t>
      </w:r>
      <w:r>
        <w:rPr>
          <w:rFonts w:ascii="Times New Roman" w:hAnsi="Times New Roman" w:cs="Times New Roman" w:eastAsia="Times New Roman" w:hint="default"/>
        </w:rPr>
        <w:t>440301503230043</w:t>
      </w:r>
      <w:r>
        <w:rPr/>
        <w:t>号，股本为人民币</w:t>
      </w:r>
      <w:r>
        <w:rPr>
          <w:rFonts w:ascii="Times New Roman" w:hAnsi="Times New Roman" w:cs="Times New Roman" w:eastAsia="Times New Roman" w:hint="default"/>
        </w:rPr>
        <w:t>7500</w:t>
      </w:r>
      <w:r>
        <w:rPr/>
        <w:t>万元。</w:t>
      </w:r>
    </w:p>
    <w:p>
      <w:pPr>
        <w:pStyle w:val="Heading4"/>
        <w:spacing w:line="256" w:lineRule="auto"/>
        <w:ind w:right="1028"/>
        <w:jc w:val="left"/>
      </w:pPr>
      <w:r>
        <w:rPr/>
        <w:t>根据四方精创</w:t>
      </w:r>
      <w:r>
        <w:rPr>
          <w:rFonts w:ascii="Times New Roman" w:hAnsi="Times New Roman" w:cs="Times New Roman" w:eastAsia="Times New Roman" w:hint="default"/>
        </w:rPr>
        <w:t>2014</w:t>
      </w:r>
      <w:r>
        <w:rPr/>
        <w:t>年第一次临时股东大会决议，同时经中国证券监督管理委员会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w:t>
      </w:r>
      <w:r>
        <w:rPr/>
        <w:t>］ </w:t>
      </w:r>
      <w:r>
        <w:rPr>
          <w:rFonts w:ascii="Times New Roman" w:hAnsi="Times New Roman" w:cs="Times New Roman" w:eastAsia="Times New Roman" w:hint="default"/>
        </w:rPr>
        <w:t>840</w:t>
      </w:r>
      <w:r>
        <w:rPr/>
        <w:t>号</w:t>
      </w:r>
      <w:r>
        <w:rPr>
          <w:rFonts w:ascii="Times New Roman" w:hAnsi="Times New Roman" w:cs="Times New Roman" w:eastAsia="Times New Roman" w:hint="default"/>
        </w:rPr>
        <w:t>”</w:t>
      </w:r>
      <w:r>
        <w:rPr/>
        <w:t>文《关于核准深圳四方精创资讯股份有限公司首次公开发行股票的批复》，公司于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w:t>
      </w:r>
      <w:r>
        <w:rPr>
          <w:spacing w:val="-15"/>
        </w:rPr>
        <w:t> </w:t>
      </w:r>
      <w:r>
        <w:rPr>
          <w:spacing w:val="-4"/>
        </w:rPr>
        <w:t>向社会公众发行人民币普通股（</w:t>
      </w:r>
      <w:r>
        <w:rPr>
          <w:rFonts w:ascii="Times New Roman" w:hAnsi="Times New Roman" w:cs="Times New Roman" w:eastAsia="Times New Roman" w:hint="default"/>
          <w:spacing w:val="-4"/>
        </w:rPr>
        <w:t>A</w:t>
      </w:r>
      <w:r>
        <w:rPr>
          <w:spacing w:val="-4"/>
        </w:rPr>
        <w:t>股）</w:t>
      </w:r>
      <w:r>
        <w:rPr>
          <w:rFonts w:ascii="Times New Roman" w:hAnsi="Times New Roman" w:cs="Times New Roman" w:eastAsia="Times New Roman" w:hint="default"/>
          <w:spacing w:val="-4"/>
        </w:rPr>
        <w:t>2,500</w:t>
      </w:r>
      <w:r>
        <w:rPr>
          <w:spacing w:val="-4"/>
        </w:rPr>
        <w:t>万股，每股面值</w:t>
      </w:r>
      <w:r>
        <w:rPr>
          <w:rFonts w:ascii="Times New Roman" w:hAnsi="Times New Roman" w:cs="Times New Roman" w:eastAsia="Times New Roman" w:hint="default"/>
          <w:spacing w:val="-4"/>
        </w:rPr>
        <w:t>1</w:t>
      </w:r>
      <w:r>
        <w:rPr>
          <w:spacing w:val="-4"/>
        </w:rPr>
        <w:t>元。公司现有股本</w:t>
      </w:r>
      <w:r>
        <w:rPr>
          <w:rFonts w:ascii="Times New Roman" w:hAnsi="Times New Roman" w:cs="Times New Roman" w:eastAsia="Times New Roman" w:hint="default"/>
          <w:spacing w:val="-4"/>
        </w:rPr>
        <w:t>10,000</w:t>
      </w:r>
      <w:r>
        <w:rPr>
          <w:spacing w:val="-4"/>
        </w:rPr>
        <w:t>万元，法定代表人为：</w:t>
      </w:r>
      <w:r>
        <w:rPr>
          <w:spacing w:val="-68"/>
        </w:rPr>
        <w:t> </w:t>
      </w:r>
      <w:r>
        <w:rPr>
          <w:spacing w:val="-68"/>
        </w:rPr>
      </w:r>
      <w:r>
        <w:rPr/>
        <w:t>周志群。</w:t>
      </w:r>
    </w:p>
    <w:p>
      <w:pPr>
        <w:pStyle w:val="Heading4"/>
        <w:spacing w:line="264" w:lineRule="auto" w:before="142"/>
        <w:ind w:right="111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13</w:t>
      </w:r>
      <w:r>
        <w:rPr/>
        <w:t>日，根据公司</w:t>
      </w:r>
      <w:r>
        <w:rPr>
          <w:rFonts w:ascii="Times New Roman" w:hAnsi="Times New Roman" w:cs="Times New Roman" w:eastAsia="Times New Roman" w:hint="default"/>
        </w:rPr>
        <w:t>2016</w:t>
      </w:r>
      <w:r>
        <w:rPr>
          <w:rFonts w:ascii="Times New Roman" w:hAnsi="Times New Roman" w:cs="Times New Roman" w:eastAsia="Times New Roman" w:hint="default"/>
          <w:spacing w:val="15"/>
        </w:rPr>
        <w:t> </w:t>
      </w:r>
      <w:r>
        <w:rPr/>
        <w:t>年第一次临时股东大会会议审议通过的《关于审核</w:t>
      </w:r>
      <w:r>
        <w:rPr>
          <w:rFonts w:ascii="Times New Roman" w:hAnsi="Times New Roman" w:cs="Times New Roman" w:eastAsia="Times New Roman" w:hint="default"/>
        </w:rPr>
        <w:t>&lt;</w:t>
      </w:r>
      <w:r>
        <w:rPr/>
        <w:t>深圳四方精创资 讯股份有限公司限制性股票激励计划（草案）</w:t>
      </w:r>
      <w:r>
        <w:rPr>
          <w:rFonts w:ascii="Times New Roman" w:hAnsi="Times New Roman" w:cs="Times New Roman" w:eastAsia="Times New Roman" w:hint="default"/>
        </w:rPr>
        <w:t>&gt;</w:t>
      </w:r>
      <w:r>
        <w:rPr/>
        <w:t>及其摘要的议案》、《关于授权董事会办理公司限制性股</w:t>
      </w:r>
      <w:r>
        <w:rPr>
          <w:spacing w:val="-46"/>
        </w:rPr>
        <w:t> </w:t>
      </w:r>
      <w:r>
        <w:rPr>
          <w:spacing w:val="-46"/>
        </w:rPr>
      </w:r>
      <w:r>
        <w:rPr>
          <w:spacing w:val="-1"/>
        </w:rPr>
        <w:t>票激励计划相关事宜的议案》，第二届董事会第九次会议审议通过的《关于向激励对象授予限制性股票的</w:t>
      </w:r>
      <w:r>
        <w:rPr>
          <w:spacing w:val="-83"/>
        </w:rPr>
        <w:t> </w:t>
      </w:r>
      <w:r>
        <w:rPr>
          <w:spacing w:val="-83"/>
        </w:rPr>
      </w:r>
      <w:r>
        <w:rPr/>
        <w:t>议案》，公司向包括公司董事及高级管理人员、公司中层管理人员、公司核心技术人员及核心业务人员， 以</w:t>
      </w:r>
      <w:r>
        <w:rPr>
          <w:rFonts w:ascii="Times New Roman" w:hAnsi="Times New Roman" w:cs="Times New Roman" w:eastAsia="Times New Roman" w:hint="default"/>
        </w:rPr>
        <w:t>25.59</w:t>
      </w:r>
      <w:r>
        <w:rPr/>
        <w:t>元</w:t>
      </w:r>
      <w:r>
        <w:rPr>
          <w:rFonts w:ascii="Times New Roman" w:hAnsi="Times New Roman" w:cs="Times New Roman" w:eastAsia="Times New Roman" w:hint="default"/>
        </w:rPr>
        <w:t>/</w:t>
      </w:r>
      <w:r>
        <w:rPr/>
        <w:t>股的价格授予限制性股票</w:t>
      </w:r>
      <w:r>
        <w:rPr>
          <w:rFonts w:ascii="Times New Roman" w:hAnsi="Times New Roman" w:cs="Times New Roman" w:eastAsia="Times New Roman" w:hint="default"/>
        </w:rPr>
        <w:t>3,921,500.00</w:t>
      </w:r>
      <w:r>
        <w:rPr/>
        <w:t>股，变更后的股本为人民币</w:t>
      </w:r>
      <w:r>
        <w:rPr>
          <w:rFonts w:ascii="Times New Roman" w:hAnsi="Times New Roman" w:cs="Times New Roman" w:eastAsia="Times New Roman" w:hint="default"/>
        </w:rPr>
        <w:t>103,921,500.00</w:t>
      </w:r>
      <w:r>
        <w:rPr/>
        <w:t>元。</w:t>
      </w:r>
    </w:p>
    <w:p>
      <w:pPr>
        <w:pStyle w:val="Heading4"/>
        <w:spacing w:line="256" w:lineRule="auto" w:before="118"/>
        <w:ind w:right="1132"/>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日，根据公司第二届董事会第十三次会议决议通过的《关于回购注销部分已授予限制性 </w:t>
      </w:r>
      <w:r>
        <w:rPr>
          <w:spacing w:val="20"/>
        </w:rPr>
        <w:t>股票的议案》，回购注销离职员工已授予的限制性股票</w:t>
      </w:r>
      <w:r>
        <w:rPr>
          <w:spacing w:val="-82"/>
        </w:rPr>
        <w:t> </w:t>
      </w:r>
      <w:r>
        <w:rPr>
          <w:rFonts w:ascii="Times New Roman" w:hAnsi="Times New Roman" w:cs="Times New Roman" w:eastAsia="Times New Roman" w:hint="default"/>
        </w:rPr>
        <w:t>18,600.00</w:t>
      </w:r>
      <w:r>
        <w:rPr>
          <w:rFonts w:ascii="Times New Roman" w:hAnsi="Times New Roman" w:cs="Times New Roman" w:eastAsia="Times New Roman" w:hint="default"/>
          <w:spacing w:val="-30"/>
        </w:rPr>
        <w:t> </w:t>
      </w:r>
      <w:r>
        <w:rPr>
          <w:spacing w:val="10"/>
        </w:rPr>
        <w:t>股，</w:t>
      </w:r>
      <w:r>
        <w:rPr>
          <w:spacing w:val="-84"/>
        </w:rPr>
        <w:t> </w:t>
      </w:r>
      <w:r>
        <w:rPr>
          <w:spacing w:val="19"/>
        </w:rPr>
        <w:t>公司变更后的的注册资本为</w:t>
      </w:r>
      <w:r>
        <w:rPr/>
        <w:t> </w:t>
      </w:r>
      <w:r>
        <w:rPr>
          <w:rFonts w:ascii="Times New Roman" w:hAnsi="Times New Roman" w:cs="Times New Roman" w:eastAsia="Times New Roman" w:hint="default"/>
        </w:rPr>
        <w:t>103,902,900.00</w:t>
      </w:r>
      <w:r>
        <w:rPr/>
        <w:t>元。</w:t>
      </w:r>
    </w:p>
    <w:p>
      <w:pPr>
        <w:pStyle w:val="Heading4"/>
        <w:spacing w:line="256" w:lineRule="auto"/>
        <w:ind w:right="1132"/>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年第一次临时股东大会会议审议通过的《关于审核</w:t>
      </w:r>
      <w:r>
        <w:rPr>
          <w:rFonts w:ascii="Times New Roman" w:hAnsi="Times New Roman" w:cs="Times New Roman" w:eastAsia="Times New Roman" w:hint="default"/>
        </w:rPr>
        <w:t>&lt;</w:t>
      </w:r>
      <w:r>
        <w:rPr/>
        <w:t>深 圳四方精创资讯股份有限公司限制性股票激励计划（草案）</w:t>
      </w:r>
      <w:r>
        <w:rPr>
          <w:rFonts w:ascii="Times New Roman" w:hAnsi="Times New Roman" w:cs="Times New Roman" w:eastAsia="Times New Roman" w:hint="default"/>
        </w:rPr>
        <w:t>&gt;</w:t>
      </w:r>
      <w:r>
        <w:rPr/>
        <w:t>及其摘要的议案》以及第二届董事会第十五</w:t>
      </w:r>
      <w:r>
        <w:rPr>
          <w:spacing w:val="-45"/>
        </w:rPr>
        <w:t> </w:t>
      </w:r>
      <w:r>
        <w:rPr>
          <w:spacing w:val="-45"/>
        </w:rPr>
      </w:r>
      <w:r>
        <w:rPr/>
        <w:t>次会议决议通过的《关于向激励对象授予预留限制性股票的议案》，公司以</w:t>
      </w:r>
      <w:r>
        <w:rPr>
          <w:rFonts w:ascii="Times New Roman" w:hAnsi="Times New Roman" w:cs="Times New Roman" w:eastAsia="Times New Roman" w:hint="default"/>
        </w:rPr>
        <w:t>28.90</w:t>
      </w:r>
      <w:r>
        <w:rPr/>
        <w:t>元</w:t>
      </w:r>
      <w:r>
        <w:rPr>
          <w:rFonts w:ascii="Times New Roman" w:hAnsi="Times New Roman" w:cs="Times New Roman" w:eastAsia="Times New Roman" w:hint="default"/>
        </w:rPr>
        <w:t>/</w:t>
      </w:r>
      <w:r>
        <w:rPr/>
        <w:t>股的价格向刘童授予</w:t>
      </w:r>
      <w:r>
        <w:rPr>
          <w:spacing w:val="-36"/>
        </w:rPr>
        <w:t> </w:t>
      </w:r>
      <w:r>
        <w:rPr>
          <w:spacing w:val="-36"/>
        </w:rPr>
      </w:r>
      <w:r>
        <w:rPr>
          <w:rFonts w:ascii="Times New Roman" w:hAnsi="Times New Roman" w:cs="Times New Roman" w:eastAsia="Times New Roman" w:hint="default"/>
        </w:rPr>
        <w:t>430,000.00</w:t>
      </w:r>
      <w:r>
        <w:rPr/>
        <w:t>股限制性股票，变更后的股本为人民币</w:t>
      </w:r>
      <w:r>
        <w:rPr>
          <w:rFonts w:ascii="Times New Roman" w:hAnsi="Times New Roman" w:cs="Times New Roman" w:eastAsia="Times New Roman" w:hint="default"/>
        </w:rPr>
        <w:t>104,332,900.00</w:t>
      </w:r>
      <w:r>
        <w:rPr/>
        <w:t>元。</w:t>
      </w:r>
    </w:p>
    <w:p>
      <w:pPr>
        <w:pStyle w:val="Heading4"/>
        <w:spacing w:line="256" w:lineRule="auto"/>
        <w:ind w:right="1128"/>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13</w:t>
      </w:r>
      <w:r>
        <w:rPr>
          <w:spacing w:val="-1"/>
        </w:rPr>
        <w:t>日，根据公司</w:t>
      </w:r>
      <w:r>
        <w:rPr>
          <w:rFonts w:ascii="Times New Roman" w:hAnsi="Times New Roman" w:cs="Times New Roman" w:eastAsia="Times New Roman" w:hint="default"/>
          <w:spacing w:val="-1"/>
        </w:rPr>
        <w:t>2017</w:t>
      </w:r>
      <w:r>
        <w:rPr>
          <w:spacing w:val="-1"/>
        </w:rPr>
        <w:t>年第一次临时股东大会会议审议通过的《关于审核</w:t>
      </w:r>
      <w:r>
        <w:rPr>
          <w:rFonts w:ascii="Times New Roman" w:hAnsi="Times New Roman" w:cs="Times New Roman" w:eastAsia="Times New Roman" w:hint="default"/>
          <w:spacing w:val="-1"/>
        </w:rPr>
        <w:t>&lt;</w:t>
      </w:r>
      <w:r>
        <w:rPr>
          <w:spacing w:val="-1"/>
        </w:rPr>
        <w:t>深圳四方精创资讯</w:t>
      </w:r>
      <w:r>
        <w:rPr/>
        <w:t> 股份有限公司限制性股票激励计划（草案）</w:t>
      </w:r>
      <w:r>
        <w:rPr>
          <w:rFonts w:ascii="Times New Roman" w:hAnsi="Times New Roman" w:cs="Times New Roman" w:eastAsia="Times New Roman" w:hint="default"/>
        </w:rPr>
        <w:t>&gt;</w:t>
      </w:r>
      <w:r>
        <w:rPr/>
        <w:t>及其摘要的议案》以及第二届董事会第十七次会议决议通过</w:t>
      </w:r>
      <w:r>
        <w:rPr>
          <w:spacing w:val="-46"/>
        </w:rPr>
        <w:t> </w:t>
      </w:r>
      <w:r>
        <w:rPr>
          <w:spacing w:val="-46"/>
        </w:rPr>
      </w:r>
      <w:r>
        <w:rPr/>
        <w:t>的《关于向激励对象授予限制性股票的议案》，四方精创以</w:t>
      </w:r>
      <w:r>
        <w:rPr>
          <w:rFonts w:ascii="Times New Roman" w:hAnsi="Times New Roman" w:cs="Times New Roman" w:eastAsia="Times New Roman" w:hint="default"/>
        </w:rPr>
        <w:t>28.90</w:t>
      </w:r>
      <w:r>
        <w:rPr/>
        <w:t>元</w:t>
      </w:r>
      <w:r>
        <w:rPr>
          <w:rFonts w:ascii="Times New Roman" w:hAnsi="Times New Roman" w:cs="Times New Roman" w:eastAsia="Times New Roman" w:hint="default"/>
        </w:rPr>
        <w:t>/</w:t>
      </w:r>
      <w:r>
        <w:rPr/>
        <w:t>股的价格向激励对象授予</w:t>
      </w:r>
      <w:r>
        <w:rPr>
          <w:rFonts w:ascii="Times New Roman" w:hAnsi="Times New Roman" w:cs="Times New Roman" w:eastAsia="Times New Roman" w:hint="default"/>
        </w:rPr>
        <w:t>1,076,800.00</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股限制性股票，变更后的股本为人民币</w:t>
      </w:r>
      <w:r>
        <w:rPr>
          <w:rFonts w:ascii="Times New Roman" w:hAnsi="Times New Roman" w:cs="Times New Roman" w:eastAsia="Times New Roman" w:hint="default"/>
        </w:rPr>
        <w:t>105,409,700.00</w:t>
      </w:r>
      <w:r>
        <w:rPr/>
        <w:t>元。</w:t>
      </w:r>
    </w:p>
    <w:p>
      <w:pPr>
        <w:pStyle w:val="Heading4"/>
        <w:spacing w:line="264" w:lineRule="auto"/>
        <w:ind w:right="1133"/>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日，根据四方精创第二届董事会第二十三次会议决议通过的《关于回购注销部分已授予 </w:t>
      </w:r>
      <w:r>
        <w:rPr>
          <w:spacing w:val="-1"/>
        </w:rPr>
        <w:t>限制性股票的议案》，四方精创回购注销部分已授予限制性股票，向邱玉龙、李林毅、黄兰雪及王小帅回</w:t>
      </w:r>
      <w:r>
        <w:rPr>
          <w:spacing w:val="-83"/>
        </w:rPr>
        <w:t> </w:t>
      </w:r>
      <w:r>
        <w:rPr>
          <w:spacing w:val="-83"/>
        </w:rPr>
      </w:r>
      <w:r>
        <w:rPr/>
        <w:t>购</w:t>
      </w:r>
      <w:r>
        <w:rPr>
          <w:rFonts w:ascii="Times New Roman" w:hAnsi="Times New Roman" w:cs="Times New Roman" w:eastAsia="Times New Roman" w:hint="default"/>
        </w:rPr>
        <w:t>37,550</w:t>
      </w:r>
      <w:r>
        <w:rPr/>
        <w:t>股，申请减少注册资本</w:t>
      </w:r>
      <w:r>
        <w:rPr>
          <w:rFonts w:ascii="Times New Roman" w:hAnsi="Times New Roman" w:cs="Times New Roman" w:eastAsia="Times New Roman" w:hint="default"/>
        </w:rPr>
        <w:t>37,550.00</w:t>
      </w:r>
      <w:r>
        <w:rPr/>
        <w:t>元</w:t>
      </w:r>
      <w:r>
        <w:rPr>
          <w:rFonts w:ascii="Times New Roman" w:hAnsi="Times New Roman" w:cs="Times New Roman" w:eastAsia="Times New Roman" w:hint="default"/>
        </w:rPr>
        <w:t>,</w:t>
      </w:r>
      <w:r>
        <w:rPr/>
        <w:t>变更后的的注册资本为人民币</w:t>
      </w:r>
      <w:r>
        <w:rPr>
          <w:rFonts w:ascii="Times New Roman" w:hAnsi="Times New Roman" w:cs="Times New Roman" w:eastAsia="Times New Roman" w:hint="default"/>
        </w:rPr>
        <w:t>105,372,150.00</w:t>
      </w:r>
      <w:r>
        <w:rPr/>
        <w:t>元。</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56" w:lineRule="auto" w:before="35"/>
        <w:ind w:right="113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日，根据公司</w:t>
      </w:r>
      <w:r>
        <w:rPr>
          <w:rFonts w:ascii="Times New Roman" w:hAnsi="Times New Roman" w:cs="Times New Roman" w:eastAsia="Times New Roman" w:hint="default"/>
        </w:rPr>
        <w:t>2017</w:t>
      </w:r>
      <w:r>
        <w:rPr/>
        <w:t>年第二次临时股东大会会议审议通过的《关于审核</w:t>
      </w:r>
      <w:r>
        <w:rPr>
          <w:rFonts w:ascii="Times New Roman" w:hAnsi="Times New Roman" w:cs="Times New Roman" w:eastAsia="Times New Roman" w:hint="default"/>
        </w:rPr>
        <w:t>&lt;</w:t>
      </w:r>
      <w:r>
        <w:rPr/>
        <w:t>深圳四方精创资 讯股份有限公司</w:t>
      </w:r>
      <w:r>
        <w:rPr>
          <w:rFonts w:ascii="Times New Roman" w:hAnsi="Times New Roman" w:cs="Times New Roman" w:eastAsia="Times New Roman" w:hint="default"/>
        </w:rPr>
        <w:t>2017</w:t>
      </w:r>
      <w:r>
        <w:rPr/>
        <w:t>年限制性股票激励计划（草案）</w:t>
      </w:r>
      <w:r>
        <w:rPr>
          <w:rFonts w:ascii="Times New Roman" w:hAnsi="Times New Roman" w:cs="Times New Roman" w:eastAsia="Times New Roman" w:hint="default"/>
        </w:rPr>
        <w:t>&gt;</w:t>
      </w:r>
      <w:r>
        <w:rPr/>
        <w:t>及其摘要的议案》及第二届董事会第二十六次会议</w:t>
      </w:r>
      <w:r>
        <w:rPr>
          <w:spacing w:val="-46"/>
        </w:rPr>
        <w:t> </w:t>
      </w:r>
      <w:r>
        <w:rPr>
          <w:spacing w:val="-46"/>
        </w:rPr>
      </w:r>
      <w:r>
        <w:rPr/>
        <w:t>审议通过的《关于向激励对象授予限制性股票的议案》，公司向员工以</w:t>
      </w:r>
      <w:r>
        <w:rPr>
          <w:rFonts w:ascii="Times New Roman" w:hAnsi="Times New Roman" w:cs="Times New Roman" w:eastAsia="Times New Roman" w:hint="default"/>
        </w:rPr>
        <w:t>21.26</w:t>
      </w:r>
      <w:r>
        <w:rPr/>
        <w:t>元</w:t>
      </w:r>
      <w:r>
        <w:rPr>
          <w:rFonts w:ascii="Times New Roman" w:hAnsi="Times New Roman" w:cs="Times New Roman" w:eastAsia="Times New Roman" w:hint="default"/>
        </w:rPr>
        <w:t>/</w:t>
      </w:r>
      <w:r>
        <w:rPr/>
        <w:t>股的价格授予限制性股票</w:t>
      </w:r>
      <w:r>
        <w:rPr>
          <w:spacing w:val="-37"/>
        </w:rPr>
        <w:t> </w:t>
      </w:r>
      <w:r>
        <w:rPr>
          <w:spacing w:val="-37"/>
        </w:rPr>
      </w:r>
      <w:r>
        <w:rPr>
          <w:rFonts w:ascii="Times New Roman" w:hAnsi="Times New Roman" w:cs="Times New Roman" w:eastAsia="Times New Roman" w:hint="default"/>
        </w:rPr>
        <w:t>3,166,300</w:t>
      </w:r>
      <w:r>
        <w:rPr/>
        <w:t>股，分两期执行，第一期向</w:t>
      </w:r>
      <w:r>
        <w:rPr>
          <w:rFonts w:ascii="Times New Roman" w:hAnsi="Times New Roman" w:cs="Times New Roman" w:eastAsia="Times New Roman" w:hint="default"/>
        </w:rPr>
        <w:t>174</w:t>
      </w:r>
      <w:r>
        <w:rPr/>
        <w:t>名激励对象授予</w:t>
      </w:r>
      <w:r>
        <w:rPr>
          <w:rFonts w:ascii="Times New Roman" w:hAnsi="Times New Roman" w:cs="Times New Roman" w:eastAsia="Times New Roman" w:hint="default"/>
        </w:rPr>
        <w:t>2,533,100</w:t>
      </w:r>
      <w:r>
        <w:rPr/>
        <w:t>股，第二期</w:t>
      </w:r>
      <w:r>
        <w:rPr>
          <w:rFonts w:ascii="Times New Roman" w:hAnsi="Times New Roman" w:cs="Times New Roman" w:eastAsia="Times New Roman" w:hint="default"/>
        </w:rPr>
        <w:t>633,200</w:t>
      </w:r>
      <w:r>
        <w:rPr/>
        <w:t>股预留后期授予。由</w:t>
      </w:r>
      <w:r>
        <w:rPr>
          <w:spacing w:val="-81"/>
        </w:rPr>
        <w:t> </w:t>
      </w:r>
      <w:r>
        <w:rPr>
          <w:spacing w:val="-81"/>
        </w:rPr>
      </w:r>
      <w:r>
        <w:rPr>
          <w:spacing w:val="-2"/>
        </w:rPr>
        <w:t>于部分激励对象自愿放弃获得限制性股票的权利，公司本次增加股本人民币</w:t>
      </w:r>
      <w:r>
        <w:rPr>
          <w:rFonts w:ascii="Times New Roman" w:hAnsi="Times New Roman" w:cs="Times New Roman" w:eastAsia="Times New Roman" w:hint="default"/>
          <w:spacing w:val="-2"/>
        </w:rPr>
        <w:t>2,513,400.00</w:t>
      </w:r>
      <w:r>
        <w:rPr>
          <w:spacing w:val="-2"/>
        </w:rPr>
        <w:t>元，变更后的股本</w:t>
      </w:r>
      <w:r>
        <w:rPr>
          <w:spacing w:val="-78"/>
        </w:rPr>
        <w:t> </w:t>
      </w:r>
      <w:r>
        <w:rPr>
          <w:spacing w:val="-78"/>
        </w:rPr>
      </w:r>
      <w:r>
        <w:rPr/>
        <w:t>为人民币</w:t>
      </w:r>
      <w:r>
        <w:rPr>
          <w:rFonts w:ascii="Times New Roman" w:hAnsi="Times New Roman" w:cs="Times New Roman" w:eastAsia="Times New Roman" w:hint="default"/>
        </w:rPr>
        <w:t>107,885,550.00</w:t>
      </w:r>
      <w:r>
        <w:rPr/>
        <w:t>元。</w:t>
      </w:r>
    </w:p>
    <w:p>
      <w:pPr>
        <w:pStyle w:val="Heading4"/>
        <w:spacing w:line="256" w:lineRule="auto"/>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日，召开公司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2017</w:t>
      </w:r>
      <w:r>
        <w:rPr/>
        <w:t>年第一次临时股东大会审议并通过了《关于审核</w:t>
      </w:r>
      <w:r>
        <w:rPr>
          <w:rFonts w:ascii="Times New Roman" w:hAnsi="Times New Roman" w:cs="Times New Roman" w:eastAsia="Times New Roman" w:hint="default"/>
        </w:rPr>
        <w:t>&lt;</w:t>
      </w:r>
      <w:r>
        <w:rPr/>
        <w:t>深圳 四方精创资讯股份有限公司</w:t>
      </w:r>
      <w:r>
        <w:rPr>
          <w:rFonts w:ascii="Times New Roman" w:hAnsi="Times New Roman" w:cs="Times New Roman" w:eastAsia="Times New Roman" w:hint="default"/>
        </w:rPr>
        <w:t>2016</w:t>
      </w:r>
      <w:r>
        <w:rPr/>
        <w:t>年限制性股票激励计划（草案）</w:t>
      </w:r>
      <w:r>
        <w:rPr>
          <w:rFonts w:ascii="Times New Roman" w:hAnsi="Times New Roman" w:cs="Times New Roman" w:eastAsia="Times New Roman" w:hint="default"/>
        </w:rPr>
        <w:t>&gt;</w:t>
      </w:r>
      <w:r>
        <w:rPr/>
        <w:t>及其摘要的议案》及第二届董事会第二</w:t>
      </w:r>
      <w:r>
        <w:rPr>
          <w:spacing w:val="-42"/>
        </w:rPr>
        <w:t> </w:t>
      </w:r>
      <w:r>
        <w:rPr>
          <w:spacing w:val="-42"/>
        </w:rPr>
      </w:r>
      <w:r>
        <w:rPr>
          <w:spacing w:val="-1"/>
        </w:rPr>
        <w:t>十八次会议审议通过的《关于向激励对象授予预留限制性股票的议案》，公司以</w:t>
      </w:r>
      <w:r>
        <w:rPr>
          <w:rFonts w:ascii="Times New Roman" w:hAnsi="Times New Roman" w:cs="Times New Roman" w:eastAsia="Times New Roman" w:hint="default"/>
          <w:spacing w:val="-1"/>
        </w:rPr>
        <w:t>23.82</w:t>
      </w:r>
      <w:r>
        <w:rPr>
          <w:spacing w:val="-1"/>
        </w:rPr>
        <w:t>元</w:t>
      </w:r>
      <w:r>
        <w:rPr>
          <w:rFonts w:ascii="Times New Roman" w:hAnsi="Times New Roman" w:cs="Times New Roman" w:eastAsia="Times New Roman" w:hint="default"/>
          <w:spacing w:val="-1"/>
        </w:rPr>
        <w:t>/</w:t>
      </w:r>
      <w:r>
        <w:rPr>
          <w:spacing w:val="-1"/>
        </w:rPr>
        <w:t>股的价格向王超、</w:t>
      </w:r>
      <w:r>
        <w:rPr>
          <w:spacing w:val="-85"/>
        </w:rPr>
        <w:t> </w:t>
      </w:r>
      <w:r>
        <w:rPr>
          <w:spacing w:val="-85"/>
        </w:rPr>
      </w:r>
      <w:r>
        <w:rPr/>
        <w:t>胡晓宇授予限制性股票</w:t>
      </w:r>
      <w:r>
        <w:rPr>
          <w:rFonts w:ascii="Times New Roman" w:hAnsi="Times New Roman" w:cs="Times New Roman" w:eastAsia="Times New Roman" w:hint="default"/>
        </w:rPr>
        <w:t>276,000</w:t>
      </w:r>
      <w:r>
        <w:rPr/>
        <w:t>股，变更后的股本为人民币</w:t>
      </w:r>
      <w:r>
        <w:rPr>
          <w:rFonts w:ascii="Times New Roman" w:hAnsi="Times New Roman" w:cs="Times New Roman" w:eastAsia="Times New Roman" w:hint="default"/>
        </w:rPr>
        <w:t>108,161,550.00</w:t>
      </w:r>
      <w:r>
        <w:rPr/>
        <w:t>元。</w:t>
      </w:r>
    </w:p>
    <w:p>
      <w:pPr>
        <w:pStyle w:val="Heading4"/>
        <w:spacing w:line="261" w:lineRule="auto"/>
        <w:ind w:right="102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日，召开公司第三届董事会第二次会议审议通过的《关于回购注销部分已授予限制性股 </w:t>
      </w:r>
      <w:r>
        <w:rPr>
          <w:spacing w:val="-3"/>
        </w:rPr>
        <w:t>票的议案》，公司回购注销部分已授予限制性股票，向董玲玲、孙舰、朱炳飞、谭伟明、王海燕、刘海生、</w:t>
      </w:r>
      <w:r>
        <w:rPr>
          <w:spacing w:val="-93"/>
        </w:rPr>
        <w:t> </w:t>
      </w:r>
      <w:r>
        <w:rPr>
          <w:spacing w:val="-93"/>
        </w:rPr>
      </w:r>
      <w:r>
        <w:rPr/>
        <w:t>梅</w:t>
      </w:r>
      <w:r>
        <w:rPr>
          <w:spacing w:val="-77"/>
        </w:rPr>
        <w:t> </w:t>
      </w:r>
      <w:r>
        <w:rPr/>
        <w:t>世</w:t>
      </w:r>
      <w:r>
        <w:rPr>
          <w:spacing w:val="-77"/>
        </w:rPr>
        <w:t> </w:t>
      </w:r>
      <w:r>
        <w:rPr/>
        <w:t>城</w:t>
      </w:r>
      <w:r>
        <w:rPr>
          <w:spacing w:val="-77"/>
        </w:rPr>
        <w:t> </w:t>
      </w:r>
      <w:r>
        <w:rPr/>
        <w:t>、</w:t>
      </w:r>
      <w:r>
        <w:rPr>
          <w:spacing w:val="-77"/>
        </w:rPr>
        <w:t> </w:t>
      </w:r>
      <w:r>
        <w:rPr/>
        <w:t>谭</w:t>
      </w:r>
      <w:r>
        <w:rPr>
          <w:spacing w:val="-78"/>
        </w:rPr>
        <w:t> </w:t>
      </w:r>
      <w:r>
        <w:rPr/>
        <w:t>新</w:t>
      </w:r>
      <w:r>
        <w:rPr>
          <w:spacing w:val="-77"/>
        </w:rPr>
        <w:t> </w:t>
      </w:r>
      <w:r>
        <w:rPr/>
        <w:t>安</w:t>
      </w:r>
      <w:r>
        <w:rPr>
          <w:spacing w:val="-77"/>
        </w:rPr>
        <w:t> </w:t>
      </w:r>
      <w:r>
        <w:rPr/>
        <w:t>及</w:t>
      </w:r>
      <w:r>
        <w:rPr>
          <w:spacing w:val="-77"/>
        </w:rPr>
        <w:t> </w:t>
      </w:r>
      <w:r>
        <w:rPr/>
        <w:t>李</w:t>
      </w:r>
      <w:r>
        <w:rPr>
          <w:spacing w:val="-77"/>
        </w:rPr>
        <w:t> </w:t>
      </w:r>
      <w:r>
        <w:rPr/>
        <w:t>海</w:t>
      </w:r>
      <w:r>
        <w:rPr>
          <w:spacing w:val="-78"/>
        </w:rPr>
        <w:t> </w:t>
      </w:r>
      <w:r>
        <w:rPr/>
        <w:t>锋</w:t>
      </w:r>
      <w:r>
        <w:rPr>
          <w:spacing w:val="-77"/>
        </w:rPr>
        <w:t> </w:t>
      </w:r>
      <w:r>
        <w:rPr/>
        <w:t>回</w:t>
      </w:r>
      <w:r>
        <w:rPr>
          <w:spacing w:val="-77"/>
        </w:rPr>
        <w:t> </w:t>
      </w:r>
      <w:r>
        <w:rPr/>
        <w:t>购</w:t>
      </w:r>
      <w:r>
        <w:rPr>
          <w:spacing w:val="-73"/>
        </w:rPr>
        <w:t> </w:t>
      </w:r>
      <w:r>
        <w:rPr>
          <w:rFonts w:ascii="Times New Roman" w:hAnsi="Times New Roman" w:cs="Times New Roman" w:eastAsia="Times New Roman" w:hint="default"/>
        </w:rPr>
        <w:t>68,720</w:t>
      </w:r>
      <w:r>
        <w:rPr>
          <w:rFonts w:ascii="Times New Roman" w:hAnsi="Times New Roman" w:cs="Times New Roman" w:eastAsia="Times New Roman" w:hint="default"/>
          <w:spacing w:val="-24"/>
        </w:rPr>
        <w:t> </w:t>
      </w:r>
      <w:r>
        <w:rPr/>
        <w:t>股</w:t>
      </w:r>
      <w:r>
        <w:rPr>
          <w:spacing w:val="-77"/>
        </w:rPr>
        <w:t> </w:t>
      </w:r>
      <w:r>
        <w:rPr/>
        <w:t>，</w:t>
      </w:r>
      <w:r>
        <w:rPr>
          <w:spacing w:val="-77"/>
        </w:rPr>
        <w:t> </w:t>
      </w:r>
      <w:r>
        <w:rPr/>
        <w:t>申</w:t>
      </w:r>
      <w:r>
        <w:rPr>
          <w:spacing w:val="-78"/>
        </w:rPr>
        <w:t> </w:t>
      </w:r>
      <w:r>
        <w:rPr/>
        <w:t>请</w:t>
      </w:r>
      <w:r>
        <w:rPr>
          <w:spacing w:val="-78"/>
        </w:rPr>
        <w:t> </w:t>
      </w:r>
      <w:r>
        <w:rPr/>
        <w:t>减</w:t>
      </w:r>
      <w:r>
        <w:rPr>
          <w:spacing w:val="-77"/>
        </w:rPr>
        <w:t> </w:t>
      </w:r>
      <w:r>
        <w:rPr/>
        <w:t>少</w:t>
      </w:r>
      <w:r>
        <w:rPr>
          <w:spacing w:val="-77"/>
        </w:rPr>
        <w:t> </w:t>
      </w:r>
      <w:r>
        <w:rPr/>
        <w:t>注</w:t>
      </w:r>
      <w:r>
        <w:rPr>
          <w:spacing w:val="-77"/>
        </w:rPr>
        <w:t> </w:t>
      </w:r>
      <w:r>
        <w:rPr/>
        <w:t>册</w:t>
      </w:r>
      <w:r>
        <w:rPr>
          <w:spacing w:val="-77"/>
        </w:rPr>
        <w:t> </w:t>
      </w:r>
      <w:r>
        <w:rPr/>
        <w:t>资</w:t>
      </w:r>
      <w:r>
        <w:rPr>
          <w:spacing w:val="-78"/>
        </w:rPr>
        <w:t> </w:t>
      </w:r>
      <w:r>
        <w:rPr/>
        <w:t>本</w:t>
      </w:r>
      <w:r>
        <w:rPr>
          <w:spacing w:val="-74"/>
        </w:rPr>
        <w:t> </w:t>
      </w:r>
      <w:r>
        <w:rPr>
          <w:rFonts w:ascii="Times New Roman" w:hAnsi="Times New Roman" w:cs="Times New Roman" w:eastAsia="Times New Roman" w:hint="default"/>
        </w:rPr>
        <w:t>68,720.00</w:t>
      </w:r>
      <w:r>
        <w:rPr>
          <w:rFonts w:ascii="Times New Roman" w:hAnsi="Times New Roman" w:cs="Times New Roman" w:eastAsia="Times New Roman" w:hint="default"/>
          <w:spacing w:val="-24"/>
        </w:rPr>
        <w:t> </w:t>
      </w:r>
      <w:r>
        <w:rPr/>
        <w:t>元</w:t>
      </w:r>
      <w:r>
        <w:rPr>
          <w:spacing w:val="-77"/>
        </w:rPr>
        <w:t> </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变</w:t>
      </w:r>
      <w:r>
        <w:rPr>
          <w:spacing w:val="-77"/>
        </w:rPr>
        <w:t> </w:t>
      </w:r>
      <w:r>
        <w:rPr/>
        <w:t>更</w:t>
      </w:r>
      <w:r>
        <w:rPr>
          <w:spacing w:val="-77"/>
        </w:rPr>
        <w:t> </w:t>
      </w:r>
      <w:r>
        <w:rPr/>
        <w:t>后</w:t>
      </w:r>
      <w:r>
        <w:rPr>
          <w:spacing w:val="-78"/>
        </w:rPr>
        <w:t> </w:t>
      </w:r>
      <w:r>
        <w:rPr/>
        <w:t>的</w:t>
      </w:r>
      <w:r>
        <w:rPr>
          <w:spacing w:val="-77"/>
        </w:rPr>
        <w:t> </w:t>
      </w:r>
      <w:r>
        <w:rPr/>
        <w:t>股</w:t>
      </w:r>
      <w:r>
        <w:rPr>
          <w:spacing w:val="-77"/>
        </w:rPr>
        <w:t> </w:t>
      </w:r>
      <w:r>
        <w:rPr/>
        <w:t>本</w:t>
      </w:r>
      <w:r>
        <w:rPr>
          <w:spacing w:val="-77"/>
        </w:rPr>
        <w:t> </w:t>
      </w:r>
      <w:r>
        <w:rPr/>
        <w:t>为</w:t>
      </w:r>
      <w:r>
        <w:rPr>
          <w:spacing w:val="-76"/>
        </w:rPr>
        <w:t> </w:t>
      </w:r>
      <w:r>
        <w:rPr/>
        <w:t>人</w:t>
      </w:r>
      <w:r>
        <w:rPr>
          <w:spacing w:val="-78"/>
        </w:rPr>
        <w:t> </w:t>
      </w:r>
      <w:r>
        <w:rPr/>
        <w:t>民</w:t>
      </w:r>
      <w:r>
        <w:rPr>
          <w:spacing w:val="-77"/>
        </w:rPr>
        <w:t> </w:t>
      </w:r>
      <w:r>
        <w:rPr/>
        <w:t>币</w:t>
      </w:r>
      <w:r>
        <w:rPr/>
        <w:t> </w:t>
      </w:r>
      <w:r>
        <w:rPr>
          <w:rFonts w:ascii="Times New Roman" w:hAnsi="Times New Roman" w:cs="Times New Roman" w:eastAsia="Times New Roman" w:hint="default"/>
        </w:rPr>
        <w:t>108,092,830.00</w:t>
      </w:r>
      <w:r>
        <w:rPr/>
        <w:t>元。</w:t>
      </w:r>
    </w:p>
    <w:p>
      <w:pPr>
        <w:pStyle w:val="Heading4"/>
        <w:spacing w:line="256" w:lineRule="auto" w:before="120"/>
        <w:ind w:right="1131"/>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8</w:t>
      </w:r>
      <w:r>
        <w:rPr>
          <w:spacing w:val="-1"/>
        </w:rPr>
        <w:t>日，召开</w:t>
      </w:r>
      <w:r>
        <w:rPr>
          <w:rFonts w:ascii="Times New Roman" w:hAnsi="Times New Roman" w:cs="Times New Roman" w:eastAsia="Times New Roman" w:hint="default"/>
          <w:spacing w:val="-1"/>
        </w:rPr>
        <w:t>2017</w:t>
      </w:r>
      <w:r>
        <w:rPr>
          <w:spacing w:val="-1"/>
        </w:rPr>
        <w:t>年股东大会会议审议通过的《关于审议</w:t>
      </w:r>
      <w:r>
        <w:rPr>
          <w:rFonts w:ascii="Times New Roman" w:hAnsi="Times New Roman" w:cs="Times New Roman" w:eastAsia="Times New Roman" w:hint="default"/>
          <w:spacing w:val="-1"/>
        </w:rPr>
        <w:t>2017</w:t>
      </w:r>
      <w:r>
        <w:rPr>
          <w:spacing w:val="-1"/>
        </w:rPr>
        <w:t>年度利润分配及资本公积金转增</w:t>
      </w:r>
      <w:r>
        <w:rPr/>
        <w:t> </w:t>
      </w:r>
      <w:r>
        <w:rPr>
          <w:spacing w:val="-4"/>
        </w:rPr>
        <w:t>股本预案的议案》，以公司现有总股本</w:t>
      </w:r>
      <w:r>
        <w:rPr>
          <w:rFonts w:ascii="Times New Roman" w:hAnsi="Times New Roman" w:cs="Times New Roman" w:eastAsia="Times New Roman" w:hint="default"/>
          <w:spacing w:val="-4"/>
        </w:rPr>
        <w:t>108,092,830</w:t>
      </w:r>
      <w:r>
        <w:rPr>
          <w:spacing w:val="-4"/>
        </w:rPr>
        <w:t>股为基数，以资本公积金向全体股东每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8.005086</w:t>
      </w:r>
      <w:r>
        <w:rPr>
          <w:rFonts w:ascii="Times New Roman" w:hAnsi="Times New Roman" w:cs="Times New Roman" w:eastAsia="Times New Roman" w:hint="default"/>
          <w:spacing w:val="-7"/>
        </w:rPr>
        <w:t> </w:t>
      </w:r>
      <w:r>
        <w:rPr/>
        <w:t>股，变更后股本为人民币</w:t>
      </w:r>
      <w:r>
        <w:rPr>
          <w:rFonts w:ascii="Times New Roman" w:hAnsi="Times New Roman" w:cs="Times New Roman" w:eastAsia="Times New Roman" w:hint="default"/>
        </w:rPr>
        <w:t>194,622,070.00</w:t>
      </w:r>
      <w:r>
        <w:rPr/>
        <w:t>元。</w:t>
      </w:r>
    </w:p>
    <w:p>
      <w:pPr>
        <w:pStyle w:val="Heading4"/>
        <w:spacing w:line="256" w:lineRule="auto"/>
        <w:ind w:right="1131"/>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日，召开公司第三届董事会第七次会议审议通过的《关于回购注销部分已授予限制性股 </w:t>
      </w:r>
      <w:r>
        <w:rPr>
          <w:spacing w:val="-2"/>
        </w:rPr>
        <w:t>票的议案》，公司回购注销</w:t>
      </w:r>
      <w:r>
        <w:rPr>
          <w:rFonts w:ascii="Times New Roman" w:hAnsi="Times New Roman" w:cs="Times New Roman" w:eastAsia="Times New Roman" w:hint="default"/>
          <w:spacing w:val="-2"/>
        </w:rPr>
        <w:t>32</w:t>
      </w:r>
      <w:r>
        <w:rPr>
          <w:spacing w:val="-2"/>
        </w:rPr>
        <w:t>名激励对象已获授但尚未解锁的限制性股票共</w:t>
      </w:r>
      <w:r>
        <w:rPr>
          <w:rFonts w:ascii="Times New Roman" w:hAnsi="Times New Roman" w:cs="Times New Roman" w:eastAsia="Times New Roman" w:hint="default"/>
          <w:spacing w:val="-2"/>
        </w:rPr>
        <w:t>339,991</w:t>
      </w:r>
      <w:r>
        <w:rPr>
          <w:spacing w:val="-2"/>
        </w:rPr>
        <w:t>股，变更完成后，股本</w:t>
      </w:r>
      <w:r>
        <w:rPr>
          <w:spacing w:val="-84"/>
        </w:rPr>
        <w:t> </w:t>
      </w:r>
      <w:r>
        <w:rPr>
          <w:spacing w:val="-84"/>
        </w:rPr>
      </w:r>
      <w:r>
        <w:rPr/>
        <w:t>为人民币</w:t>
      </w:r>
      <w:r>
        <w:rPr>
          <w:rFonts w:ascii="Times New Roman" w:hAnsi="Times New Roman" w:cs="Times New Roman" w:eastAsia="Times New Roman" w:hint="default"/>
        </w:rPr>
        <w:t>194,282,079</w:t>
      </w:r>
      <w:r>
        <w:rPr>
          <w:rFonts w:ascii="宋体" w:hAnsi="宋体" w:cs="宋体" w:eastAsia="宋体" w:hint="default"/>
        </w:rPr>
        <w:t>.00</w:t>
      </w:r>
      <w:r>
        <w:rPr/>
        <w:t>元。</w:t>
      </w:r>
    </w:p>
    <w:p>
      <w:pPr>
        <w:pStyle w:val="Heading4"/>
        <w:spacing w:line="261" w:lineRule="auto"/>
        <w:ind w:right="1131"/>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日，召开公司召开第三届董事会第九次会议审议通过了《关于回购注销部分已授予限制</w:t>
      </w:r>
      <w:r>
        <w:rPr/>
        <w:t> </w:t>
      </w:r>
      <w:r>
        <w:rPr>
          <w:spacing w:val="-6"/>
        </w:rPr>
        <w:t>性股票的议案》，回购注销</w:t>
      </w:r>
      <w:r>
        <w:rPr>
          <w:rFonts w:ascii="Times New Roman" w:hAnsi="Times New Roman" w:cs="Times New Roman" w:eastAsia="Times New Roman" w:hint="default"/>
          <w:spacing w:val="-6"/>
        </w:rPr>
        <w:t>2</w:t>
      </w:r>
      <w:r>
        <w:rPr>
          <w:spacing w:val="-6"/>
        </w:rPr>
        <w:t>名激励对象已获授但尚未解锁的限制性股票共</w:t>
      </w:r>
      <w:r>
        <w:rPr>
          <w:rFonts w:ascii="Times New Roman" w:hAnsi="Times New Roman" w:cs="Times New Roman" w:eastAsia="Times New Roman" w:hint="default"/>
          <w:spacing w:val="-6"/>
        </w:rPr>
        <w:t>61,217</w:t>
      </w:r>
      <w:r>
        <w:rPr>
          <w:spacing w:val="-6"/>
        </w:rPr>
        <w:t>股；审议通过了《关于</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24"/>
        </w:rPr>
        <w:t> </w:t>
      </w:r>
      <w:r>
        <w:rPr>
          <w:spacing w:val="-1"/>
        </w:rPr>
        <w:t>年限制性股票激励计划首次授予部分第一个解锁期解锁条件成就的议案》，同意对符合解锁条件的激励对</w:t>
      </w:r>
      <w:r>
        <w:rPr>
          <w:spacing w:val="-81"/>
        </w:rPr>
        <w:t> </w:t>
      </w:r>
      <w:r>
        <w:rPr>
          <w:spacing w:val="-81"/>
        </w:rPr>
      </w:r>
      <w:r>
        <w:rPr/>
        <w:t>象</w:t>
      </w:r>
      <w:r>
        <w:rPr>
          <w:rFonts w:ascii="Times New Roman" w:hAnsi="Times New Roman" w:cs="Times New Roman" w:eastAsia="Times New Roman" w:hint="default"/>
        </w:rPr>
        <w:t>158</w:t>
      </w:r>
      <w:r>
        <w:rPr/>
        <w:t>名，解锁数量为</w:t>
      </w:r>
      <w:r>
        <w:rPr>
          <w:rFonts w:ascii="Times New Roman" w:hAnsi="Times New Roman" w:cs="Times New Roman" w:eastAsia="Times New Roman" w:hint="default"/>
        </w:rPr>
        <w:t>1,291,617</w:t>
      </w:r>
      <w:r>
        <w:rPr/>
        <w:t>股，变更完成后，股本为人民币</w:t>
      </w:r>
      <w:r>
        <w:rPr>
          <w:rFonts w:ascii="Times New Roman" w:hAnsi="Times New Roman" w:cs="Times New Roman" w:eastAsia="Times New Roman" w:hint="default"/>
        </w:rPr>
        <w:t>194,220,862</w:t>
      </w:r>
      <w:r>
        <w:rPr>
          <w:rFonts w:ascii="宋体" w:hAnsi="宋体" w:cs="宋体" w:eastAsia="宋体" w:hint="default"/>
        </w:rPr>
        <w:t>.00</w:t>
      </w:r>
      <w:r>
        <w:rPr/>
        <w:t>元。</w:t>
      </w:r>
    </w:p>
    <w:p>
      <w:pPr>
        <w:spacing w:line="357" w:lineRule="auto" w:before="120"/>
        <w:ind w:left="574" w:right="802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、公司行业性质</w:t>
      </w:r>
      <w:r>
        <w:rPr>
          <w:rFonts w:ascii="宋体" w:hAnsi="宋体" w:cs="宋体" w:eastAsia="宋体" w:hint="default"/>
          <w:b/>
          <w:bCs/>
          <w:w w:val="99"/>
          <w:sz w:val="21"/>
          <w:szCs w:val="21"/>
        </w:rPr>
        <w:t> </w:t>
      </w:r>
      <w:r>
        <w:rPr>
          <w:rFonts w:ascii="宋体" w:hAnsi="宋体" w:cs="宋体" w:eastAsia="宋体" w:hint="default"/>
          <w:sz w:val="21"/>
          <w:szCs w:val="21"/>
        </w:rPr>
        <w:t>软件和信息技术服务业。</w:t>
      </w:r>
    </w:p>
    <w:p>
      <w:pPr>
        <w:spacing w:line="357" w:lineRule="auto" w:before="54"/>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、公司业务性质及主要经营活动</w:t>
      </w:r>
      <w:r>
        <w:rPr>
          <w:rFonts w:ascii="宋体" w:hAnsi="宋体" w:cs="宋体" w:eastAsia="宋体" w:hint="default"/>
          <w:b/>
          <w:bCs/>
          <w:w w:val="99"/>
          <w:sz w:val="21"/>
          <w:szCs w:val="21"/>
        </w:rPr>
        <w:t> </w:t>
      </w:r>
      <w:r>
        <w:rPr>
          <w:rFonts w:ascii="宋体" w:hAnsi="宋体" w:cs="宋体" w:eastAsia="宋体" w:hint="default"/>
          <w:spacing w:val="-1"/>
          <w:sz w:val="21"/>
          <w:szCs w:val="21"/>
        </w:rPr>
        <w:t>从事计算机软、硬件的技术开发，销售自行开发软件。增加：数据库的设计、开发和维护；计算机系</w:t>
      </w:r>
    </w:p>
    <w:p>
      <w:pPr>
        <w:pStyle w:val="Heading4"/>
        <w:spacing w:line="209" w:lineRule="exact" w:before="0"/>
        <w:ind w:right="0" w:firstLine="0"/>
        <w:jc w:val="left"/>
      </w:pPr>
      <w:r>
        <w:rPr/>
        <w:t>统集成及其相关的技术咨询、维护。计算机软、硬件的批发、佣金代理（不含拍卖）、进出口及相关配套</w:t>
      </w:r>
    </w:p>
    <w:p>
      <w:pPr>
        <w:pStyle w:val="Heading4"/>
        <w:spacing w:line="273" w:lineRule="auto" w:before="37"/>
        <w:ind w:right="0" w:firstLine="0"/>
        <w:jc w:val="left"/>
      </w:pPr>
      <w:r>
        <w:rPr>
          <w:spacing w:val="-1"/>
        </w:rPr>
        <w:t>业务（不涉及国营贸易管理商品，涉及配额、许可证管理及其他专项规定管理的商品，按国家有关规定办</w:t>
      </w:r>
      <w:r>
        <w:rPr>
          <w:spacing w:val="-86"/>
        </w:rPr>
        <w:t> </w:t>
      </w:r>
      <w:r>
        <w:rPr>
          <w:spacing w:val="-86"/>
        </w:rPr>
      </w:r>
      <w:r>
        <w:rPr/>
        <w:t>理申请）；技术进出口（不含分销）。</w:t>
      </w:r>
    </w:p>
    <w:p>
      <w:pPr>
        <w:pStyle w:val="Heading4"/>
        <w:spacing w:line="357" w:lineRule="auto" w:before="127"/>
        <w:ind w:left="574" w:right="1722" w:hanging="420"/>
        <w:jc w:val="left"/>
      </w:pPr>
      <w:r>
        <w:rPr>
          <w:rFonts w:ascii="Times New Roman" w:hAnsi="Times New Roman" w:cs="Times New Roman" w:eastAsia="Times New Roman" w:hint="default"/>
          <w:b/>
          <w:bCs/>
        </w:rPr>
        <w:t>4</w:t>
      </w:r>
      <w:r>
        <w:rPr>
          <w:rFonts w:ascii="宋体" w:hAnsi="宋体" w:cs="宋体" w:eastAsia="宋体" w:hint="default"/>
          <w:b/>
          <w:bCs/>
        </w:rPr>
        <w:t>、公司法定地址</w:t>
      </w:r>
      <w:r>
        <w:rPr>
          <w:rFonts w:ascii="宋体" w:hAnsi="宋体" w:cs="宋体" w:eastAsia="宋体" w:hint="default"/>
          <w:b/>
          <w:bCs/>
          <w:w w:val="99"/>
        </w:rPr>
        <w:t> </w:t>
      </w:r>
      <w:r>
        <w:rPr/>
        <w:t>深圳市南山高新区科技中二路软件园</w:t>
      </w:r>
      <w:r>
        <w:rPr>
          <w:rFonts w:ascii="Times New Roman" w:hAnsi="Times New Roman" w:cs="Times New Roman" w:eastAsia="Times New Roman" w:hint="default"/>
        </w:rPr>
        <w:t>12#</w:t>
      </w:r>
      <w:r>
        <w:rPr/>
        <w:t>楼</w:t>
      </w:r>
      <w:r>
        <w:rPr>
          <w:rFonts w:ascii="Times New Roman" w:hAnsi="Times New Roman" w:cs="Times New Roman" w:eastAsia="Times New Roman" w:hint="default"/>
        </w:rPr>
        <w:t>402</w:t>
      </w:r>
      <w:r>
        <w:rPr/>
        <w:t>、深圳软件园（</w:t>
      </w:r>
      <w:r>
        <w:rPr>
          <w:rFonts w:ascii="Times New Roman" w:hAnsi="Times New Roman" w:cs="Times New Roman" w:eastAsia="Times New Roman" w:hint="default"/>
        </w:rPr>
        <w:t>2</w:t>
      </w:r>
      <w:r>
        <w:rPr/>
        <w:t>期）</w:t>
      </w:r>
      <w:r>
        <w:rPr>
          <w:rFonts w:ascii="Times New Roman" w:hAnsi="Times New Roman" w:cs="Times New Roman" w:eastAsia="Times New Roman" w:hint="default"/>
        </w:rPr>
        <w:t>13</w:t>
      </w:r>
      <w:r>
        <w:rPr/>
        <w:t>栋</w:t>
      </w:r>
      <w:r>
        <w:rPr>
          <w:rFonts w:ascii="Times New Roman" w:hAnsi="Times New Roman" w:cs="Times New Roman" w:eastAsia="Times New Roman" w:hint="default"/>
        </w:rPr>
        <w:t>302</w:t>
      </w:r>
      <w:r>
        <w:rPr/>
        <w:t>室（仅限办公）。</w:t>
      </w:r>
    </w:p>
    <w:p>
      <w:pPr>
        <w:pStyle w:val="Heading4"/>
        <w:spacing w:line="357" w:lineRule="auto" w:before="27"/>
        <w:ind w:left="574" w:right="1722" w:hanging="420"/>
        <w:jc w:val="left"/>
      </w:pPr>
      <w:r>
        <w:rPr>
          <w:rFonts w:ascii="Times New Roman" w:hAnsi="Times New Roman" w:cs="Times New Roman" w:eastAsia="Times New Roman" w:hint="default"/>
          <w:b/>
          <w:bCs/>
        </w:rPr>
        <w:t>5</w:t>
      </w:r>
      <w:r>
        <w:rPr>
          <w:rFonts w:ascii="宋体" w:hAnsi="宋体" w:cs="宋体" w:eastAsia="宋体" w:hint="default"/>
          <w:b/>
          <w:bCs/>
        </w:rPr>
        <w:t>、公司总部地址</w:t>
      </w:r>
      <w:r>
        <w:rPr>
          <w:rFonts w:ascii="宋体" w:hAnsi="宋体" w:cs="宋体" w:eastAsia="宋体" w:hint="default"/>
          <w:b/>
          <w:bCs/>
          <w:w w:val="99"/>
        </w:rPr>
        <w:t> </w:t>
      </w:r>
      <w:r>
        <w:rPr/>
        <w:t>深圳市南山高新区科技中二路软件园</w:t>
      </w:r>
      <w:r>
        <w:rPr>
          <w:rFonts w:ascii="Times New Roman" w:hAnsi="Times New Roman" w:cs="Times New Roman" w:eastAsia="Times New Roman" w:hint="default"/>
        </w:rPr>
        <w:t>12#</w:t>
      </w:r>
      <w:r>
        <w:rPr/>
        <w:t>楼</w:t>
      </w:r>
      <w:r>
        <w:rPr>
          <w:rFonts w:ascii="Times New Roman" w:hAnsi="Times New Roman" w:cs="Times New Roman" w:eastAsia="Times New Roman" w:hint="default"/>
        </w:rPr>
        <w:t>402</w:t>
      </w:r>
      <w:r>
        <w:rPr/>
        <w:t>、深圳软件园（</w:t>
      </w:r>
      <w:r>
        <w:rPr>
          <w:rFonts w:ascii="Times New Roman" w:hAnsi="Times New Roman" w:cs="Times New Roman" w:eastAsia="Times New Roman" w:hint="default"/>
        </w:rPr>
        <w:t>2</w:t>
      </w:r>
      <w:r>
        <w:rPr/>
        <w:t>期）</w:t>
      </w:r>
      <w:r>
        <w:rPr>
          <w:rFonts w:ascii="Times New Roman" w:hAnsi="Times New Roman" w:cs="Times New Roman" w:eastAsia="Times New Roman" w:hint="default"/>
        </w:rPr>
        <w:t>13</w:t>
      </w:r>
      <w:r>
        <w:rPr/>
        <w:t>栋</w:t>
      </w:r>
      <w:r>
        <w:rPr>
          <w:rFonts w:ascii="Times New Roman" w:hAnsi="Times New Roman" w:cs="Times New Roman" w:eastAsia="Times New Roman" w:hint="default"/>
        </w:rPr>
        <w:t>302</w:t>
      </w:r>
      <w:r>
        <w:rPr/>
        <w:t>室（仅限办公）。</w:t>
      </w:r>
    </w:p>
    <w:p>
      <w:pPr>
        <w:spacing w:line="357" w:lineRule="auto" w:before="27"/>
        <w:ind w:left="574" w:right="382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、财务报告批准报出日</w:t>
      </w:r>
      <w:r>
        <w:rPr>
          <w:rFonts w:ascii="宋体" w:hAnsi="宋体" w:cs="宋体" w:eastAsia="宋体" w:hint="default"/>
          <w:b/>
          <w:bCs/>
          <w:w w:val="99"/>
          <w:sz w:val="21"/>
          <w:szCs w:val="21"/>
        </w:rPr>
        <w:t> </w:t>
      </w:r>
      <w:r>
        <w:rPr>
          <w:rFonts w:ascii="宋体" w:hAnsi="宋体" w:cs="宋体" w:eastAsia="宋体" w:hint="default"/>
          <w:sz w:val="21"/>
          <w:szCs w:val="21"/>
        </w:rPr>
        <w:t>本财务报表及附注经公司董事会于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04</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日决议批准对外报出。</w:t>
      </w:r>
    </w:p>
    <w:p>
      <w:pPr>
        <w:spacing w:after="0" w:line="357"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376" w:lineRule="auto" w:before="35"/>
        <w:ind w:left="574" w:right="4452" w:hanging="420"/>
        <w:jc w:val="left"/>
        <w:rPr>
          <w:rFonts w:ascii="宋体" w:hAnsi="宋体" w:cs="宋体" w:eastAsia="宋体" w:hint="default"/>
          <w:sz w:val="21"/>
          <w:szCs w:val="21"/>
        </w:rPr>
      </w:pPr>
      <w:r>
        <w:rPr>
          <w:rFonts w:ascii="宋体" w:hAnsi="宋体" w:cs="宋体" w:eastAsia="宋体" w:hint="default"/>
          <w:b/>
          <w:bCs/>
          <w:sz w:val="21"/>
          <w:szCs w:val="21"/>
        </w:rPr>
        <w:t>（二）合并财务报表范围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日，本公司合并财务报表范围内子公司如下：</w:t>
      </w:r>
    </w:p>
    <w:tbl>
      <w:tblPr>
        <w:tblW w:w="0" w:type="auto"/>
        <w:jc w:val="left"/>
        <w:tblInd w:w="149" w:type="dxa"/>
        <w:tblLayout w:type="fixed"/>
        <w:tblCellMar>
          <w:top w:w="0" w:type="dxa"/>
          <w:left w:w="0" w:type="dxa"/>
          <w:bottom w:w="0" w:type="dxa"/>
          <w:right w:w="0" w:type="dxa"/>
        </w:tblCellMar>
        <w:tblLook w:val="01E0"/>
      </w:tblPr>
      <w:tblGrid>
        <w:gridCol w:w="5221"/>
        <w:gridCol w:w="3792"/>
      </w:tblGrid>
      <w:tr>
        <w:trPr>
          <w:trHeight w:val="342"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子 公 司 全  </w:t>
            </w:r>
            <w:r>
              <w:rPr>
                <w:rFonts w:ascii="宋体" w:hAnsi="宋体" w:cs="宋体" w:eastAsia="宋体" w:hint="default"/>
                <w:spacing w:val="43"/>
                <w:sz w:val="21"/>
                <w:szCs w:val="21"/>
              </w:rPr>
              <w:t> </w:t>
            </w:r>
            <w:r>
              <w:rPr>
                <w:rFonts w:ascii="宋体" w:hAnsi="宋体" w:cs="宋体" w:eastAsia="宋体" w:hint="default"/>
                <w:sz w:val="21"/>
                <w:szCs w:val="21"/>
              </w:rPr>
              <w:t>称</w:t>
            </w:r>
          </w:p>
        </w:tc>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365"/>
              <w:jc w:val="right"/>
              <w:rPr>
                <w:rFonts w:ascii="宋体" w:hAnsi="宋体" w:cs="宋体" w:eastAsia="宋体" w:hint="default"/>
                <w:sz w:val="21"/>
                <w:szCs w:val="21"/>
              </w:rPr>
            </w:pPr>
            <w:r>
              <w:rPr>
                <w:rFonts w:ascii="宋体" w:hAnsi="宋体" w:cs="宋体" w:eastAsia="宋体" w:hint="default"/>
                <w:sz w:val="21"/>
                <w:szCs w:val="21"/>
              </w:rPr>
              <w:t>子公司类型</w:t>
            </w:r>
          </w:p>
        </w:tc>
      </w:tr>
      <w:tr>
        <w:trPr>
          <w:trHeight w:val="342"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四方精创资讯（香港）有限公司</w:t>
            </w:r>
          </w:p>
        </w:tc>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365"/>
              <w:jc w:val="righ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42"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四方精创信息（香港）有限公司</w:t>
            </w:r>
          </w:p>
        </w:tc>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365"/>
              <w:jc w:val="righ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42" w:hRule="exact"/>
        </w:trPr>
        <w:tc>
          <w:tcPr>
            <w:tcW w:w="522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深圳前海乐寻坊区块链科技有限公司</w:t>
            </w:r>
          </w:p>
        </w:tc>
        <w:tc>
          <w:tcPr>
            <w:tcW w:w="37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365"/>
              <w:jc w:val="right"/>
              <w:rPr>
                <w:rFonts w:ascii="宋体" w:hAnsi="宋体" w:cs="宋体" w:eastAsia="宋体" w:hint="default"/>
                <w:sz w:val="21"/>
                <w:szCs w:val="21"/>
              </w:rPr>
            </w:pPr>
            <w:r>
              <w:rPr>
                <w:rFonts w:ascii="宋体" w:hAnsi="宋体" w:cs="宋体" w:eastAsia="宋体" w:hint="default"/>
                <w:sz w:val="21"/>
                <w:szCs w:val="21"/>
              </w:rPr>
              <w:t>全资子公司</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5"/>
      <w:bookmarkEnd w:id="16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290"/>
        <w:jc w:val="left"/>
      </w:pPr>
      <w:r>
        <w:rPr>
          <w:spacing w:val="-2"/>
        </w:rPr>
        <w:t>本公司财务报表以持续经营为编制基础。根据实际发生的交易和事项，按照《企业会计准则</w:t>
      </w:r>
      <w:r>
        <w:rPr>
          <w:rFonts w:ascii="Times New Roman" w:hAnsi="Times New Roman" w:cs="Times New Roman" w:eastAsia="Times New Roman" w:hint="default"/>
          <w:spacing w:val="-2"/>
        </w:rPr>
        <w:t>-</w:t>
      </w:r>
      <w:r>
        <w:rPr>
          <w:spacing w:val="-2"/>
        </w:rPr>
        <w:t>基本准则》和其他各项具体</w:t>
      </w:r>
      <w:r>
        <w:rPr/>
        <w:t> 会计准则、应用指南及准则解释的规定进行确认和计量，在此基础上编制财务报表。</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持续经营" w:id="166"/>
      <w:bookmarkEnd w:id="16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0"/>
        <w:jc w:val="left"/>
      </w:pPr>
      <w:r>
        <w:rPr/>
        <w:t>本公司承诺自报告期末起至少</w:t>
      </w:r>
      <w:r>
        <w:rPr>
          <w:rFonts w:ascii="Times New Roman" w:hAnsi="Times New Roman" w:cs="Times New Roman" w:eastAsia="Times New Roman" w:hint="default"/>
        </w:rPr>
        <w:t>12</w:t>
      </w:r>
      <w:r>
        <w:rPr/>
        <w:t>个月不存在影响公司持续经营的事项。</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360" w:lineRule="auto" w:before="28"/>
        <w:ind w:right="8232"/>
        <w:jc w:val="left"/>
      </w:pPr>
      <w:r>
        <w:rPr/>
        <w:t>软件与信息技术服务业 具体会计政策和会计估计提示：</w:t>
      </w:r>
    </w:p>
    <w:p>
      <w:pPr>
        <w:pStyle w:val="BodyText"/>
        <w:spacing w:line="300" w:lineRule="auto" w:before="105"/>
        <w:ind w:right="1125" w:firstLine="420"/>
        <w:jc w:val="left"/>
      </w:pPr>
      <w:r>
        <w:rPr>
          <w:spacing w:val="-1"/>
        </w:rPr>
        <w:t>以下披露内容已涵盖了公司根据实际生产经营特点制定的具体会计政策和会计估计。详见本附注</w:t>
      </w:r>
      <w:r>
        <w:rPr>
          <w:rFonts w:ascii="Times New Roman" w:hAnsi="Times New Roman" w:cs="Times New Roman" w:eastAsia="Times New Roman" w:hint="default"/>
          <w:spacing w:val="-1"/>
        </w:rPr>
        <w:t>“</w:t>
      </w:r>
      <w:r>
        <w:rPr>
          <w:spacing w:val="-1"/>
        </w:rPr>
        <w:t>五</w:t>
      </w:r>
      <w:r>
        <w:rPr>
          <w:rFonts w:ascii="Times New Roman" w:hAnsi="Times New Roman" w:cs="Times New Roman" w:eastAsia="Times New Roman" w:hint="default"/>
          <w:spacing w:val="-1"/>
        </w:rPr>
        <w:t>11</w:t>
      </w:r>
      <w:r>
        <w:rPr>
          <w:spacing w:val="-1"/>
        </w:rPr>
        <w:t>、应收票据及应</w:t>
      </w:r>
      <w:r>
        <w:rPr/>
        <w:t> 收款项”、“五</w:t>
      </w:r>
      <w:r>
        <w:rPr>
          <w:rFonts w:ascii="宋体" w:hAnsi="宋体" w:cs="宋体" w:eastAsia="宋体" w:hint="default"/>
        </w:rPr>
        <w:t>16</w:t>
      </w:r>
      <w:r>
        <w:rPr/>
        <w:t>、固定资产”、“五</w:t>
      </w:r>
      <w:r>
        <w:rPr>
          <w:rFonts w:ascii="宋体" w:hAnsi="宋体" w:cs="宋体" w:eastAsia="宋体" w:hint="default"/>
        </w:rPr>
        <w:t>22</w:t>
      </w:r>
      <w:r>
        <w:rPr/>
        <w:t>、长期资产减值”、“五</w:t>
      </w:r>
      <w:r>
        <w:rPr>
          <w:rFonts w:ascii="宋体" w:hAnsi="宋体" w:cs="宋体" w:eastAsia="宋体" w:hint="default"/>
        </w:rPr>
        <w:t>28</w:t>
      </w:r>
      <w:r>
        <w:rPr/>
        <w:t>、收入”。</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1、遵循企业会计准则的声明" w:id="168"/>
      <w:bookmarkEnd w:id="16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290"/>
        <w:jc w:val="left"/>
      </w:pPr>
      <w:r>
        <w:rPr>
          <w:spacing w:val="-1"/>
        </w:rPr>
        <w:t>本公司编制的财务报表符合《企业会计准则》的要求，真实、完整地反映了本公司的财务状况、经营成果和现金流量等</w:t>
      </w:r>
      <w:r>
        <w:rPr/>
        <w:t> 有关信息。</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会计期间" w:id="169"/>
      <w:bookmarkEnd w:id="16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营业周期" w:id="170"/>
      <w:bookmarkEnd w:id="17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420"/>
        <w:jc w:val="left"/>
      </w:pPr>
      <w:r>
        <w:rPr/>
        <w:t>正常营业周期是指公司从购买用于加工的资产起至实现现金或现金等价物的期间。公司以</w:t>
      </w:r>
      <w:r>
        <w:rPr>
          <w:rFonts w:ascii="Times New Roman" w:hAnsi="Times New Roman" w:cs="Times New Roman" w:eastAsia="Times New Roman" w:hint="default"/>
        </w:rPr>
        <w:t>12</w:t>
      </w:r>
      <w:r>
        <w:rPr/>
        <w:t>个月作为一个营业周期， 并以其作为资产和负债的流动性划分标准。</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记账本位币" w:id="171"/>
      <w:bookmarkEnd w:id="17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公司以人民币为记账本位币。</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同一控制下和非同一控制下企业合并的会计处理方法" w:id="172"/>
      <w:bookmarkEnd w:id="17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420"/>
        <w:jc w:val="both"/>
      </w:pPr>
      <w:r>
        <w:rPr>
          <w:spacing w:val="-1"/>
        </w:rPr>
        <w:t>（</w:t>
      </w:r>
      <w:r>
        <w:rPr>
          <w:rFonts w:ascii="Times New Roman" w:hAnsi="Times New Roman" w:cs="Times New Roman" w:eastAsia="Times New Roman" w:hint="default"/>
          <w:spacing w:val="-1"/>
        </w:rPr>
        <w:t>1</w:t>
      </w:r>
      <w:r>
        <w:rPr>
          <w:spacing w:val="-1"/>
        </w:rPr>
        <w:t>）参与合并的企业在合并前后均受同一方或相同的多方最终控制，且该控制并非暂时性的，为同一控制下的企业合</w:t>
      </w:r>
      <w:r>
        <w:rPr/>
        <w:t> 并。在合并日取得对其他参与合并企业控制权的一方为合并方，参与合并的其他企业为被合并方。</w:t>
      </w:r>
    </w:p>
    <w:p>
      <w:pPr>
        <w:pStyle w:val="BodyText"/>
        <w:spacing w:line="316" w:lineRule="auto" w:before="151"/>
        <w:ind w:right="1132" w:firstLine="420"/>
        <w:jc w:val="both"/>
      </w:pPr>
      <w:r>
        <w:rPr/>
        <w:t>同一控制下的企业合并，并以支付现金、转让非现金资产或承担债务方式作为合并对价的，在合并日按照取得被合并 </w:t>
      </w:r>
      <w:r>
        <w:rPr>
          <w:spacing w:val="-2"/>
        </w:rPr>
        <w:t>方所有者权益在最终控制方合并财务报表中的账面价值的份额计量，为企业合并发生的直接相关费用计入当期损益。长期股</w:t>
      </w:r>
      <w:r>
        <w:rPr>
          <w:spacing w:val="-64"/>
        </w:rPr>
        <w:t> </w:t>
      </w:r>
      <w:r>
        <w:rPr>
          <w:spacing w:val="-64"/>
        </w:rPr>
      </w:r>
      <w:r>
        <w:rPr>
          <w:spacing w:val="-2"/>
        </w:rPr>
        <w:t>权投资投资成本与支付的现金、转让的非现金资产以及所承担债务账面价值之间的差额，应当调整资本公积；资本公积不足</w:t>
      </w:r>
      <w:r>
        <w:rPr>
          <w:spacing w:val="-66"/>
        </w:rPr>
        <w:t> </w:t>
      </w:r>
      <w:r>
        <w:rPr>
          <w:spacing w:val="-66"/>
        </w:rPr>
      </w:r>
      <w:r>
        <w:rPr/>
        <w:t>冲减的，调整留存收益。</w:t>
      </w:r>
    </w:p>
    <w:p>
      <w:pPr>
        <w:pStyle w:val="BodyText"/>
        <w:spacing w:line="300" w:lineRule="auto" w:before="139"/>
        <w:ind w:right="1130" w:firstLine="420"/>
        <w:jc w:val="both"/>
      </w:pPr>
      <w:r>
        <w:rPr>
          <w:spacing w:val="-1"/>
        </w:rPr>
        <w:t>（</w:t>
      </w:r>
      <w:r>
        <w:rPr>
          <w:rFonts w:ascii="Times New Roman" w:hAnsi="Times New Roman" w:cs="Times New Roman" w:eastAsia="Times New Roman" w:hint="default"/>
          <w:spacing w:val="-1"/>
        </w:rPr>
        <w:t>2</w:t>
      </w:r>
      <w:r>
        <w:rPr>
          <w:spacing w:val="-1"/>
        </w:rPr>
        <w:t>）参与合并的企业在合并前后不受同一方或相同的多方最终控制，为非同一控制下的企业合并。在合并日取得对其</w:t>
      </w:r>
      <w:r>
        <w:rPr/>
        <w:t> 他参与合并企业控制权的一方为合并方，参与合并的其他企业为被合并方。</w:t>
      </w:r>
    </w:p>
    <w:p>
      <w:pPr>
        <w:pStyle w:val="BodyText"/>
        <w:spacing w:line="316" w:lineRule="auto" w:before="31"/>
        <w:ind w:right="1131" w:firstLine="380"/>
        <w:jc w:val="both"/>
      </w:pPr>
      <w:r>
        <w:rPr/>
        <w:t>非同一控制下的企业合并，一次交换交易实现合并的，投资成本为公司在购买日为取得对方的控制权而付出的资产、</w:t>
      </w:r>
      <w:r>
        <w:rPr>
          <w:spacing w:val="1"/>
        </w:rPr>
        <w:t> </w:t>
      </w:r>
      <w:r>
        <w:rPr>
          <w:spacing w:val="-2"/>
        </w:rPr>
        <w:t>发生或承担的负债以及发行的权益性证券的公允价值，为进行企业合并发生的各项直接相关费用计入当期损益。通过多次交</w:t>
      </w:r>
      <w:r>
        <w:rPr>
          <w:spacing w:val="-64"/>
        </w:rPr>
        <w:t> </w:t>
      </w:r>
      <w:r>
        <w:rPr>
          <w:spacing w:val="-64"/>
        </w:rPr>
      </w:r>
      <w:r>
        <w:rPr>
          <w:spacing w:val="-2"/>
        </w:rPr>
        <w:t>换交易分步实现的企业合并的，投资成本为每一单项交易成本之和。公司为进行企业合并发生的各项直接相关费用计入当期</w:t>
      </w:r>
      <w:r>
        <w:rPr>
          <w:spacing w:val="-64"/>
        </w:rPr>
        <w:t> </w:t>
      </w:r>
      <w:r>
        <w:rPr>
          <w:spacing w:val="-64"/>
        </w:rPr>
      </w:r>
      <w:r>
        <w:rPr>
          <w:spacing w:val="-2"/>
        </w:rPr>
        <w:t>损益。在合并合同或协议中对可能影响合并成本的未来事项作出约定的，购买日如果估计未来事项很可能发生并且对合并成</w:t>
      </w:r>
      <w:r>
        <w:rPr>
          <w:spacing w:val="-64"/>
        </w:rPr>
        <w:t> </w:t>
      </w:r>
      <w:r>
        <w:rPr>
          <w:spacing w:val="-64"/>
        </w:rPr>
      </w:r>
      <w:r>
        <w:rPr>
          <w:spacing w:val="-2"/>
        </w:rPr>
        <w:t>本的影响金额能够可靠计量的，公司将其计入投资成本；购买成本超过按股权比例享有的被购买方可辨认资产、负债的公允</w:t>
      </w:r>
      <w:r>
        <w:rPr>
          <w:spacing w:val="-66"/>
        </w:rPr>
        <w:t> </w:t>
      </w:r>
      <w:r>
        <w:rPr>
          <w:spacing w:val="-66"/>
        </w:rPr>
      </w:r>
      <w:r>
        <w:rPr>
          <w:spacing w:val="-2"/>
        </w:rPr>
        <w:t>价值中所占份额的部分，确认为商誉。如果本公司取得的在被购买方可辨认资产、负债的公允价值中所占的份额超过购买成</w:t>
      </w:r>
      <w:r>
        <w:rPr>
          <w:spacing w:val="-66"/>
        </w:rPr>
        <w:t> </w:t>
      </w:r>
      <w:r>
        <w:rPr>
          <w:spacing w:val="-66"/>
        </w:rPr>
      </w:r>
      <w:r>
        <w:rPr/>
        <w:t>本，则超出的金额直接计入当期损益。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73"/>
      <w:bookmarkEnd w:id="173"/>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420" w:lineRule="atLeast" w:before="176"/>
        <w:ind w:left="514" w:right="0" w:hanging="360"/>
        <w:jc w:val="left"/>
      </w:pPr>
      <w:r>
        <w:rPr>
          <w:rFonts w:ascii="Times New Roman" w:hAnsi="Times New Roman" w:cs="Times New Roman" w:eastAsia="Times New Roman" w:hint="default"/>
          <w:b/>
          <w:bCs/>
        </w:rPr>
        <w:t>--</w:t>
      </w:r>
      <w:r>
        <w:rPr>
          <w:rFonts w:ascii="宋体" w:hAnsi="宋体" w:cs="宋体" w:eastAsia="宋体" w:hint="default"/>
          <w:b/>
          <w:bCs/>
        </w:rPr>
        <w:t>合并范围的确定原则</w:t>
      </w:r>
      <w:r>
        <w:rPr>
          <w:rFonts w:ascii="宋体" w:hAnsi="宋体" w:cs="宋体" w:eastAsia="宋体" w:hint="default"/>
          <w:b/>
          <w:bCs/>
          <w:w w:val="99"/>
        </w:rPr>
        <w:t> </w:t>
      </w:r>
      <w:r>
        <w:rPr>
          <w:spacing w:val="-2"/>
        </w:rPr>
        <w:t>以控制为基础确定合并财务报表的合并范围，母公司控制的特殊目的主体也纳入合并财务报表的合并范围。如果母公司</w:t>
      </w:r>
    </w:p>
    <w:p>
      <w:pPr>
        <w:pStyle w:val="BodyText"/>
        <w:spacing w:line="316" w:lineRule="auto" w:before="76"/>
        <w:ind w:right="1131"/>
        <w:jc w:val="left"/>
      </w:pPr>
      <w:r>
        <w:rPr>
          <w:spacing w:val="-2"/>
        </w:rPr>
        <w:t>是投资性主体，且不存在为其投资活动提供相关服务的子公司，则不应当编制合并财务报表，该母公司按照《企业会计准则</w:t>
      </w:r>
      <w:r>
        <w:rPr>
          <w:spacing w:val="-66"/>
        </w:rPr>
        <w:t> </w:t>
      </w:r>
      <w:r>
        <w:rPr>
          <w:spacing w:val="-66"/>
        </w:rPr>
      </w:r>
      <w:r>
        <w:rPr/>
        <w:t>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合并财务报表》第二十一条规定以公允价值计量其对所有子公司的投资，且公允价值变动计入当期损益。</w:t>
      </w:r>
    </w:p>
    <w:p>
      <w:pPr>
        <w:pStyle w:val="Heading5"/>
        <w:spacing w:line="240" w:lineRule="auto" w:before="119"/>
        <w:ind w:right="0"/>
        <w:jc w:val="left"/>
        <w:rPr>
          <w:b w:val="0"/>
          <w:bCs w:val="0"/>
        </w:rPr>
      </w:pPr>
      <w:r>
        <w:rPr>
          <w:rFonts w:ascii="Times New Roman" w:hAnsi="Times New Roman" w:cs="Times New Roman" w:eastAsia="Times New Roman" w:hint="default"/>
        </w:rPr>
        <w:t>--</w:t>
      </w:r>
      <w:r>
        <w:rPr/>
        <w:t>合并报表采用的会计方法</w:t>
      </w:r>
      <w:r>
        <w:rPr>
          <w:b w:val="0"/>
          <w:bCs w:val="0"/>
        </w:rPr>
      </w:r>
    </w:p>
    <w:p>
      <w:pPr>
        <w:spacing w:line="240" w:lineRule="auto" w:before="13"/>
        <w:rPr>
          <w:rFonts w:ascii="宋体" w:hAnsi="宋体" w:cs="宋体" w:eastAsia="宋体" w:hint="default"/>
          <w:b/>
          <w:bCs/>
          <w:sz w:val="13"/>
          <w:szCs w:val="13"/>
        </w:rPr>
      </w:pPr>
    </w:p>
    <w:p>
      <w:pPr>
        <w:pStyle w:val="BodyText"/>
        <w:spacing w:line="314" w:lineRule="auto"/>
        <w:ind w:right="1130" w:firstLine="360"/>
        <w:jc w:val="both"/>
      </w:pPr>
      <w:r>
        <w:rPr>
          <w:spacing w:val="-2"/>
        </w:rPr>
        <w:t>公司合并会计报表的编制方法为按照《企业会计准则第</w:t>
      </w:r>
      <w:r>
        <w:rPr>
          <w:rFonts w:ascii="Times New Roman" w:hAnsi="Times New Roman" w:cs="Times New Roman" w:eastAsia="Times New Roman" w:hint="default"/>
          <w:spacing w:val="-2"/>
        </w:rPr>
        <w:t>33</w:t>
      </w:r>
      <w:r>
        <w:rPr>
          <w:spacing w:val="-2"/>
        </w:rPr>
        <w:t>号－合并财务报表》的要求，以母公司和纳入合并范围的子公</w:t>
      </w:r>
      <w:r>
        <w:rPr/>
        <w:t> </w:t>
      </w:r>
      <w:r>
        <w:rPr>
          <w:spacing w:val="-2"/>
        </w:rPr>
        <w:t>司的个别会计报表及其他相关资料为依据，在抵销母公司与子公司、子公司相互间的债权与债务项目、内部销售收入和未实</w:t>
      </w:r>
      <w:r>
        <w:rPr>
          <w:spacing w:val="-66"/>
        </w:rPr>
        <w:t> </w:t>
      </w:r>
      <w:r>
        <w:rPr>
          <w:spacing w:val="-66"/>
        </w:rPr>
      </w:r>
      <w:r>
        <w:rPr>
          <w:spacing w:val="-2"/>
        </w:rPr>
        <w:t>现的内部销售利润等项目，以及母公司对子公司权益性资本投资项目的数额与子公司所有者权益中母公司所持有的份额的基</w:t>
      </w:r>
      <w:r>
        <w:rPr>
          <w:spacing w:val="-63"/>
        </w:rPr>
        <w:t> </w:t>
      </w:r>
      <w:r>
        <w:rPr>
          <w:spacing w:val="-63"/>
        </w:rPr>
      </w:r>
      <w:r>
        <w:rPr>
          <w:spacing w:val="-2"/>
        </w:rPr>
        <w:t>础上，合并各报表项目数额编制。少数股东权益、少数股东损益在合并报表中单独列示。子公司的主要会计政策按照母公司</w:t>
      </w:r>
      <w:r>
        <w:rPr>
          <w:spacing w:val="-66"/>
        </w:rPr>
        <w:t> </w:t>
      </w:r>
      <w:r>
        <w:rPr>
          <w:spacing w:val="-66"/>
        </w:rPr>
      </w:r>
      <w:r>
        <w:rPr/>
        <w:t>统一选用的会计政策确定。</w:t>
      </w:r>
    </w:p>
    <w:p>
      <w:pPr>
        <w:pStyle w:val="Heading5"/>
        <w:spacing w:line="240" w:lineRule="auto" w:before="140"/>
        <w:ind w:right="0"/>
        <w:jc w:val="left"/>
        <w:rPr>
          <w:b w:val="0"/>
          <w:bCs w:val="0"/>
        </w:rPr>
      </w:pPr>
      <w:r>
        <w:rPr>
          <w:rFonts w:ascii="Times New Roman" w:hAnsi="Times New Roman" w:cs="Times New Roman" w:eastAsia="Times New Roman" w:hint="default"/>
        </w:rPr>
        <w:t>--</w:t>
      </w:r>
      <w:r>
        <w:rPr/>
        <w:t>少数股东权益和损益的列报</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74" w:right="0"/>
        <w:jc w:val="left"/>
      </w:pPr>
      <w:r>
        <w:rPr/>
        <w:t>－子公司当期净损益中属于少数股东权益的份额，在合并利润表中净利润项目下以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项列示。</w:t>
      </w:r>
    </w:p>
    <w:p>
      <w:pPr>
        <w:spacing w:line="240" w:lineRule="auto" w:before="13"/>
        <w:rPr>
          <w:rFonts w:ascii="宋体" w:hAnsi="宋体" w:cs="宋体" w:eastAsia="宋体" w:hint="default"/>
          <w:sz w:val="13"/>
          <w:szCs w:val="13"/>
        </w:rPr>
      </w:pPr>
    </w:p>
    <w:p>
      <w:pPr>
        <w:pStyle w:val="BodyText"/>
        <w:spacing w:line="240" w:lineRule="auto"/>
        <w:ind w:left="574" w:right="0"/>
        <w:jc w:val="left"/>
      </w:pPr>
      <w:r>
        <w:rPr/>
        <w:t>－子公司所有者权益中属于少数股东权益的份额，在合并资产负债表中所有者权益项目下以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w:t>
      </w:r>
    </w:p>
    <w:p>
      <w:pPr>
        <w:spacing w:line="240" w:lineRule="auto" w:before="0"/>
        <w:rPr>
          <w:rFonts w:ascii="宋体" w:hAnsi="宋体" w:cs="宋体" w:eastAsia="宋体" w:hint="default"/>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w:t>
      </w:r>
      <w:r>
        <w:rPr/>
        <w:t>当期增加减少子公司的合并报表处理</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0" w:firstLine="420"/>
        <w:jc w:val="left"/>
      </w:pPr>
      <w:r>
        <w:rPr>
          <w:spacing w:val="-2"/>
        </w:rPr>
        <w:t>－在报告期内，因同一控制下企业合并增加的子公司，将该子公司在合并当期的期初至报告期末的收入、成本、费用、</w:t>
      </w:r>
      <w:r>
        <w:rPr/>
        <w:t> </w:t>
      </w:r>
      <w:r>
        <w:rPr>
          <w:spacing w:val="-2"/>
        </w:rPr>
        <w:t>利润纳入合并利润表。因非同一控制下企业合并增加的子公司，将该子公司自购买日至报告期末的收入、成本、费用、利润</w:t>
      </w:r>
      <w:r>
        <w:rPr>
          <w:spacing w:val="-66"/>
        </w:rPr>
        <w:t> </w:t>
      </w:r>
      <w:r>
        <w:rPr>
          <w:spacing w:val="-66"/>
        </w:rPr>
      </w:r>
      <w:r>
        <w:rPr/>
        <w:t>纳入合并利润表。</w:t>
      </w:r>
    </w:p>
    <w:p>
      <w:pPr>
        <w:spacing w:after="0" w:line="316"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－在报告期内，处置子公司，将该子公司期初至处置日的收入、成本、费用、利润纳入合并利润表。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合营安排分类及共同经营会计处理方法" w:id="174"/>
      <w:bookmarkEnd w:id="17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pStyle w:val="BodyText"/>
        <w:spacing w:line="439" w:lineRule="auto"/>
        <w:ind w:left="574" w:right="3132"/>
        <w:jc w:val="left"/>
      </w:pPr>
      <w:r>
        <w:rPr/>
        <w:t>合营安排是指一项由两个或两个以上的参与方共同控制的安排，分为共同经营和合营企业。 当公司为共同经营的合营方时，确认与共同经营利益份额相关的下列项目：</w:t>
      </w:r>
    </w:p>
    <w:p>
      <w:pPr>
        <w:pStyle w:val="BodyText"/>
        <w:spacing w:line="240" w:lineRule="auto" w:before="47"/>
        <w:ind w:left="574" w:right="0"/>
        <w:jc w:val="left"/>
      </w:pPr>
      <w:r>
        <w:rPr/>
        <w:t>（</w:t>
      </w:r>
      <w:r>
        <w:rPr>
          <w:rFonts w:ascii="Times New Roman" w:hAnsi="Times New Roman" w:cs="Times New Roman" w:eastAsia="Times New Roman" w:hint="default"/>
        </w:rPr>
        <w:t>1</w:t>
      </w:r>
      <w:r>
        <w:rPr/>
        <w:t>）确认单独所持有的资产，以及按持有份额确认共同持有的资产；</w:t>
      </w:r>
    </w:p>
    <w:p>
      <w:pPr>
        <w:spacing w:line="240" w:lineRule="auto" w:before="13"/>
        <w:rPr>
          <w:rFonts w:ascii="宋体" w:hAnsi="宋体" w:cs="宋体" w:eastAsia="宋体" w:hint="default"/>
          <w:sz w:val="13"/>
          <w:szCs w:val="13"/>
        </w:rPr>
      </w:pPr>
    </w:p>
    <w:p>
      <w:pPr>
        <w:pStyle w:val="BodyText"/>
        <w:spacing w:line="240" w:lineRule="auto"/>
        <w:ind w:left="574" w:right="0"/>
        <w:jc w:val="left"/>
      </w:pPr>
      <w:r>
        <w:rPr/>
        <w:t>（</w:t>
      </w:r>
      <w:r>
        <w:rPr>
          <w:rFonts w:ascii="Times New Roman" w:hAnsi="Times New Roman" w:cs="Times New Roman" w:eastAsia="Times New Roman" w:hint="default"/>
        </w:rPr>
        <w:t>2</w:t>
      </w:r>
      <w:r>
        <w:rPr/>
        <w:t>）</w:t>
      </w:r>
      <w:r>
        <w:rPr>
          <w:spacing w:val="-19"/>
        </w:rPr>
        <w:t> </w:t>
      </w:r>
      <w:r>
        <w:rPr/>
        <w:t>确认单独所承担的负债，以及按持有份额确认共同承担的负债；</w:t>
      </w:r>
    </w:p>
    <w:p>
      <w:pPr>
        <w:spacing w:line="240" w:lineRule="auto" w:before="13"/>
        <w:rPr>
          <w:rFonts w:ascii="宋体" w:hAnsi="宋体" w:cs="宋体" w:eastAsia="宋体" w:hint="default"/>
          <w:sz w:val="13"/>
          <w:szCs w:val="13"/>
        </w:rPr>
      </w:pPr>
    </w:p>
    <w:p>
      <w:pPr>
        <w:pStyle w:val="BodyText"/>
        <w:spacing w:line="240" w:lineRule="auto"/>
        <w:ind w:left="574" w:right="0"/>
        <w:jc w:val="left"/>
      </w:pPr>
      <w:r>
        <w:rPr/>
        <w:t>（</w:t>
      </w:r>
      <w:r>
        <w:rPr>
          <w:rFonts w:ascii="Times New Roman" w:hAnsi="Times New Roman" w:cs="Times New Roman" w:eastAsia="Times New Roman" w:hint="default"/>
        </w:rPr>
        <w:t>3</w:t>
      </w:r>
      <w:r>
        <w:rPr/>
        <w:t>）</w:t>
      </w:r>
      <w:r>
        <w:rPr>
          <w:spacing w:val="-19"/>
        </w:rPr>
        <w:t> </w:t>
      </w:r>
      <w:r>
        <w:rPr/>
        <w:t>确认出售公司享有的共同经营产出份额所产生的收入；</w:t>
      </w:r>
    </w:p>
    <w:p>
      <w:pPr>
        <w:spacing w:line="240" w:lineRule="auto" w:before="13"/>
        <w:rPr>
          <w:rFonts w:ascii="宋体" w:hAnsi="宋体" w:cs="宋体" w:eastAsia="宋体" w:hint="default"/>
          <w:sz w:val="13"/>
          <w:szCs w:val="13"/>
        </w:rPr>
      </w:pPr>
    </w:p>
    <w:p>
      <w:pPr>
        <w:pStyle w:val="BodyText"/>
        <w:spacing w:line="240" w:lineRule="auto"/>
        <w:ind w:left="574" w:right="0"/>
        <w:jc w:val="left"/>
      </w:pPr>
      <w:r>
        <w:rPr/>
        <w:t>（</w:t>
      </w:r>
      <w:r>
        <w:rPr>
          <w:rFonts w:ascii="Times New Roman" w:hAnsi="Times New Roman" w:cs="Times New Roman" w:eastAsia="Times New Roman" w:hint="default"/>
        </w:rPr>
        <w:t>4</w:t>
      </w:r>
      <w:r>
        <w:rPr/>
        <w:t>）</w:t>
      </w:r>
      <w:r>
        <w:rPr>
          <w:spacing w:val="-19"/>
        </w:rPr>
        <w:t> </w:t>
      </w:r>
      <w:r>
        <w:rPr/>
        <w:t>按公司持有份额确认共同经营因出售资产所产生的收入；</w:t>
      </w:r>
    </w:p>
    <w:p>
      <w:pPr>
        <w:spacing w:line="240" w:lineRule="auto" w:before="13"/>
        <w:rPr>
          <w:rFonts w:ascii="宋体" w:hAnsi="宋体" w:cs="宋体" w:eastAsia="宋体" w:hint="default"/>
          <w:sz w:val="13"/>
          <w:szCs w:val="13"/>
        </w:rPr>
      </w:pPr>
    </w:p>
    <w:p>
      <w:pPr>
        <w:pStyle w:val="BodyText"/>
        <w:spacing w:line="328" w:lineRule="auto"/>
        <w:ind w:right="1118" w:firstLine="420"/>
        <w:jc w:val="left"/>
      </w:pPr>
      <w:r>
        <w:rPr/>
        <w:t>（</w:t>
      </w:r>
      <w:r>
        <w:rPr>
          <w:rFonts w:ascii="Times New Roman" w:hAnsi="Times New Roman" w:cs="Times New Roman" w:eastAsia="Times New Roman" w:hint="default"/>
        </w:rPr>
        <w:t>5</w:t>
      </w:r>
      <w:r>
        <w:rPr/>
        <w:t>）</w:t>
      </w:r>
      <w:r>
        <w:rPr>
          <w:spacing w:val="-18"/>
        </w:rPr>
        <w:t> </w:t>
      </w:r>
      <w:r>
        <w:rPr/>
        <w:t>确认单独所发生的费用，以及按公司持有份额确认共同经营发生的费用。</w:t>
      </w:r>
      <w:r>
        <w:rPr/>
        <w:t> 当公司为合营企业的合营方时，将对合营企业的投资确认为长期股权投资，并按照本财务报表附注长期股权投资所述方法</w:t>
      </w:r>
      <w:r>
        <w:rPr>
          <w:spacing w:val="-72"/>
        </w:rPr>
        <w:t> </w:t>
      </w:r>
      <w:r>
        <w:rPr>
          <w:spacing w:val="-72"/>
        </w:rPr>
      </w:r>
      <w:r>
        <w:rPr/>
        <w:t>进行核算。</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8、现金及现金等价物的确定标准" w:id="175"/>
      <w:bookmarkEnd w:id="17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现金等价物是指企业持有的期限短（一般指从购买日起三个月内到期）、流动性强、易于转换为已知金额现金、价值 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76"/>
      <w:bookmarkEnd w:id="17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right="1130" w:firstLine="420"/>
        <w:jc w:val="both"/>
      </w:pPr>
      <w:r>
        <w:rPr/>
        <w:t>公司日常核算外币业务按交易发生日的即期汇率将外币金额折算为记账本位币金额入账，每月末对资产负债表之货币 </w:t>
      </w:r>
      <w:r>
        <w:rPr>
          <w:spacing w:val="-2"/>
        </w:rPr>
        <w:t>资金、债权债务等货币性项目的外币余额按当日国家外汇市场汇率中间价进行调整，其差额作为</w:t>
      </w:r>
      <w:r>
        <w:rPr>
          <w:rFonts w:ascii="Times New Roman" w:hAnsi="Times New Roman" w:cs="Times New Roman" w:eastAsia="Times New Roman" w:hint="default"/>
          <w:spacing w:val="-2"/>
        </w:rPr>
        <w:t>“</w:t>
      </w:r>
      <w:r>
        <w:rPr>
          <w:spacing w:val="-2"/>
        </w:rPr>
        <w:t>财务费用</w:t>
      </w:r>
      <w:r>
        <w:rPr>
          <w:rFonts w:ascii="Times New Roman" w:hAnsi="Times New Roman" w:cs="Times New Roman" w:eastAsia="Times New Roman" w:hint="default"/>
          <w:spacing w:val="-2"/>
        </w:rPr>
        <w:t>—</w:t>
      </w:r>
      <w:r>
        <w:rPr>
          <w:spacing w:val="-2"/>
        </w:rPr>
        <w:t>汇兑损益</w:t>
      </w:r>
      <w:r>
        <w:rPr>
          <w:rFonts w:ascii="Times New Roman" w:hAnsi="Times New Roman" w:cs="Times New Roman" w:eastAsia="Times New Roman" w:hint="default"/>
          <w:spacing w:val="-2"/>
        </w:rPr>
        <w:t>”</w:t>
      </w:r>
      <w:r>
        <w:rPr>
          <w:spacing w:val="-2"/>
        </w:rPr>
        <w:t>计入</w:t>
      </w:r>
      <w:r>
        <w:rPr>
          <w:spacing w:val="-43"/>
        </w:rPr>
        <w:t> </w:t>
      </w:r>
      <w:r>
        <w:rPr/>
        <w:t>当期损益；属于与购建固定资产有关的借款产生的汇兑损益，按照借款费用资本化的原则进行处理。</w:t>
      </w:r>
    </w:p>
    <w:p>
      <w:pPr>
        <w:pStyle w:val="BodyText"/>
        <w:spacing w:line="312" w:lineRule="auto" w:before="144"/>
        <w:ind w:right="1129" w:firstLine="420"/>
        <w:jc w:val="both"/>
      </w:pPr>
      <w:r>
        <w:rPr/>
        <w:t>资产负债表中的所有资产、负债类项目均按照资产负债表日国家外汇市场汇率中间价折算为人民币金额；所有者权益 </w:t>
      </w:r>
      <w:r>
        <w:rPr>
          <w:spacing w:val="-1"/>
        </w:rPr>
        <w:t>类项目除</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项目外，均按发生时的国家外汇市场汇率中间价折算为人民币金额；</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项目以折算后的利</w:t>
      </w:r>
      <w:r>
        <w:rPr>
          <w:spacing w:val="-76"/>
        </w:rPr>
        <w:t> </w:t>
      </w:r>
      <w:r>
        <w:rPr>
          <w:spacing w:val="-2"/>
        </w:rPr>
        <w:t>润分配表中该项目的人民币金额列示。折算后资产类项目与负债类项目和所有者权益项目合计数的差额，在所有者权益项目</w:t>
      </w:r>
      <w:r>
        <w:rPr>
          <w:spacing w:val="-64"/>
        </w:rPr>
        <w:t> </w:t>
      </w:r>
      <w:r>
        <w:rPr>
          <w:spacing w:val="-64"/>
        </w:rPr>
      </w:r>
      <w:r>
        <w:rPr/>
        <w:t>下</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项目列示。</w:t>
      </w:r>
    </w:p>
    <w:p>
      <w:pPr>
        <w:pStyle w:val="BodyText"/>
        <w:spacing w:line="309" w:lineRule="auto" w:before="123"/>
        <w:ind w:right="1129" w:firstLine="420"/>
        <w:jc w:val="both"/>
      </w:pPr>
      <w:r>
        <w:rPr/>
        <w:t>利润表中所有项目和所有者权益变动表中有关反映发生数的项目采用平均汇率折算为人民币金额；所有者权益变动表 </w:t>
      </w:r>
      <w:r>
        <w:rPr>
          <w:spacing w:val="-1"/>
        </w:rPr>
        <w:t>中</w:t>
      </w:r>
      <w:r>
        <w:rPr>
          <w:rFonts w:ascii="Times New Roman" w:hAnsi="Times New Roman" w:cs="Times New Roman" w:eastAsia="Times New Roman" w:hint="default"/>
          <w:spacing w:val="-1"/>
        </w:rPr>
        <w:t>“</w:t>
      </w:r>
      <w:r>
        <w:rPr>
          <w:spacing w:val="-1"/>
        </w:rPr>
        <w:t>年初未分配利润</w:t>
      </w:r>
      <w:r>
        <w:rPr>
          <w:rFonts w:ascii="Times New Roman" w:hAnsi="Times New Roman" w:cs="Times New Roman" w:eastAsia="Times New Roman" w:hint="default"/>
          <w:spacing w:val="-1"/>
        </w:rPr>
        <w:t>”</w:t>
      </w:r>
      <w:r>
        <w:rPr>
          <w:spacing w:val="-1"/>
        </w:rPr>
        <w:t>项目以上一年折算后的期末</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项目的金额列示；</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项目按折算后的所有者权益变</w:t>
      </w:r>
      <w:r>
        <w:rPr>
          <w:spacing w:val="-57"/>
        </w:rPr>
        <w:t> </w:t>
      </w:r>
      <w:r>
        <w:rPr>
          <w:spacing w:val="-57"/>
        </w:rPr>
      </w:r>
      <w:r>
        <w:rPr/>
        <w:t>动表中的其他各项目的金额计算列示。</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10、金融工具" w:id="177"/>
      <w:bookmarkEnd w:id="17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420"/>
        <w:jc w:val="both"/>
      </w:pPr>
      <w:r>
        <w:rPr>
          <w:spacing w:val="-2"/>
        </w:rPr>
        <w:t>（</w:t>
      </w:r>
      <w:r>
        <w:rPr>
          <w:rFonts w:ascii="Times New Roman" w:hAnsi="Times New Roman" w:cs="Times New Roman" w:eastAsia="Times New Roman" w:hint="default"/>
          <w:spacing w:val="-2"/>
        </w:rPr>
        <w:t>1</w:t>
      </w:r>
      <w:r>
        <w:rPr>
          <w:spacing w:val="-2"/>
        </w:rPr>
        <w:t>）按照投资目的和经济实质本公司将拥有的金融资产划分为四类：以公允价值计量且其变动计入当期损益的金融资</w:t>
      </w:r>
      <w:r>
        <w:rPr/>
        <w:t> </w:t>
      </w:r>
      <w:r>
        <w:rPr>
          <w:spacing w:val="-2"/>
        </w:rPr>
        <w:t>产，包括交易性金融资产和指定为以公允价值计量且其变动计入当期损益的金融资产；持有至到期投资；应收款项；可供出</w:t>
      </w:r>
      <w:r>
        <w:rPr>
          <w:spacing w:val="-66"/>
        </w:rPr>
        <w:t> </w:t>
      </w:r>
      <w:r>
        <w:rPr>
          <w:spacing w:val="-66"/>
        </w:rPr>
      </w:r>
      <w:r>
        <w:rPr/>
        <w:t>售金融资产等。</w:t>
      </w:r>
    </w:p>
    <w:p>
      <w:pPr>
        <w:pStyle w:val="BodyText"/>
        <w:spacing w:line="300" w:lineRule="auto" w:before="144"/>
        <w:ind w:right="1130" w:firstLine="420"/>
        <w:jc w:val="both"/>
      </w:pPr>
      <w:r>
        <w:rPr>
          <w:spacing w:val="-1"/>
        </w:rPr>
        <w:t>（</w:t>
      </w:r>
      <w:r>
        <w:rPr>
          <w:rFonts w:ascii="Times New Roman" w:hAnsi="Times New Roman" w:cs="Times New Roman" w:eastAsia="Times New Roman" w:hint="default"/>
          <w:spacing w:val="-1"/>
        </w:rPr>
        <w:t>2</w:t>
      </w:r>
      <w:r>
        <w:rPr>
          <w:spacing w:val="-1"/>
        </w:rPr>
        <w:t>）按照经济实质将承担的金融负债再划分为两类：以公允价值计量且其变动计入当期损益的金融负债，包括交易性</w:t>
      </w:r>
      <w:r>
        <w:rPr/>
        <w:t> 金融负债和指定为以公允价值计量且其变动计入当期损益的金融负债；其他金融负债。</w:t>
      </w:r>
    </w:p>
    <w:p>
      <w:pPr>
        <w:pStyle w:val="BodyText"/>
        <w:spacing w:line="240" w:lineRule="auto" w:before="151"/>
        <w:ind w:left="574" w:right="0"/>
        <w:jc w:val="left"/>
      </w:pPr>
      <w:r>
        <w:rPr/>
        <w:t>（</w:t>
      </w:r>
      <w:r>
        <w:rPr>
          <w:rFonts w:ascii="Times New Roman" w:hAnsi="Times New Roman" w:cs="Times New Roman" w:eastAsia="Times New Roman" w:hint="default"/>
        </w:rPr>
        <w:t>3</w:t>
      </w:r>
      <w:r>
        <w:rPr/>
        <w:t>）金融工具确认依据和计量方法</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420"/>
        <w:jc w:val="both"/>
      </w:pPr>
      <w:r>
        <w:rPr/>
        <w:t>当公司成为金融工具合同的一方时，确认一项金融资产或金融负债。当收取该金融资产现金流量的合同权利终止、金 </w:t>
      </w:r>
      <w:r>
        <w:rPr>
          <w:spacing w:val="-2"/>
        </w:rPr>
        <w:t>融资产已转移且符合规定的终止确认条件的金融资产应当终止确认。当金融负债的现时义务全部或部分已解除的，终止确认</w:t>
      </w:r>
      <w:r>
        <w:rPr>
          <w:spacing w:val="-64"/>
        </w:rPr>
        <w:t> </w:t>
      </w:r>
      <w:r>
        <w:rPr>
          <w:spacing w:val="-64"/>
        </w:rPr>
      </w:r>
      <w:r>
        <w:rPr/>
        <w:t>该金融负债或其一部分。</w:t>
      </w:r>
    </w:p>
    <w:p>
      <w:pPr>
        <w:pStyle w:val="BodyText"/>
        <w:spacing w:line="319" w:lineRule="auto" w:before="139"/>
        <w:ind w:right="1133" w:firstLine="420"/>
        <w:jc w:val="both"/>
      </w:pPr>
      <w:r>
        <w:rPr/>
        <w:t>公司初始确认的金融资产或金融负债，按照公允价值计量。对于以公允价值计量且其变动计入当期损益的金融资产或 金融负债，相关交易费用直接计入当期损益；对于其他类别的金融资产或金融负债，相关交易费用计入初始确认金额。</w:t>
      </w:r>
    </w:p>
    <w:p>
      <w:pPr>
        <w:pStyle w:val="BodyText"/>
        <w:spacing w:line="316" w:lineRule="auto" w:before="137"/>
        <w:ind w:right="1170" w:firstLine="420"/>
        <w:jc w:val="both"/>
      </w:pPr>
      <w:r>
        <w:rPr/>
        <w:t>公司按照公允价值对金融资产进行后续计量，且不扣除将来处置该金融资产时可能发生的交易费用。但是，下列情况 除外：</w:t>
      </w:r>
    </w:p>
    <w:p>
      <w:pPr>
        <w:pStyle w:val="BodyText"/>
        <w:spacing w:line="432" w:lineRule="exact" w:before="3"/>
        <w:ind w:left="574" w:right="1152"/>
        <w:jc w:val="left"/>
      </w:pPr>
      <w:r>
        <w:rPr/>
        <w:t>持有至到期投资和应收款项，采用实际利率法，按摊余成本计量； 在活跃市场中没有报价且其公允价值不能可靠计量的权益工具投资，以及与该权益工具挂钩并须通过交付该权益工具</w:t>
      </w:r>
    </w:p>
    <w:p>
      <w:pPr>
        <w:pStyle w:val="BodyText"/>
        <w:spacing w:line="240" w:lineRule="auto" w:before="15"/>
        <w:ind w:right="0"/>
        <w:jc w:val="left"/>
      </w:pPr>
      <w:r>
        <w:rPr/>
        <w:t>结算的衍生金融资产，按照成本计量；</w:t>
      </w:r>
    </w:p>
    <w:p>
      <w:pPr>
        <w:spacing w:line="240" w:lineRule="auto" w:before="0"/>
        <w:rPr>
          <w:rFonts w:ascii="宋体" w:hAnsi="宋体" w:cs="宋体" w:eastAsia="宋体" w:hint="default"/>
          <w:sz w:val="15"/>
          <w:szCs w:val="15"/>
        </w:rPr>
      </w:pPr>
    </w:p>
    <w:p>
      <w:pPr>
        <w:pStyle w:val="BodyText"/>
        <w:spacing w:line="316" w:lineRule="auto"/>
        <w:ind w:right="1170" w:firstLine="420"/>
        <w:jc w:val="both"/>
      </w:pPr>
      <w:r>
        <w:rPr/>
        <w:t>对因持有意图或能力发生改变，或公允价值不再能够可靠计量等情况，使金融资产不再适合按照公允价值计量时，公 司改按成本计量，该成本为重分类日该金融资产的公允价值。</w:t>
      </w:r>
    </w:p>
    <w:p>
      <w:pPr>
        <w:pStyle w:val="BodyText"/>
        <w:spacing w:line="432" w:lineRule="exact" w:before="3"/>
        <w:ind w:left="574" w:right="1152"/>
        <w:jc w:val="left"/>
      </w:pPr>
      <w:r>
        <w:rPr/>
        <w:t>公司采用实际利率法，按摊余成本对金融负债进行后续计量。但是，下列情况除外： 以公允价值计量且变动计入当期损益的金融负债，按照公允价值计量，且不扣除将来结清金融负债时可能发生的交易</w:t>
      </w:r>
    </w:p>
    <w:p>
      <w:pPr>
        <w:pStyle w:val="BodyText"/>
        <w:spacing w:line="240" w:lineRule="auto" w:before="15"/>
        <w:ind w:right="0"/>
        <w:jc w:val="left"/>
      </w:pPr>
      <w:r>
        <w:rPr/>
        <w:t>费用；</w:t>
      </w:r>
    </w:p>
    <w:p>
      <w:pPr>
        <w:spacing w:line="240" w:lineRule="auto" w:before="0"/>
        <w:rPr>
          <w:rFonts w:ascii="宋体" w:hAnsi="宋体" w:cs="宋体" w:eastAsia="宋体" w:hint="default"/>
          <w:sz w:val="15"/>
          <w:szCs w:val="15"/>
        </w:rPr>
      </w:pPr>
    </w:p>
    <w:p>
      <w:pPr>
        <w:pStyle w:val="BodyText"/>
        <w:spacing w:line="316" w:lineRule="auto"/>
        <w:ind w:right="1169" w:firstLine="420"/>
        <w:jc w:val="both"/>
      </w:pPr>
      <w:r>
        <w:rPr/>
        <w:t>因持有意图或能力发生改变，或公允价值不再能够可靠计量等情况，使金融负债不再适合按照公允价值计量时，公司 改按成本计量，该成本为重分类日该金融负债的账面价值；</w:t>
      </w:r>
    </w:p>
    <w:p>
      <w:pPr>
        <w:pStyle w:val="BodyText"/>
        <w:spacing w:line="316" w:lineRule="auto" w:before="139"/>
        <w:ind w:right="1170" w:firstLine="420"/>
        <w:jc w:val="both"/>
      </w:pPr>
      <w:r>
        <w:rPr/>
        <w:t>与在活跃的市场中没有报价、公允价值不能可靠计量的权益工具挂钩并须通过交付该权益工具结算的衍生金融负债， 按照成本计量；</w:t>
      </w:r>
    </w:p>
    <w:p>
      <w:pPr>
        <w:pStyle w:val="BodyText"/>
        <w:spacing w:line="316" w:lineRule="auto" w:before="139"/>
        <w:ind w:right="1032" w:firstLine="420"/>
        <w:jc w:val="left"/>
      </w:pPr>
      <w:r>
        <w:rPr/>
        <w:t>不属于指定为以公允价值计量且其变动计入当期损益的金融负债的财务担保合同，或没有指定为以公允价值计量且其 变动计入当期损益并将以低于市场利率贷款的贷款承诺，应当在初始确认后按照下列两项金额之中的较高者进行后续计量： 按照或有事项准则确定的金额；初始确认金额扣除按照收入准则确定的累计摊销后的余额。</w:t>
      </w:r>
    </w:p>
    <w:p>
      <w:pPr>
        <w:pStyle w:val="BodyText"/>
        <w:spacing w:line="432" w:lineRule="exact" w:before="3"/>
        <w:ind w:left="574" w:right="1152"/>
        <w:jc w:val="left"/>
      </w:pPr>
      <w:r>
        <w:rPr/>
        <w:t>公司对金融资产或金融负债公允价值变动形成的利得或损失，除与套期保值有关外，按照下列规定处理： 以公允价值计量且其变动计入当期损益的金融资产或金融负债，公允价值变动形成的利得或损失，计入当期损益； 可供出售金融资产公允价值变动形成的利得或损失，除减值损失和外币货币性金融资产形成的汇兑差额外，计入资本</w:t>
      </w:r>
    </w:p>
    <w:p>
      <w:pPr>
        <w:pStyle w:val="BodyText"/>
        <w:spacing w:line="240" w:lineRule="auto" w:before="15"/>
        <w:ind w:right="0"/>
        <w:jc w:val="left"/>
      </w:pPr>
      <w:r>
        <w:rPr/>
        <w:t>公积，在该金融资产终止确认时转出，计入当期损益。</w:t>
      </w:r>
    </w:p>
    <w:p>
      <w:pPr>
        <w:spacing w:line="240" w:lineRule="auto" w:before="0"/>
        <w:rPr>
          <w:rFonts w:ascii="宋体" w:hAnsi="宋体" w:cs="宋体" w:eastAsia="宋体" w:hint="default"/>
          <w:sz w:val="15"/>
          <w:szCs w:val="15"/>
        </w:rPr>
      </w:pPr>
    </w:p>
    <w:p>
      <w:pPr>
        <w:pStyle w:val="BodyText"/>
        <w:spacing w:line="316" w:lineRule="auto"/>
        <w:ind w:right="1170" w:firstLine="420"/>
        <w:jc w:val="both"/>
      </w:pPr>
      <w:r>
        <w:rPr/>
        <w:t>公司对以摊余成本计量的金融资产或金融负债，除与套期保值有关外，在终止确认、发生减值或摊销时产生的利得或 损失，计入当期损益。</w:t>
      </w:r>
    </w:p>
    <w:p>
      <w:pPr>
        <w:pStyle w:val="BodyText"/>
        <w:spacing w:line="240" w:lineRule="auto" w:before="139"/>
        <w:ind w:left="574" w:right="0"/>
        <w:jc w:val="left"/>
      </w:pPr>
      <w:r>
        <w:rPr/>
        <w:t>公司在相同会计期间将套期工具和被套期项目的公允价值变动的抵消结果计入当期损益。</w:t>
      </w:r>
    </w:p>
    <w:p>
      <w:pPr>
        <w:spacing w:line="240" w:lineRule="auto" w:before="0"/>
        <w:rPr>
          <w:rFonts w:ascii="宋体" w:hAnsi="宋体" w:cs="宋体" w:eastAsia="宋体" w:hint="default"/>
          <w:sz w:val="15"/>
          <w:szCs w:val="15"/>
        </w:rPr>
      </w:pPr>
    </w:p>
    <w:p>
      <w:pPr>
        <w:pStyle w:val="BodyText"/>
        <w:spacing w:line="314" w:lineRule="auto"/>
        <w:ind w:right="1132" w:firstLine="420"/>
        <w:jc w:val="both"/>
      </w:pPr>
      <w:r>
        <w:rPr>
          <w:spacing w:val="-2"/>
        </w:rPr>
        <w:t>（</w:t>
      </w:r>
      <w:r>
        <w:rPr>
          <w:rFonts w:ascii="Times New Roman" w:hAnsi="Times New Roman" w:cs="Times New Roman" w:eastAsia="Times New Roman" w:hint="default"/>
          <w:spacing w:val="-2"/>
        </w:rPr>
        <w:t>4</w:t>
      </w:r>
      <w:r>
        <w:rPr>
          <w:spacing w:val="-2"/>
        </w:rPr>
        <w:t>）金融资产、金融负债的公允价值的确定：存在活跃市场的金融资产或金融负债，以活跃市场的报价确定其公允价</w:t>
      </w:r>
      <w:r>
        <w:rPr/>
        <w:t> </w:t>
      </w:r>
      <w:r>
        <w:rPr>
          <w:spacing w:val="-2"/>
        </w:rPr>
        <w:t>值，活跃市场的报价包括易于定期从交易所、经纪商、行业协会、定价服务机构等获得的价格，且代表了在公平交易中实际</w:t>
      </w:r>
      <w:r>
        <w:rPr>
          <w:spacing w:val="-66"/>
        </w:rPr>
        <w:t> </w:t>
      </w:r>
      <w:r>
        <w:rPr>
          <w:spacing w:val="-66"/>
        </w:rPr>
      </w:r>
      <w:r>
        <w:rPr>
          <w:spacing w:val="-2"/>
        </w:rPr>
        <w:t>发生的市场交易的价格；不存在活跃市场的金融资产或金融负债，采用估值技术确定其公允价值。估值技术包括参考熟悉情</w:t>
      </w:r>
      <w:r>
        <w:rPr>
          <w:spacing w:val="-66"/>
        </w:rPr>
        <w:t> </w:t>
      </w:r>
      <w:r>
        <w:rPr>
          <w:spacing w:val="-66"/>
        </w:rPr>
      </w:r>
      <w:r>
        <w:rPr>
          <w:spacing w:val="-2"/>
        </w:rPr>
        <w:t>况并自愿交易的各方最近进行的市场交易中使用的价格、参照实质上相同的其他金融资产或金融负债的当前公允价值、现金</w:t>
      </w:r>
      <w:r>
        <w:rPr>
          <w:spacing w:val="-64"/>
        </w:rPr>
        <w:t> </w:t>
      </w:r>
      <w:r>
        <w:rPr>
          <w:spacing w:val="-64"/>
        </w:rPr>
      </w:r>
      <w:r>
        <w:rPr/>
        <w:t>流量折现法和期权定价模型等。</w:t>
      </w:r>
    </w:p>
    <w:p>
      <w:pPr>
        <w:pStyle w:val="BodyText"/>
        <w:spacing w:line="432" w:lineRule="exact" w:before="5"/>
        <w:ind w:left="574" w:right="1152"/>
        <w:jc w:val="left"/>
      </w:pPr>
      <w:r>
        <w:rPr/>
        <w:t>（</w:t>
      </w:r>
      <w:r>
        <w:rPr>
          <w:rFonts w:ascii="Times New Roman" w:hAnsi="Times New Roman" w:cs="Times New Roman" w:eastAsia="Times New Roman" w:hint="default"/>
        </w:rPr>
        <w:t>5</w:t>
      </w:r>
      <w:r>
        <w:rPr/>
        <w:t>）金融资产的减值准备 公司期末对以公允价值计量且其变动计入当期损益的金融资产以外的金融资产的账面价值进行检查，有客观证据表明</w:t>
      </w:r>
    </w:p>
    <w:p>
      <w:pPr>
        <w:pStyle w:val="BodyText"/>
        <w:spacing w:line="240" w:lineRule="auto" w:before="15"/>
        <w:ind w:right="0"/>
        <w:jc w:val="left"/>
      </w:pPr>
      <w:r>
        <w:rPr/>
        <w:t>该金融资产发生减值的，计提减值准备。计提减值准备时，对单项金额重大的进行单独减值测试；对单项金额不重大的，在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具有类似信用风险特征的金融资产组中进行减值测试。主要金融资产计提减值准备的具体方法分别如下：</w:t>
      </w:r>
    </w:p>
    <w:p>
      <w:pPr>
        <w:spacing w:line="240" w:lineRule="auto" w:before="0"/>
        <w:rPr>
          <w:rFonts w:ascii="宋体" w:hAnsi="宋体" w:cs="宋体" w:eastAsia="宋体" w:hint="default"/>
          <w:sz w:val="15"/>
          <w:szCs w:val="15"/>
        </w:rPr>
      </w:pPr>
    </w:p>
    <w:p>
      <w:pPr>
        <w:pStyle w:val="BodyText"/>
        <w:spacing w:line="319" w:lineRule="auto"/>
        <w:ind w:right="1131" w:firstLine="420"/>
        <w:jc w:val="both"/>
      </w:pPr>
      <w:r>
        <w:rPr/>
        <w:t>可供出售金融资产能以公允价值可靠计量的，以公允价值低于账面价值部分计提减值准备，计入当期损益；可供出售 </w:t>
      </w:r>
      <w:r>
        <w:rPr>
          <w:spacing w:val="-2"/>
        </w:rPr>
        <w:t>金融资产以公允价值不能可靠计量的，以预计未来现金流量（不包括尚未发生的未来信用损失）现值低于账面价值部分计提</w:t>
      </w:r>
      <w:r>
        <w:rPr>
          <w:spacing w:val="-66"/>
        </w:rPr>
        <w:t> </w:t>
      </w:r>
      <w:r>
        <w:rPr>
          <w:spacing w:val="-66"/>
        </w:rPr>
      </w:r>
      <w:r>
        <w:rPr>
          <w:spacing w:val="-2"/>
        </w:rPr>
        <w:t>减值准备，计入当期损益。可供出售金融资产发生减值时，即使该金融资产没有终止确认，原直接计入所有者权益的因公允</w:t>
      </w:r>
      <w:r>
        <w:rPr>
          <w:spacing w:val="-66"/>
        </w:rPr>
        <w:t> </w:t>
      </w:r>
      <w:r>
        <w:rPr>
          <w:spacing w:val="-66"/>
        </w:rPr>
      </w:r>
      <w:r>
        <w:rPr/>
        <w:t>价值下降形成的累计损失，应当予以转出，计入当期损益。</w:t>
      </w:r>
    </w:p>
    <w:p>
      <w:pPr>
        <w:pStyle w:val="BodyText"/>
        <w:spacing w:line="316" w:lineRule="auto" w:before="58"/>
        <w:ind w:right="1118"/>
        <w:jc w:val="left"/>
      </w:pPr>
      <w:r>
        <w:rPr>
          <w:spacing w:val="-2"/>
        </w:rPr>
        <w:t>持有至到期的投资以预计未来现金流量（不包括尚未发生的未来信用损失）现值低于账面价值部分计提减值准备，计入当期</w:t>
      </w:r>
      <w:r>
        <w:rPr>
          <w:spacing w:val="-66"/>
        </w:rPr>
        <w:t> </w:t>
      </w:r>
      <w:r>
        <w:rPr>
          <w:spacing w:val="-66"/>
        </w:rPr>
      </w:r>
      <w:r>
        <w:rPr/>
        <w:t>损益。</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11、应收票据及应收账款" w:id="178"/>
      <w:bookmarkEnd w:id="178"/>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79"/>
      <w:bookmarkEnd w:id="17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本公司将单项金额超过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万元的应收款项视为重大应收款</w:t>
            </w:r>
          </w:p>
          <w:p>
            <w:pPr>
              <w:pStyle w:val="TableParagraph"/>
              <w:spacing w:line="302" w:lineRule="auto" w:before="61"/>
              <w:ind w:left="23" w:right="21"/>
              <w:jc w:val="left"/>
              <w:rPr>
                <w:rFonts w:ascii="宋体" w:hAnsi="宋体" w:cs="宋体" w:eastAsia="宋体" w:hint="default"/>
                <w:sz w:val="18"/>
                <w:szCs w:val="18"/>
              </w:rPr>
            </w:pPr>
            <w:r>
              <w:rPr>
                <w:rFonts w:ascii="宋体" w:hAnsi="宋体" w:cs="宋体" w:eastAsia="宋体" w:hint="default"/>
                <w:spacing w:val="-6"/>
                <w:sz w:val="18"/>
                <w:szCs w:val="18"/>
              </w:rPr>
              <w:t>项，单项金额超过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万元的其他应收款视为重大的其他应收 款。</w:t>
            </w:r>
          </w:p>
        </w:tc>
      </w:tr>
      <w:tr>
        <w:trPr>
          <w:trHeight w:val="165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当存在客观证据表明本公司将无法按应收款项的原有条款收 回所有款项时，根据其未来现金流量现值低于其账面价值的 差额，单独进行减值测试，计提坏账准备。单独测试未发生 减值的单项金额重大的应收款项，以账龄为信用风险组合计 提坏账准备。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0"/>
      <w:bookmarkEnd w:id="18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40" w:lineRule="auto" w:before="116"/>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2"/>
              <w:jc w:val="center"/>
              <w:rPr>
                <w:rFonts w:ascii="宋体" w:hAnsi="宋体" w:cs="宋体" w:eastAsia="宋体" w:hint="default"/>
                <w:sz w:val="18"/>
                <w:szCs w:val="18"/>
              </w:rPr>
            </w:pPr>
            <w:r>
              <w:rPr>
                <w:rFonts w:ascii="宋体" w:hAnsi="宋体" w:cs="宋体" w:eastAsia="宋体" w:hint="default"/>
                <w:sz w:val="18"/>
                <w:szCs w:val="18"/>
              </w:rPr>
              <w:t>合并报表范围内的关联方往来、租赁押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6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金、投标保证金及员工备用金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81"/>
      <w:bookmarkEnd w:id="18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有确凿证据表明发生坏账可能性较大的应收款项。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对于发生坏账可能性较大的单项不重大的应收款项单独进行 减值测试，如有客观证据表明其发生了减值的，根据其预计 未来现金流量（不包括尚未发生的未来信用损失）按原实际 利率折现的现值低于其账面价值的差额，确认为减值损失， 计入当期损益。</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2"/>
      <w:bookmarkEnd w:id="182"/>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left"/>
      </w:pPr>
      <w:r>
        <w:rPr/>
        <w:t>软件与信息技术服务业</w:t>
      </w:r>
    </w:p>
    <w:p>
      <w:pPr>
        <w:spacing w:line="240" w:lineRule="auto" w:before="12"/>
        <w:rPr>
          <w:rFonts w:ascii="宋体" w:hAnsi="宋体" w:cs="宋体" w:eastAsia="宋体" w:hint="default"/>
          <w:sz w:val="14"/>
          <w:szCs w:val="14"/>
        </w:rPr>
      </w:pPr>
    </w:p>
    <w:p>
      <w:pPr>
        <w:pStyle w:val="Heading5"/>
        <w:spacing w:line="240" w:lineRule="auto"/>
        <w:ind w:right="0"/>
        <w:jc w:val="left"/>
        <w:rPr>
          <w:b w:val="0"/>
          <w:bCs w:val="0"/>
        </w:rPr>
      </w:pPr>
      <w:r>
        <w:rPr/>
        <w:t>－存货的分类</w:t>
      </w:r>
      <w:r>
        <w:rPr>
          <w:b w:val="0"/>
          <w:bCs w:val="0"/>
        </w:rPr>
      </w:r>
    </w:p>
    <w:p>
      <w:pPr>
        <w:spacing w:line="240" w:lineRule="auto" w:before="0"/>
        <w:rPr>
          <w:rFonts w:ascii="宋体" w:hAnsi="宋体" w:cs="宋体" w:eastAsia="宋体" w:hint="default"/>
          <w:b/>
          <w:bCs/>
          <w:sz w:val="15"/>
          <w:szCs w:val="15"/>
        </w:rPr>
      </w:pPr>
    </w:p>
    <w:p>
      <w:pPr>
        <w:pStyle w:val="BodyText"/>
        <w:spacing w:line="240" w:lineRule="auto"/>
        <w:ind w:left="574" w:right="0"/>
        <w:jc w:val="left"/>
      </w:pPr>
      <w:r>
        <w:rPr/>
        <w:t>存货分为库存商品、劳务成本、低值易耗品等大类。</w:t>
      </w:r>
    </w:p>
    <w:p>
      <w:pPr>
        <w:spacing w:line="240" w:lineRule="auto" w:before="0"/>
        <w:rPr>
          <w:rFonts w:ascii="宋体" w:hAnsi="宋体" w:cs="宋体" w:eastAsia="宋体" w:hint="default"/>
          <w:sz w:val="15"/>
          <w:szCs w:val="15"/>
        </w:rPr>
      </w:pPr>
    </w:p>
    <w:p>
      <w:pPr>
        <w:spacing w:line="439" w:lineRule="auto" w:before="0"/>
        <w:ind w:left="574" w:right="4752" w:hanging="420"/>
        <w:jc w:val="left"/>
        <w:rPr>
          <w:rFonts w:ascii="宋体" w:hAnsi="宋体" w:cs="宋体" w:eastAsia="宋体" w:hint="default"/>
          <w:sz w:val="18"/>
          <w:szCs w:val="18"/>
        </w:rPr>
      </w:pP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购入库存商品等按实际成本入账，发出时的成本采用加权平均法核算。</w:t>
      </w:r>
    </w:p>
    <w:p>
      <w:pPr>
        <w:pStyle w:val="Heading5"/>
        <w:spacing w:line="240" w:lineRule="auto" w:before="47"/>
        <w:ind w:right="0"/>
        <w:jc w:val="left"/>
        <w:rPr>
          <w:b w:val="0"/>
          <w:bCs w:val="0"/>
        </w:rPr>
      </w:pPr>
      <w:r>
        <w:rPr/>
        <w:t>－存货可变现净值的确定依据及存货跌价准备的计提方法</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right="1170" w:firstLine="420"/>
        <w:jc w:val="both"/>
      </w:pPr>
      <w:r>
        <w:rPr/>
        <w:t>公司于每年中期期末及期末在对存货进行全面盘点的基础上，对遭受损失，全部或部分陈旧过时或销售价格低于成本 的存货，根据存货成本与可变现净值孰低计量。</w:t>
      </w:r>
    </w:p>
    <w:p>
      <w:pPr>
        <w:pStyle w:val="BodyText"/>
        <w:spacing w:line="316" w:lineRule="auto" w:before="139"/>
        <w:ind w:right="1131" w:firstLine="420"/>
        <w:jc w:val="both"/>
      </w:pPr>
      <w:r>
        <w:rPr/>
        <w:t>存货跌价准备按单个存货项目的成本与可变现净值计量，但如果某些存货与在同一地区生产和销售的产品系列相关、 </w:t>
      </w:r>
      <w:r>
        <w:rPr>
          <w:spacing w:val="-2"/>
        </w:rPr>
        <w:t>具有相同或类似最终用途或目的，且难以与其他项目分开计量，可以合并计量成本与可变现净值；对于数量繁多、单价较低</w:t>
      </w:r>
      <w:r>
        <w:rPr>
          <w:spacing w:val="-66"/>
        </w:rPr>
        <w:t> </w:t>
      </w:r>
      <w:r>
        <w:rPr>
          <w:spacing w:val="-66"/>
        </w:rPr>
      </w:r>
      <w:r>
        <w:rPr/>
        <w:t>的存货，可以按照存货类别计量成本与可变现净值。</w:t>
      </w:r>
    </w:p>
    <w:p>
      <w:pPr>
        <w:pStyle w:val="BodyText"/>
        <w:spacing w:line="316" w:lineRule="auto" w:before="139"/>
        <w:ind w:right="1132" w:firstLine="420"/>
        <w:jc w:val="both"/>
      </w:pPr>
      <w:r>
        <w:rPr/>
        <w:t>可直接用于出售的存货，其可变现净值按该等存货的估计售价减去估计的销售费用和相关税费后的金额确定；用于生 </w:t>
      </w:r>
      <w:r>
        <w:rPr>
          <w:spacing w:val="-2"/>
        </w:rPr>
        <w:t>产而持有的存货，其可变现净值按所生产的产成品的估计售价减去至完工时估计将要发生的成本、估计的销售费用和相关税</w:t>
      </w:r>
      <w:r>
        <w:rPr>
          <w:spacing w:val="-64"/>
        </w:rPr>
        <w:t> </w:t>
      </w:r>
      <w:r>
        <w:rPr>
          <w:spacing w:val="-64"/>
        </w:rPr>
      </w:r>
      <w:r>
        <w:rPr>
          <w:spacing w:val="-2"/>
        </w:rPr>
        <w:t>费后的金额确定；为执行销售合同或者劳务合同而持有的存货，其可变现净值以合同价格为基础计算；企业持有存货的数量</w:t>
      </w:r>
      <w:r>
        <w:rPr>
          <w:spacing w:val="-66"/>
        </w:rPr>
        <w:t> </w:t>
      </w:r>
      <w:r>
        <w:rPr>
          <w:spacing w:val="-66"/>
        </w:rPr>
      </w:r>
      <w:r>
        <w:rPr>
          <w:spacing w:val="-2"/>
        </w:rPr>
        <w:t>多于销售合同订购数量的，超出部分的存货可变现净值以一般销售价格为基础计算。对于存货因遭受毁损、全部或部分陈旧</w:t>
      </w:r>
      <w:r>
        <w:rPr>
          <w:spacing w:val="-66"/>
        </w:rPr>
        <w:t> </w:t>
      </w:r>
      <w:r>
        <w:rPr>
          <w:spacing w:val="-66"/>
        </w:rPr>
      </w:r>
      <w:r>
        <w:rPr/>
        <w:t>过时或销售价格低于成本等原因，预计其成本不可收回的部分，提取存货跌价准备。</w:t>
      </w:r>
    </w:p>
    <w:p>
      <w:pPr>
        <w:pStyle w:val="BodyText"/>
        <w:spacing w:line="432" w:lineRule="exact" w:before="3"/>
        <w:ind w:left="574" w:right="1118" w:hanging="420"/>
        <w:jc w:val="left"/>
      </w:pPr>
      <w:r>
        <w:rPr>
          <w:rFonts w:ascii="宋体" w:hAnsi="宋体" w:cs="宋体" w:eastAsia="宋体" w:hint="default"/>
          <w:b/>
          <w:bCs/>
        </w:rPr>
        <w:t>－存货的盘存制度</w:t>
      </w:r>
      <w:r>
        <w:rPr>
          <w:rFonts w:ascii="宋体" w:hAnsi="宋体" w:cs="宋体" w:eastAsia="宋体" w:hint="default"/>
          <w:b/>
          <w:bCs/>
          <w:w w:val="99"/>
        </w:rPr>
        <w:t> </w:t>
      </w:r>
      <w:r>
        <w:rPr>
          <w:spacing w:val="-1"/>
        </w:rPr>
        <w:t>采用永续盘存制，并且定期对存货进行盘点</w:t>
      </w:r>
      <w:r>
        <w:rPr>
          <w:rFonts w:ascii="Times New Roman" w:hAnsi="Times New Roman" w:cs="Times New Roman" w:eastAsia="Times New Roman" w:hint="default"/>
          <w:spacing w:val="-1"/>
        </w:rPr>
        <w:t>,</w:t>
      </w:r>
      <w:r>
        <w:rPr>
          <w:spacing w:val="-1"/>
        </w:rPr>
        <w:t>盘点结果如与账面记录不符，根据管理权限报经批准后，在年终结账前处</w:t>
      </w:r>
    </w:p>
    <w:p>
      <w:pPr>
        <w:spacing w:line="439" w:lineRule="auto" w:before="15"/>
        <w:ind w:left="154" w:right="8764" w:firstLine="0"/>
        <w:jc w:val="left"/>
        <w:rPr>
          <w:rFonts w:ascii="宋体" w:hAnsi="宋体" w:cs="宋体" w:eastAsia="宋体" w:hint="default"/>
          <w:sz w:val="18"/>
          <w:szCs w:val="18"/>
        </w:rPr>
      </w:pPr>
      <w:r>
        <w:rPr>
          <w:rFonts w:ascii="宋体" w:hAnsi="宋体" w:cs="宋体" w:eastAsia="宋体" w:hint="default"/>
          <w:sz w:val="18"/>
          <w:szCs w:val="18"/>
        </w:rPr>
        <w:t>理完毕，计入当期损益。 </w:t>
      </w:r>
      <w:r>
        <w:rPr>
          <w:rFonts w:ascii="宋体" w:hAnsi="宋体" w:cs="宋体" w:eastAsia="宋体" w:hint="default"/>
          <w:b/>
          <w:bCs/>
          <w:sz w:val="18"/>
          <w:szCs w:val="18"/>
        </w:rPr>
        <w:t>低值易耗品的摊销方法：</w:t>
      </w:r>
      <w:r>
        <w:rPr>
          <w:rFonts w:ascii="宋体" w:hAnsi="宋体" w:cs="宋体" w:eastAsia="宋体" w:hint="default"/>
          <w:sz w:val="18"/>
          <w:szCs w:val="18"/>
        </w:rPr>
      </w:r>
    </w:p>
    <w:p>
      <w:pPr>
        <w:pStyle w:val="BodyText"/>
        <w:spacing w:line="240" w:lineRule="auto" w:before="47"/>
        <w:ind w:left="574" w:right="0"/>
        <w:jc w:val="left"/>
      </w:pPr>
      <w:r>
        <w:rPr/>
        <w:t>低值易耗品采用一次摊销法摊销。</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13、持有待售资产" w:id="183"/>
      <w:bookmarkEnd w:id="183"/>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14、长期股权投资" w:id="184"/>
      <w:bookmarkEnd w:id="18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415" w:lineRule="auto"/>
        <w:ind w:left="574" w:right="4932"/>
        <w:jc w:val="left"/>
      </w:pPr>
      <w:r>
        <w:rPr/>
        <w:t>（</w:t>
      </w:r>
      <w:r>
        <w:rPr>
          <w:rFonts w:ascii="Times New Roman" w:hAnsi="Times New Roman" w:cs="Times New Roman" w:eastAsia="Times New Roman" w:hint="default"/>
        </w:rPr>
        <w:t>1</w:t>
      </w:r>
      <w:r>
        <w:rPr/>
        <w:t>）长期股权投资的分类 长期股权投资包括对子公司的投资和对合营企业、联营企业的投资。</w:t>
      </w:r>
    </w:p>
    <w:p>
      <w:pPr>
        <w:pStyle w:val="BodyText"/>
        <w:spacing w:line="240" w:lineRule="auto" w:before="65"/>
        <w:ind w:left="574" w:right="0"/>
        <w:jc w:val="left"/>
      </w:pPr>
      <w:r>
        <w:rPr/>
        <w:t>（</w:t>
      </w:r>
      <w:r>
        <w:rPr>
          <w:rFonts w:ascii="Times New Roman" w:hAnsi="Times New Roman" w:cs="Times New Roman" w:eastAsia="Times New Roman" w:hint="default"/>
        </w:rPr>
        <w:t>2</w:t>
      </w:r>
      <w:r>
        <w:rPr/>
        <w:t>）长期股权投资的计量：</w:t>
      </w:r>
    </w:p>
    <w:p>
      <w:pPr>
        <w:pStyle w:val="BodyText"/>
        <w:spacing w:line="420" w:lineRule="atLeast" w:before="12"/>
        <w:ind w:left="574" w:right="1152"/>
        <w:jc w:val="left"/>
      </w:pPr>
      <w:r>
        <w:rPr>
          <w:rFonts w:ascii="Times New Roman" w:hAnsi="Times New Roman" w:cs="Times New Roman" w:eastAsia="Times New Roman" w:hint="default"/>
        </w:rPr>
        <w:t>A</w:t>
      </w:r>
      <w:r>
        <w:rPr/>
        <w:t>、企业合并形成的长期股权投资 同一控制下的企业合并形成的，合并方以支付现金、转让非现金资产、承担债务或发行权益性证券作为合并对价的，</w:t>
      </w:r>
    </w:p>
    <w:p>
      <w:pPr>
        <w:pStyle w:val="BodyText"/>
        <w:spacing w:line="316" w:lineRule="auto" w:before="76"/>
        <w:ind w:right="1232"/>
        <w:jc w:val="both"/>
      </w:pPr>
      <w:r>
        <w:rPr/>
        <w:t>在合并日按照取得被合并方所有者权益在最终控制方合并财务报表中的账面价值的份额作为其初始投资成本。长期股权投 资初始投资成本与支付的现金、转让的非现金资产以及所承担债务账面价值之间的差额调整资本公积；资本公积不足冲减 的，调整留存收益。</w:t>
      </w:r>
    </w:p>
    <w:p>
      <w:pPr>
        <w:pStyle w:val="BodyText"/>
        <w:spacing w:line="316" w:lineRule="auto" w:before="139"/>
        <w:ind w:right="1143" w:firstLine="420"/>
        <w:jc w:val="both"/>
      </w:pPr>
      <w:r>
        <w:rPr/>
        <w:t>公司通过多次交易分步实现同一控制下企业合并形成的长期股权投资，在个别财务报表和合并财务报表中，将按持股 比例享有在合并日被合并方所有者权益账面价值的份额作为初始投资成本。合并日之前所持被合并方的股权投资账面价值 加上合并日新增投资成本，</w:t>
      </w:r>
      <w:r>
        <w:rPr>
          <w:spacing w:val="-59"/>
        </w:rPr>
        <w:t> </w:t>
      </w:r>
      <w:r>
        <w:rPr>
          <w:spacing w:val="-3"/>
        </w:rPr>
        <w:t>与长期股权投资初始投资成本之间的差额调整资本公积；资本公积不足冲减的，调整留存收益。</w:t>
      </w:r>
    </w:p>
    <w:p>
      <w:pPr>
        <w:pStyle w:val="BodyText"/>
        <w:spacing w:line="312" w:lineRule="auto" w:before="139"/>
        <w:ind w:right="1230" w:firstLine="420"/>
        <w:jc w:val="both"/>
      </w:pPr>
      <w:r>
        <w:rPr>
          <w:spacing w:val="-2"/>
        </w:rPr>
        <w:t>非同一控制下的企业合并形成的，在购买日按照支付的合并对价的公允价值作为其初始投资成本。公司通过多次交易</w:t>
      </w:r>
      <w:r>
        <w:rPr/>
        <w:t> 分步实现非同一控制下企业合并形成的长期股权投资，</w:t>
      </w:r>
      <w:r>
        <w:rPr>
          <w:spacing w:val="7"/>
        </w:rPr>
        <w:t> </w:t>
      </w:r>
      <w:r>
        <w:rPr/>
        <w:t>区分个别财务报表和合并财务报表进行相关会计处理：</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在个别</w:t>
      </w:r>
      <w:r>
        <w:rPr>
          <w:spacing w:val="-85"/>
        </w:rPr>
        <w:t> </w:t>
      </w:r>
      <w:r>
        <w:rPr/>
        <w:t>财务报表中，以购买日之前所持被购买方的股权投资的账面价值与购买日新增投资成本之和，作为该项投资的初始投资成</w:t>
      </w:r>
      <w:r>
        <w:rPr/>
        <w:t> 本；购买日之前持有的被购买方的股权涉及其他综合收益的，在处置该项投资时将与其相关的其他综合收益转入当期投资 </w:t>
      </w:r>
      <w:r>
        <w:rPr>
          <w:spacing w:val="-3"/>
        </w:rPr>
        <w:t>收益。</w:t>
      </w:r>
      <w:r>
        <w:rPr>
          <w:rFonts w:ascii="Times New Roman" w:hAnsi="Times New Roman" w:cs="Times New Roman" w:eastAsia="Times New Roman" w:hint="default"/>
          <w:spacing w:val="-3"/>
        </w:rPr>
        <w:t>2) </w:t>
      </w:r>
      <w:r>
        <w:rPr/>
        <w:t>在合并财务报表中，对于购买日之前持有的被购买方的股权，按照该股权在购买日的公允价值进行重新计量，公 允价值与其账面价值的差额计入当期投资收益；</w:t>
      </w:r>
      <w:r>
        <w:rPr>
          <w:spacing w:val="-38"/>
        </w:rPr>
        <w:t> </w:t>
      </w:r>
      <w:r>
        <w:rPr>
          <w:spacing w:val="-2"/>
        </w:rPr>
        <w:t>购买日之前持有的被购买方的股权涉及其他综合收益的，与其相关的其他</w:t>
      </w:r>
      <w:r>
        <w:rPr>
          <w:spacing w:val="-85"/>
        </w:rPr>
        <w:t> </w:t>
      </w:r>
      <w:r>
        <w:rPr>
          <w:spacing w:val="-85"/>
        </w:rPr>
      </w:r>
      <w:r>
        <w:rPr/>
        <w:t>综合收益转为购买日所属当期投资收益。</w:t>
      </w:r>
    </w:p>
    <w:p>
      <w:pPr>
        <w:pStyle w:val="BodyText"/>
        <w:spacing w:line="432" w:lineRule="exact" w:before="7"/>
        <w:ind w:left="574" w:right="0"/>
        <w:jc w:val="left"/>
      </w:pPr>
      <w:r>
        <w:rPr>
          <w:rFonts w:ascii="Times New Roman" w:hAnsi="Times New Roman" w:cs="Times New Roman" w:eastAsia="Times New Roman" w:hint="default"/>
        </w:rPr>
        <w:t>B</w:t>
      </w:r>
      <w:r>
        <w:rPr/>
        <w:t>、企业合并以外的其他方式取得的长期股权投资 </w:t>
      </w:r>
      <w:r>
        <w:rPr>
          <w:spacing w:val="-2"/>
        </w:rPr>
        <w:t>以支付现金取得的长期股权投资，按照实际支付的购买价款作为投资成本。投资成本包括与取得长期股权投资直接相</w:t>
      </w:r>
    </w:p>
    <w:p>
      <w:pPr>
        <w:pStyle w:val="BodyText"/>
        <w:spacing w:line="316" w:lineRule="auto" w:before="15"/>
        <w:ind w:right="1229"/>
        <w:jc w:val="both"/>
      </w:pPr>
      <w:r>
        <w:rPr/>
        <w:t>关的费用、税金及其他必要支出；发行权益性证券取得的长期股权投资，按照发行权益性证券的公允价值作为投资成本； 通过非货币性资产交换（该项交换具有商业实质）取得的长期股权投资，其投资成本以该项投资的公允价值和应支付的相 关税费作为换入资产的成本；通过债务重组取得的长期股权投资，债权人将享有股份的公允价值确认为对债务人的投资。</w:t>
      </w:r>
    </w:p>
    <w:p>
      <w:pPr>
        <w:pStyle w:val="BodyText"/>
        <w:spacing w:line="432" w:lineRule="exact" w:before="3"/>
        <w:ind w:left="574" w:right="0"/>
        <w:jc w:val="left"/>
      </w:pPr>
      <w:r>
        <w:rPr/>
        <w:t>（</w:t>
      </w:r>
      <w:r>
        <w:rPr>
          <w:rFonts w:ascii="Times New Roman" w:hAnsi="Times New Roman" w:cs="Times New Roman" w:eastAsia="Times New Roman" w:hint="default"/>
        </w:rPr>
        <w:t>3</w:t>
      </w:r>
      <w:r>
        <w:rPr/>
        <w:t>）后续计量： </w:t>
      </w:r>
      <w:r>
        <w:rPr>
          <w:spacing w:val="-2"/>
        </w:rPr>
        <w:t>对被投资单位能够实施控制的长期股权投资采用成本法核算；对具有共同控制、重大影响的长期股权投资，采用权益</w:t>
      </w:r>
    </w:p>
    <w:p>
      <w:pPr>
        <w:pStyle w:val="BodyText"/>
        <w:spacing w:line="240" w:lineRule="auto" w:before="15"/>
        <w:ind w:right="0"/>
        <w:jc w:val="both"/>
      </w:pPr>
      <w:r>
        <w:rPr/>
        <w:t>法核算。</w:t>
      </w:r>
    </w:p>
    <w:p>
      <w:pPr>
        <w:pStyle w:val="BodyText"/>
        <w:spacing w:line="420" w:lineRule="atLeast" w:before="25"/>
        <w:ind w:left="574" w:right="1152"/>
        <w:jc w:val="left"/>
      </w:pPr>
      <w:r>
        <w:rPr/>
        <w:t>（</w:t>
      </w:r>
      <w:r>
        <w:rPr>
          <w:rFonts w:ascii="Times New Roman" w:hAnsi="Times New Roman" w:cs="Times New Roman" w:eastAsia="Times New Roman" w:hint="default"/>
        </w:rPr>
        <w:t>4</w:t>
      </w:r>
      <w:r>
        <w:rPr/>
        <w:t>）确定对被投资单位具有重大影响的依据： 对被投资单位的财务和经营政策有参与决策的权力，但并不能够控制或者与其他方一起共同控制这些政策的制定的，</w:t>
      </w:r>
    </w:p>
    <w:p>
      <w:pPr>
        <w:pStyle w:val="BodyText"/>
        <w:spacing w:line="240" w:lineRule="auto" w:before="76"/>
        <w:ind w:right="0"/>
        <w:jc w:val="both"/>
      </w:pPr>
      <w:r>
        <w:rPr/>
        <w:t>认定为重大影响。</w:t>
      </w:r>
    </w:p>
    <w:p>
      <w:pPr>
        <w:spacing w:line="240" w:lineRule="auto" w:before="1"/>
        <w:rPr>
          <w:rFonts w:ascii="宋体" w:hAnsi="宋体" w:cs="宋体" w:eastAsia="宋体" w:hint="default"/>
          <w:sz w:val="15"/>
          <w:szCs w:val="15"/>
        </w:rPr>
      </w:pPr>
    </w:p>
    <w:p>
      <w:pPr>
        <w:pStyle w:val="BodyText"/>
        <w:spacing w:line="415" w:lineRule="auto"/>
        <w:ind w:left="574" w:right="7002"/>
        <w:jc w:val="left"/>
      </w:pPr>
      <w:r>
        <w:rPr/>
        <w:t>（</w:t>
      </w:r>
      <w:r>
        <w:rPr>
          <w:rFonts w:ascii="Times New Roman" w:hAnsi="Times New Roman" w:cs="Times New Roman" w:eastAsia="Times New Roman" w:hint="default"/>
        </w:rPr>
        <w:t>5</w:t>
      </w:r>
      <w:r>
        <w:rPr/>
        <w:t>）减值测试方法及减值准备计提方法： 详见</w:t>
      </w:r>
      <w:r>
        <w:rPr>
          <w:rFonts w:ascii="Times New Roman" w:hAnsi="Times New Roman" w:cs="Times New Roman" w:eastAsia="Times New Roman" w:hint="default"/>
        </w:rPr>
        <w:t>22</w:t>
      </w:r>
      <w:r>
        <w:rPr/>
        <w:t>、长期资产减值</w:t>
      </w:r>
    </w:p>
    <w:p>
      <w:pPr>
        <w:spacing w:after="0" w:line="415"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5、投资性房地产" w:id="185"/>
      <w:bookmarkEnd w:id="18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6、固定资产" w:id="186"/>
      <w:bookmarkEnd w:id="18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7"/>
      <w:bookmarkEnd w:id="18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22" w:firstLine="630"/>
        <w:jc w:val="left"/>
      </w:pPr>
      <w:r>
        <w:rPr/>
        <w:t>固定资产是指使用寿命超过一个会计年度的为生产商品、提供劳务、出租或经营管理而持有的有形资产。固定资产 的确认条件 ：①该固定资产包含的经济利益很可能流入企业；②该固定资产的成本能够可靠计量。</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折旧方法" w:id="188"/>
      <w:bookmarkEnd w:id="18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89"/>
      <w:bookmarkEnd w:id="18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630"/>
        <w:jc w:val="both"/>
      </w:pPr>
      <w:r>
        <w:rPr/>
        <w:t>融资租赁为实质上转移了资产所有权有关的全部风险和报酬的租赁，其所有权最终可能转移，也可能不转移。以融 </w:t>
      </w:r>
      <w:r>
        <w:rPr>
          <w:spacing w:val="-2"/>
        </w:rPr>
        <w:t>资租赁方式租入的固定资产采用与自有固定资产相一致的政策计提租赁资产折旧。能够合理确定租赁期届满时取得租赁资产</w:t>
      </w:r>
      <w:r>
        <w:rPr>
          <w:spacing w:val="-64"/>
        </w:rPr>
        <w:t> </w:t>
      </w:r>
      <w:r>
        <w:rPr>
          <w:spacing w:val="-64"/>
        </w:rPr>
      </w:r>
      <w:r>
        <w:rPr>
          <w:spacing w:val="-2"/>
        </w:rPr>
        <w:t>所有权的，在租赁资产使用寿命内计提折旧，无法合理确定租赁期届满时，能够取得租赁资产所有权的，在租赁期与租赁资</w:t>
      </w:r>
      <w:r>
        <w:rPr>
          <w:spacing w:val="-66"/>
        </w:rPr>
        <w:t> </w:t>
      </w:r>
      <w:r>
        <w:rPr>
          <w:spacing w:val="-66"/>
        </w:rPr>
      </w:r>
      <w:r>
        <w:rPr/>
        <w:t>产使用寿命两者中较短的期间内计提折旧。</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7、在建工程" w:id="190"/>
      <w:bookmarkEnd w:id="19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left"/>
      </w:pPr>
      <w:r>
        <w:rPr/>
        <w:t>软件与信息技术服务业</w:t>
      </w:r>
    </w:p>
    <w:p>
      <w:pPr>
        <w:spacing w:line="240" w:lineRule="auto" w:before="12"/>
        <w:rPr>
          <w:rFonts w:ascii="宋体" w:hAnsi="宋体" w:cs="宋体" w:eastAsia="宋体" w:hint="default"/>
          <w:sz w:val="14"/>
          <w:szCs w:val="14"/>
        </w:rPr>
      </w:pPr>
    </w:p>
    <w:p>
      <w:pPr>
        <w:pStyle w:val="BodyText"/>
        <w:spacing w:line="314" w:lineRule="auto"/>
        <w:ind w:right="1032" w:firstLine="420"/>
        <w:jc w:val="left"/>
      </w:pPr>
      <w:r>
        <w:rPr/>
        <w:t>（</w:t>
      </w:r>
      <w:r>
        <w:rPr>
          <w:rFonts w:ascii="Times New Roman" w:hAnsi="Times New Roman" w:cs="Times New Roman" w:eastAsia="Times New Roman" w:hint="default"/>
        </w:rPr>
        <w:t>1</w:t>
      </w:r>
      <w:r>
        <w:rPr/>
        <w:t>）在建工程按各项工程所发生的实际支出核算，在达到预定可使用状态时转作固定资产。所建造的固定资产已达到 预定可使用状态，但尚未办理竣工决算手续的，自达到预定可使用状态之日起，根据工程预算、造价或者工程实际成本等， </w:t>
      </w:r>
      <w:r>
        <w:rPr>
          <w:spacing w:val="-2"/>
        </w:rPr>
        <w:t>按估计的价值转入固定资产，并计提固定资产的折旧，待办理了竣工决算手续后再对原估计值进行调整。购建或者生产符合</w:t>
      </w:r>
      <w:r>
        <w:rPr>
          <w:spacing w:val="-66"/>
        </w:rPr>
        <w:t> </w:t>
      </w:r>
      <w:r>
        <w:rPr>
          <w:spacing w:val="-66"/>
        </w:rPr>
      </w:r>
      <w:r>
        <w:rPr>
          <w:spacing w:val="-2"/>
        </w:rPr>
        <w:t>资本化条件的资产而借入的专门借款或占用了一般借款发生的借款利息以及专门借款发生的辅助费用，在所购建或者生产的</w:t>
      </w:r>
      <w:r>
        <w:rPr>
          <w:spacing w:val="-64"/>
        </w:rPr>
        <w:t> </w:t>
      </w:r>
      <w:r>
        <w:rPr>
          <w:spacing w:val="-64"/>
        </w:rPr>
      </w:r>
      <w:r>
        <w:rPr/>
        <w:t>符合资本化条件的资产达到预定可使用或者可销售状态之前根据其发生额予以资本化。</w:t>
      </w:r>
    </w:p>
    <w:p>
      <w:pPr>
        <w:pStyle w:val="BodyText"/>
        <w:spacing w:line="417" w:lineRule="auto" w:before="140"/>
        <w:ind w:left="574" w:right="6642"/>
        <w:jc w:val="left"/>
      </w:pPr>
      <w:r>
        <w:rPr/>
        <w:t>（</w:t>
      </w:r>
      <w:r>
        <w:rPr>
          <w:rFonts w:ascii="Times New Roman" w:hAnsi="Times New Roman" w:cs="Times New Roman" w:eastAsia="Times New Roman" w:hint="default"/>
        </w:rPr>
        <w:t>2</w:t>
      </w:r>
      <w:r>
        <w:rPr/>
        <w:t>）在建工程减值准备的确认标准、计提方法 详见</w:t>
      </w:r>
      <w:r>
        <w:rPr>
          <w:rFonts w:ascii="Times New Roman" w:hAnsi="Times New Roman" w:cs="Times New Roman" w:eastAsia="Times New Roman" w:hint="default"/>
        </w:rPr>
        <w:t>22</w:t>
      </w:r>
      <w:r>
        <w:rPr/>
        <w:t>、长期资产减值</w:t>
      </w:r>
    </w:p>
    <w:p>
      <w:pPr>
        <w:spacing w:after="0" w:line="41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18、借款费用" w:id="191"/>
      <w:bookmarkEnd w:id="19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41" w:firstLine="420"/>
        <w:jc w:val="left"/>
      </w:pPr>
      <w:r>
        <w:rPr>
          <w:spacing w:val="-3"/>
        </w:rPr>
        <w:t>（</w:t>
      </w:r>
      <w:r>
        <w:rPr>
          <w:rFonts w:ascii="Times New Roman" w:hAnsi="Times New Roman" w:cs="Times New Roman" w:eastAsia="Times New Roman" w:hint="default"/>
          <w:spacing w:val="-3"/>
        </w:rPr>
        <w:t>1</w:t>
      </w:r>
      <w:r>
        <w:rPr>
          <w:spacing w:val="-3"/>
        </w:rPr>
        <w:t>）公司发生的借款费用，可直接归属于符合资本化条件的资产的购建或者生产的，予以资本化，计入相关资产成本；</w:t>
      </w:r>
      <w:r>
        <w:rPr/>
        <w:t> 其他借款费用，在发生时根据其发生额确认为费用，计入当期损益。</w:t>
      </w:r>
    </w:p>
    <w:p>
      <w:pPr>
        <w:pStyle w:val="BodyText"/>
        <w:spacing w:line="240" w:lineRule="auto" w:before="152"/>
        <w:ind w:left="574" w:right="0"/>
        <w:jc w:val="left"/>
      </w:pPr>
      <w:r>
        <w:rPr/>
        <w:t>（</w:t>
      </w:r>
      <w:r>
        <w:rPr>
          <w:rFonts w:ascii="Times New Roman" w:hAnsi="Times New Roman" w:cs="Times New Roman" w:eastAsia="Times New Roman" w:hint="default"/>
        </w:rPr>
        <w:t>2</w:t>
      </w:r>
      <w:r>
        <w:rPr/>
        <w:t>）借款费用同时满足以下条件时予以资本化：</w:t>
      </w:r>
    </w:p>
    <w:p>
      <w:pPr>
        <w:spacing w:line="240" w:lineRule="auto" w:before="13"/>
        <w:rPr>
          <w:rFonts w:ascii="宋体" w:hAnsi="宋体" w:cs="宋体" w:eastAsia="宋体" w:hint="default"/>
          <w:sz w:val="13"/>
          <w:szCs w:val="13"/>
        </w:rPr>
      </w:pPr>
    </w:p>
    <w:p>
      <w:pPr>
        <w:pStyle w:val="BodyText"/>
        <w:spacing w:line="300" w:lineRule="auto"/>
        <w:ind w:right="1124" w:firstLine="420"/>
        <w:jc w:val="left"/>
      </w:pPr>
      <w:r>
        <w:rPr>
          <w:rFonts w:ascii="Times New Roman" w:hAnsi="Times New Roman" w:cs="Times New Roman" w:eastAsia="Times New Roman" w:hint="default"/>
          <w:spacing w:val="-1"/>
        </w:rPr>
        <w:t>a</w:t>
      </w:r>
      <w:r>
        <w:rPr>
          <w:spacing w:val="-1"/>
        </w:rPr>
        <w:t>、资产支出已经发生，资产支出包括为购建或者生产符合资本化条件的资产而以支付现金、转移非现金资产或者承担</w:t>
      </w:r>
      <w:r>
        <w:rPr/>
        <w:t> 带息债务形式发生的支出；</w:t>
      </w:r>
    </w:p>
    <w:p>
      <w:pPr>
        <w:pStyle w:val="BodyText"/>
        <w:spacing w:line="415" w:lineRule="auto" w:before="151"/>
        <w:ind w:left="574" w:right="3772"/>
        <w:jc w:val="left"/>
      </w:pPr>
      <w:r>
        <w:rPr>
          <w:rFonts w:ascii="Times New Roman" w:hAnsi="Times New Roman" w:cs="Times New Roman" w:eastAsia="Times New Roman" w:hint="default"/>
        </w:rPr>
        <w:t>b</w:t>
      </w:r>
      <w:r>
        <w:rPr/>
        <w:t>、借款费用已经发生； </w:t>
      </w:r>
      <w:r>
        <w:rPr>
          <w:rFonts w:ascii="Times New Roman" w:hAnsi="Times New Roman" w:cs="Times New Roman" w:eastAsia="Times New Roman" w:hint="default"/>
        </w:rPr>
        <w:t>c</w:t>
      </w:r>
      <w:r>
        <w:rPr/>
        <w:t>、为使资产达到预定可使用或者可销售状态所必要的购建或者生产活动已经开始。</w:t>
      </w:r>
    </w:p>
    <w:p>
      <w:pPr>
        <w:pStyle w:val="BodyText"/>
        <w:spacing w:line="312" w:lineRule="auto" w:before="37"/>
        <w:ind w:right="1118" w:firstLine="420"/>
        <w:jc w:val="left"/>
      </w:pPr>
      <w:r>
        <w:rPr/>
        <w:t>（</w:t>
      </w:r>
      <w:r>
        <w:rPr>
          <w:rFonts w:ascii="Times New Roman" w:hAnsi="Times New Roman" w:cs="Times New Roman" w:eastAsia="Times New Roman" w:hint="default"/>
        </w:rPr>
        <w:t>3</w:t>
      </w:r>
      <w:r>
        <w:rPr/>
        <w:t>）符合资本化条件的资产在购建或者生产过程中发生非正常中断、且中断时间连续超过</w:t>
      </w:r>
      <w:r>
        <w:rPr>
          <w:rFonts w:ascii="Times New Roman" w:hAnsi="Times New Roman" w:cs="Times New Roman" w:eastAsia="Times New Roman" w:hint="default"/>
        </w:rPr>
        <w:t>3</w:t>
      </w:r>
      <w:r>
        <w:rPr/>
        <w:t>个月的，应当暂停借款费 </w:t>
      </w:r>
      <w:r>
        <w:rPr>
          <w:spacing w:val="-2"/>
        </w:rPr>
        <w:t>用的资本化。在中断期间发生的借款费用应当确认为费用，计入当期损益，直至资产的购建或者生产活动重新开始。如果中</w:t>
      </w:r>
      <w:r>
        <w:rPr>
          <w:spacing w:val="-66"/>
        </w:rPr>
        <w:t> </w:t>
      </w:r>
      <w:r>
        <w:rPr>
          <w:spacing w:val="-66"/>
        </w:rPr>
      </w:r>
      <w:r>
        <w:rPr/>
        <w:t>断是所购建或者生产的符合资本化条件的资产达到预定可使用或者可销售状态必要的程序，借款费用的资本化应当继续进 行。</w:t>
      </w:r>
    </w:p>
    <w:p>
      <w:pPr>
        <w:pStyle w:val="BodyText"/>
        <w:spacing w:line="309" w:lineRule="auto" w:before="142"/>
        <w:ind w:right="1130" w:firstLine="420"/>
        <w:jc w:val="both"/>
      </w:pPr>
      <w:r>
        <w:rPr>
          <w:spacing w:val="-1"/>
        </w:rPr>
        <w:t>（</w:t>
      </w:r>
      <w:r>
        <w:rPr>
          <w:rFonts w:ascii="Times New Roman" w:hAnsi="Times New Roman" w:cs="Times New Roman" w:eastAsia="Times New Roman" w:hint="default"/>
          <w:spacing w:val="-1"/>
        </w:rPr>
        <w:t>4</w:t>
      </w:r>
      <w:r>
        <w:rPr>
          <w:spacing w:val="-1"/>
        </w:rPr>
        <w:t>）购建或者生产符合资本化条件的资产达到预定可使用或者可销售状态时，借款费用应当停止资本化。在符合资本</w:t>
      </w:r>
      <w:r>
        <w:rPr/>
        <w:t> </w:t>
      </w:r>
      <w:r>
        <w:rPr>
          <w:spacing w:val="-2"/>
        </w:rPr>
        <w:t>化条件的资产达到预定可使用或者可销售状态之后所发生的借款费用，应当在发生时根据其发生额确认为费用，计入当期损</w:t>
      </w:r>
      <w:r>
        <w:rPr>
          <w:spacing w:val="-64"/>
        </w:rPr>
        <w:t> </w:t>
      </w:r>
      <w:r>
        <w:rPr>
          <w:spacing w:val="-64"/>
        </w:rPr>
      </w:r>
      <w:r>
        <w:rPr/>
        <w:t>益。</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bookmarkStart w:name="19、生物资产" w:id="192"/>
      <w:bookmarkEnd w:id="192"/>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20、油气资产" w:id="193"/>
      <w:bookmarkEnd w:id="193"/>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21、无形资产" w:id="194"/>
      <w:bookmarkEnd w:id="194"/>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计价方法、使用寿命、减值测试" w:id="195"/>
      <w:bookmarkEnd w:id="19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both"/>
      </w:pPr>
      <w:r>
        <w:rPr/>
        <w:t>软件与信息技术服务业</w:t>
      </w:r>
    </w:p>
    <w:p>
      <w:pPr>
        <w:pStyle w:val="BodyText"/>
        <w:spacing w:line="432" w:lineRule="exact" w:before="60"/>
        <w:ind w:left="574" w:right="1152" w:hanging="420"/>
        <w:jc w:val="left"/>
      </w:pPr>
      <w:r>
        <w:rPr>
          <w:rFonts w:ascii="宋体" w:hAnsi="宋体" w:cs="宋体" w:eastAsia="宋体" w:hint="default"/>
          <w:b/>
          <w:bCs/>
        </w:rPr>
        <w:t>－无形资产的计量</w:t>
      </w:r>
      <w:r>
        <w:rPr>
          <w:rFonts w:ascii="宋体" w:hAnsi="宋体" w:cs="宋体" w:eastAsia="宋体" w:hint="default"/>
          <w:b/>
          <w:bCs/>
          <w:w w:val="99"/>
        </w:rPr>
        <w:t> </w:t>
      </w:r>
      <w:r>
        <w:rPr/>
        <w:t>无形资产按取得时实际成本计价，其中购入的无形资产的成本，按使该项资产达到预定用途所发生的实际支出计价；</w:t>
      </w:r>
    </w:p>
    <w:p>
      <w:pPr>
        <w:pStyle w:val="BodyText"/>
        <w:spacing w:line="316" w:lineRule="auto" w:before="15"/>
        <w:ind w:right="1131"/>
        <w:jc w:val="both"/>
      </w:pPr>
      <w:r>
        <w:rPr>
          <w:spacing w:val="-2"/>
        </w:rPr>
        <w:t>内部研究开发项目研究阶段的支出，于发生时计入当期损益；开发阶段的支出，能够符合资本化条件的，确认为无形资产成</w:t>
      </w:r>
      <w:r>
        <w:rPr>
          <w:spacing w:val="-66"/>
        </w:rPr>
        <w:t> </w:t>
      </w:r>
      <w:r>
        <w:rPr>
          <w:spacing w:val="-66"/>
        </w:rPr>
      </w:r>
      <w:r>
        <w:rPr>
          <w:spacing w:val="-2"/>
        </w:rPr>
        <w:t>本；投资者投入的无形资产，应当按照投资合同或协议约定的价值确定，但合同或协议约定价值不公允的除外；接受债务人</w:t>
      </w:r>
      <w:r>
        <w:rPr>
          <w:spacing w:val="-66"/>
        </w:rPr>
        <w:t> </w:t>
      </w:r>
      <w:r>
        <w:rPr>
          <w:spacing w:val="-66"/>
        </w:rPr>
      </w:r>
      <w:r>
        <w:rPr>
          <w:spacing w:val="-2"/>
        </w:rPr>
        <w:t>以非现金资产抵偿债务方式取得的无形资产，或以应收债权换入无形资产的，按换入无形资产的公允价值入账；非货币性交</w:t>
      </w:r>
      <w:r>
        <w:rPr>
          <w:spacing w:val="-66"/>
        </w:rPr>
        <w:t> </w:t>
      </w:r>
      <w:r>
        <w:rPr>
          <w:spacing w:val="-66"/>
        </w:rPr>
      </w:r>
      <w:r>
        <w:rPr>
          <w:spacing w:val="-2"/>
        </w:rPr>
        <w:t>易投入的无形资产，以该项无形资产的公允价值和应支付的相关税费作为入账成本；接受捐赠的无形资产，捐赠方提供了有</w:t>
      </w:r>
      <w:r>
        <w:rPr>
          <w:spacing w:val="-66"/>
        </w:rPr>
        <w:t> </w:t>
      </w:r>
      <w:r>
        <w:rPr>
          <w:spacing w:val="-66"/>
        </w:rPr>
      </w:r>
      <w:r>
        <w:rPr>
          <w:spacing w:val="-2"/>
        </w:rPr>
        <w:t>关凭据的，按凭据上标明的金额加上应支付的相关税费计价；捐赠方没有提供有关凭据的，如果同类或类似无形资产存在活</w:t>
      </w:r>
      <w:r>
        <w:rPr>
          <w:spacing w:val="-66"/>
        </w:rPr>
        <w:t> </w:t>
      </w:r>
      <w:r>
        <w:rPr>
          <w:spacing w:val="-66"/>
        </w:rPr>
      </w:r>
      <w:r>
        <w:rPr>
          <w:spacing w:val="-2"/>
        </w:rPr>
        <w:t>跃市场的，按同类或类似无形资产的市场价格估计的金额，加上应支付的相关税费，作为实际成本；如果同类或类似无形资</w:t>
      </w:r>
      <w:r>
        <w:rPr>
          <w:spacing w:val="-66"/>
        </w:rPr>
        <w:t> </w:t>
      </w:r>
      <w:r>
        <w:rPr>
          <w:spacing w:val="-66"/>
        </w:rPr>
      </w:r>
      <w:r>
        <w:rPr/>
        <w:t>产不存在活跃市场的，按接受捐赠的无形资产的预计未来现金流量现值，作为实际成本。</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74" w:right="0"/>
        <w:jc w:val="left"/>
      </w:pPr>
      <w:r>
        <w:rPr/>
        <w:t>无形资产期末按照账面价值与可回收金额孰低计量。</w:t>
      </w:r>
    </w:p>
    <w:p>
      <w:pPr>
        <w:pStyle w:val="BodyText"/>
        <w:spacing w:line="430" w:lineRule="atLeast" w:before="2"/>
        <w:ind w:left="574" w:right="0" w:hanging="420"/>
        <w:jc w:val="left"/>
      </w:pPr>
      <w:r>
        <w:rPr>
          <w:rFonts w:ascii="宋体" w:hAnsi="宋体" w:cs="宋体" w:eastAsia="宋体" w:hint="default"/>
          <w:b/>
          <w:bCs/>
        </w:rPr>
        <w:t>－无形资产的摊销方法</w:t>
      </w:r>
      <w:r>
        <w:rPr>
          <w:rFonts w:ascii="宋体" w:hAnsi="宋体" w:cs="宋体" w:eastAsia="宋体" w:hint="default"/>
          <w:b/>
          <w:bCs/>
          <w:w w:val="99"/>
        </w:rPr>
        <w:t> </w:t>
      </w:r>
      <w:r>
        <w:rPr/>
        <w:t>使用寿命有限的无形资产，在估计该使用寿命的年限内按直线法摊销；无法预见无形资产为公司带来未来经济利益的</w:t>
      </w:r>
    </w:p>
    <w:p>
      <w:pPr>
        <w:pStyle w:val="BodyText"/>
        <w:spacing w:line="240" w:lineRule="auto" w:before="77"/>
        <w:ind w:right="0"/>
        <w:jc w:val="left"/>
      </w:pPr>
      <w:r>
        <w:rPr/>
        <w:t>期限的，视为使用寿命不确定的无形资产。使用寿命不确定的无形资产不摊销。</w:t>
      </w:r>
    </w:p>
    <w:p>
      <w:pPr>
        <w:spacing w:line="240" w:lineRule="auto" w:before="0"/>
        <w:rPr>
          <w:rFonts w:ascii="宋体" w:hAnsi="宋体" w:cs="宋体" w:eastAsia="宋体" w:hint="default"/>
          <w:sz w:val="15"/>
          <w:szCs w:val="15"/>
        </w:rPr>
      </w:pPr>
    </w:p>
    <w:p>
      <w:pPr>
        <w:spacing w:line="415" w:lineRule="auto" w:before="0"/>
        <w:ind w:left="574" w:right="7379"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无形资产减值准备的确认标准、计提方法</w:t>
      </w:r>
      <w:r>
        <w:rPr>
          <w:rFonts w:ascii="宋体" w:hAnsi="宋体" w:cs="宋体" w:eastAsia="宋体" w:hint="default"/>
          <w:b/>
          <w:bCs/>
          <w:w w:val="99"/>
          <w:sz w:val="18"/>
          <w:szCs w:val="18"/>
        </w:rPr>
        <w:t> </w:t>
      </w:r>
      <w:r>
        <w:rPr>
          <w:rFonts w:ascii="宋体" w:hAnsi="宋体" w:cs="宋体" w:eastAsia="宋体" w:hint="default"/>
          <w:sz w:val="18"/>
          <w:szCs w:val="18"/>
        </w:rPr>
        <w:t>详见</w:t>
      </w:r>
      <w:r>
        <w:rPr>
          <w:rFonts w:ascii="Times New Roman" w:hAnsi="Times New Roman" w:cs="Times New Roman" w:eastAsia="Times New Roman" w:hint="default"/>
          <w:sz w:val="18"/>
          <w:szCs w:val="18"/>
        </w:rPr>
        <w:t>22</w:t>
      </w:r>
      <w:r>
        <w:rPr>
          <w:rFonts w:ascii="宋体" w:hAnsi="宋体" w:cs="宋体" w:eastAsia="宋体" w:hint="default"/>
          <w:sz w:val="18"/>
          <w:szCs w:val="18"/>
        </w:rPr>
        <w:t>、长期资产减值</w:t>
      </w: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内部研究开发支出会计政策" w:id="196"/>
      <w:bookmarkEnd w:id="19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4632"/>
        <w:jc w:val="left"/>
      </w:pPr>
      <w:r>
        <w:rPr/>
        <w:t>公司内部研究开发项目的支出分为研究阶段支出和开发阶段的支出。 公司内部研究开发项目研究阶段的支出，在发生时计入当期损益。 公司内部研究开发项目开发阶段的支出，符合下列各项时，确认为无形资产：</w:t>
      </w:r>
    </w:p>
    <w:p>
      <w:pPr>
        <w:pStyle w:val="BodyText"/>
        <w:spacing w:line="240" w:lineRule="auto" w:before="26"/>
        <w:ind w:right="0"/>
        <w:jc w:val="left"/>
      </w:pPr>
      <w:r>
        <w:rPr/>
        <w:t>（</w:t>
      </w:r>
      <w:r>
        <w:rPr>
          <w:rFonts w:ascii="Times New Roman" w:hAnsi="Times New Roman" w:cs="Times New Roman" w:eastAsia="Times New Roman" w:hint="default"/>
        </w:rPr>
        <w:t>1</w:t>
      </w:r>
      <w:r>
        <w:rPr/>
        <w:t>）从技术上来讲，完成该无形资产以使其能够使用或出售具有可行性。</w:t>
      </w:r>
    </w:p>
    <w:p>
      <w:pPr>
        <w:pStyle w:val="BodyText"/>
        <w:spacing w:line="240" w:lineRule="auto" w:before="102"/>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2" w:lineRule="auto" w:before="102"/>
        <w:ind w:right="1122"/>
        <w:jc w:val="left"/>
      </w:pPr>
      <w:r>
        <w:rPr/>
        <w:t>（</w:t>
      </w:r>
      <w:r>
        <w:rPr>
          <w:rFonts w:ascii="Times New Roman" w:hAnsi="Times New Roman" w:cs="Times New Roman" w:eastAsia="Times New Roman" w:hint="default"/>
        </w:rPr>
        <w:t>3</w:t>
      </w:r>
      <w:r>
        <w:rPr/>
        <w:t>）无形资产产生未来经济利益的方式，包括能够证明运用该无形资产生产的产品存在市场或无形资产自身存在市场；无 形资产将在内部使用时，证明其有用性。</w:t>
      </w:r>
    </w:p>
    <w:p>
      <w:pPr>
        <w:pStyle w:val="BodyText"/>
        <w:spacing w:line="240" w:lineRule="auto" w:before="69"/>
        <w:ind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496" w:lineRule="auto" w:before="102"/>
        <w:ind w:right="4272"/>
        <w:jc w:val="left"/>
        <w:rPr>
          <w:rFonts w:ascii="宋体" w:hAnsi="宋体" w:cs="宋体" w:eastAsia="宋体" w:hint="default"/>
        </w:rPr>
      </w:pPr>
      <w:r>
        <w:rPr/>
        <w:t>（</w:t>
      </w:r>
      <w:r>
        <w:rPr>
          <w:rFonts w:ascii="Times New Roman" w:hAnsi="Times New Roman" w:cs="Times New Roman" w:eastAsia="Times New Roman" w:hint="default"/>
        </w:rPr>
        <w:t>5</w:t>
      </w:r>
      <w:r>
        <w:rPr/>
        <w:t>）归属于该无形资产开发阶段的支出能够可靠计量。 无法区分研究阶段支出和开发阶段支出的，将发生的研发支出全部计入当期损益</w:t>
      </w:r>
      <w:r>
        <w:rPr>
          <w:rFonts w:ascii="宋体" w:hAnsi="宋体" w:cs="宋体" w:eastAsia="宋体" w:hint="default"/>
        </w:rPr>
        <w:t>。</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22、长期资产减值" w:id="197"/>
      <w:bookmarkEnd w:id="197"/>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firstLine="420"/>
        <w:jc w:val="left"/>
      </w:pPr>
      <w:r>
        <w:rPr>
          <w:spacing w:val="-2"/>
        </w:rPr>
        <w:t>资产负债表日，公司资产中除存货、采用公允价值模式计量的投资性房地产（暂以成本模式计量）、递延所得税资产、</w:t>
      </w:r>
      <w:r>
        <w:rPr/>
        <w:t> </w:t>
      </w:r>
      <w:r>
        <w:rPr>
          <w:spacing w:val="-2"/>
        </w:rPr>
        <w:t>金融资产等按其专门规定处理减值以外的其他资产，有迹象表明发生减值的，以单项资产为基础估计其可收回金额；难以对</w:t>
      </w:r>
      <w:r>
        <w:rPr>
          <w:spacing w:val="-66"/>
        </w:rPr>
        <w:t> </w:t>
      </w:r>
      <w:r>
        <w:rPr>
          <w:spacing w:val="-66"/>
        </w:rPr>
      </w:r>
      <w:r>
        <w:rPr>
          <w:spacing w:val="-2"/>
        </w:rPr>
        <w:t>单项资产的可收回金额进行估计的，以该资产所属的资产组或资产组组合为基础确定其可收回金额。资产的可收回金额低于</w:t>
      </w:r>
      <w:r>
        <w:rPr>
          <w:spacing w:val="-64"/>
        </w:rPr>
        <w:t> </w:t>
      </w:r>
      <w:r>
        <w:rPr>
          <w:spacing w:val="-64"/>
        </w:rPr>
      </w:r>
      <w:r>
        <w:rPr>
          <w:spacing w:val="-2"/>
        </w:rPr>
        <w:t>其账面价值的，将资产的账面价值减记至可收回金额，减记的金额确认为资产减值损失，计入当期损益，同时计提相应的资</w:t>
      </w:r>
      <w:r>
        <w:rPr>
          <w:spacing w:val="-66"/>
        </w:rPr>
        <w:t> </w:t>
      </w:r>
      <w:r>
        <w:rPr>
          <w:spacing w:val="-66"/>
        </w:rPr>
      </w:r>
      <w:r>
        <w:rPr/>
        <w:t>产减值准备。这些资产减值损失一经确认，在以后会计期间不予转回。</w:t>
      </w:r>
    </w:p>
    <w:p>
      <w:pPr>
        <w:pStyle w:val="BodyText"/>
        <w:spacing w:line="439" w:lineRule="auto" w:before="139"/>
        <w:ind w:left="574" w:right="1692"/>
        <w:jc w:val="left"/>
      </w:pPr>
      <w:r>
        <w:rPr/>
        <w:t>可收回金额根据资产的公允价值减去处置费用后的净额与资产预计未来现金流量的现值两者之间较高者确定。 因企业合并所形成的商誉和使用寿命不确定的无形资产，无论是否存在减值迹象，每年都应进行减值测试。</w:t>
      </w:r>
    </w:p>
    <w:p>
      <w:pPr>
        <w:spacing w:line="240" w:lineRule="auto" w:before="7"/>
        <w:rPr>
          <w:rFonts w:ascii="宋体" w:hAnsi="宋体" w:cs="宋体" w:eastAsia="宋体" w:hint="default"/>
          <w:sz w:val="15"/>
          <w:szCs w:val="15"/>
        </w:rPr>
      </w:pPr>
    </w:p>
    <w:p>
      <w:pPr>
        <w:pStyle w:val="Heading3"/>
        <w:spacing w:line="240" w:lineRule="auto"/>
        <w:ind w:right="0"/>
        <w:jc w:val="left"/>
        <w:rPr>
          <w:b w:val="0"/>
          <w:bCs w:val="0"/>
        </w:rPr>
      </w:pPr>
      <w:bookmarkStart w:name="23、长期待摊费用" w:id="198"/>
      <w:bookmarkEnd w:id="198"/>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长期待摊费用是指已经支出，但受益期限在一年以上（不含一年）的各项费用，长期待摊费用按发生时的实际成本计 </w:t>
      </w:r>
      <w:r>
        <w:rPr>
          <w:spacing w:val="-2"/>
        </w:rPr>
        <w:t>价，并在受益期限内平均摊销。如果长期待摊费用项目不能使以后会计期间受益的，则将尚未摊销的该项目的摊余价值全部</w:t>
      </w:r>
      <w:r>
        <w:rPr>
          <w:spacing w:val="-66"/>
        </w:rPr>
        <w:t> </w:t>
      </w:r>
      <w:r>
        <w:rPr>
          <w:spacing w:val="-66"/>
        </w:rPr>
      </w:r>
      <w:r>
        <w:rPr/>
        <w:t>转入当期损益。</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24、职工薪酬" w:id="199"/>
      <w:bookmarkEnd w:id="199"/>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短期薪酬的会计处理方法" w:id="200"/>
      <w:bookmarkEnd w:id="20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290"/>
        <w:jc w:val="both"/>
      </w:pPr>
      <w:r>
        <w:rPr>
          <w:spacing w:val="-1"/>
        </w:rPr>
        <w:t>短期薪酬，是指企业在职工提供相关服务的年度报告期间结束后十二个月内需要全部予以支付的职工薪酬，因解除与职</w:t>
      </w:r>
      <w:r>
        <w:rPr/>
        <w:t> </w:t>
      </w:r>
      <w:r>
        <w:rPr>
          <w:spacing w:val="-2"/>
        </w:rPr>
        <w:t>工的劳动关系给予的补偿除外。短期薪酬具体包括：职工工资、奖金、津贴、职工福利费、医疗保险费、工伤保险费和生育</w:t>
      </w:r>
      <w:r>
        <w:rPr>
          <w:spacing w:val="-72"/>
        </w:rPr>
        <w:t> </w:t>
      </w:r>
      <w:r>
        <w:rPr>
          <w:spacing w:val="-72"/>
        </w:rPr>
      </w:r>
      <w:r>
        <w:rPr>
          <w:spacing w:val="-2"/>
        </w:rPr>
        <w:t>保险费等社会保险费，住房公积金，公会经费和职工教育费，短期带薪缺勤，短期利润分享计划，非货币性福利以及其他短</w:t>
      </w:r>
      <w:r>
        <w:rPr>
          <w:spacing w:val="-66"/>
        </w:rPr>
        <w:t> </w:t>
      </w:r>
      <w:r>
        <w:rPr>
          <w:spacing w:val="-66"/>
        </w:rPr>
      </w:r>
      <w:r>
        <w:rPr>
          <w:spacing w:val="-2"/>
        </w:rPr>
        <w:t>期薪酬。公司在职工为其提供服务的会计期间，将实际发生的短期薪酬确认为负债，并计入当期损益，其他会计准则要求或</w:t>
      </w:r>
      <w:r>
        <w:rPr>
          <w:spacing w:val="-66"/>
        </w:rPr>
        <w:t> </w:t>
      </w:r>
      <w:r>
        <w:rPr>
          <w:spacing w:val="-66"/>
        </w:rPr>
      </w:r>
      <w:r>
        <w:rPr/>
        <w:t>允许计入资产成本的除外。</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离职后福利的会计处理方法" w:id="201"/>
      <w:bookmarkEnd w:id="20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1" w:firstLine="290"/>
        <w:jc w:val="both"/>
      </w:pPr>
      <w:r>
        <w:rPr/>
        <w:t>离职后福利，是指企业为获得职工提供的服务而在职工退休或与企业解除劳动关系后，提供的各种形式的报酬和福利， </w:t>
      </w:r>
      <w:r>
        <w:rPr>
          <w:spacing w:val="-2"/>
        </w:rPr>
        <w:t>短期薪酬和辞退福利除外。公司在职工为其提供服务的会计期间，将根据设定的提存计划计算的应缴存金额确认为负债，并</w:t>
      </w:r>
      <w:r>
        <w:rPr>
          <w:spacing w:val="-66"/>
        </w:rPr>
        <w:t> </w:t>
      </w:r>
      <w:r>
        <w:rPr>
          <w:spacing w:val="-66"/>
        </w:rPr>
      </w:r>
      <w:r>
        <w:rPr/>
        <w:t>计入当期损益或相关资产成本。</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3）辞退福利的会计处理方法" w:id="202"/>
      <w:bookmarkEnd w:id="20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028" w:firstLine="290"/>
        <w:jc w:val="left"/>
      </w:pPr>
      <w:r>
        <w:rPr>
          <w:spacing w:val="-2"/>
        </w:rPr>
        <w:t>辞退福利，是指企业在职工劳动合同到期之前解除与职工的劳动关系，或者为鼓励职工自愿接受裁减而给予职工的补偿。</w:t>
      </w:r>
      <w:r>
        <w:rPr/>
        <w:t> 公司向职工提供辞退福利的，在下列两者孰早日确认辞退福利产生的职工薪酬负债，并计入当期损益：（</w:t>
      </w:r>
      <w:r>
        <w:rPr>
          <w:rFonts w:ascii="Times New Roman" w:hAnsi="Times New Roman" w:cs="Times New Roman" w:eastAsia="Times New Roman" w:hint="default"/>
        </w:rPr>
        <w:t>1</w:t>
      </w:r>
      <w:r>
        <w:rPr/>
        <w:t>）企业不能单方</w:t>
      </w:r>
      <w:r>
        <w:rPr>
          <w:spacing w:val="-81"/>
        </w:rPr>
        <w:t> </w:t>
      </w:r>
      <w:r>
        <w:rPr>
          <w:spacing w:val="-81"/>
        </w:rPr>
      </w:r>
      <w:r>
        <w:rPr/>
        <w:t>面撤回因解除劳动关系计划或裁减建议所提供的辞退福利时。（</w:t>
      </w:r>
      <w:r>
        <w:rPr>
          <w:rFonts w:ascii="Times New Roman" w:hAnsi="Times New Roman" w:cs="Times New Roman" w:eastAsia="Times New Roman" w:hint="default"/>
        </w:rPr>
        <w:t>2</w:t>
      </w:r>
      <w:r>
        <w:rPr/>
        <w:t>）企业确认与涉及支付辞退福利的重组相关的成本或费用</w:t>
      </w:r>
      <w:r>
        <w:rPr>
          <w:spacing w:val="-82"/>
        </w:rPr>
        <w:t> </w:t>
      </w:r>
      <w:r>
        <w:rPr>
          <w:spacing w:val="-82"/>
        </w:rPr>
      </w:r>
      <w:r>
        <w:rPr/>
        <w:t>时。</w:t>
      </w:r>
    </w:p>
    <w:p>
      <w:pPr>
        <w:spacing w:line="240" w:lineRule="auto" w:before="1"/>
        <w:rPr>
          <w:rFonts w:ascii="宋体" w:hAnsi="宋体" w:cs="宋体" w:eastAsia="宋体" w:hint="default"/>
          <w:sz w:val="23"/>
          <w:szCs w:val="23"/>
        </w:rPr>
      </w:pPr>
    </w:p>
    <w:p>
      <w:pPr>
        <w:pStyle w:val="Heading3"/>
        <w:spacing w:line="240" w:lineRule="auto"/>
        <w:ind w:right="0"/>
        <w:jc w:val="both"/>
        <w:rPr>
          <w:b w:val="0"/>
          <w:bCs w:val="0"/>
        </w:rPr>
      </w:pPr>
      <w:bookmarkStart w:name="（4）其他长期职工福利的会计处理方法" w:id="203"/>
      <w:bookmarkEnd w:id="20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0" w:firstLine="290"/>
        <w:jc w:val="left"/>
      </w:pPr>
      <w:r>
        <w:rPr>
          <w:spacing w:val="-3"/>
        </w:rPr>
        <w:t>其他长期职工福利，是指除短期薪酬、离职后福利、辞退福利之外所有的职工薪酬，包括长期带薪缺勤、长期残疾福利、</w:t>
      </w:r>
      <w:r>
        <w:rPr/>
        <w:t> </w:t>
      </w:r>
      <w:r>
        <w:rPr>
          <w:spacing w:val="-2"/>
        </w:rPr>
        <w:t>长期利润分享计划等。公司向职工提供的其他长期职工福利，符合设定提存条件的，将根据设定的提存计划计算的应缴存金</w:t>
      </w:r>
      <w:r>
        <w:rPr>
          <w:spacing w:val="-66"/>
        </w:rPr>
        <w:t> </w:t>
      </w:r>
      <w:r>
        <w:rPr>
          <w:spacing w:val="-66"/>
        </w:rPr>
      </w:r>
      <w:r>
        <w:rPr>
          <w:spacing w:val="-2"/>
        </w:rPr>
        <w:t>额确认为负债，并计入当期损益或相关资产成本。除此以外，企业将其他长期职工福利产生的职工薪酬成本确认为下列组成</w:t>
      </w:r>
      <w:r>
        <w:rPr>
          <w:spacing w:val="-66"/>
        </w:rPr>
        <w:t> </w:t>
      </w:r>
      <w:r>
        <w:rPr>
          <w:spacing w:val="-66"/>
        </w:rPr>
      </w:r>
      <w:r>
        <w:rPr/>
        <w:t>部分：（</w:t>
      </w:r>
      <w:r>
        <w:rPr>
          <w:rFonts w:ascii="Times New Roman" w:hAnsi="Times New Roman" w:cs="Times New Roman" w:eastAsia="Times New Roman" w:hint="default"/>
        </w:rPr>
        <w:t>1</w:t>
      </w:r>
      <w:r>
        <w:rPr/>
        <w:t>）服务成本。（</w:t>
      </w:r>
      <w:r>
        <w:rPr>
          <w:rFonts w:ascii="Times New Roman" w:hAnsi="Times New Roman" w:cs="Times New Roman" w:eastAsia="Times New Roman" w:hint="default"/>
        </w:rPr>
        <w:t>2</w:t>
      </w:r>
      <w:r>
        <w:rPr/>
        <w:t>）其他长期职工福利净负债或净资产的利息净额。（</w:t>
      </w:r>
      <w:r>
        <w:rPr>
          <w:rFonts w:ascii="Times New Roman" w:hAnsi="Times New Roman" w:cs="Times New Roman" w:eastAsia="Times New Roman" w:hint="default"/>
        </w:rPr>
        <w:t>3</w:t>
      </w:r>
      <w:r>
        <w:rPr/>
        <w:t>）重新计量其他长期职工净负债或净资产</w:t>
      </w:r>
      <w:r>
        <w:rPr>
          <w:spacing w:val="-83"/>
        </w:rPr>
        <w:t> </w:t>
      </w:r>
      <w:r>
        <w:rPr>
          <w:spacing w:val="-83"/>
        </w:rPr>
      </w:r>
      <w:r>
        <w:rPr/>
        <w:t>所产生的变动。上述项目的总净额计入当期损益或相关资产成本。</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25、预计负债" w:id="204"/>
      <w:bookmarkEnd w:id="204"/>
      <w:r>
        <w:rPr>
          <w:b w:val="0"/>
          <w:bCs w:val="0"/>
        </w:rPr>
      </w:r>
      <w:r>
        <w:rPr>
          <w:rFonts w:ascii="Times New Roman" w:hAnsi="Times New Roman" w:cs="Times New Roman" w:eastAsia="Times New Roman" w:hint="default"/>
        </w:rPr>
        <w:t>25</w:t>
      </w:r>
      <w:r>
        <w:rPr/>
        <w:t>、预计负债</w:t>
      </w:r>
      <w:r>
        <w:rPr>
          <w:b w:val="0"/>
          <w:bCs w:val="0"/>
        </w:rPr>
      </w:r>
    </w:p>
    <w:p>
      <w:pPr>
        <w:pStyle w:val="BodyText"/>
        <w:spacing w:line="430" w:lineRule="atLeast" w:before="152"/>
        <w:ind w:left="574" w:right="0" w:hanging="420"/>
        <w:jc w:val="left"/>
      </w:pPr>
      <w:r>
        <w:rPr>
          <w:rFonts w:ascii="宋体" w:hAnsi="宋体" w:cs="宋体" w:eastAsia="宋体" w:hint="default"/>
          <w:b/>
          <w:bCs/>
        </w:rPr>
        <w:t>－预计负债的确认标准</w:t>
      </w:r>
      <w:r>
        <w:rPr>
          <w:rFonts w:ascii="宋体" w:hAnsi="宋体" w:cs="宋体" w:eastAsia="宋体" w:hint="default"/>
          <w:b/>
          <w:bCs/>
          <w:w w:val="99"/>
        </w:rPr>
        <w:t> </w:t>
      </w:r>
      <w:r>
        <w:rPr/>
        <w:t>当与对外担保、未决诉讼或仲裁、产品质量保证、裁员计划、亏损合同、重组义务、固定资产弃置义务等或有事项相</w:t>
      </w:r>
    </w:p>
    <w:p>
      <w:pPr>
        <w:pStyle w:val="BodyText"/>
        <w:spacing w:line="316" w:lineRule="auto" w:before="76"/>
        <w:ind w:right="0"/>
        <w:jc w:val="left"/>
      </w:pPr>
      <w:r>
        <w:rPr>
          <w:spacing w:val="-2"/>
        </w:rPr>
        <w:t>关的业务同时符合以下条件时，确认为负债：①该义务是本公司承担的现时义务；②该义务的履行很可能导致经济利益流出</w:t>
      </w:r>
      <w:r>
        <w:rPr>
          <w:spacing w:val="-66"/>
        </w:rPr>
        <w:t> </w:t>
      </w:r>
      <w:r>
        <w:rPr>
          <w:spacing w:val="-66"/>
        </w:rPr>
      </w:r>
      <w:r>
        <w:rPr/>
        <w:t>企业；③该义务的金额能够可靠地计量。</w:t>
      </w:r>
    </w:p>
    <w:p>
      <w:pPr>
        <w:pStyle w:val="Heading5"/>
        <w:spacing w:line="240" w:lineRule="auto" w:before="139"/>
        <w:ind w:right="0"/>
        <w:jc w:val="both"/>
        <w:rPr>
          <w:b w:val="0"/>
          <w:bCs w:val="0"/>
        </w:rPr>
      </w:pPr>
      <w:r>
        <w:rPr/>
        <w:t>－预计负债的计量方法</w:t>
      </w:r>
      <w:r>
        <w:rPr>
          <w:b w:val="0"/>
          <w:bCs w:val="0"/>
        </w:rPr>
      </w:r>
    </w:p>
    <w:p>
      <w:pPr>
        <w:spacing w:line="240" w:lineRule="auto" w:before="0"/>
        <w:rPr>
          <w:rFonts w:ascii="宋体" w:hAnsi="宋体" w:cs="宋体" w:eastAsia="宋体" w:hint="default"/>
          <w:b/>
          <w:bCs/>
          <w:sz w:val="15"/>
          <w:szCs w:val="15"/>
        </w:rPr>
      </w:pPr>
    </w:p>
    <w:p>
      <w:pPr>
        <w:pStyle w:val="BodyText"/>
        <w:spacing w:line="319" w:lineRule="auto"/>
        <w:ind w:right="1132"/>
        <w:jc w:val="both"/>
      </w:pPr>
      <w:r>
        <w:rPr>
          <w:spacing w:val="-2"/>
        </w:rPr>
        <w:t>预计负债按照履行现时义务所需支出的最佳估计数进行精算并初始计量。所需支出存在一个连续范围，且该范围内各种结果</w:t>
      </w:r>
      <w:r>
        <w:rPr>
          <w:spacing w:val="-64"/>
        </w:rPr>
        <w:t> </w:t>
      </w:r>
      <w:r>
        <w:rPr>
          <w:spacing w:val="-64"/>
        </w:rPr>
      </w:r>
      <w:r>
        <w:rPr>
          <w:spacing w:val="-2"/>
        </w:rPr>
        <w:t>发生的可能性相同的最佳估计数按该范围的中间值确定；在其他情况下，最佳估计数按如下方法确定：①或有事项涉及单个</w:t>
      </w:r>
      <w:r>
        <w:rPr>
          <w:spacing w:val="-66"/>
        </w:rPr>
        <w:t> </w:t>
      </w:r>
      <w:r>
        <w:rPr>
          <w:spacing w:val="-66"/>
        </w:rPr>
      </w:r>
      <w:r>
        <w:rPr>
          <w:spacing w:val="-2"/>
        </w:rPr>
        <w:t>项目时，最佳估计数按最可能发生金额确定；②或有事项涉及多个项目时，最佳估计数按各种可能发生额及其发生概率计算</w:t>
      </w:r>
      <w:r>
        <w:rPr>
          <w:spacing w:val="-66"/>
        </w:rPr>
        <w:t> </w:t>
      </w:r>
      <w:r>
        <w:rPr>
          <w:spacing w:val="-66"/>
        </w:rPr>
      </w:r>
      <w:r>
        <w:rPr>
          <w:spacing w:val="-2"/>
        </w:rPr>
        <w:t>确定；③公司清偿预计负债所需支出全部或部分预期由第三方或其他方补偿的，则补偿金额在基本确定能收到时，作为资产</w:t>
      </w:r>
      <w:r>
        <w:rPr>
          <w:spacing w:val="-66"/>
        </w:rPr>
        <w:t> </w:t>
      </w:r>
      <w:r>
        <w:rPr>
          <w:spacing w:val="-66"/>
        </w:rPr>
      </w:r>
      <w:r>
        <w:rPr/>
        <w:t>单独确认。确认的补偿金额不超过所确认预计负债的账面价值。</w:t>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6、股份支付" w:id="205"/>
      <w:bookmarkEnd w:id="205"/>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3" w:firstLine="420"/>
        <w:jc w:val="both"/>
      </w:pPr>
      <w:r>
        <w:rPr/>
        <w:t>股份支付，是指企业为获取职工和其他方提供服务而授予权益工具或者承担以权益工具为基础确定的负债的交易。按 结算方式的不同，股份支付可以分为以权益结算的股份支付和以现金结算的股份支付。</w:t>
      </w:r>
    </w:p>
    <w:p>
      <w:pPr>
        <w:pStyle w:val="Heading5"/>
        <w:spacing w:line="240" w:lineRule="auto" w:before="139"/>
        <w:ind w:right="0"/>
        <w:jc w:val="left"/>
        <w:rPr>
          <w:b w:val="0"/>
          <w:bCs w:val="0"/>
        </w:rPr>
      </w:pPr>
      <w:r>
        <w:rPr/>
        <w:t>－以权益结算的股份支付</w:t>
      </w:r>
      <w:r>
        <w:rPr>
          <w:b w:val="0"/>
          <w:bCs w:val="0"/>
        </w:rPr>
      </w:r>
    </w:p>
    <w:p>
      <w:pPr>
        <w:pStyle w:val="BodyText"/>
        <w:spacing w:line="420" w:lineRule="atLeast" w:before="25"/>
        <w:ind w:left="574" w:right="0" w:hanging="420"/>
        <w:jc w:val="left"/>
      </w:pPr>
      <w:r>
        <w:rPr/>
        <w:t>（</w:t>
      </w:r>
      <w:r>
        <w:rPr>
          <w:rFonts w:ascii="Times New Roman" w:hAnsi="Times New Roman" w:cs="Times New Roman" w:eastAsia="Times New Roman" w:hint="default"/>
        </w:rPr>
        <w:t>1</w:t>
      </w:r>
      <w:r>
        <w:rPr/>
        <w:t>）初始确认与计量 可立即行权的换取职工服务的以权益结算的股份支付，应当在授予日，即股份支付协议获得批准的日期，按照权益工</w:t>
      </w:r>
    </w:p>
    <w:p>
      <w:pPr>
        <w:pStyle w:val="BodyText"/>
        <w:spacing w:line="240" w:lineRule="auto" w:before="76"/>
        <w:ind w:right="0"/>
        <w:jc w:val="left"/>
      </w:pPr>
      <w:r>
        <w:rPr/>
        <w:t>具的公允价值计入相关成本或费用，相应增加资本公积。</w:t>
      </w:r>
    </w:p>
    <w:p>
      <w:pPr>
        <w:spacing w:line="240" w:lineRule="auto" w:before="0"/>
        <w:rPr>
          <w:rFonts w:ascii="宋体" w:hAnsi="宋体" w:cs="宋体" w:eastAsia="宋体" w:hint="default"/>
          <w:sz w:val="15"/>
          <w:szCs w:val="15"/>
        </w:rPr>
      </w:pPr>
    </w:p>
    <w:p>
      <w:pPr>
        <w:pStyle w:val="BodyText"/>
        <w:spacing w:line="316" w:lineRule="auto"/>
        <w:ind w:right="1133" w:firstLine="420"/>
        <w:jc w:val="both"/>
      </w:pPr>
      <w:r>
        <w:rPr/>
        <w:t>等待行权的换取职工服务的以权益结算的股份支付，在等待期内的每个资产负债表日，应当以对可行权权益工具数量 的最佳估计为基础，按照权益工具授予日的公允价值，将当期取得的服务计入相关成本或费用和资本公积。</w:t>
      </w:r>
    </w:p>
    <w:p>
      <w:pPr>
        <w:pStyle w:val="BodyText"/>
        <w:spacing w:line="240" w:lineRule="auto" w:before="139"/>
        <w:ind w:right="0"/>
        <w:jc w:val="left"/>
      </w:pPr>
      <w:r>
        <w:rPr/>
        <w:t>（</w:t>
      </w:r>
      <w:r>
        <w:rPr>
          <w:rFonts w:ascii="Times New Roman" w:hAnsi="Times New Roman" w:cs="Times New Roman" w:eastAsia="Times New Roman" w:hint="default"/>
        </w:rPr>
        <w:t>2</w:t>
      </w:r>
      <w:r>
        <w:rPr/>
        <w:t>）后续计量</w:t>
      </w:r>
    </w:p>
    <w:p>
      <w:pPr>
        <w:spacing w:line="240" w:lineRule="auto" w:before="13"/>
        <w:rPr>
          <w:rFonts w:ascii="宋体" w:hAnsi="宋体" w:cs="宋体" w:eastAsia="宋体" w:hint="default"/>
          <w:sz w:val="13"/>
          <w:szCs w:val="13"/>
        </w:rPr>
      </w:pPr>
    </w:p>
    <w:p>
      <w:pPr>
        <w:pStyle w:val="BodyText"/>
        <w:spacing w:line="316" w:lineRule="auto"/>
        <w:ind w:right="1127" w:firstLine="420"/>
        <w:jc w:val="both"/>
      </w:pPr>
      <w:r>
        <w:rPr/>
        <w:t>在资产负债表日，后续信息表明可行权权益工具的数量与以前估计不同的，应当进行调整，并在可行权日调整至实际</w:t>
      </w:r>
      <w:r>
        <w:rPr>
          <w:spacing w:val="1"/>
        </w:rPr>
        <w:t> </w:t>
      </w:r>
      <w:r>
        <w:rPr/>
        <w:t>可行权的权益工具数量。在行权日，企业根据实际行权的权益工具数量，计算确定应转入股本的金额，将其转入股本。</w:t>
      </w:r>
    </w:p>
    <w:p>
      <w:pPr>
        <w:pStyle w:val="Heading5"/>
        <w:spacing w:line="240" w:lineRule="auto" w:before="139"/>
        <w:ind w:right="0"/>
        <w:jc w:val="left"/>
        <w:rPr>
          <w:b w:val="0"/>
          <w:bCs w:val="0"/>
        </w:rPr>
      </w:pPr>
      <w:r>
        <w:rPr/>
        <w:t>－以现金结算的股份支付</w:t>
      </w:r>
      <w:r>
        <w:rPr>
          <w:b w:val="0"/>
          <w:bCs w:val="0"/>
        </w:rPr>
      </w:r>
    </w:p>
    <w:p>
      <w:pPr>
        <w:pStyle w:val="BodyText"/>
        <w:spacing w:line="420" w:lineRule="atLeast" w:before="25"/>
        <w:ind w:left="574" w:right="0" w:hanging="420"/>
        <w:jc w:val="left"/>
      </w:pPr>
      <w:r>
        <w:rPr/>
        <w:t>（</w:t>
      </w:r>
      <w:r>
        <w:rPr>
          <w:rFonts w:ascii="Times New Roman" w:hAnsi="Times New Roman" w:cs="Times New Roman" w:eastAsia="Times New Roman" w:hint="default"/>
        </w:rPr>
        <w:t>1</w:t>
      </w:r>
      <w:r>
        <w:rPr/>
        <w:t>）初始确认与计量 授予后立即可行权的以现金结算的股份支付，应当在授予日以企业承担负债的公允价值计入相关成本或费用，相应增</w:t>
      </w:r>
    </w:p>
    <w:p>
      <w:pPr>
        <w:pStyle w:val="BodyText"/>
        <w:spacing w:line="316" w:lineRule="auto" w:before="76"/>
        <w:ind w:right="1028"/>
        <w:jc w:val="left"/>
      </w:pPr>
      <w:r>
        <w:rPr>
          <w:spacing w:val="-4"/>
        </w:rPr>
        <w:t>加负债。完成等待期内的服务或达到规定业绩条件以后才可行权的以现金结算的股份支付，在等待期内的每个资产负债表日，</w:t>
      </w:r>
      <w:r>
        <w:rPr>
          <w:spacing w:val="-44"/>
        </w:rPr>
        <w:t> </w:t>
      </w:r>
      <w:r>
        <w:rPr>
          <w:spacing w:val="-44"/>
        </w:rPr>
      </w:r>
      <w:r>
        <w:rPr>
          <w:spacing w:val="-2"/>
        </w:rPr>
        <w:t>应当以对可行权情况的最佳估计为基础，按照企业承担负债的公允价值金额，将当期取得的服务计入成本或费用和相应的负</w:t>
      </w:r>
      <w:r>
        <w:rPr>
          <w:spacing w:val="-64"/>
        </w:rPr>
        <w:t> </w:t>
      </w:r>
      <w:r>
        <w:rPr>
          <w:spacing w:val="-64"/>
        </w:rPr>
      </w:r>
      <w:r>
        <w:rPr/>
        <w:t>债。</w:t>
      </w:r>
    </w:p>
    <w:p>
      <w:pPr>
        <w:pStyle w:val="BodyText"/>
        <w:spacing w:line="240" w:lineRule="auto" w:before="139"/>
        <w:ind w:right="0"/>
        <w:jc w:val="left"/>
      </w:pPr>
      <w:r>
        <w:rPr/>
        <w:t>（</w:t>
      </w:r>
      <w:r>
        <w:rPr>
          <w:rFonts w:ascii="Times New Roman" w:hAnsi="Times New Roman" w:cs="Times New Roman" w:eastAsia="Times New Roman" w:hint="default"/>
        </w:rPr>
        <w:t>2</w:t>
      </w:r>
      <w:r>
        <w:rPr/>
        <w:t>）后续计量</w:t>
      </w:r>
    </w:p>
    <w:p>
      <w:pPr>
        <w:spacing w:line="240" w:lineRule="auto" w:before="13"/>
        <w:rPr>
          <w:rFonts w:ascii="宋体" w:hAnsi="宋体" w:cs="宋体" w:eastAsia="宋体" w:hint="default"/>
          <w:sz w:val="13"/>
          <w:szCs w:val="13"/>
        </w:rPr>
      </w:pPr>
    </w:p>
    <w:p>
      <w:pPr>
        <w:pStyle w:val="BodyText"/>
        <w:spacing w:line="316" w:lineRule="auto"/>
        <w:ind w:right="1132" w:firstLine="420"/>
        <w:jc w:val="both"/>
      </w:pPr>
      <w:r>
        <w:rPr/>
        <w:t>在资产负债表日，后续信息表明企业当期承担债务的公允价值与以前估计不同的，应当进行调整，并在可行权日调整 </w:t>
      </w:r>
      <w:r>
        <w:rPr>
          <w:spacing w:val="-2"/>
        </w:rPr>
        <w:t>至实际可行权水平。企业应当在相关负债结算前的每个资产负债表日以及结算日，对负债的公允价值重新计量，其变动计入</w:t>
      </w:r>
      <w:r>
        <w:rPr>
          <w:spacing w:val="-66"/>
        </w:rPr>
        <w:t> </w:t>
      </w:r>
      <w:r>
        <w:rPr>
          <w:spacing w:val="-66"/>
        </w:rPr>
      </w:r>
      <w:r>
        <w:rPr/>
        <w:t>当期损益。</w:t>
      </w:r>
    </w:p>
    <w:p>
      <w:pPr>
        <w:spacing w:line="432" w:lineRule="exact" w:before="3"/>
        <w:ind w:left="574" w:right="0" w:hanging="420"/>
        <w:jc w:val="left"/>
        <w:rPr>
          <w:rFonts w:ascii="宋体" w:hAnsi="宋体" w:cs="宋体" w:eastAsia="宋体" w:hint="default"/>
          <w:sz w:val="18"/>
          <w:szCs w:val="18"/>
        </w:rPr>
      </w:pPr>
      <w:r>
        <w:rPr>
          <w:rFonts w:ascii="宋体" w:hAnsi="宋体" w:cs="宋体" w:eastAsia="宋体" w:hint="default"/>
          <w:b/>
          <w:bCs/>
          <w:sz w:val="18"/>
          <w:szCs w:val="18"/>
        </w:rPr>
        <w:t>－权益工具公允价值的确定</w:t>
      </w:r>
      <w:r>
        <w:rPr>
          <w:rFonts w:ascii="宋体" w:hAnsi="宋体" w:cs="宋体" w:eastAsia="宋体" w:hint="default"/>
          <w:b/>
          <w:bCs/>
          <w:w w:val="99"/>
          <w:sz w:val="18"/>
          <w:szCs w:val="18"/>
        </w:rPr>
        <w:t> </w:t>
      </w:r>
      <w:r>
        <w:rPr>
          <w:rFonts w:ascii="宋体" w:hAnsi="宋体" w:cs="宋体" w:eastAsia="宋体" w:hint="default"/>
          <w:sz w:val="18"/>
          <w:szCs w:val="18"/>
        </w:rPr>
        <w:t>对于授予职工的股份，其公允价值应按企业股份的市场价格计量，同时考虑授予股份所依据的条款和条件（不包括市</w:t>
      </w:r>
    </w:p>
    <w:p>
      <w:pPr>
        <w:pStyle w:val="BodyText"/>
        <w:spacing w:line="240" w:lineRule="auto" w:before="15"/>
        <w:ind w:right="0"/>
        <w:jc w:val="left"/>
      </w:pPr>
      <w:r>
        <w:rPr/>
        <w:t>场条件之外的可行权条件）进行调整。</w:t>
      </w:r>
    </w:p>
    <w:p>
      <w:pPr>
        <w:spacing w:line="240" w:lineRule="auto" w:before="0"/>
        <w:rPr>
          <w:rFonts w:ascii="宋体" w:hAnsi="宋体" w:cs="宋体" w:eastAsia="宋体" w:hint="default"/>
          <w:sz w:val="15"/>
          <w:szCs w:val="15"/>
        </w:rPr>
      </w:pPr>
    </w:p>
    <w:p>
      <w:pPr>
        <w:pStyle w:val="Heading5"/>
        <w:spacing w:line="240" w:lineRule="auto"/>
        <w:ind w:right="0"/>
        <w:jc w:val="left"/>
        <w:rPr>
          <w:b w:val="0"/>
          <w:bCs w:val="0"/>
        </w:rPr>
      </w:pPr>
      <w:r>
        <w:rPr/>
        <w:t>－确认可行权权益工具最佳估计的依据</w:t>
      </w:r>
      <w:r>
        <w:rPr>
          <w:b w:val="0"/>
          <w:bCs w:val="0"/>
        </w:rPr>
      </w:r>
    </w:p>
    <w:p>
      <w:pPr>
        <w:spacing w:line="240" w:lineRule="auto" w:before="0"/>
        <w:rPr>
          <w:rFonts w:ascii="宋体" w:hAnsi="宋体" w:cs="宋体" w:eastAsia="宋体" w:hint="default"/>
          <w:b/>
          <w:bCs/>
          <w:sz w:val="15"/>
          <w:szCs w:val="15"/>
        </w:rPr>
      </w:pPr>
    </w:p>
    <w:p>
      <w:pPr>
        <w:pStyle w:val="BodyText"/>
        <w:spacing w:line="319" w:lineRule="auto"/>
        <w:ind w:right="1118"/>
        <w:jc w:val="left"/>
      </w:pPr>
      <w:r>
        <w:rPr>
          <w:spacing w:val="-2"/>
        </w:rPr>
        <w:t>在等待期内每个资产负债表日，公司根据最新取得的可行权职工人数变动等后续信息做出最佳估计，修正预计可行权的权益</w:t>
      </w:r>
      <w:r>
        <w:rPr>
          <w:spacing w:val="-63"/>
        </w:rPr>
        <w:t> </w:t>
      </w:r>
      <w:r>
        <w:rPr>
          <w:spacing w:val="-63"/>
        </w:rPr>
      </w:r>
      <w:r>
        <w:rPr/>
        <w:t>工具数量。</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7、优先股、永续债等其他金融工具" w:id="206"/>
      <w:bookmarkEnd w:id="206"/>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8、收入" w:id="207"/>
      <w:bookmarkEnd w:id="207"/>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left"/>
      </w:pPr>
      <w:r>
        <w:rPr/>
        <w:t>软件与信息技术服务业</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2"/>
        <w:rPr>
          <w:rFonts w:ascii="宋体" w:hAnsi="宋体" w:cs="宋体" w:eastAsia="宋体" w:hint="default"/>
          <w:sz w:val="13"/>
          <w:szCs w:val="13"/>
        </w:rPr>
      </w:pPr>
    </w:p>
    <w:p>
      <w:pPr>
        <w:pStyle w:val="Heading5"/>
        <w:spacing w:line="240" w:lineRule="auto"/>
        <w:ind w:right="0"/>
        <w:jc w:val="left"/>
        <w:rPr>
          <w:b w:val="0"/>
          <w:bCs w:val="0"/>
        </w:rPr>
      </w:pPr>
      <w:r>
        <w:rPr/>
        <w:t>－销售商品</w:t>
      </w:r>
      <w:r>
        <w:rPr>
          <w:b w:val="0"/>
          <w:bCs w:val="0"/>
        </w:rPr>
      </w:r>
    </w:p>
    <w:p>
      <w:pPr>
        <w:spacing w:line="240" w:lineRule="auto" w:before="0"/>
        <w:rPr>
          <w:rFonts w:ascii="宋体" w:hAnsi="宋体" w:cs="宋体" w:eastAsia="宋体" w:hint="default"/>
          <w:b/>
          <w:bCs/>
          <w:sz w:val="15"/>
          <w:szCs w:val="15"/>
        </w:rPr>
      </w:pPr>
    </w:p>
    <w:p>
      <w:pPr>
        <w:pStyle w:val="BodyText"/>
        <w:spacing w:line="240" w:lineRule="auto"/>
        <w:ind w:left="574" w:right="0"/>
        <w:jc w:val="left"/>
      </w:pPr>
      <w:r>
        <w:rPr/>
        <w:t>公司销售的商品在同时满足下列条件时，按从购货方已收或应收的合同或协议价款的金额确认销售商品收入：</w:t>
      </w:r>
    </w:p>
    <w:p>
      <w:pPr>
        <w:spacing w:line="240" w:lineRule="auto" w:before="1"/>
        <w:rPr>
          <w:rFonts w:ascii="宋体" w:hAnsi="宋体" w:cs="宋体" w:eastAsia="宋体" w:hint="default"/>
          <w:sz w:val="15"/>
          <w:szCs w:val="15"/>
        </w:rPr>
      </w:pPr>
    </w:p>
    <w:p>
      <w:pPr>
        <w:pStyle w:val="BodyText"/>
        <w:spacing w:line="240" w:lineRule="auto"/>
        <w:ind w:left="574" w:right="0"/>
        <w:jc w:val="left"/>
      </w:pPr>
      <w:r>
        <w:rPr/>
        <w:t>（</w:t>
      </w:r>
      <w:r>
        <w:rPr>
          <w:rFonts w:ascii="Times New Roman" w:hAnsi="Times New Roman" w:cs="Times New Roman" w:eastAsia="Times New Roman" w:hint="default"/>
        </w:rPr>
        <w:t>1</w:t>
      </w:r>
      <w:r>
        <w:rPr/>
        <w:t>）已将商品所有权上的主要风险和报酬转移给购货方；</w:t>
      </w:r>
    </w:p>
    <w:p>
      <w:pPr>
        <w:spacing w:line="240" w:lineRule="auto" w:before="13"/>
        <w:rPr>
          <w:rFonts w:ascii="宋体" w:hAnsi="宋体" w:cs="宋体" w:eastAsia="宋体" w:hint="default"/>
          <w:sz w:val="13"/>
          <w:szCs w:val="13"/>
        </w:rPr>
      </w:pPr>
    </w:p>
    <w:p>
      <w:pPr>
        <w:pStyle w:val="BodyText"/>
        <w:spacing w:line="240" w:lineRule="auto"/>
        <w:ind w:left="574" w:right="0"/>
        <w:jc w:val="left"/>
      </w:pPr>
      <w:r>
        <w:rPr/>
        <w:t>（</w:t>
      </w:r>
      <w:r>
        <w:rPr>
          <w:rFonts w:ascii="Times New Roman" w:hAnsi="Times New Roman" w:cs="Times New Roman" w:eastAsia="Times New Roman" w:hint="default"/>
        </w:rPr>
        <w:t>2</w:t>
      </w:r>
      <w:r>
        <w:rPr/>
        <w:t>）</w:t>
      </w:r>
      <w:r>
        <w:rPr>
          <w:spacing w:val="-19"/>
        </w:rPr>
        <w:t> </w:t>
      </w:r>
      <w:r>
        <w:rPr/>
        <w:t>既没有保留通常与所有权相联系的继续管理权，也没有对已售出的商品实施有效控制；</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t>（</w:t>
      </w:r>
      <w:r>
        <w:rPr>
          <w:rFonts w:ascii="Times New Roman" w:hAnsi="Times New Roman" w:cs="Times New Roman" w:eastAsia="Times New Roman" w:hint="default"/>
        </w:rPr>
        <w:t>3</w:t>
      </w:r>
      <w:r>
        <w:rPr/>
        <w:t>）收入的金额能够可靠地计量；</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t>（</w:t>
      </w:r>
      <w:r>
        <w:rPr>
          <w:rFonts w:ascii="Times New Roman" w:hAnsi="Times New Roman" w:cs="Times New Roman" w:eastAsia="Times New Roman" w:hint="default"/>
        </w:rPr>
        <w:t>4</w:t>
      </w:r>
      <w:r>
        <w:rPr/>
        <w:t>）相关的经济利益很可能流入企业；</w:t>
      </w:r>
    </w:p>
    <w:p>
      <w:pPr>
        <w:spacing w:line="240" w:lineRule="auto" w:before="13"/>
        <w:rPr>
          <w:rFonts w:ascii="宋体" w:hAnsi="宋体" w:cs="宋体" w:eastAsia="宋体" w:hint="default"/>
          <w:sz w:val="13"/>
          <w:szCs w:val="13"/>
        </w:rPr>
      </w:pPr>
    </w:p>
    <w:p>
      <w:pPr>
        <w:pStyle w:val="BodyText"/>
        <w:spacing w:line="240" w:lineRule="auto"/>
        <w:ind w:left="574" w:right="0"/>
        <w:jc w:val="left"/>
      </w:pPr>
      <w:r>
        <w:rPr/>
        <w:t>（</w:t>
      </w:r>
      <w:r>
        <w:rPr>
          <w:rFonts w:ascii="Times New Roman" w:hAnsi="Times New Roman" w:cs="Times New Roman" w:eastAsia="Times New Roman" w:hint="default"/>
        </w:rPr>
        <w:t>5</w:t>
      </w:r>
      <w:r>
        <w:rPr/>
        <w:t>）相关的已发生或将发生的成本能够可靠地计量。</w:t>
      </w:r>
    </w:p>
    <w:p>
      <w:pPr>
        <w:spacing w:line="240" w:lineRule="auto" w:before="13"/>
        <w:rPr>
          <w:rFonts w:ascii="宋体" w:hAnsi="宋体" w:cs="宋体" w:eastAsia="宋体" w:hint="default"/>
          <w:sz w:val="13"/>
          <w:szCs w:val="13"/>
        </w:rPr>
      </w:pPr>
    </w:p>
    <w:p>
      <w:pPr>
        <w:pStyle w:val="Heading5"/>
        <w:spacing w:line="240" w:lineRule="auto"/>
        <w:ind w:right="0"/>
        <w:jc w:val="left"/>
        <w:rPr>
          <w:b w:val="0"/>
          <w:bCs w:val="0"/>
        </w:rPr>
      </w:pPr>
      <w:r>
        <w:rPr/>
        <w:t>－提供劳务</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right="0" w:firstLine="420"/>
        <w:jc w:val="left"/>
      </w:pPr>
      <w:r>
        <w:rPr/>
        <w:t>在提供劳务交易的结果能够可靠估计的情况下，公司于资产负债表日按完工进度确认相关的劳务收入。如提供劳务交 易结果不能够可靠估计的，应当分别处理：</w:t>
      </w:r>
    </w:p>
    <w:p>
      <w:pPr>
        <w:pStyle w:val="BodyText"/>
        <w:spacing w:line="300" w:lineRule="auto" w:before="139"/>
        <w:ind w:right="1114" w:firstLine="420"/>
        <w:jc w:val="left"/>
      </w:pPr>
      <w:r>
        <w:rPr>
          <w:spacing w:val="-1"/>
        </w:rPr>
        <w:t>（</w:t>
      </w:r>
      <w:r>
        <w:rPr>
          <w:rFonts w:ascii="Times New Roman" w:hAnsi="Times New Roman" w:cs="Times New Roman" w:eastAsia="Times New Roman" w:hint="default"/>
          <w:spacing w:val="-1"/>
        </w:rPr>
        <w:t>1</w:t>
      </w:r>
      <w:r>
        <w:rPr>
          <w:spacing w:val="-1"/>
        </w:rPr>
        <w:t>）已经发生的劳务成本预计能够得到补偿的，按照已经发生的劳务成本金额确认提供劳务收入，并按相同金额结转</w:t>
      </w:r>
      <w:r>
        <w:rPr/>
        <w:t> 劳务成本；</w:t>
      </w:r>
    </w:p>
    <w:p>
      <w:pPr>
        <w:pStyle w:val="BodyText"/>
        <w:spacing w:line="415" w:lineRule="auto" w:before="151"/>
        <w:ind w:left="574" w:right="1062"/>
        <w:jc w:val="left"/>
      </w:pPr>
      <w:r>
        <w:rPr/>
        <w:t>（</w:t>
      </w:r>
      <w:r>
        <w:rPr>
          <w:rFonts w:ascii="Times New Roman" w:hAnsi="Times New Roman" w:cs="Times New Roman" w:eastAsia="Times New Roman" w:hint="default"/>
        </w:rPr>
        <w:t>2</w:t>
      </w:r>
      <w:r>
        <w:rPr/>
        <w:t>）已经发生的劳务成本预计不能够得到补偿的，应当将已经发生的劳务成本计入当期损益，不确认提供劳务收入。 提供劳务交易的结果能够可靠估计是指：</w:t>
      </w:r>
    </w:p>
    <w:p>
      <w:pPr>
        <w:pStyle w:val="BodyText"/>
        <w:spacing w:line="240" w:lineRule="auto" w:before="65"/>
        <w:ind w:left="574" w:right="0"/>
        <w:jc w:val="left"/>
      </w:pPr>
      <w:r>
        <w:rPr/>
        <w:t>（</w:t>
      </w:r>
      <w:r>
        <w:rPr>
          <w:rFonts w:ascii="Times New Roman" w:hAnsi="Times New Roman" w:cs="Times New Roman" w:eastAsia="Times New Roman" w:hint="default"/>
        </w:rPr>
        <w:t>1</w:t>
      </w:r>
      <w:r>
        <w:rPr/>
        <w:t>）收入金额能够可靠计量；</w:t>
      </w:r>
    </w:p>
    <w:p>
      <w:pPr>
        <w:spacing w:line="240" w:lineRule="auto" w:before="13"/>
        <w:rPr>
          <w:rFonts w:ascii="宋体" w:hAnsi="宋体" w:cs="宋体" w:eastAsia="宋体" w:hint="default"/>
          <w:sz w:val="13"/>
          <w:szCs w:val="13"/>
        </w:rPr>
      </w:pPr>
    </w:p>
    <w:p>
      <w:pPr>
        <w:pStyle w:val="BodyText"/>
        <w:spacing w:line="240" w:lineRule="auto"/>
        <w:ind w:left="574" w:right="0"/>
        <w:jc w:val="left"/>
      </w:pPr>
      <w:r>
        <w:rPr/>
        <w:t>（</w:t>
      </w:r>
      <w:r>
        <w:rPr>
          <w:rFonts w:ascii="Times New Roman" w:hAnsi="Times New Roman" w:cs="Times New Roman" w:eastAsia="Times New Roman" w:hint="default"/>
        </w:rPr>
        <w:t>2</w:t>
      </w:r>
      <w:r>
        <w:rPr/>
        <w:t>）相关经济利益很可能流入公司；</w:t>
      </w:r>
    </w:p>
    <w:p>
      <w:pPr>
        <w:spacing w:line="240" w:lineRule="auto" w:before="0"/>
        <w:rPr>
          <w:rFonts w:ascii="宋体" w:hAnsi="宋体" w:cs="宋体" w:eastAsia="宋体" w:hint="default"/>
          <w:sz w:val="14"/>
          <w:szCs w:val="14"/>
        </w:rPr>
      </w:pPr>
    </w:p>
    <w:p>
      <w:pPr>
        <w:pStyle w:val="BodyText"/>
        <w:spacing w:line="240" w:lineRule="auto"/>
        <w:ind w:left="574" w:right="0"/>
        <w:jc w:val="left"/>
      </w:pPr>
      <w:r>
        <w:rPr/>
        <w:t>（</w:t>
      </w:r>
      <w:r>
        <w:rPr>
          <w:rFonts w:ascii="Times New Roman" w:hAnsi="Times New Roman" w:cs="Times New Roman" w:eastAsia="Times New Roman" w:hint="default"/>
        </w:rPr>
        <w:t>3</w:t>
      </w:r>
      <w:r>
        <w:rPr/>
        <w:t>）交易的完工进度能够可靠地确定；</w:t>
      </w:r>
    </w:p>
    <w:p>
      <w:pPr>
        <w:spacing w:line="240" w:lineRule="auto" w:before="13"/>
        <w:rPr>
          <w:rFonts w:ascii="宋体" w:hAnsi="宋体" w:cs="宋体" w:eastAsia="宋体" w:hint="default"/>
          <w:sz w:val="13"/>
          <w:szCs w:val="13"/>
        </w:rPr>
      </w:pPr>
    </w:p>
    <w:p>
      <w:pPr>
        <w:pStyle w:val="BodyText"/>
        <w:spacing w:line="240" w:lineRule="auto"/>
        <w:ind w:left="574" w:right="0"/>
        <w:jc w:val="left"/>
      </w:pPr>
      <w:r>
        <w:rPr/>
        <w:t>（</w:t>
      </w:r>
      <w:r>
        <w:rPr>
          <w:rFonts w:ascii="Times New Roman" w:hAnsi="Times New Roman" w:cs="Times New Roman" w:eastAsia="Times New Roman" w:hint="default"/>
        </w:rPr>
        <w:t>4</w:t>
      </w:r>
      <w:r>
        <w:rPr/>
        <w:t>）交易已发生和将发生的成本能够可靠计量。</w:t>
      </w:r>
    </w:p>
    <w:p>
      <w:pPr>
        <w:spacing w:line="240" w:lineRule="auto" w:before="13"/>
        <w:rPr>
          <w:rFonts w:ascii="宋体" w:hAnsi="宋体" w:cs="宋体" w:eastAsia="宋体" w:hint="default"/>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w:t>
      </w:r>
      <w:r>
        <w:rPr/>
        <w:t>让渡资产使用权</w:t>
      </w:r>
      <w:r>
        <w:rPr>
          <w:b w:val="0"/>
          <w:bCs w:val="0"/>
        </w:rPr>
      </w:r>
    </w:p>
    <w:p>
      <w:pPr>
        <w:pStyle w:val="BodyText"/>
        <w:spacing w:line="432" w:lineRule="exact" w:before="47"/>
        <w:ind w:left="574" w:right="0"/>
        <w:jc w:val="left"/>
      </w:pPr>
      <w:r>
        <w:rPr/>
        <w:t>本公司在与让渡资产使用权相关的经济利益能够流入和收入的金额能够可靠的计量时确认让渡资产使用权收入。 利息收入按使用货币资金的使用时间和适用利率计算确定。使用费收入金额，按照有关合同或协议约定的收费时间和</w:t>
      </w:r>
    </w:p>
    <w:p>
      <w:pPr>
        <w:pStyle w:val="BodyText"/>
        <w:spacing w:line="240" w:lineRule="auto" w:before="15"/>
        <w:ind w:right="0"/>
        <w:jc w:val="left"/>
      </w:pPr>
      <w:r>
        <w:rPr/>
        <w:t>方法计算确定。</w:t>
      </w:r>
    </w:p>
    <w:p>
      <w:pPr>
        <w:spacing w:line="240" w:lineRule="auto" w:before="0"/>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w:t>
      </w:r>
      <w:r>
        <w:rPr/>
        <w:t>按各收入类别的具体确认原则及方法如下：</w:t>
      </w:r>
      <w:r>
        <w:rPr>
          <w:b w:val="0"/>
          <w:bCs w:val="0"/>
        </w:rPr>
      </w:r>
    </w:p>
    <w:p>
      <w:pPr>
        <w:spacing w:line="420" w:lineRule="atLeast" w:before="12"/>
        <w:ind w:left="574" w:right="1024" w:hanging="3"/>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）软件开发收入的确认原则及方法</w:t>
      </w:r>
      <w:r>
        <w:rPr>
          <w:rFonts w:ascii="宋体" w:hAnsi="宋体" w:cs="宋体" w:eastAsia="宋体" w:hint="default"/>
          <w:b/>
          <w:bCs/>
          <w:w w:val="99"/>
          <w:sz w:val="18"/>
          <w:szCs w:val="18"/>
        </w:rPr>
        <w:t> </w:t>
      </w:r>
      <w:r>
        <w:rPr>
          <w:rFonts w:ascii="宋体" w:hAnsi="宋体" w:cs="宋体" w:eastAsia="宋体" w:hint="default"/>
          <w:spacing w:val="-1"/>
          <w:sz w:val="18"/>
          <w:szCs w:val="18"/>
        </w:rPr>
        <w:t>软件开发收入是指接受客户委托，根据客户的需要，对应用软件技术进行研究开发，由此开发出来的软件为定制软件、</w:t>
      </w:r>
    </w:p>
    <w:p>
      <w:pPr>
        <w:pStyle w:val="BodyText"/>
        <w:spacing w:line="240" w:lineRule="auto" w:before="76"/>
        <w:ind w:right="0"/>
        <w:jc w:val="left"/>
      </w:pPr>
      <w:r>
        <w:rPr/>
        <w:t>不具有通用性。</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软件开发收入的确认原则及方法分为两大类：</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①根据合同按每月实际工作量（人</w:t>
      </w:r>
      <w:r>
        <w:rPr>
          <w:rFonts w:ascii="Times New Roman" w:hAnsi="Times New Roman" w:cs="Times New Roman" w:eastAsia="Times New Roman" w:hint="default"/>
        </w:rPr>
        <w:t>/</w:t>
      </w:r>
      <w:r>
        <w:rPr/>
        <w:t>天数）收费，经客户确认实际工作量后确认软件开发收入。</w:t>
      </w:r>
    </w:p>
    <w:p>
      <w:pPr>
        <w:spacing w:line="240" w:lineRule="auto" w:before="13"/>
        <w:rPr>
          <w:rFonts w:ascii="宋体" w:hAnsi="宋体" w:cs="宋体" w:eastAsia="宋体" w:hint="default"/>
          <w:sz w:val="13"/>
          <w:szCs w:val="13"/>
        </w:rPr>
      </w:pPr>
    </w:p>
    <w:p>
      <w:pPr>
        <w:pStyle w:val="BodyText"/>
        <w:spacing w:line="319" w:lineRule="auto"/>
        <w:ind w:right="0" w:firstLine="420"/>
        <w:jc w:val="left"/>
      </w:pPr>
      <w:r>
        <w:rPr/>
        <w:t>②公司软件开发业务按照合同约定提交软件开发成果并经客户验收后确认收入，该业务若存在分阶段多次验收情况， 则按该业务完成各阶段工作并经客户验收时，分别确认相应阶段工作成果的收入。</w:t>
      </w:r>
    </w:p>
    <w:p>
      <w:pPr>
        <w:spacing w:line="415" w:lineRule="auto" w:before="137"/>
        <w:ind w:left="574" w:right="4572"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）维护服务收入的确认原则及方法</w:t>
      </w:r>
      <w:r>
        <w:rPr>
          <w:rFonts w:ascii="宋体" w:hAnsi="宋体" w:cs="宋体" w:eastAsia="宋体" w:hint="default"/>
          <w:b/>
          <w:bCs/>
          <w:w w:val="99"/>
          <w:sz w:val="18"/>
          <w:szCs w:val="18"/>
        </w:rPr>
        <w:t> </w:t>
      </w:r>
      <w:r>
        <w:rPr>
          <w:rFonts w:ascii="宋体" w:hAnsi="宋体" w:cs="宋体" w:eastAsia="宋体" w:hint="default"/>
          <w:sz w:val="18"/>
          <w:szCs w:val="18"/>
        </w:rPr>
        <w:t>维护服务收入是指公司为客户提供专业的技术应用维护服务实现的收入。</w:t>
      </w:r>
    </w:p>
    <w:p>
      <w:pPr>
        <w:pStyle w:val="BodyText"/>
        <w:spacing w:line="240" w:lineRule="auto" w:before="65"/>
        <w:ind w:left="574" w:right="0"/>
        <w:jc w:val="left"/>
      </w:pPr>
      <w:r>
        <w:rPr/>
        <w:t>具体确认依据、时点和确认金额：每个报告期末按合同金额和已提供服务期间占合同期间的比例确定的金额确认收入。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Heading5"/>
        <w:spacing w:line="240" w:lineRule="auto" w:before="44"/>
        <w:ind w:left="576" w:right="0"/>
        <w:jc w:val="left"/>
        <w:rPr>
          <w:b w:val="0"/>
          <w:bCs w:val="0"/>
        </w:rPr>
      </w:pPr>
      <w:r>
        <w:rPr/>
        <w:t>（</w:t>
      </w:r>
      <w:r>
        <w:rPr>
          <w:rFonts w:ascii="Times New Roman" w:hAnsi="Times New Roman" w:cs="Times New Roman" w:eastAsia="Times New Roman" w:hint="default"/>
        </w:rPr>
        <w:t>3</w:t>
      </w:r>
      <w:r>
        <w:rPr/>
        <w:t>）计算机信息系统集成收入的确认原则及方法</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0" w:firstLine="420"/>
        <w:jc w:val="left"/>
      </w:pPr>
      <w:r>
        <w:rPr/>
        <w:t>计算机信息系统集成收入是指针对客户的集成需求制订集成解决方案，向客户提供构成集成化系统的第三方产品，如 操作系统、数据库等系统软件以及服务器、网络设备等硬件。</w:t>
      </w:r>
    </w:p>
    <w:p>
      <w:pPr>
        <w:pStyle w:val="BodyText"/>
        <w:spacing w:line="319" w:lineRule="auto" w:before="59"/>
        <w:ind w:right="0" w:firstLine="290"/>
        <w:jc w:val="left"/>
      </w:pPr>
      <w:r>
        <w:rPr>
          <w:spacing w:val="-1"/>
        </w:rPr>
        <w:t>具体确认原则及方法为：计算机信息系统集成业务以客户签收送货单为确认收入的依据。具体的确认时点为软硬件设备</w:t>
      </w:r>
      <w:r>
        <w:rPr/>
        <w:t> 交付客户指定地点及现场调试后，并取得客户签字确认的送货单，确认金额为对应的销售合同不含税金额。</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9、政府补助" w:id="208"/>
      <w:bookmarkEnd w:id="208"/>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574" w:right="2412"/>
        <w:jc w:val="left"/>
      </w:pPr>
      <w:r>
        <w:rPr/>
        <w:t>政府补助是指公司从政府无偿取得货币性资产和非货币性资产，不包括政府作为所有者投入的资本。 本公司在能够满足政府补助所附条件且能够收到政府补助时确认政府补助。其中：</w:t>
      </w:r>
    </w:p>
    <w:p>
      <w:pPr>
        <w:pStyle w:val="BodyText"/>
        <w:spacing w:line="300" w:lineRule="auto" w:before="47"/>
        <w:ind w:right="0" w:firstLine="420"/>
        <w:jc w:val="left"/>
      </w:pPr>
      <w:r>
        <w:rPr>
          <w:spacing w:val="-2"/>
        </w:rPr>
        <w:t>（</w:t>
      </w:r>
      <w:r>
        <w:rPr>
          <w:rFonts w:ascii="Times New Roman" w:hAnsi="Times New Roman" w:cs="Times New Roman" w:eastAsia="Times New Roman" w:hint="default"/>
          <w:spacing w:val="-2"/>
        </w:rPr>
        <w:t>1</w:t>
      </w:r>
      <w:r>
        <w:rPr>
          <w:spacing w:val="-2"/>
        </w:rPr>
        <w:t>）政府补助为货币性资产的，按收到或应收的金额计量；政府补助为非货币性资产的，按公允价值计量，如公允价</w:t>
      </w:r>
      <w:r>
        <w:rPr/>
        <w:t> 值不能可靠取得，则按名义金额计量。</w:t>
      </w:r>
    </w:p>
    <w:p>
      <w:pPr>
        <w:pStyle w:val="BodyText"/>
        <w:spacing w:line="312" w:lineRule="auto" w:before="151"/>
        <w:ind w:right="0" w:firstLine="420"/>
        <w:jc w:val="left"/>
      </w:pPr>
      <w:r>
        <w:rPr>
          <w:spacing w:val="-3"/>
        </w:rPr>
        <w:t>（</w:t>
      </w:r>
      <w:r>
        <w:rPr>
          <w:rFonts w:ascii="Times New Roman" w:hAnsi="Times New Roman" w:cs="Times New Roman" w:eastAsia="Times New Roman" w:hint="default"/>
          <w:spacing w:val="-3"/>
        </w:rPr>
        <w:t>2</w:t>
      </w:r>
      <w:r>
        <w:rPr>
          <w:spacing w:val="-3"/>
        </w:rPr>
        <w:t>）与资产相关的政府补助，冲减相关资产的账面价值或确认为递延收益。与资产相关的政府补助确认为递延收益的，</w:t>
      </w:r>
      <w:r>
        <w:rPr/>
        <w:t> </w:t>
      </w:r>
      <w:r>
        <w:rPr>
          <w:spacing w:val="-2"/>
        </w:rPr>
        <w:t>在相关资产使用寿命内按照合理、系统的方法分期计入损益。按照名义金额计量的政府补助，直接计入当期损益。与收益相</w:t>
      </w:r>
      <w:r>
        <w:rPr>
          <w:spacing w:val="-66"/>
        </w:rPr>
        <w:t> </w:t>
      </w:r>
      <w:r>
        <w:rPr>
          <w:spacing w:val="-66"/>
        </w:rPr>
      </w:r>
      <w:r>
        <w:rPr>
          <w:spacing w:val="-2"/>
        </w:rPr>
        <w:t>关的政府补助，用于补偿以后期间的相关费用和损失的，确认为递延收益，并在确认相关费用的期间计入当期损益或冲减相</w:t>
      </w:r>
      <w:r>
        <w:rPr>
          <w:spacing w:val="-66"/>
        </w:rPr>
        <w:t> </w:t>
      </w:r>
      <w:r>
        <w:rPr>
          <w:spacing w:val="-66"/>
        </w:rPr>
      </w:r>
      <w:r>
        <w:rPr/>
        <w:t>关成本；用于补偿已经发生的相关费用和损失的，直接计入当期损益或冲减相关成本。</w:t>
      </w:r>
    </w:p>
    <w:p>
      <w:pPr>
        <w:pStyle w:val="BodyText"/>
        <w:spacing w:line="300" w:lineRule="auto" w:before="142"/>
        <w:ind w:right="0" w:firstLine="420"/>
        <w:jc w:val="left"/>
      </w:pPr>
      <w:r>
        <w:rPr>
          <w:spacing w:val="-2"/>
        </w:rPr>
        <w:t>（</w:t>
      </w:r>
      <w:r>
        <w:rPr>
          <w:rFonts w:ascii="Times New Roman" w:hAnsi="Times New Roman" w:cs="Times New Roman" w:eastAsia="Times New Roman" w:hint="default"/>
          <w:spacing w:val="-2"/>
        </w:rPr>
        <w:t>3</w:t>
      </w:r>
      <w:r>
        <w:rPr>
          <w:spacing w:val="-2"/>
        </w:rPr>
        <w:t>）与企业日常活动相关的政府补助，按照经济业务实质，计入其他收益或冲减相关成本费用。与企业日常活动无关</w:t>
      </w:r>
      <w:r>
        <w:rPr/>
        <w:t> 的政府补助，计入营业外收支。</w:t>
      </w:r>
    </w:p>
    <w:p>
      <w:pPr>
        <w:pStyle w:val="BodyText"/>
        <w:spacing w:line="302" w:lineRule="auto" w:before="72"/>
        <w:ind w:right="1032"/>
        <w:jc w:val="left"/>
      </w:pPr>
      <w:r>
        <w:rPr/>
        <w:t>已确认的政府补助需要退回的，应当在需要退回的当期分情况按照以下规定进行会计处理：（</w:t>
      </w:r>
      <w:r>
        <w:rPr>
          <w:rFonts w:ascii="Times New Roman" w:hAnsi="Times New Roman" w:cs="Times New Roman" w:eastAsia="Times New Roman" w:hint="default"/>
        </w:rPr>
        <w:t>1</w:t>
      </w:r>
      <w:r>
        <w:rPr/>
        <w:t>）初始确认时冲减相关资产</w:t>
      </w:r>
      <w:r>
        <w:rPr>
          <w:spacing w:val="-82"/>
        </w:rPr>
        <w:t> </w:t>
      </w:r>
      <w:r>
        <w:rPr>
          <w:spacing w:val="-82"/>
        </w:rPr>
      </w:r>
      <w:r>
        <w:rPr/>
        <w:t>账面价值的，调整资产账面价值；（</w:t>
      </w:r>
      <w:r>
        <w:rPr>
          <w:rFonts w:ascii="Times New Roman" w:hAnsi="Times New Roman" w:cs="Times New Roman" w:eastAsia="Times New Roman" w:hint="default"/>
        </w:rPr>
        <w:t>2</w:t>
      </w:r>
      <w:r>
        <w:rPr/>
        <w:t>）存在相关递延收益的，冲减相关递延收益账面余额，超出部分计入当期损益；（</w:t>
      </w:r>
      <w:r>
        <w:rPr>
          <w:rFonts w:ascii="Times New Roman" w:hAnsi="Times New Roman" w:cs="Times New Roman" w:eastAsia="Times New Roman" w:hint="default"/>
        </w:rPr>
        <w:t>3</w:t>
      </w:r>
      <w:r>
        <w:rPr/>
        <w:t>） 属于其他情况的，直接计入当期损益。</w:t>
      </w: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bookmarkStart w:name="30、递延所得税资产/递延所得税负债" w:id="209"/>
      <w:bookmarkEnd w:id="20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3" w:firstLine="420"/>
        <w:jc w:val="both"/>
      </w:pPr>
      <w:r>
        <w:rPr/>
        <w:t>所得税费用的会计处理采用资产负债表债务法核算。资产负债表日，公司按照可抵扣暂时性差异与适用所得税税率计 </w:t>
      </w:r>
      <w:r>
        <w:rPr>
          <w:spacing w:val="-2"/>
        </w:rPr>
        <w:t>算的结果，确认递延所得税资产及相应的递延所得税收益；按照应纳税暂时性差异与适用企业所得税税率计算的结果，确认</w:t>
      </w:r>
      <w:r>
        <w:rPr>
          <w:spacing w:val="-66"/>
        </w:rPr>
        <w:t> </w:t>
      </w:r>
      <w:r>
        <w:rPr>
          <w:spacing w:val="-66"/>
        </w:rPr>
      </w:r>
      <w:r>
        <w:rPr/>
        <w:t>递延所得税负债及相应的递延所得税费用。</w:t>
      </w:r>
    </w:p>
    <w:p>
      <w:pPr>
        <w:pStyle w:val="BodyText"/>
        <w:spacing w:line="432" w:lineRule="exact" w:before="3"/>
        <w:ind w:left="574" w:right="1024" w:hanging="420"/>
        <w:jc w:val="left"/>
      </w:pPr>
      <w:r>
        <w:rPr>
          <w:rFonts w:ascii="宋体" w:hAnsi="宋体" w:cs="宋体" w:eastAsia="宋体" w:hint="default"/>
          <w:b/>
          <w:bCs/>
        </w:rPr>
        <w:t>－递延所得税资产的确认</w:t>
      </w:r>
      <w:r>
        <w:rPr>
          <w:rFonts w:ascii="宋体" w:hAnsi="宋体" w:cs="宋体" w:eastAsia="宋体" w:hint="default"/>
          <w:b/>
          <w:bCs/>
          <w:w w:val="99"/>
        </w:rPr>
        <w:t> </w:t>
      </w:r>
      <w:r>
        <w:rPr>
          <w:spacing w:val="-1"/>
        </w:rPr>
        <w:t>公司以很可能取得用来抵扣可抵扣暂时性差异的应纳税所得额为限，确认由可抵扣暂时性差异产生的递延所得税资产。</w:t>
      </w:r>
    </w:p>
    <w:p>
      <w:pPr>
        <w:pStyle w:val="BodyText"/>
        <w:spacing w:line="309" w:lineRule="auto" w:before="15"/>
        <w:ind w:right="1132"/>
        <w:jc w:val="both"/>
      </w:pPr>
      <w:r>
        <w:rPr>
          <w:spacing w:val="-2"/>
        </w:rPr>
        <w:t>但是同时具有下列特征的交易中因资产或负债的初始确认所产生的递延所得税资产会计处理采用资产负债表债务法核算。资</w:t>
      </w:r>
      <w:r>
        <w:rPr>
          <w:spacing w:val="-64"/>
        </w:rPr>
        <w:t> </w:t>
      </w:r>
      <w:r>
        <w:rPr>
          <w:spacing w:val="-64"/>
        </w:rPr>
      </w:r>
      <w:r>
        <w:rPr/>
        <w:t>产负债表日，公司按照可抵扣暂时性差异与适用所得税税率计算的结果产不予确认：</w:t>
      </w:r>
      <w:r>
        <w:rPr>
          <w:rFonts w:ascii="Times New Roman" w:hAnsi="Times New Roman" w:cs="Times New Roman" w:eastAsia="Times New Roman" w:hint="default"/>
        </w:rPr>
        <w:t>A</w:t>
      </w:r>
      <w:r>
        <w:rPr/>
        <w:t>：该项交易不是企业合并；</w:t>
      </w:r>
      <w:r>
        <w:rPr>
          <w:rFonts w:ascii="Times New Roman" w:hAnsi="Times New Roman" w:cs="Times New Roman" w:eastAsia="Times New Roman" w:hint="default"/>
        </w:rPr>
        <w:t>B</w:t>
      </w:r>
      <w:r>
        <w:rPr/>
        <w:t>：交易</w:t>
      </w:r>
      <w:r>
        <w:rPr>
          <w:spacing w:val="-67"/>
        </w:rPr>
        <w:t> </w:t>
      </w:r>
      <w:r>
        <w:rPr>
          <w:spacing w:val="-67"/>
        </w:rPr>
      </w:r>
      <w:r>
        <w:rPr/>
        <w:t>发生时既不影响会计利润也不影响应纳税所得额（或可抵扣亏损）。</w:t>
      </w:r>
    </w:p>
    <w:p>
      <w:pPr>
        <w:pStyle w:val="BodyText"/>
        <w:spacing w:line="316" w:lineRule="auto" w:before="144"/>
        <w:ind w:right="0" w:firstLine="420"/>
        <w:jc w:val="left"/>
      </w:pPr>
      <w:r>
        <w:rPr/>
        <w:t>公司对与子公司、联营公司及合营企业投资相关的可抵扣暂时性差异，同时满足下列条件的，确认相应的递延所得税 资产：暂时性差异在可预见的未来很可能转回；未来很可能获得用来抵扣暂时性差异的应纳税所得额。</w:t>
      </w:r>
    </w:p>
    <w:p>
      <w:pPr>
        <w:pStyle w:val="BodyText"/>
        <w:spacing w:line="316" w:lineRule="auto" w:before="139"/>
        <w:ind w:right="0" w:firstLine="420"/>
        <w:jc w:val="left"/>
      </w:pPr>
      <w:r>
        <w:rPr/>
        <w:t>公司对于能够结转以后年度的可抵扣亏损和税款抵减，以很可能获得用来抵扣可抵扣亏损和税款抵减的未来应纳税所 得额为限，确认相应的递延所得税资产。</w:t>
      </w:r>
    </w:p>
    <w:p>
      <w:pPr>
        <w:pStyle w:val="BodyText"/>
        <w:spacing w:line="439" w:lineRule="auto" w:before="139"/>
        <w:ind w:left="574" w:right="2412" w:hanging="420"/>
        <w:jc w:val="left"/>
      </w:pPr>
      <w:r>
        <w:rPr>
          <w:rFonts w:ascii="宋体" w:hAnsi="宋体" w:cs="宋体" w:eastAsia="宋体" w:hint="default"/>
          <w:b/>
          <w:bCs/>
        </w:rPr>
        <w:t>－递延所得税负债的确认</w:t>
      </w:r>
      <w:r>
        <w:rPr>
          <w:rFonts w:ascii="宋体" w:hAnsi="宋体" w:cs="宋体" w:eastAsia="宋体" w:hint="default"/>
          <w:b/>
          <w:bCs/>
          <w:w w:val="99"/>
        </w:rPr>
        <w:t> </w:t>
      </w:r>
      <w:r>
        <w:rPr/>
        <w:t>除下列情况产生的递延所得税负债以外，本公司确认所有应纳税暂时性差异产生的递延所得税负债： </w:t>
      </w:r>
      <w:r>
        <w:rPr>
          <w:rFonts w:ascii="Times New Roman" w:hAnsi="Times New Roman" w:cs="Times New Roman" w:eastAsia="Times New Roman" w:hint="default"/>
        </w:rPr>
        <w:t>1</w:t>
      </w:r>
      <w:r>
        <w:rPr/>
        <w:t>、商誉的初始确认；</w:t>
      </w:r>
    </w:p>
    <w:p>
      <w:pPr>
        <w:spacing w:after="0" w:line="43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74" w:right="0"/>
        <w:jc w:val="left"/>
      </w:pPr>
      <w:r>
        <w:rPr>
          <w:rFonts w:ascii="Times New Roman" w:hAnsi="Times New Roman" w:cs="Times New Roman" w:eastAsia="Times New Roman" w:hint="default"/>
        </w:rPr>
        <w:t>2</w:t>
      </w:r>
      <w:r>
        <w:rPr/>
        <w:t>、同时满足具有下列特征的交易中产生的资产或负债的初始确认：</w:t>
      </w:r>
    </w:p>
    <w:p>
      <w:pPr>
        <w:spacing w:line="240" w:lineRule="auto" w:before="13"/>
        <w:rPr>
          <w:rFonts w:ascii="宋体" w:hAnsi="宋体" w:cs="宋体" w:eastAsia="宋体" w:hint="default"/>
          <w:sz w:val="13"/>
          <w:szCs w:val="13"/>
        </w:rPr>
      </w:pPr>
    </w:p>
    <w:p>
      <w:pPr>
        <w:pStyle w:val="BodyText"/>
        <w:spacing w:line="240" w:lineRule="auto"/>
        <w:ind w:left="574" w:right="0"/>
        <w:jc w:val="left"/>
      </w:pPr>
      <w:r>
        <w:rPr/>
        <w:t>①</w:t>
      </w:r>
      <w:r>
        <w:rPr>
          <w:spacing w:val="-19"/>
        </w:rPr>
        <w:t> </w:t>
      </w:r>
      <w:r>
        <w:rPr/>
        <w:t>该项交易不是企业合并；</w:t>
      </w:r>
    </w:p>
    <w:p>
      <w:pPr>
        <w:spacing w:line="240" w:lineRule="auto" w:before="0"/>
        <w:rPr>
          <w:rFonts w:ascii="宋体" w:hAnsi="宋体" w:cs="宋体" w:eastAsia="宋体" w:hint="default"/>
          <w:sz w:val="15"/>
          <w:szCs w:val="15"/>
        </w:rPr>
      </w:pPr>
    </w:p>
    <w:p>
      <w:pPr>
        <w:pStyle w:val="BodyText"/>
        <w:spacing w:line="427" w:lineRule="auto"/>
        <w:ind w:left="574" w:right="3762"/>
        <w:jc w:val="left"/>
      </w:pPr>
      <w:r>
        <w:rPr/>
        <w:t>②</w:t>
      </w:r>
      <w:r>
        <w:rPr>
          <w:spacing w:val="-18"/>
        </w:rPr>
        <w:t> </w:t>
      </w:r>
      <w:r>
        <w:rPr/>
        <w:t>交易发生时既不影响会计利润也不影响应纳税所得额（或可抵扣亏损）。</w:t>
      </w:r>
      <w:r>
        <w:rPr/>
        <w:t> </w:t>
      </w:r>
      <w:r>
        <w:rPr>
          <w:rFonts w:ascii="Times New Roman" w:hAnsi="Times New Roman" w:cs="Times New Roman" w:eastAsia="Times New Roman" w:hint="default"/>
        </w:rPr>
        <w:t>3</w:t>
      </w:r>
      <w:r>
        <w:rPr/>
        <w:t>、与子公司、联营企业、合营企业投资等相关的应纳税暂时性差异，一般应确认相 关的递延所得税负债，但同时满足以下两个条件的除外：</w:t>
      </w:r>
    </w:p>
    <w:p>
      <w:pPr>
        <w:pStyle w:val="BodyText"/>
        <w:spacing w:line="240" w:lineRule="auto" w:before="56"/>
        <w:ind w:left="574" w:right="0"/>
        <w:jc w:val="left"/>
      </w:pPr>
      <w:r>
        <w:rPr/>
        <w:t>①</w:t>
      </w:r>
      <w:r>
        <w:rPr>
          <w:spacing w:val="-19"/>
        </w:rPr>
        <w:t> </w:t>
      </w:r>
      <w:r>
        <w:rPr/>
        <w:t>投资企业能够控制暂时性差异的转回的时间；</w:t>
      </w:r>
    </w:p>
    <w:p>
      <w:pPr>
        <w:spacing w:line="240" w:lineRule="auto" w:before="0"/>
        <w:rPr>
          <w:rFonts w:ascii="宋体" w:hAnsi="宋体" w:cs="宋体" w:eastAsia="宋体" w:hint="default"/>
          <w:sz w:val="15"/>
          <w:szCs w:val="15"/>
        </w:rPr>
      </w:pPr>
    </w:p>
    <w:p>
      <w:pPr>
        <w:pStyle w:val="BodyText"/>
        <w:spacing w:line="240" w:lineRule="auto"/>
        <w:ind w:left="574" w:right="0"/>
        <w:jc w:val="left"/>
      </w:pPr>
      <w:r>
        <w:rPr/>
        <w:t>②</w:t>
      </w:r>
      <w:r>
        <w:rPr>
          <w:spacing w:val="-19"/>
        </w:rPr>
        <w:t> </w:t>
      </w:r>
      <w:r>
        <w:rPr/>
        <w:t>该暂时性差异在可预见的未来很可能不会转回。</w:t>
      </w:r>
    </w:p>
    <w:p>
      <w:pPr>
        <w:spacing w:line="240" w:lineRule="auto" w:before="0"/>
        <w:rPr>
          <w:rFonts w:ascii="宋体" w:hAnsi="宋体" w:cs="宋体" w:eastAsia="宋体" w:hint="default"/>
          <w:sz w:val="15"/>
          <w:szCs w:val="15"/>
        </w:rPr>
      </w:pPr>
    </w:p>
    <w:p>
      <w:pPr>
        <w:pStyle w:val="BodyText"/>
        <w:spacing w:line="340" w:lineRule="auto"/>
        <w:ind w:left="444" w:right="0" w:hanging="291"/>
        <w:jc w:val="left"/>
      </w:pPr>
      <w:r>
        <w:rPr>
          <w:rFonts w:ascii="Times New Roman" w:hAnsi="Times New Roman" w:cs="Times New Roman" w:eastAsia="Times New Roman" w:hint="default"/>
          <w:b/>
          <w:bCs/>
        </w:rPr>
        <w:t>―</w:t>
      </w:r>
      <w:r>
        <w:rPr>
          <w:rFonts w:ascii="宋体" w:hAnsi="宋体" w:cs="宋体" w:eastAsia="宋体" w:hint="default"/>
          <w:b/>
          <w:bCs/>
        </w:rPr>
        <w:t>所得税费用计量</w:t>
      </w:r>
      <w:r>
        <w:rPr>
          <w:rFonts w:ascii="宋体" w:hAnsi="宋体" w:cs="宋体" w:eastAsia="宋体" w:hint="default"/>
          <w:b/>
          <w:bCs/>
          <w:w w:val="99"/>
        </w:rPr>
        <w:t> </w:t>
      </w:r>
      <w:r>
        <w:rPr>
          <w:spacing w:val="-2"/>
        </w:rPr>
        <w:t>公司将当期所得税和递延所得税作为所得税费用或收益计入当期损益，但不包括下列情况产生的所得税：</w:t>
      </w:r>
      <w:r>
        <w:rPr>
          <w:rFonts w:ascii="Times New Roman" w:hAnsi="Times New Roman" w:cs="Times New Roman" w:eastAsia="Times New Roman" w:hint="default"/>
          <w:spacing w:val="-2"/>
        </w:rPr>
        <w:t>A</w:t>
      </w:r>
      <w:r>
        <w:rPr>
          <w:spacing w:val="-2"/>
        </w:rPr>
        <w:t>：企业合并；</w:t>
      </w:r>
    </w:p>
    <w:p>
      <w:pPr>
        <w:pStyle w:val="BodyText"/>
        <w:spacing w:line="228" w:lineRule="exact"/>
        <w:ind w:right="0"/>
        <w:jc w:val="left"/>
      </w:pPr>
      <w:r>
        <w:rPr>
          <w:rFonts w:ascii="Times New Roman" w:hAnsi="Times New Roman" w:cs="Times New Roman" w:eastAsia="Times New Roman" w:hint="default"/>
        </w:rPr>
        <w:t>B</w:t>
      </w:r>
      <w:r>
        <w:rPr/>
        <w:t>：直接在所有者权益中确认的交易或事项。</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1、租赁" w:id="210"/>
      <w:bookmarkEnd w:id="210"/>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1"/>
      <w:bookmarkEnd w:id="21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对于经营租赁的租金，出租人、承租人在租赁期内各个期间按照直线法确认为当期损益。出租人、承租人发生的初始 直接费用，计入当期损益。或有租金在实际发生时计入当期损益。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融资租赁的会计处理方法" w:id="212"/>
      <w:bookmarkEnd w:id="21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1" w:firstLine="420"/>
        <w:jc w:val="both"/>
      </w:pPr>
      <w:r>
        <w:rPr/>
        <w:t>承租人的会计处理：在租赁期开始日，将租赁开始日租赁资产公允价值与最低租赁付款额现值两者中较低者作为租入 </w:t>
      </w:r>
      <w:r>
        <w:rPr>
          <w:spacing w:val="-2"/>
        </w:rPr>
        <w:t>资产的入账价值，将最低租赁付款额作为长期应付款的入账价值，其差额作为未确认融资费用。在租赁谈判和签订租赁合同</w:t>
      </w:r>
      <w:r>
        <w:rPr>
          <w:spacing w:val="-66"/>
        </w:rPr>
        <w:t> </w:t>
      </w:r>
      <w:r>
        <w:rPr>
          <w:spacing w:val="-66"/>
        </w:rPr>
      </w:r>
      <w:r>
        <w:rPr>
          <w:spacing w:val="-2"/>
        </w:rPr>
        <w:t>过程中发生的，可归属于租赁项目的手续费、律师费、差旅费、印花税等初始直接费用（下同），计入租入资产价值。在计</w:t>
      </w:r>
      <w:r>
        <w:rPr>
          <w:spacing w:val="-67"/>
        </w:rPr>
        <w:t> </w:t>
      </w:r>
      <w:r>
        <w:rPr>
          <w:spacing w:val="-67"/>
        </w:rPr>
      </w:r>
      <w:r>
        <w:rPr>
          <w:spacing w:val="-2"/>
        </w:rPr>
        <w:t>算最低租赁付款额的现值时，能够取得出租人租赁内含利率的，采用租赁内含利率作为折现率；否则，采用租赁合同规定的</w:t>
      </w:r>
      <w:r>
        <w:rPr>
          <w:spacing w:val="-66"/>
        </w:rPr>
        <w:t> </w:t>
      </w:r>
      <w:r>
        <w:rPr>
          <w:spacing w:val="-66"/>
        </w:rPr>
      </w:r>
      <w:r>
        <w:rPr>
          <w:spacing w:val="-2"/>
        </w:rPr>
        <w:t>利率作为折现率。无法取得出租人的租赁内含利率且租赁合同没有规定利率的，采用同期银行贷款利率作为折现率。未确认</w:t>
      </w:r>
      <w:r>
        <w:rPr>
          <w:spacing w:val="-66"/>
        </w:rPr>
        <w:t> </w:t>
      </w:r>
      <w:r>
        <w:rPr>
          <w:spacing w:val="-66"/>
        </w:rPr>
      </w:r>
      <w:r>
        <w:rPr>
          <w:spacing w:val="-2"/>
        </w:rPr>
        <w:t>融资费用在租赁期内按照实际利率法计算确认当期的融资费用。本公司采用与自有固定资产相一致的折旧政策计提租赁资产</w:t>
      </w:r>
      <w:r>
        <w:rPr>
          <w:spacing w:val="-64"/>
        </w:rPr>
        <w:t> </w:t>
      </w:r>
      <w:r>
        <w:rPr>
          <w:spacing w:val="-64"/>
        </w:rPr>
      </w:r>
      <w:r>
        <w:rPr>
          <w:spacing w:val="-2"/>
        </w:rPr>
        <w:t>折旧。能够合理确定租赁期届满时取得租赁资产所有权的，在租赁资产使用寿命内计提折旧。无法合理确定租赁期届满时能</w:t>
      </w:r>
      <w:r>
        <w:rPr>
          <w:spacing w:val="-66"/>
        </w:rPr>
        <w:t> </w:t>
      </w:r>
      <w:r>
        <w:rPr>
          <w:spacing w:val="-66"/>
        </w:rPr>
      </w:r>
      <w:r>
        <w:rPr>
          <w:spacing w:val="-2"/>
        </w:rPr>
        <w:t>够取得租赁资产所有权的，在租赁期与租赁资产使用寿命两者中较短的期间内计提折旧。或有租金在实际发生时计入当期损</w:t>
      </w:r>
      <w:r>
        <w:rPr>
          <w:spacing w:val="-64"/>
        </w:rPr>
        <w:t> </w:t>
      </w:r>
      <w:r>
        <w:rPr>
          <w:spacing w:val="-64"/>
        </w:rPr>
      </w:r>
      <w:r>
        <w:rPr/>
        <w:t>益。</w:t>
      </w:r>
    </w:p>
    <w:p>
      <w:pPr>
        <w:pStyle w:val="BodyText"/>
        <w:spacing w:line="316" w:lineRule="auto" w:before="59"/>
        <w:ind w:right="1132" w:firstLine="290"/>
        <w:jc w:val="both"/>
      </w:pPr>
      <w:r>
        <w:rPr>
          <w:spacing w:val="-1"/>
        </w:rPr>
        <w:t>出租人的会计处理：在租赁期开始日，出租人将租赁开始日最低租赁收款额与初始直接费用之和作为应收融资租赁款的</w:t>
      </w:r>
      <w:r>
        <w:rPr/>
        <w:t> </w:t>
      </w:r>
      <w:r>
        <w:rPr>
          <w:spacing w:val="-2"/>
        </w:rPr>
        <w:t>入账价值，同时记录未担保余值；将最低租赁收款额、初始直接费用及未担保余值之和与其现值之和的差额确认为未实现融</w:t>
      </w:r>
      <w:r>
        <w:rPr>
          <w:spacing w:val="-65"/>
        </w:rPr>
        <w:t> </w:t>
      </w:r>
      <w:r>
        <w:rPr>
          <w:spacing w:val="-65"/>
        </w:rPr>
      </w:r>
      <w:r>
        <w:rPr/>
        <w:t>资收益。未实现融资收益在租赁期内按照实际利率法计算确认当期的融资收入。或有租金在实际发生时计入当期损益。</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32、其他重要的会计政策和会计估计" w:id="213"/>
      <w:bookmarkEnd w:id="213"/>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3、重要会计政策和会计估计变更" w:id="214"/>
      <w:bookmarkEnd w:id="214"/>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5"/>
      <w:bookmarkEnd w:id="21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根据财政部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月发布的《关于修</w:t>
            </w:r>
          </w:p>
          <w:p>
            <w:pPr>
              <w:pStyle w:val="TableParagraph"/>
              <w:spacing w:line="300"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订印发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年度一般企业财务报表格式 </w:t>
            </w:r>
            <w:r>
              <w:rPr>
                <w:rFonts w:ascii="宋体" w:hAnsi="宋体" w:cs="宋体" w:eastAsia="宋体" w:hint="default"/>
                <w:spacing w:val="-6"/>
                <w:sz w:val="18"/>
                <w:szCs w:val="18"/>
              </w:rPr>
              <w:t>的通知》（财会〔</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号），对财务</w:t>
            </w:r>
            <w:r>
              <w:rPr>
                <w:rFonts w:ascii="宋体" w:hAnsi="宋体" w:cs="宋体" w:eastAsia="宋体" w:hint="default"/>
                <w:sz w:val="18"/>
                <w:szCs w:val="18"/>
              </w:rPr>
              <w:t> 报表格式进行重新列报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95"/>
              <w:jc w:val="left"/>
              <w:rPr>
                <w:rFonts w:ascii="宋体" w:hAnsi="宋体" w:cs="宋体" w:eastAsia="宋体" w:hint="default"/>
                <w:sz w:val="18"/>
                <w:szCs w:val="18"/>
              </w:rPr>
            </w:pPr>
            <w:r>
              <w:rPr>
                <w:rFonts w:ascii="宋体" w:hAnsi="宋体" w:cs="宋体" w:eastAsia="宋体" w:hint="default"/>
                <w:sz w:val="18"/>
                <w:szCs w:val="18"/>
              </w:rPr>
              <w:t>第三届董事会第十二次会议及第三届监 事会第七次会议审议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对企业财务报表格式进行相应调整</w:t>
            </w:r>
          </w:p>
        </w:tc>
      </w:tr>
    </w:tbl>
    <w:p>
      <w:pPr>
        <w:spacing w:line="240" w:lineRule="auto" w:before="5"/>
        <w:rPr>
          <w:rFonts w:ascii="宋体" w:hAnsi="宋体" w:cs="宋体" w:eastAsia="宋体" w:hint="default"/>
          <w:sz w:val="5"/>
          <w:szCs w:val="5"/>
        </w:rPr>
      </w:pPr>
    </w:p>
    <w:p>
      <w:pPr>
        <w:pStyle w:val="Heading4"/>
        <w:spacing w:line="256" w:lineRule="auto" w:before="35"/>
        <w:ind w:right="1025"/>
        <w:jc w:val="left"/>
      </w:pPr>
      <w:r>
        <w:rPr>
          <w:spacing w:val="-1"/>
        </w:rPr>
        <w:t>根据财政部</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月发布的《关于修订印发</w:t>
      </w:r>
      <w:r>
        <w:rPr>
          <w:rFonts w:ascii="Times New Roman" w:hAnsi="Times New Roman" w:cs="Times New Roman" w:eastAsia="Times New Roman" w:hint="default"/>
          <w:spacing w:val="-1"/>
        </w:rPr>
        <w:t>2018</w:t>
      </w:r>
      <w:r>
        <w:rPr>
          <w:spacing w:val="-1"/>
        </w:rPr>
        <w:t>年度一般企业财务报表格式的通知》（财会〔</w:t>
      </w:r>
      <w:r>
        <w:rPr>
          <w:rFonts w:ascii="Times New Roman" w:hAnsi="Times New Roman" w:cs="Times New Roman" w:eastAsia="Times New Roman" w:hint="default"/>
          <w:spacing w:val="-1"/>
        </w:rPr>
        <w:t>2018</w:t>
      </w:r>
      <w:r>
        <w:rPr>
          <w:spacing w:val="-1"/>
        </w:rPr>
        <w:t>〕</w:t>
      </w:r>
      <w:r>
        <w:rPr/>
        <w:t> </w:t>
      </w:r>
      <w:r>
        <w:rPr>
          <w:rFonts w:ascii="Times New Roman" w:hAnsi="Times New Roman" w:cs="Times New Roman" w:eastAsia="Times New Roman" w:hint="default"/>
        </w:rPr>
        <w:t>15</w:t>
      </w:r>
      <w:r>
        <w:rPr/>
        <w:t>号），对企业财务报表格式进行相应调整，公司对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日财务报表列报进行重新调整，具体影 响如下：</w:t>
      </w:r>
    </w:p>
    <w:p>
      <w:pPr>
        <w:pStyle w:val="Heading4"/>
        <w:spacing w:line="240" w:lineRule="auto" w:before="142"/>
        <w:ind w:left="574" w:right="0" w:firstLine="0"/>
        <w:jc w:val="left"/>
      </w:pPr>
      <w:r>
        <w:rPr>
          <w:rFonts w:ascii="宋体" w:hAnsi="宋体" w:cs="宋体" w:eastAsia="宋体" w:hint="default"/>
        </w:rPr>
        <w:t>1.</w:t>
      </w:r>
      <w:r>
        <w:rPr>
          <w:rFonts w:ascii="宋体" w:hAnsi="宋体" w:cs="宋体" w:eastAsia="宋体" w:hint="default"/>
          <w:spacing w:val="44"/>
        </w:rPr>
        <w:t> </w:t>
      </w:r>
      <w:r>
        <w:rPr/>
        <w:t>对于合并资产负债表的影响</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773"/>
        <w:gridCol w:w="2412"/>
        <w:gridCol w:w="2895"/>
        <w:gridCol w:w="2776"/>
      </w:tblGrid>
      <w:tr>
        <w:trPr>
          <w:trHeight w:val="654" w:hRule="exact"/>
        </w:trPr>
        <w:tc>
          <w:tcPr>
            <w:tcW w:w="17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6"/>
              <w:jc w:val="left"/>
              <w:rPr>
                <w:rFonts w:ascii="宋体" w:hAnsi="宋体" w:cs="宋体" w:eastAsia="宋体" w:hint="default"/>
                <w:sz w:val="21"/>
                <w:szCs w:val="21"/>
              </w:rPr>
            </w:pPr>
            <w:r>
              <w:rPr>
                <w:rFonts w:ascii="宋体" w:hAnsi="宋体" w:cs="宋体" w:eastAsia="宋体" w:hint="default"/>
                <w:spacing w:val="8"/>
                <w:sz w:val="21"/>
                <w:szCs w:val="21"/>
              </w:rPr>
              <w:t>会计政策变更的内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容和原因</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779"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受影响的报表项目名称</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p>
          <w:p>
            <w:pPr>
              <w:pStyle w:val="TableParagraph"/>
              <w:spacing w:line="240" w:lineRule="auto" w:before="2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年度</w:t>
            </w:r>
          </w:p>
        </w:tc>
      </w:tr>
      <w:tr>
        <w:trPr>
          <w:trHeight w:val="342" w:hRule="exact"/>
        </w:trPr>
        <w:tc>
          <w:tcPr>
            <w:tcW w:w="1773" w:type="dxa"/>
            <w:vMerge w:val="restart"/>
            <w:tcBorders>
              <w:top w:val="single" w:sz="4" w:space="0" w:color="000000"/>
              <w:left w:val="single" w:sz="4" w:space="0" w:color="000000"/>
              <w:right w:val="single" w:sz="4" w:space="0" w:color="000000"/>
            </w:tcBorders>
          </w:tcPr>
          <w:p>
            <w:pPr>
              <w:pStyle w:val="TableParagraph"/>
              <w:spacing w:line="273" w:lineRule="auto"/>
              <w:ind w:left="4" w:right="6"/>
              <w:jc w:val="both"/>
              <w:rPr>
                <w:rFonts w:ascii="宋体" w:hAnsi="宋体" w:cs="宋体" w:eastAsia="宋体" w:hint="default"/>
                <w:sz w:val="21"/>
                <w:szCs w:val="21"/>
              </w:rPr>
            </w:pPr>
            <w:r>
              <w:rPr>
                <w:rFonts w:ascii="宋体" w:hAnsi="宋体" w:cs="宋体" w:eastAsia="宋体" w:hint="default"/>
                <w:spacing w:val="8"/>
                <w:sz w:val="21"/>
                <w:szCs w:val="21"/>
              </w:rPr>
              <w:t>根据上述会计政策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变更，对财务报表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格式进行重新列报</w:t>
            </w:r>
          </w:p>
        </w:tc>
        <w:tc>
          <w:tcPr>
            <w:tcW w:w="2412" w:type="dxa"/>
            <w:vMerge w:val="restart"/>
            <w:tcBorders>
              <w:top w:val="single" w:sz="4" w:space="0" w:color="000000"/>
              <w:left w:val="single" w:sz="4" w:space="0" w:color="000000"/>
              <w:right w:val="single" w:sz="4" w:space="0" w:color="000000"/>
            </w:tcBorders>
          </w:tcPr>
          <w:p>
            <w:pPr>
              <w:pStyle w:val="TableParagraph"/>
              <w:spacing w:line="271" w:lineRule="exact"/>
              <w:ind w:left="359" w:right="0"/>
              <w:jc w:val="left"/>
              <w:rPr>
                <w:rFonts w:ascii="宋体" w:hAnsi="宋体" w:cs="宋体" w:eastAsia="宋体" w:hint="default"/>
                <w:sz w:val="21"/>
                <w:szCs w:val="21"/>
              </w:rPr>
            </w:pPr>
            <w:r>
              <w:rPr>
                <w:rFonts w:ascii="宋体" w:hAnsi="宋体" w:cs="宋体" w:eastAsia="宋体" w:hint="default"/>
                <w:sz w:val="21"/>
                <w:szCs w:val="21"/>
              </w:rPr>
              <w:t>经公司董事会批准</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w:t>
            </w:r>
            <w:r>
              <w:rPr>
                <w:rFonts w:ascii="Times New Roman"/>
                <w:spacing w:val="-2"/>
                <w:sz w:val="21"/>
              </w:rPr>
              <w:t> </w:t>
            </w:r>
            <w:r>
              <w:rPr>
                <w:rFonts w:ascii="Times New Roman"/>
                <w:sz w:val="21"/>
              </w:rPr>
              <w:t>191,749,045.89</w:t>
            </w:r>
          </w:p>
        </w:tc>
      </w:tr>
      <w:tr>
        <w:trPr>
          <w:trHeight w:val="342" w:hRule="exact"/>
        </w:trPr>
        <w:tc>
          <w:tcPr>
            <w:tcW w:w="1773" w:type="dxa"/>
            <w:vMerge/>
            <w:tcBorders>
              <w:left w:val="single" w:sz="4" w:space="0" w:color="000000"/>
              <w:right w:val="single" w:sz="4" w:space="0" w:color="000000"/>
            </w:tcBorders>
          </w:tcPr>
          <w:p>
            <w:pPr/>
          </w:p>
        </w:tc>
        <w:tc>
          <w:tcPr>
            <w:tcW w:w="2412" w:type="dxa"/>
            <w:vMerge/>
            <w:tcBorders>
              <w:left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w:t>
            </w:r>
            <w:r>
              <w:rPr>
                <w:rFonts w:ascii="Times New Roman"/>
                <w:spacing w:val="-3"/>
                <w:sz w:val="21"/>
              </w:rPr>
              <w:t> </w:t>
            </w:r>
            <w:r>
              <w:rPr>
                <w:rFonts w:ascii="Times New Roman"/>
                <w:sz w:val="21"/>
              </w:rPr>
              <w:t>191,749,045.89</w:t>
            </w:r>
          </w:p>
        </w:tc>
      </w:tr>
      <w:tr>
        <w:trPr>
          <w:trHeight w:val="342" w:hRule="exact"/>
        </w:trPr>
        <w:tc>
          <w:tcPr>
            <w:tcW w:w="1773" w:type="dxa"/>
            <w:vMerge/>
            <w:tcBorders>
              <w:left w:val="single" w:sz="4" w:space="0" w:color="000000"/>
              <w:right w:val="single" w:sz="4" w:space="0" w:color="000000"/>
            </w:tcBorders>
          </w:tcPr>
          <w:p>
            <w:pPr/>
          </w:p>
        </w:tc>
        <w:tc>
          <w:tcPr>
            <w:tcW w:w="2412" w:type="dxa"/>
            <w:vMerge/>
            <w:tcBorders>
              <w:left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+ 829,273.79</w:t>
            </w:r>
          </w:p>
        </w:tc>
      </w:tr>
      <w:tr>
        <w:trPr>
          <w:trHeight w:val="342" w:hRule="exact"/>
        </w:trPr>
        <w:tc>
          <w:tcPr>
            <w:tcW w:w="1773" w:type="dxa"/>
            <w:vMerge/>
            <w:tcBorders>
              <w:left w:val="single" w:sz="4" w:space="0" w:color="000000"/>
              <w:right w:val="single" w:sz="4" w:space="0" w:color="000000"/>
            </w:tcBorders>
          </w:tcPr>
          <w:p>
            <w:pPr/>
          </w:p>
        </w:tc>
        <w:tc>
          <w:tcPr>
            <w:tcW w:w="2412" w:type="dxa"/>
            <w:vMerge/>
            <w:tcBorders>
              <w:left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应收利息</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w w:val="95"/>
                <w:sz w:val="21"/>
              </w:rPr>
              <w:t>-829,273.79</w:t>
            </w:r>
            <w:r>
              <w:rPr>
                <w:rFonts w:ascii="Times New Roman"/>
                <w:sz w:val="21"/>
              </w:rPr>
            </w:r>
          </w:p>
        </w:tc>
      </w:tr>
      <w:tr>
        <w:trPr>
          <w:trHeight w:val="342" w:hRule="exact"/>
        </w:trPr>
        <w:tc>
          <w:tcPr>
            <w:tcW w:w="1773" w:type="dxa"/>
            <w:vMerge/>
            <w:tcBorders>
              <w:left w:val="single" w:sz="4" w:space="0" w:color="000000"/>
              <w:right w:val="single" w:sz="4" w:space="0" w:color="000000"/>
            </w:tcBorders>
          </w:tcPr>
          <w:p>
            <w:pPr/>
          </w:p>
        </w:tc>
        <w:tc>
          <w:tcPr>
            <w:tcW w:w="2412" w:type="dxa"/>
            <w:vMerge/>
            <w:tcBorders>
              <w:left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+ 151,069.23</w:t>
            </w:r>
          </w:p>
        </w:tc>
      </w:tr>
      <w:tr>
        <w:trPr>
          <w:trHeight w:val="342" w:hRule="exact"/>
        </w:trPr>
        <w:tc>
          <w:tcPr>
            <w:tcW w:w="1773" w:type="dxa"/>
            <w:vMerge/>
            <w:tcBorders>
              <w:left w:val="single" w:sz="4" w:space="0" w:color="000000"/>
              <w:right w:val="single" w:sz="4" w:space="0" w:color="000000"/>
            </w:tcBorders>
          </w:tcPr>
          <w:p>
            <w:pPr/>
          </w:p>
        </w:tc>
        <w:tc>
          <w:tcPr>
            <w:tcW w:w="2412" w:type="dxa"/>
            <w:vMerge/>
            <w:tcBorders>
              <w:left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固定资产清理</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w:t>
            </w:r>
            <w:r>
              <w:rPr>
                <w:rFonts w:ascii="Times New Roman"/>
                <w:spacing w:val="-2"/>
                <w:sz w:val="21"/>
              </w:rPr>
              <w:t> </w:t>
            </w:r>
            <w:r>
              <w:rPr>
                <w:rFonts w:ascii="Times New Roman"/>
                <w:sz w:val="21"/>
              </w:rPr>
              <w:t>151,069.23</w:t>
            </w:r>
          </w:p>
        </w:tc>
      </w:tr>
      <w:tr>
        <w:trPr>
          <w:trHeight w:val="342" w:hRule="exact"/>
        </w:trPr>
        <w:tc>
          <w:tcPr>
            <w:tcW w:w="1773" w:type="dxa"/>
            <w:vMerge/>
            <w:tcBorders>
              <w:left w:val="single" w:sz="4" w:space="0" w:color="000000"/>
              <w:right w:val="single" w:sz="4" w:space="0" w:color="000000"/>
            </w:tcBorders>
          </w:tcPr>
          <w:p>
            <w:pPr/>
          </w:p>
        </w:tc>
        <w:tc>
          <w:tcPr>
            <w:tcW w:w="2412" w:type="dxa"/>
            <w:vMerge/>
            <w:tcBorders>
              <w:left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+ 1,456,712.00</w:t>
            </w:r>
          </w:p>
        </w:tc>
      </w:tr>
      <w:tr>
        <w:trPr>
          <w:trHeight w:val="343" w:hRule="exact"/>
        </w:trPr>
        <w:tc>
          <w:tcPr>
            <w:tcW w:w="1773" w:type="dxa"/>
            <w:vMerge/>
            <w:tcBorders>
              <w:left w:val="single" w:sz="4" w:space="0" w:color="000000"/>
              <w:bottom w:val="single" w:sz="4" w:space="0" w:color="000000"/>
              <w:right w:val="single" w:sz="4" w:space="0" w:color="000000"/>
            </w:tcBorders>
          </w:tcPr>
          <w:p>
            <w:pPr/>
          </w:p>
        </w:tc>
        <w:tc>
          <w:tcPr>
            <w:tcW w:w="2412" w:type="dxa"/>
            <w:vMerge/>
            <w:tcBorders>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应付股利</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z w:val="21"/>
              </w:rPr>
              <w:t>-</w:t>
            </w:r>
            <w:r>
              <w:rPr>
                <w:rFonts w:ascii="Times New Roman"/>
                <w:spacing w:val="-3"/>
                <w:sz w:val="21"/>
              </w:rPr>
              <w:t> </w:t>
            </w:r>
            <w:r>
              <w:rPr>
                <w:rFonts w:ascii="Times New Roman"/>
                <w:sz w:val="21"/>
              </w:rPr>
              <w:t>1,456,712.00</w:t>
            </w:r>
          </w:p>
        </w:tc>
      </w:tr>
    </w:tbl>
    <w:p>
      <w:pPr>
        <w:spacing w:line="240" w:lineRule="auto" w:before="5"/>
        <w:rPr>
          <w:rFonts w:ascii="宋体" w:hAnsi="宋体" w:cs="宋体" w:eastAsia="宋体" w:hint="default"/>
          <w:sz w:val="5"/>
          <w:szCs w:val="5"/>
        </w:rPr>
      </w:pPr>
    </w:p>
    <w:p>
      <w:pPr>
        <w:pStyle w:val="Heading4"/>
        <w:spacing w:line="240" w:lineRule="auto" w:before="35"/>
        <w:ind w:left="574" w:right="0" w:firstLine="0"/>
        <w:jc w:val="left"/>
      </w:pPr>
      <w:r>
        <w:rPr/>
        <w:t>②对于合并利润表的影响</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598"/>
        <w:gridCol w:w="1266"/>
        <w:gridCol w:w="1274"/>
        <w:gridCol w:w="1881"/>
        <w:gridCol w:w="1765"/>
      </w:tblGrid>
      <w:tr>
        <w:trPr>
          <w:trHeight w:val="342" w:hRule="exact"/>
        </w:trPr>
        <w:tc>
          <w:tcPr>
            <w:tcW w:w="3598" w:type="dxa"/>
            <w:vMerge w:val="restart"/>
            <w:tcBorders>
              <w:top w:val="single" w:sz="4" w:space="0" w:color="000000"/>
              <w:left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会计政策变更的内容</w:t>
            </w:r>
          </w:p>
        </w:tc>
        <w:tc>
          <w:tcPr>
            <w:tcW w:w="2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15" w:right="0"/>
              <w:jc w:val="left"/>
              <w:rPr>
                <w:rFonts w:ascii="宋体" w:hAnsi="宋体" w:cs="宋体" w:eastAsia="宋体" w:hint="default"/>
                <w:sz w:val="21"/>
                <w:szCs w:val="21"/>
              </w:rPr>
            </w:pPr>
            <w:r>
              <w:rPr>
                <w:rFonts w:ascii="宋体" w:hAnsi="宋体" w:cs="宋体" w:eastAsia="宋体" w:hint="default"/>
                <w:sz w:val="21"/>
                <w:szCs w:val="21"/>
              </w:rPr>
              <w:t>受影响的报表项目名称</w:t>
            </w:r>
          </w:p>
        </w:tc>
        <w:tc>
          <w:tcPr>
            <w:tcW w:w="36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年度</w:t>
            </w:r>
          </w:p>
        </w:tc>
      </w:tr>
      <w:tr>
        <w:trPr>
          <w:trHeight w:val="342" w:hRule="exact"/>
        </w:trPr>
        <w:tc>
          <w:tcPr>
            <w:tcW w:w="3598" w:type="dxa"/>
            <w:vMerge/>
            <w:tcBorders>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变更前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变更后</w:t>
            </w:r>
          </w:p>
        </w:tc>
        <w:tc>
          <w:tcPr>
            <w:tcW w:w="188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235" w:right="0"/>
              <w:jc w:val="left"/>
              <w:rPr>
                <w:rFonts w:ascii="宋体" w:hAnsi="宋体" w:cs="宋体" w:eastAsia="宋体" w:hint="default"/>
                <w:sz w:val="21"/>
                <w:szCs w:val="21"/>
              </w:rPr>
            </w:pPr>
            <w:r>
              <w:rPr>
                <w:rFonts w:ascii="宋体" w:hAnsi="宋体" w:cs="宋体" w:eastAsia="宋体" w:hint="default"/>
                <w:sz w:val="21"/>
                <w:szCs w:val="21"/>
              </w:rPr>
              <w:t>变更前</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hAnsi="宋体" w:cs="宋体" w:eastAsia="宋体" w:hint="default"/>
                <w:sz w:val="21"/>
                <w:szCs w:val="21"/>
              </w:rPr>
              <w:t>变更后</w:t>
            </w:r>
          </w:p>
        </w:tc>
      </w:tr>
      <w:tr>
        <w:trPr>
          <w:trHeight w:val="342" w:hRule="exact"/>
        </w:trPr>
        <w:tc>
          <w:tcPr>
            <w:tcW w:w="3598" w:type="dxa"/>
            <w:vMerge w:val="restart"/>
            <w:tcBorders>
              <w:top w:val="single" w:sz="4" w:space="0" w:color="000000"/>
              <w:left w:val="single" w:sz="4" w:space="0" w:color="000000"/>
              <w:right w:val="single" w:sz="4"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将原计入管理费用项目下的研发费用单</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独列示为研发费用</w:t>
            </w:r>
          </w:p>
        </w:tc>
        <w:tc>
          <w:tcPr>
            <w:tcW w:w="1266" w:type="dxa"/>
            <w:vMerge w:val="restart"/>
            <w:tcBorders>
              <w:top w:val="single" w:sz="4" w:space="0" w:color="000000"/>
              <w:left w:val="single" w:sz="4" w:space="0" w:color="000000"/>
              <w:right w:val="single" w:sz="4" w:space="0" w:color="000000"/>
            </w:tcBorders>
          </w:tcPr>
          <w:p>
            <w:pPr>
              <w:pStyle w:val="TableParagraph"/>
              <w:spacing w:line="270" w:lineRule="exact"/>
              <w:ind w:left="20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881" w:type="dxa"/>
            <w:vMerge w:val="restart"/>
            <w:tcBorders>
              <w:top w:val="single" w:sz="4" w:space="0" w:color="000000"/>
              <w:left w:val="single" w:sz="4" w:space="0" w:color="000000"/>
              <w:right w:val="single" w:sz="4" w:space="0" w:color="000000"/>
            </w:tcBorders>
          </w:tcPr>
          <w:p>
            <w:pPr>
              <w:pStyle w:val="TableParagraph"/>
              <w:spacing w:line="240" w:lineRule="auto" w:before="44"/>
              <w:ind w:left="553" w:right="0"/>
              <w:jc w:val="left"/>
              <w:rPr>
                <w:rFonts w:ascii="Times New Roman" w:hAnsi="Times New Roman" w:cs="Times New Roman" w:eastAsia="Times New Roman" w:hint="default"/>
                <w:sz w:val="21"/>
                <w:szCs w:val="21"/>
              </w:rPr>
            </w:pPr>
            <w:r>
              <w:rPr>
                <w:rFonts w:ascii="Times New Roman"/>
                <w:sz w:val="21"/>
              </w:rPr>
              <w:t>152,863,708.00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58,312,207.17</w:t>
            </w:r>
          </w:p>
        </w:tc>
      </w:tr>
      <w:tr>
        <w:trPr>
          <w:trHeight w:val="342" w:hRule="exact"/>
        </w:trPr>
        <w:tc>
          <w:tcPr>
            <w:tcW w:w="3598"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1881" w:type="dxa"/>
            <w:vMerge/>
            <w:tcBorders>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94,551,500.83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2）重要会计估计变更" w:id="216"/>
      <w:bookmarkEnd w:id="21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17"/>
      <w:bookmarkEnd w:id="217"/>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8"/>
      <w:bookmarkEnd w:id="218"/>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9"/>
      <w:bookmarkEnd w:id="219"/>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教育附加费</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应评税利润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四方精创资讯（香港）有限公司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四方精创信息（香港）有限公司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深圳前海乐寻坊区块链科技有限公司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20"/>
      <w:bookmarkEnd w:id="22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420"/>
        <w:jc w:val="both"/>
      </w:pP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日取得深圳市科技创新委员会、深圳市财政委员会、国家税务总局深圳市税务局联合颁发的编 </w:t>
      </w:r>
      <w:r>
        <w:rPr>
          <w:spacing w:val="-1"/>
        </w:rPr>
        <w:t>号为</w:t>
      </w:r>
      <w:r>
        <w:rPr>
          <w:rFonts w:ascii="Times New Roman" w:hAnsi="Times New Roman" w:cs="Times New Roman" w:eastAsia="Times New Roman" w:hint="default"/>
          <w:spacing w:val="-1"/>
        </w:rPr>
        <w:t>GR201844201776</w:t>
      </w:r>
      <w:r>
        <w:rPr>
          <w:spacing w:val="-1"/>
        </w:rPr>
        <w:t>的《高新技术企业证书》，有效期为三年。根据企业所得税法有关规定，本公司</w:t>
      </w:r>
      <w:r>
        <w:rPr>
          <w:rFonts w:ascii="Times New Roman" w:hAnsi="Times New Roman" w:cs="Times New Roman" w:eastAsia="Times New Roman" w:hint="default"/>
          <w:spacing w:val="-1"/>
        </w:rPr>
        <w:t>2018-2020</w:t>
      </w:r>
      <w:r>
        <w:rPr>
          <w:spacing w:val="-1"/>
        </w:rPr>
        <w:t>年度享受国</w:t>
      </w:r>
      <w:r>
        <w:rPr>
          <w:spacing w:val="-57"/>
        </w:rPr>
        <w:t> </w:t>
      </w:r>
      <w:r>
        <w:rPr/>
        <w:t>家重点扶持的高新技术企业所得税的优惠政策，企业所得税减按</w:t>
      </w:r>
      <w:r>
        <w:rPr>
          <w:rFonts w:ascii="Times New Roman" w:hAnsi="Times New Roman" w:cs="Times New Roman" w:eastAsia="Times New Roman" w:hint="default"/>
        </w:rPr>
        <w:t>15%</w:t>
      </w:r>
      <w:r>
        <w:rPr/>
        <w:t>征收。</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其他" w:id="221"/>
      <w:bookmarkEnd w:id="221"/>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042"/>
        <w:jc w:val="right"/>
      </w:pPr>
      <w:r>
        <w:rPr>
          <w:spacing w:val="-6"/>
        </w:rPr>
        <w:t>（</w:t>
      </w:r>
      <w:r>
        <w:rPr>
          <w:rFonts w:ascii="Times New Roman" w:hAnsi="Times New Roman" w:cs="Times New Roman" w:eastAsia="Times New Roman" w:hint="default"/>
          <w:spacing w:val="-6"/>
        </w:rPr>
        <w:t>1</w:t>
      </w:r>
      <w:r>
        <w:rPr>
          <w:spacing w:val="-6"/>
        </w:rPr>
        <w:t>）根据国家税务总局深圳市税务局《财政部</w:t>
      </w:r>
      <w:r>
        <w:rPr>
          <w:spacing w:val="28"/>
        </w:rPr>
        <w:t> </w:t>
      </w:r>
      <w:r>
        <w:rPr>
          <w:spacing w:val="-4"/>
        </w:rPr>
        <w:t>国家税务总局关于全面推开营业税改征增值税试点的通知》财税（</w:t>
      </w:r>
      <w:r>
        <w:rPr>
          <w:rFonts w:ascii="Times New Roman" w:hAnsi="Times New Roman" w:cs="Times New Roman" w:eastAsia="Times New Roman" w:hint="default"/>
          <w:spacing w:val="-4"/>
        </w:rPr>
        <w:t>2016</w:t>
      </w:r>
      <w:r>
        <w:rPr>
          <w:spacing w:val="-4"/>
        </w:rPr>
        <w:t>）</w:t>
      </w:r>
    </w:p>
    <w:p>
      <w:pPr>
        <w:pStyle w:val="BodyText"/>
        <w:spacing w:line="240" w:lineRule="auto" w:before="64"/>
        <w:ind w:right="0"/>
        <w:jc w:val="left"/>
      </w:pPr>
      <w:r>
        <w:rPr>
          <w:rFonts w:ascii="Times New Roman" w:hAnsi="Times New Roman" w:cs="Times New Roman" w:eastAsia="Times New Roman" w:hint="default"/>
        </w:rPr>
        <w:t>36</w:t>
      </w:r>
      <w:r>
        <w:rPr/>
        <w:t>号附件</w:t>
      </w:r>
      <w:r>
        <w:rPr>
          <w:rFonts w:ascii="Times New Roman" w:hAnsi="Times New Roman" w:cs="Times New Roman" w:eastAsia="Times New Roman" w:hint="default"/>
        </w:rPr>
        <w:t>3</w:t>
      </w:r>
      <w:r>
        <w:rPr/>
        <w:t>第一条第（二十六）款对公司技术转让、技术开发业务取得的收入，如实申报可享受免征增值税。</w:t>
      </w:r>
    </w:p>
    <w:p>
      <w:pPr>
        <w:spacing w:line="240" w:lineRule="auto" w:before="12"/>
        <w:rPr>
          <w:rFonts w:ascii="宋体" w:hAnsi="宋体" w:cs="宋体" w:eastAsia="宋体" w:hint="default"/>
          <w:sz w:val="13"/>
          <w:szCs w:val="13"/>
        </w:rPr>
      </w:pPr>
    </w:p>
    <w:p>
      <w:pPr>
        <w:pStyle w:val="BodyText"/>
        <w:spacing w:line="300" w:lineRule="auto"/>
        <w:ind w:right="1131" w:firstLine="420"/>
        <w:jc w:val="both"/>
      </w:pPr>
      <w:r>
        <w:rPr>
          <w:spacing w:val="-3"/>
        </w:rPr>
        <w:t>（</w:t>
      </w:r>
      <w:r>
        <w:rPr>
          <w:rFonts w:ascii="Times New Roman" w:hAnsi="Times New Roman" w:cs="Times New Roman" w:eastAsia="Times New Roman" w:hint="default"/>
          <w:spacing w:val="-3"/>
        </w:rPr>
        <w:t>2</w:t>
      </w:r>
      <w:r>
        <w:rPr>
          <w:spacing w:val="-3"/>
        </w:rPr>
        <w:t>）根据香港新修订的税务条例，对于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w:t>
      </w:r>
      <w:r>
        <w:rPr>
          <w:spacing w:val="-3"/>
        </w:rPr>
        <w:t>日之后开始的课税年度，首</w:t>
      </w:r>
      <w:r>
        <w:rPr>
          <w:rFonts w:ascii="Times New Roman" w:hAnsi="Times New Roman" w:cs="Times New Roman" w:eastAsia="Times New Roman" w:hint="default"/>
          <w:spacing w:val="-3"/>
        </w:rPr>
        <w:t>200</w:t>
      </w:r>
      <w:r>
        <w:rPr>
          <w:spacing w:val="-3"/>
        </w:rPr>
        <w:t>万利润利得税税率为</w:t>
      </w:r>
      <w:r>
        <w:rPr>
          <w:rFonts w:ascii="Times New Roman" w:hAnsi="Times New Roman" w:cs="Times New Roman" w:eastAsia="Times New Roman" w:hint="default"/>
          <w:spacing w:val="-3"/>
        </w:rPr>
        <w:t>8.25%</w:t>
      </w:r>
      <w:r>
        <w:rPr>
          <w:spacing w:val="-3"/>
        </w:rPr>
        <w:t>，超过</w:t>
      </w:r>
      <w:r>
        <w:rPr>
          <w:rFonts w:ascii="Times New Roman" w:hAnsi="Times New Roman" w:cs="Times New Roman" w:eastAsia="Times New Roman" w:hint="default"/>
          <w:spacing w:val="-3"/>
        </w:rPr>
        <w:t>200</w:t>
      </w:r>
      <w:r>
        <w:rPr>
          <w:rFonts w:ascii="Times New Roman" w:hAnsi="Times New Roman" w:cs="Times New Roman" w:eastAsia="Times New Roman" w:hint="default"/>
        </w:rPr>
        <w:t> </w:t>
      </w:r>
      <w:r>
        <w:rPr/>
        <w:t>万部分利润按照</w:t>
      </w:r>
      <w:r>
        <w:rPr>
          <w:rFonts w:ascii="Times New Roman" w:hAnsi="Times New Roman" w:cs="Times New Roman" w:eastAsia="Times New Roman" w:hint="default"/>
        </w:rPr>
        <w:t>16.5%</w:t>
      </w:r>
      <w:r>
        <w:rPr/>
        <w:t>征税。本公司之子公司四方精创资讯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有限公司及四方精创信息（香港）有限公司适用该利得税</w:t>
      </w:r>
      <w:r>
        <w:rPr>
          <w:spacing w:val="-42"/>
        </w:rPr>
        <w:t> </w:t>
      </w:r>
      <w:r>
        <w:rPr>
          <w:spacing w:val="-42"/>
        </w:rPr>
      </w:r>
      <w:r>
        <w:rPr/>
        <w:t>条例。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2"/>
        <w:spacing w:line="240" w:lineRule="auto"/>
        <w:ind w:right="0"/>
        <w:jc w:val="left"/>
        <w:rPr>
          <w:b w:val="0"/>
          <w:bCs w:val="0"/>
        </w:rPr>
      </w:pPr>
      <w:bookmarkStart w:name="七、合并财务报表项目注释" w:id="222"/>
      <w:bookmarkEnd w:id="222"/>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23"/>
      <w:bookmarkEnd w:id="22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56,880.43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41,722.93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532,198,083.92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542,245,897.07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534,347,564.35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544,287,620.00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121,366,650.62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58,579,608.31</w:t>
            </w:r>
          </w:p>
        </w:tc>
      </w:tr>
    </w:tbl>
    <w:p>
      <w:pPr>
        <w:pStyle w:val="BodyText"/>
        <w:spacing w:line="240" w:lineRule="auto" w:before="51"/>
        <w:ind w:right="0"/>
        <w:jc w:val="left"/>
      </w:pPr>
      <w:r>
        <w:rPr/>
        <w:t>其他说明</w:t>
      </w:r>
    </w:p>
    <w:p>
      <w:pPr>
        <w:spacing w:line="240" w:lineRule="auto" w:before="1"/>
        <w:rPr>
          <w:rFonts w:ascii="宋体" w:hAnsi="宋体" w:cs="宋体" w:eastAsia="宋体" w:hint="default"/>
          <w:sz w:val="13"/>
          <w:szCs w:val="13"/>
        </w:rPr>
      </w:pPr>
    </w:p>
    <w:p>
      <w:pPr>
        <w:pStyle w:val="Heading4"/>
        <w:spacing w:line="240" w:lineRule="auto" w:before="0"/>
        <w:ind w:left="574" w:right="0" w:firstLine="0"/>
        <w:jc w:val="left"/>
      </w:pPr>
      <w:r>
        <w:rPr/>
        <w:t>因抵押、质押或冻结等对使用有限制，以及放在境外且资金汇回受到限制的货币资金明细如下：</w:t>
      </w:r>
    </w:p>
    <w:p>
      <w:pPr>
        <w:spacing w:line="240" w:lineRule="auto" w:before="12"/>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918"/>
        <w:gridCol w:w="3005"/>
        <w:gridCol w:w="2687"/>
      </w:tblGrid>
      <w:tr>
        <w:trPr>
          <w:trHeight w:val="343" w:hRule="exact"/>
        </w:trPr>
        <w:tc>
          <w:tcPr>
            <w:tcW w:w="3918" w:type="dxa"/>
            <w:tcBorders>
              <w:top w:val="single" w:sz="4" w:space="0" w:color="000000"/>
              <w:left w:val="single" w:sz="4" w:space="0" w:color="000000"/>
              <w:bottom w:val="single" w:sz="4" w:space="0" w:color="000000"/>
              <w:right w:val="single" w:sz="4" w:space="0" w:color="000000"/>
            </w:tcBorders>
          </w:tcPr>
          <w:p>
            <w:pPr>
              <w:pStyle w:val="TableParagraph"/>
              <w:tabs>
                <w:tab w:pos="1141" w:val="left" w:leader="none"/>
              </w:tabs>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5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1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bl>
    <w:p>
      <w:pPr>
        <w:spacing w:after="0" w:line="287"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918"/>
        <w:gridCol w:w="3005"/>
        <w:gridCol w:w="2687"/>
      </w:tblGrid>
      <w:tr>
        <w:trPr>
          <w:trHeight w:val="342" w:hRule="exact"/>
        </w:trPr>
        <w:tc>
          <w:tcPr>
            <w:tcW w:w="39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2,092,600.00</w:t>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342" w:hRule="exact"/>
        </w:trPr>
        <w:tc>
          <w:tcPr>
            <w:tcW w:w="3918" w:type="dxa"/>
            <w:tcBorders>
              <w:top w:val="single" w:sz="4" w:space="0" w:color="000000"/>
              <w:left w:val="single" w:sz="4" w:space="0" w:color="000000"/>
              <w:bottom w:val="single" w:sz="4" w:space="0" w:color="000000"/>
              <w:right w:val="single" w:sz="4" w:space="0" w:color="000000"/>
            </w:tcBorders>
          </w:tcPr>
          <w:p>
            <w:pPr>
              <w:pStyle w:val="TableParagraph"/>
              <w:tabs>
                <w:tab w:pos="1182" w:val="left" w:leader="none"/>
              </w:tabs>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2,092,600.00</w:t>
            </w:r>
          </w:p>
        </w:tc>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2,000,000.00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5"/>
        <w:ind w:right="0"/>
        <w:jc w:val="left"/>
        <w:rPr>
          <w:b w:val="0"/>
          <w:bCs w:val="0"/>
        </w:rPr>
      </w:pPr>
      <w:bookmarkStart w:name="2、衍生金融资产" w:id="224"/>
      <w:bookmarkEnd w:id="224"/>
      <w:r>
        <w:rPr>
          <w:b w:val="0"/>
          <w:bCs w:val="0"/>
        </w:rPr>
      </w:r>
      <w:r>
        <w:rPr>
          <w:rFonts w:ascii="Times New Roman" w:hAnsi="Times New Roman" w:cs="Times New Roman" w:eastAsia="Times New Roman" w:hint="default"/>
        </w:rPr>
        <w:t>2</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应收票据及应收账款" w:id="225"/>
      <w:bookmarkEnd w:id="225"/>
      <w:r>
        <w:rPr>
          <w:b w:val="0"/>
          <w:bCs w:val="0"/>
        </w:rPr>
      </w:r>
      <w:r>
        <w:rPr>
          <w:rFonts w:ascii="Times New Roman" w:hAnsi="Times New Roman" w:cs="Times New Roman" w:eastAsia="Times New Roman" w:hint="default"/>
        </w:rPr>
        <w:t>3</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193,508,351.03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191,749,045.89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193,508,351.03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191,749,045.89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账款" w:id="226"/>
      <w:bookmarkEnd w:id="226"/>
      <w:r>
        <w:rPr>
          <w:b w:val="0"/>
          <w:bCs w:val="0"/>
        </w:rPr>
      </w: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1,569,40</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1,569,40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198,621,</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927.95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5,113,57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193,508,3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51.03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196,046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,449.90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4,297,404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191,749,04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5.89</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393,202.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393,202.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200,584,</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530.48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7,076,17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3.53%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193,508,3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51.03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196,046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,449.90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4,297,404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2.19%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191,749,04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5.89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1,569,400.00</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1,569,400.00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5"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193,498,715.73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3,869,974.31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3,295,008.77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329,500.88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1,828,203.45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914,101.73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198,621,927.95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5,113,576.92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38" w:lineRule="auto" w:before="2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3"/>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2"/>
        <w:ind w:right="0"/>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4460"/>
        <w:jc w:val="left"/>
      </w:pPr>
      <w:r>
        <w:rPr/>
        <w:t>本期计提坏账准备金额</w:t>
      </w:r>
      <w:r>
        <w:rPr>
          <w:spacing w:val="-47"/>
        </w:rPr>
        <w:t> </w:t>
      </w:r>
      <w:r>
        <w:rPr>
          <w:rFonts w:ascii="Times New Roman" w:hAnsi="Times New Roman" w:cs="Times New Roman" w:eastAsia="Times New Roman" w:hint="default"/>
        </w:rPr>
        <w:t>2,778,775.44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w:t>
      </w:r>
      <w:r>
        <w:rPr>
          <w:rFonts w:ascii="Times New Roman" w:hAnsi="Times New Roman" w:cs="Times New Roman" w:eastAsia="Times New Roman" w:hint="default"/>
        </w:rPr>
        <w:t>3)</w:t>
      </w:r>
      <w:r>
        <w:rPr/>
        <w:t>按欠款方归集的期末余额前五名的应收账款情况 公司是否需要遵守特殊行业的披露要求</w:t>
      </w:r>
    </w:p>
    <w:p>
      <w:pPr>
        <w:pStyle w:val="BodyText"/>
        <w:spacing w:line="360" w:lineRule="auto" w:before="42"/>
        <w:ind w:right="8952"/>
        <w:jc w:val="left"/>
      </w:pPr>
      <w:r>
        <w:rPr/>
        <w:t>是 软件与信息技术服务业</w:t>
      </w:r>
    </w:p>
    <w:tbl>
      <w:tblPr>
        <w:tblW w:w="0" w:type="auto"/>
        <w:jc w:val="left"/>
        <w:tblInd w:w="149" w:type="dxa"/>
        <w:tblLayout w:type="fixed"/>
        <w:tblCellMar>
          <w:top w:w="0" w:type="dxa"/>
          <w:left w:w="0" w:type="dxa"/>
          <w:bottom w:w="0" w:type="dxa"/>
          <w:right w:w="0" w:type="dxa"/>
        </w:tblCellMar>
        <w:tblLook w:val="01E0"/>
      </w:tblPr>
      <w:tblGrid>
        <w:gridCol w:w="3220"/>
        <w:gridCol w:w="1781"/>
        <w:gridCol w:w="1639"/>
        <w:gridCol w:w="1641"/>
      </w:tblGrid>
      <w:tr>
        <w:trPr>
          <w:trHeight w:val="649" w:hRule="exact"/>
        </w:trPr>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386" w:right="0"/>
              <w:jc w:val="left"/>
              <w:rPr>
                <w:rFonts w:ascii="宋体" w:hAnsi="宋体" w:cs="宋体" w:eastAsia="宋体" w:hint="default"/>
                <w:sz w:val="20"/>
                <w:szCs w:val="20"/>
              </w:rPr>
            </w:pPr>
            <w:r>
              <w:rPr>
                <w:rFonts w:ascii="宋体" w:hAnsi="宋体" w:cs="宋体" w:eastAsia="宋体" w:hint="default"/>
                <w:sz w:val="20"/>
                <w:szCs w:val="20"/>
              </w:rPr>
              <w:t>金额（元）</w:t>
            </w:r>
          </w:p>
        </w:tc>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614" w:right="12" w:hanging="600"/>
              <w:jc w:val="left"/>
              <w:rPr>
                <w:rFonts w:ascii="宋体" w:hAnsi="宋体" w:cs="宋体" w:eastAsia="宋体" w:hint="default"/>
                <w:sz w:val="20"/>
                <w:szCs w:val="20"/>
              </w:rPr>
            </w:pPr>
            <w:r>
              <w:rPr>
                <w:rFonts w:ascii="宋体" w:hAnsi="宋体" w:cs="宋体" w:eastAsia="宋体" w:hint="default"/>
                <w:sz w:val="20"/>
                <w:szCs w:val="20"/>
              </w:rPr>
              <w:t>占应收账款总额的</w:t>
            </w:r>
            <w:r>
              <w:rPr>
                <w:rFonts w:ascii="宋体" w:hAnsi="宋体" w:cs="宋体" w:eastAsia="宋体" w:hint="default"/>
                <w:w w:val="100"/>
                <w:sz w:val="20"/>
                <w:szCs w:val="20"/>
              </w:rPr>
              <w:t> </w:t>
            </w:r>
            <w:r>
              <w:rPr>
                <w:rFonts w:ascii="宋体" w:hAnsi="宋体" w:cs="宋体" w:eastAsia="宋体" w:hint="default"/>
                <w:sz w:val="20"/>
                <w:szCs w:val="20"/>
              </w:rPr>
              <w:t>比例</w:t>
            </w:r>
          </w:p>
        </w:tc>
        <w:tc>
          <w:tcPr>
            <w:tcW w:w="1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坏账准备期末余额</w:t>
            </w:r>
          </w:p>
          <w:p>
            <w:pPr>
              <w:pStyle w:val="TableParagraph"/>
              <w:spacing w:line="240" w:lineRule="auto" w:before="50"/>
              <w:ind w:left="2" w:right="0"/>
              <w:jc w:val="center"/>
              <w:rPr>
                <w:rFonts w:ascii="宋体" w:hAnsi="宋体" w:cs="宋体" w:eastAsia="宋体" w:hint="default"/>
                <w:sz w:val="20"/>
                <w:szCs w:val="20"/>
              </w:rPr>
            </w:pPr>
            <w:r>
              <w:rPr>
                <w:rFonts w:ascii="宋体" w:hAnsi="宋体" w:cs="宋体" w:eastAsia="宋体" w:hint="default"/>
                <w:sz w:val="20"/>
                <w:szCs w:val="20"/>
              </w:rPr>
              <w:t>（元）</w:t>
            </w:r>
          </w:p>
        </w:tc>
      </w:tr>
      <w:tr>
        <w:trPr>
          <w:trHeight w:val="42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75,579,066.77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37.68%</w:t>
            </w:r>
          </w:p>
        </w:tc>
        <w:tc>
          <w:tcPr>
            <w:tcW w:w="164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1,511,581.34</w:t>
            </w:r>
          </w:p>
        </w:tc>
      </w:tr>
      <w:tr>
        <w:trPr>
          <w:trHeight w:val="421"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67,829,869.69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33.82%</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2,894,609.39</w:t>
            </w:r>
          </w:p>
        </w:tc>
      </w:tr>
      <w:tr>
        <w:trPr>
          <w:trHeight w:val="42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7,919,427.42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3.95%</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158,388.55</w:t>
            </w:r>
          </w:p>
        </w:tc>
      </w:tr>
      <w:tr>
        <w:trPr>
          <w:trHeight w:val="42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5,193,700.73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2.59%</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972,940.16</w:t>
            </w:r>
          </w:p>
        </w:tc>
      </w:tr>
      <w:tr>
        <w:trPr>
          <w:trHeight w:val="421"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5,077,624.98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2.53%</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101,552.50</w:t>
            </w:r>
          </w:p>
        </w:tc>
      </w:tr>
      <w:tr>
        <w:trPr>
          <w:trHeight w:val="422" w:hRule="exact"/>
        </w:trPr>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161,599,689.59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80.57%</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5,639,071.94</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3"/>
        <w:spacing w:line="240" w:lineRule="auto" w:before="35"/>
        <w:ind w:right="0"/>
        <w:jc w:val="left"/>
        <w:rPr>
          <w:b w:val="0"/>
          <w:bCs w:val="0"/>
        </w:rPr>
      </w:pPr>
      <w:bookmarkStart w:name="4、预付款项" w:id="227"/>
      <w:bookmarkEnd w:id="227"/>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8"/>
      <w:bookmarkEnd w:id="22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4,482,111.97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2,534,001.60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2"/>
                <w:sz w:val="18"/>
              </w:rPr>
              <w:t>4,482,111.97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2,534,001.60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按预付对象归集的期末余额前五名的预付款情况" w:id="229"/>
      <w:bookmarkEnd w:id="22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41"/>
        <w:gridCol w:w="2140"/>
        <w:gridCol w:w="1740"/>
      </w:tblGrid>
      <w:tr>
        <w:trPr>
          <w:trHeight w:val="654" w:hRule="exact"/>
        </w:trPr>
        <w:tc>
          <w:tcPr>
            <w:tcW w:w="3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665" w:right="0"/>
              <w:jc w:val="left"/>
              <w:rPr>
                <w:rFonts w:ascii="宋体" w:hAnsi="宋体" w:cs="宋体" w:eastAsia="宋体" w:hint="default"/>
                <w:sz w:val="20"/>
                <w:szCs w:val="20"/>
              </w:rPr>
            </w:pPr>
            <w:r>
              <w:rPr>
                <w:rFonts w:ascii="宋体" w:hAnsi="宋体" w:cs="宋体" w:eastAsia="宋体" w:hint="default"/>
                <w:sz w:val="20"/>
                <w:szCs w:val="20"/>
              </w:rPr>
              <w:t>期末余额</w:t>
            </w:r>
          </w:p>
        </w:tc>
        <w:tc>
          <w:tcPr>
            <w:tcW w:w="1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before="5"/>
              <w:ind w:left="280" w:right="63" w:hanging="216"/>
              <w:jc w:val="left"/>
              <w:rPr>
                <w:rFonts w:ascii="宋体" w:hAnsi="宋体" w:cs="宋体" w:eastAsia="宋体" w:hint="default"/>
                <w:sz w:val="20"/>
                <w:szCs w:val="20"/>
              </w:rPr>
            </w:pPr>
            <w:r>
              <w:rPr>
                <w:rFonts w:ascii="宋体" w:hAnsi="宋体" w:cs="宋体" w:eastAsia="宋体" w:hint="default"/>
                <w:sz w:val="20"/>
                <w:szCs w:val="20"/>
              </w:rPr>
              <w:t>占预付账款合计数</w:t>
            </w:r>
            <w:r>
              <w:rPr>
                <w:rFonts w:ascii="宋体" w:hAnsi="宋体" w:cs="宋体" w:eastAsia="宋体" w:hint="default"/>
                <w:w w:val="100"/>
                <w:sz w:val="20"/>
                <w:szCs w:val="20"/>
              </w:rPr>
              <w:t> </w:t>
            </w:r>
            <w:r>
              <w:rPr>
                <w:rFonts w:ascii="宋体" w:hAnsi="宋体" w:cs="宋体" w:eastAsia="宋体" w:hint="default"/>
                <w:sz w:val="20"/>
                <w:szCs w:val="20"/>
              </w:rPr>
              <w:t>的比例（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422" w:hRule="exact"/>
        </w:trPr>
        <w:tc>
          <w:tcPr>
            <w:tcW w:w="3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1,577,160.00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35.19%</w:t>
            </w:r>
          </w:p>
        </w:tc>
      </w:tr>
      <w:tr>
        <w:trPr>
          <w:trHeight w:val="422" w:hRule="exact"/>
        </w:trPr>
        <w:tc>
          <w:tcPr>
            <w:tcW w:w="3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810,000.00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18.07%</w:t>
            </w:r>
          </w:p>
        </w:tc>
      </w:tr>
      <w:tr>
        <w:trPr>
          <w:trHeight w:val="421" w:hRule="exact"/>
        </w:trPr>
        <w:tc>
          <w:tcPr>
            <w:tcW w:w="3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390,000.00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8.70%</w:t>
            </w:r>
          </w:p>
        </w:tc>
      </w:tr>
      <w:tr>
        <w:trPr>
          <w:trHeight w:val="422" w:hRule="exact"/>
        </w:trPr>
        <w:tc>
          <w:tcPr>
            <w:tcW w:w="3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336,000.00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7.50%</w:t>
            </w:r>
          </w:p>
        </w:tc>
      </w:tr>
      <w:tr>
        <w:trPr>
          <w:trHeight w:val="422" w:hRule="exact"/>
        </w:trPr>
        <w:tc>
          <w:tcPr>
            <w:tcW w:w="3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291,262.14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6.50%</w:t>
            </w:r>
          </w:p>
        </w:tc>
      </w:tr>
      <w:tr>
        <w:trPr>
          <w:trHeight w:val="422" w:hRule="exact"/>
        </w:trPr>
        <w:tc>
          <w:tcPr>
            <w:tcW w:w="34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842" w:val="left" w:leader="none"/>
              </w:tabs>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3,404,422.14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75.96%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bookmarkStart w:name="5、其他应收款" w:id="230"/>
      <w:bookmarkEnd w:id="230"/>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1,375,451.60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829,273.79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3,096,651.78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3,076,274.84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4,472,103.38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3,905,548.63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231"/>
      <w:bookmarkEnd w:id="23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七天通知存款利息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1,375,451.60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829,273.79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1,375,451.60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829,273.79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应收款" w:id="232"/>
      <w:bookmarkEnd w:id="232"/>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2"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1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23" w:type="dxa"/>
            <w:vMerge/>
            <w:tcBorders>
              <w:left w:val="single" w:sz="4" w:space="0" w:color="000000"/>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3,096,65</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1.78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3,096,651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3,076,2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74.84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3,076,274.8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3,096,65</w:t>
            </w:r>
          </w:p>
          <w:p>
            <w:pPr>
              <w:pStyle w:val="TableParagraph"/>
              <w:spacing w:line="240" w:lineRule="auto" w:before="106"/>
              <w:ind w:left="420" w:right="0"/>
              <w:jc w:val="left"/>
              <w:rPr>
                <w:rFonts w:ascii="Times New Roman" w:hAnsi="Times New Roman" w:cs="Times New Roman" w:eastAsia="Times New Roman" w:hint="default"/>
                <w:sz w:val="18"/>
                <w:szCs w:val="18"/>
              </w:rPr>
            </w:pPr>
            <w:r>
              <w:rPr>
                <w:rFonts w:ascii="Times New Roman"/>
                <w:sz w:val="18"/>
              </w:rPr>
              <w:t>1.78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3,096,651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3,076,2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74.84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3,076,274.8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3,096,651.78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3,096,651.78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57" w:lineRule="auto" w:before="51"/>
        <w:ind w:right="1149"/>
        <w:jc w:val="left"/>
      </w:pPr>
      <w:r>
        <w:rPr/>
        <w:t>确定该组合依据的说明： 组合中，采用余额百分比法计提坏账准备的其他应收款：</w:t>
      </w:r>
    </w:p>
    <w:p>
      <w:pPr>
        <w:pStyle w:val="BodyText"/>
        <w:spacing w:line="338" w:lineRule="auto" w:before="29"/>
        <w:ind w:right="15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1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149"/>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17"/>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149"/>
        <w:jc w:val="left"/>
      </w:pPr>
      <w:r>
        <w:rPr>
          <w:rFonts w:ascii="Times New Roman" w:hAnsi="Times New Roman" w:cs="Times New Roman" w:eastAsia="Times New Roman" w:hint="default"/>
        </w:rPr>
        <w:t>3)</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5824" w:space="300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3,088,680.59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2,977,478.92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7,971.19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98,795.92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3,096,651.78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3,076,274.84</w:t>
            </w:r>
          </w:p>
        </w:tc>
      </w:tr>
    </w:tbl>
    <w:p>
      <w:pPr>
        <w:pStyle w:val="BodyText"/>
        <w:spacing w:line="240" w:lineRule="auto" w:before="51"/>
        <w:ind w:right="0"/>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932,027.49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510,096.00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16.47%</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406,576.08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253,404.80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165,910.00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2,268,014.37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73.24%</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6、存货" w:id="233"/>
      <w:bookmarkEnd w:id="233"/>
      <w:r>
        <w:rPr>
          <w:b w:val="0"/>
          <w:bCs w:val="0"/>
        </w:rPr>
      </w:r>
      <w:r>
        <w:rPr>
          <w:rFonts w:ascii="Times New Roman" w:hAnsi="Times New Roman" w:cs="Times New Roman" w:eastAsia="Times New Roman" w:hint="default"/>
        </w:rPr>
        <w:t>6</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1）存货分类" w:id="234"/>
      <w:bookmarkEnd w:id="23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5,852,198.13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5,852,198.13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5,379,867.20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5,379,867.20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5,852,198.13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5,852,198.13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5,379,867.20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5,379,867.20</w:t>
            </w:r>
          </w:p>
        </w:tc>
      </w:tr>
    </w:tbl>
    <w:p>
      <w:pPr>
        <w:pStyle w:val="BodyText"/>
        <w:spacing w:line="338"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1754"/>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7、其他流动资产" w:id="235"/>
      <w:bookmarkEnd w:id="235"/>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待抵扣的增值税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282,082.92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1,003,818.59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4,386,195.81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635,396.06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4,668,278.73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1,639,214.65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8、可供出售金融资产" w:id="236"/>
      <w:bookmarkEnd w:id="236"/>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37"/>
      <w:bookmarkEnd w:id="23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88,579,565.00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88,579,565.00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78,110,000.00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88,579,565.00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88,579,565.00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78,110,000.00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88,579,565.00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88,579,565.00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78,110,000.00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成本计量的可供出售金融资产" w:id="238"/>
      <w:bookmarkEnd w:id="238"/>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深圳南山 宝生村镇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78,110,000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7.50%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格罗斯产 业链服务</w:t>
            </w:r>
          </w:p>
          <w:p>
            <w:pPr>
              <w:pStyle w:val="TableParagraph"/>
              <w:spacing w:line="319" w:lineRule="auto" w:before="19"/>
              <w:ind w:left="22" w:right="108"/>
              <w:jc w:val="left"/>
              <w:rPr>
                <w:rFonts w:ascii="宋体" w:hAnsi="宋体" w:cs="宋体" w:eastAsia="宋体" w:hint="default"/>
                <w:sz w:val="18"/>
                <w:szCs w:val="18"/>
              </w:rPr>
            </w:pPr>
            <w:r>
              <w:rPr>
                <w:rFonts w:ascii="宋体" w:hAnsi="宋体" w:cs="宋体" w:eastAsia="宋体" w:hint="default"/>
                <w:sz w:val="18"/>
                <w:szCs w:val="18"/>
              </w:rPr>
              <w:t>（深圳）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10,469,565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10,469,565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8.00%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10,469,565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88,579,565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9、长期股权投资" w:id="239"/>
      <w:bookmarkEnd w:id="239"/>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钱方好近 金融科技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26,689,93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2,784,444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1,947,545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1,560,539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32,982,46</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7.11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北京优智 汇咨询有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113,285.9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15,113,28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26,689,93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15,000,00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2,897,730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1,947,545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1" w:right="0"/>
              <w:jc w:val="center"/>
              <w:rPr>
                <w:rFonts w:ascii="Times New Roman" w:hAnsi="Times New Roman" w:cs="Times New Roman" w:eastAsia="Times New Roman" w:hint="default"/>
                <w:sz w:val="18"/>
                <w:szCs w:val="18"/>
              </w:rPr>
            </w:pPr>
            <w:r>
              <w:rPr>
                <w:rFonts w:ascii="Times New Roman"/>
                <w:sz w:val="18"/>
              </w:rPr>
              <w:t>1,560,539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48,095,75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1" w:right="0"/>
              <w:jc w:val="left"/>
              <w:rPr>
                <w:rFonts w:ascii="Times New Roman" w:hAnsi="Times New Roman" w:cs="Times New Roman" w:eastAsia="Times New Roman" w:hint="default"/>
                <w:sz w:val="18"/>
                <w:szCs w:val="18"/>
              </w:rPr>
            </w:pPr>
            <w:r>
              <w:rPr>
                <w:rFonts w:ascii="Times New Roman"/>
                <w:sz w:val="18"/>
              </w:rPr>
              <w:t>7.93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3.10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26,689,93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2,897,730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1,947,545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1,560,539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48,095,75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3.10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10、投资性房地产" w:id="240"/>
      <w:bookmarkEnd w:id="240"/>
      <w:r>
        <w:rPr>
          <w:b w:val="0"/>
          <w:bCs w:val="0"/>
        </w:rPr>
      </w:r>
      <w:r>
        <w:rPr>
          <w:rFonts w:ascii="Times New Roman" w:hAnsi="Times New Roman" w:cs="Times New Roman" w:eastAsia="Times New Roman" w:hint="default"/>
        </w:rPr>
        <w:t>10</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41"/>
      <w:bookmarkEnd w:id="24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42"/>
      <w:bookmarkEnd w:id="24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1、固定资产" w:id="243"/>
      <w:bookmarkEnd w:id="243"/>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285,952,429.70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18,613,661.41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200"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151,069.23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285,952,429.70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18,764,730.64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44"/>
      <w:bookmarkEnd w:id="24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1,228,356.72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33,256,912.71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2,886,535.62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37,371,805.05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266,298,069.24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59,220.93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5,096,888.77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844,528.27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272,298,707.21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5,096,888.77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843,087.80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5,939,976.57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266,298,069.24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266,298,069.24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汇兑损益影响</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59,220.93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60,661.40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959,762.70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959,762.70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959,762.70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959,762.70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266,298,069.24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1,287,577.65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37,394,038.78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3,731,063.89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308,710,749.56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671,805.59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16,348,594.63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1,737,743.42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18,758,143.64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160,530.27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4,337,046.98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364,858.48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4,862,435.73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160,530.27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4,337,046.98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364,858.48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4,862,435.73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862,259.51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862,259.51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862,259.51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862,259.51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832,335.86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19,823,382.10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2,102,601.90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22,758,319.86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266,298,069.24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455,241.79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17,570,656.68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1,628,461.99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285,952,429.70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556,551.13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16,908,318.08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1,148,792.20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18,613,661.41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固定资产清理" w:id="245"/>
      <w:bookmarkEnd w:id="245"/>
      <w:r>
        <w:rPr>
          <w:b w:val="0"/>
          <w:bCs w:val="0"/>
        </w:rPr>
      </w:r>
      <w:r>
        <w:rPr/>
        <w:t>（</w:t>
      </w:r>
      <w:r>
        <w:rPr>
          <w:rFonts w:ascii="Times New Roman" w:hAnsi="Times New Roman" w:cs="Times New Roman" w:eastAsia="Times New Roman" w:hint="default"/>
        </w:rPr>
        <w:t>2</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待处置固定资产</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151,069.23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151,069.23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2、在建工程" w:id="246"/>
      <w:bookmarkEnd w:id="246"/>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30,887,754.50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273,164,469.53</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30,887,754.50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273,164,469.53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247"/>
      <w:bookmarkEnd w:id="24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办公大楼工程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30,887,754.50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30,887,754.50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273,164,469.53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273,164,469.53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30,887,754.50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30,887,754.50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273,164,469.53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273,164,469.53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48"/>
      <w:bookmarkEnd w:id="24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办公大 楼工程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273,164,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469.53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24,021,3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54.21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266,298,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069.24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30,887,7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54.50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99.06%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0"/>
              <w:jc w:val="left"/>
              <w:rPr>
                <w:rFonts w:ascii="宋体" w:hAnsi="宋体" w:cs="宋体" w:eastAsia="宋体" w:hint="default"/>
                <w:sz w:val="18"/>
                <w:szCs w:val="18"/>
              </w:rPr>
            </w:pPr>
            <w:r>
              <w:rPr>
                <w:rFonts w:ascii="宋体" w:hAnsi="宋体" w:cs="宋体" w:eastAsia="宋体" w:hint="default"/>
                <w:sz w:val="18"/>
                <w:szCs w:val="18"/>
              </w:rPr>
              <w:t>已完成 主体工 </w:t>
            </w:r>
            <w:r>
              <w:rPr>
                <w:rFonts w:ascii="宋体" w:hAnsi="宋体" w:cs="宋体" w:eastAsia="宋体" w:hint="default"/>
                <w:spacing w:val="-10"/>
                <w:sz w:val="18"/>
                <w:szCs w:val="18"/>
              </w:rPr>
              <w:t>程，剩余</w:t>
            </w:r>
            <w:r>
              <w:rPr>
                <w:rFonts w:ascii="宋体" w:hAnsi="宋体" w:cs="宋体" w:eastAsia="宋体" w:hint="default"/>
                <w:sz w:val="18"/>
                <w:szCs w:val="18"/>
              </w:rPr>
              <w:t> 部分内 部装修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273,164,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469.53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24,021,3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54.21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266,298,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069.24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30,887,7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54.50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3、生产性生物资产" w:id="249"/>
      <w:bookmarkEnd w:id="249"/>
      <w:r>
        <w:rPr>
          <w:b w:val="0"/>
          <w:bCs w:val="0"/>
        </w:rPr>
      </w:r>
      <w:r>
        <w:rPr>
          <w:rFonts w:ascii="Times New Roman" w:hAnsi="Times New Roman" w:cs="Times New Roman" w:eastAsia="Times New Roman" w:hint="default"/>
        </w:rPr>
        <w:t>13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50"/>
      <w:bookmarkEnd w:id="25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51"/>
      <w:bookmarkEnd w:id="25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4、油气资产" w:id="252"/>
      <w:bookmarkEnd w:id="252"/>
      <w:r>
        <w:rPr>
          <w:b w:val="0"/>
          <w:bCs w:val="0"/>
        </w:rPr>
      </w:r>
      <w:r>
        <w:rPr>
          <w:rFonts w:ascii="Times New Roman" w:hAnsi="Times New Roman" w:cs="Times New Roman" w:eastAsia="Times New Roman" w:hint="default"/>
        </w:rPr>
        <w:t>14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5、无形资产" w:id="253"/>
      <w:bookmarkEnd w:id="253"/>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54"/>
      <w:bookmarkEnd w:id="25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26,009,125.00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2,358,991.47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28,368,116.47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28,554.00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5,814,780.58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5,843,334.58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28,554.00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5,814,780.58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5,843,334.58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26,037,679.00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8,173,772.05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34,211,451.05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3,372,278.66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210,104.22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3,582,382.88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520,936.30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936,037.57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1,456,973.87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520,936.30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936,037.57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1,456,973.87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3,893,214.96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1,146,141.79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5,039,356.75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22,144,464.04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7,027,630.26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29,172,094.30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22,636,846.34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2,148,887.25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24,785,733.59</w:t>
            </w: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6、长期待摊费用" w:id="255"/>
      <w:bookmarkEnd w:id="255"/>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787,795.36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3,161,547.58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1,598,313.59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2,351,029.35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787,795.36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3,161,547.58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1,598,313.59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2,351,029.35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7、递延所得税资产/递延所得税负债" w:id="256"/>
      <w:bookmarkEnd w:id="256"/>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57"/>
      <w:bookmarkEnd w:id="25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5,327,148.40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799,072.24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3,525,690.29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528,853.53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163,664.33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24,549.65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40,295,822.80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6,044,373.42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5,490,812.73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823,621.89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43,821,513.09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6,573,226.95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58"/>
      <w:bookmarkEnd w:id="25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香港未分配利润的影响</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24,734,931.47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2,102,469.18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19,856,466.74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1,687,799.67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24,734,931.47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2,102,469.18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19,856,466.74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1,687,799.67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59"/>
      <w:bookmarkEnd w:id="25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823,621.89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6,573,226.95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2,102,469.18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1,687,799.67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60"/>
      <w:bookmarkEnd w:id="26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81,905.34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81,905.34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61"/>
      <w:bookmarkEnd w:id="26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81,905.34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81,905.34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bookmarkStart w:name="18、衍生金融负债" w:id="262"/>
      <w:bookmarkEnd w:id="262"/>
      <w:r>
        <w:rPr>
          <w:b w:val="0"/>
          <w:bCs w:val="0"/>
        </w:rPr>
      </w:r>
      <w:r>
        <w:rPr>
          <w:rFonts w:ascii="Times New Roman" w:hAnsi="Times New Roman" w:cs="Times New Roman" w:eastAsia="Times New Roman" w:hint="default"/>
        </w:rPr>
        <w:t>18</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9、应付票据及应付账款" w:id="263"/>
      <w:bookmarkEnd w:id="263"/>
      <w:r>
        <w:rPr>
          <w:b w:val="0"/>
          <w:bCs w:val="0"/>
        </w:rPr>
      </w:r>
      <w:r>
        <w:rPr>
          <w:rFonts w:ascii="Times New Roman" w:hAnsi="Times New Roman" w:cs="Times New Roman" w:eastAsia="Times New Roman" w:hint="default"/>
        </w:rPr>
        <w:t>19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566,782.47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1,792,594.95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566,782.47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1,792,594.95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应付账款列示" w:id="264"/>
      <w:bookmarkEnd w:id="26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566,782.47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1,619,754.72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172,840.23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566,782.47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1,792,594.95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20、预收款项" w:id="265"/>
      <w:bookmarkEnd w:id="265"/>
      <w:r>
        <w:rPr>
          <w:b w:val="0"/>
          <w:bCs w:val="0"/>
        </w:rPr>
      </w:r>
      <w:r>
        <w:rPr>
          <w:rFonts w:ascii="Times New Roman" w:hAnsi="Times New Roman" w:cs="Times New Roman" w:eastAsia="Times New Roman" w:hint="default"/>
        </w:rPr>
        <w:t>20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66"/>
      <w:bookmarkEnd w:id="26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338,122.03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2,301,528.60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188,700.00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338,122.03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2,515,708.60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1、应付职工薪酬" w:id="267"/>
      <w:bookmarkEnd w:id="267"/>
      <w:r>
        <w:rPr>
          <w:b w:val="0"/>
          <w:bCs w:val="0"/>
        </w:rPr>
      </w:r>
      <w:r>
        <w:rPr>
          <w:rFonts w:ascii="Times New Roman" w:hAnsi="Times New Roman" w:cs="Times New Roman" w:eastAsia="Times New Roman" w:hint="default"/>
        </w:rPr>
        <w:t>21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68"/>
      <w:bookmarkEnd w:id="26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52,713,164.11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324,880,897.71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310,717,456.36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66,876,605.46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13,526.36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15,923,797.69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15,895,582.85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41,741.20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725,840.24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725,840.24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52,726,690.47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341,530,535.64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327,338,879.45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66,918,346.66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69"/>
      <w:bookmarkEnd w:id="26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47,479,744.38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302,749,104.66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288,544,542.32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61,684,306.72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3,495,292.53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5,049,374.09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5,049,374.09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3,495,292.53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9,239,473.92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9,239,473.92</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8,380,882.95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8,380,882.95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282,315.81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282,315.81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561,918.69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561,918.69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7,842,945.04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7,842,945.04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1,738,127.20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41,120.99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1,697,006.21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52,713,164.11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324,880,897.71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310,717,456.36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66,876,605.46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70"/>
      <w:bookmarkEnd w:id="27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13,526.36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15,476,300.88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15,448,086.04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41,741.20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447,496.81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447,496.81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13,526.36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15,923,797.69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15,895,582.85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41,741.20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2、应交税费" w:id="271"/>
      <w:bookmarkEnd w:id="271"/>
      <w:r>
        <w:rPr>
          <w:b w:val="0"/>
          <w:bCs w:val="0"/>
        </w:rPr>
      </w:r>
      <w:r>
        <w:rPr>
          <w:rFonts w:ascii="Times New Roman" w:hAnsi="Times New Roman" w:cs="Times New Roman" w:eastAsia="Times New Roman" w:hint="default"/>
        </w:rPr>
        <w:t>22</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4"/>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921,750.79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471,573.00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1,413,614.71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3,632,680.89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64,522.56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27,652.52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18,435.02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58,451.10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54,213.80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5,603.52</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2,504,426.70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4,164,071.21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3、其他应付款" w:id="272"/>
      <w:bookmarkEnd w:id="272"/>
      <w:r>
        <w:rPr>
          <w:b w:val="0"/>
          <w:bCs w:val="0"/>
        </w:rPr>
      </w:r>
      <w:r>
        <w:rPr>
          <w:rFonts w:ascii="Times New Roman" w:hAnsi="Times New Roman" w:cs="Times New Roman" w:eastAsia="Times New Roman" w:hint="default"/>
        </w:rPr>
        <w:t>23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1,897,336.86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1,456,712.00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104,660,825.82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164,706,546.80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106,558,162.68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166,163,258.80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应付股利" w:id="273"/>
      <w:bookmarkEnd w:id="273"/>
      <w:r>
        <w:rPr>
          <w:b w:val="0"/>
          <w:bCs w:val="0"/>
        </w:rPr>
      </w:r>
      <w:r>
        <w:rPr/>
        <w:t>（</w:t>
      </w:r>
      <w:r>
        <w:rPr>
          <w:rFonts w:ascii="Times New Roman" w:hAnsi="Times New Roman" w:cs="Times New Roman" w:eastAsia="Times New Roman" w:hint="default"/>
        </w:rPr>
        <w:t>1</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1,897,336.86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1,456,712.00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1,897,336.86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1,456,712.00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应付款" w:id="274"/>
      <w:bookmarkEnd w:id="274"/>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104,047,153.71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164,427,447.20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613,672.11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279,099.60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104,660,825.82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164,706,546.80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4、股本" w:id="275"/>
      <w:bookmarkEnd w:id="275"/>
      <w:r>
        <w:rPr>
          <w:b w:val="0"/>
          <w:bCs w:val="0"/>
        </w:rPr>
      </w:r>
      <w:r>
        <w:rPr>
          <w:rFonts w:ascii="Times New Roman" w:hAnsi="Times New Roman" w:cs="Times New Roman" w:eastAsia="Times New Roman" w:hint="default"/>
        </w:rPr>
        <w:t>24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107,885,550.00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2" w:right="0"/>
              <w:jc w:val="left"/>
              <w:rPr>
                <w:rFonts w:ascii="Times New Roman" w:hAnsi="Times New Roman" w:cs="Times New Roman" w:eastAsia="Times New Roman" w:hint="default"/>
                <w:sz w:val="18"/>
                <w:szCs w:val="18"/>
              </w:rPr>
            </w:pPr>
            <w:r>
              <w:rPr>
                <w:rFonts w:ascii="Times New Roman"/>
                <w:sz w:val="18"/>
              </w:rPr>
              <w:t>276,000.00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86,529,240.00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-408,711.00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86,396,529.00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194,282,079.00</w:t>
            </w:r>
          </w:p>
        </w:tc>
      </w:tr>
    </w:tbl>
    <w:p>
      <w:pPr>
        <w:pStyle w:val="BodyText"/>
        <w:spacing w:line="439" w:lineRule="auto" w:before="51"/>
        <w:ind w:right="5082"/>
        <w:jc w:val="left"/>
      </w:pPr>
      <w:r>
        <w:rPr/>
        <w:t>其他说明： 报告期公司股份变动情况详见“三、（一）、</w:t>
      </w:r>
      <w:r>
        <w:rPr>
          <w:rFonts w:ascii="宋体" w:hAnsi="宋体" w:cs="宋体" w:eastAsia="宋体" w:hint="default"/>
        </w:rPr>
        <w:t>1</w:t>
      </w:r>
      <w:r>
        <w:rPr/>
        <w:t>、公司历史沿革”说明。 “其他”为回购注销的限制性股票。</w:t>
      </w:r>
    </w:p>
    <w:p>
      <w:pPr>
        <w:spacing w:line="240" w:lineRule="auto" w:before="7"/>
        <w:rPr>
          <w:rFonts w:ascii="宋体" w:hAnsi="宋体" w:cs="宋体" w:eastAsia="宋体" w:hint="default"/>
          <w:sz w:val="15"/>
          <w:szCs w:val="15"/>
        </w:rPr>
      </w:pPr>
    </w:p>
    <w:p>
      <w:pPr>
        <w:pStyle w:val="Heading3"/>
        <w:spacing w:line="240" w:lineRule="auto"/>
        <w:ind w:right="0"/>
        <w:jc w:val="left"/>
        <w:rPr>
          <w:b w:val="0"/>
          <w:bCs w:val="0"/>
        </w:rPr>
      </w:pPr>
      <w:bookmarkStart w:name="25、资本公积" w:id="276"/>
      <w:bookmarkEnd w:id="276"/>
      <w:r>
        <w:rPr>
          <w:b w:val="0"/>
          <w:bCs w:val="0"/>
        </w:rPr>
      </w:r>
      <w:r>
        <w:rPr>
          <w:rFonts w:ascii="Times New Roman" w:hAnsi="Times New Roman" w:cs="Times New Roman" w:eastAsia="Times New Roman" w:hint="default"/>
        </w:rPr>
        <w:t>25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657,021,487.89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26,986,611.00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92,958,655.62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591,049,443.27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25,651,923.77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5,397,069.68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26,101,989.98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4,947,003.47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682,673,411.66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32,383,680.68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119,060,645.60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595,996,446.74</w:t>
            </w:r>
          </w:p>
        </w:tc>
      </w:tr>
    </w:tbl>
    <w:p>
      <w:pPr>
        <w:pStyle w:val="BodyText"/>
        <w:spacing w:line="357" w:lineRule="auto" w:before="51"/>
        <w:ind w:right="6612"/>
        <w:jc w:val="left"/>
      </w:pPr>
      <w:r>
        <w:rPr/>
        <w:t>其他说明，包括本期增减变动情况、变动原因说明： 股本溢价本期变动说明：</w:t>
      </w:r>
    </w:p>
    <w:p>
      <w:pPr>
        <w:pStyle w:val="BodyText"/>
        <w:spacing w:line="240" w:lineRule="auto" w:before="29"/>
        <w:ind w:right="0"/>
        <w:jc w:val="left"/>
      </w:pPr>
      <w:r>
        <w:rPr/>
        <w:t>（</w:t>
      </w:r>
      <w:r>
        <w:rPr>
          <w:rFonts w:ascii="Times New Roman" w:hAnsi="Times New Roman" w:cs="Times New Roman" w:eastAsia="Times New Roman" w:hint="default"/>
        </w:rPr>
        <w:t>1</w:t>
      </w:r>
      <w:r>
        <w:rPr/>
        <w:t>）本期增加：</w:t>
      </w:r>
    </w:p>
    <w:p>
      <w:pPr>
        <w:pStyle w:val="BodyText"/>
        <w:spacing w:line="300" w:lineRule="auto" w:before="101"/>
        <w:ind w:right="0"/>
        <w:jc w:val="left"/>
      </w:pPr>
      <w:r>
        <w:rPr/>
        <w:t>①</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2017</w:t>
      </w:r>
      <w:r>
        <w:rPr/>
        <w:t>年第一次临时股东大会审议并通过了《关于审核</w:t>
      </w:r>
      <w:r>
        <w:rPr>
          <w:rFonts w:ascii="Times New Roman" w:hAnsi="Times New Roman" w:cs="Times New Roman" w:eastAsia="Times New Roman" w:hint="default"/>
        </w:rPr>
        <w:t>&lt;</w:t>
      </w:r>
      <w:r>
        <w:rPr/>
        <w:t>深圳四方精创资讯股份 </w:t>
      </w:r>
      <w:r>
        <w:rPr>
          <w:spacing w:val="-1"/>
        </w:rPr>
        <w:t>有限公司</w:t>
      </w:r>
      <w:r>
        <w:rPr>
          <w:rFonts w:ascii="Times New Roman" w:hAnsi="Times New Roman" w:cs="Times New Roman" w:eastAsia="Times New Roman" w:hint="default"/>
          <w:spacing w:val="-1"/>
        </w:rPr>
        <w:t>2016</w:t>
      </w:r>
      <w:r>
        <w:rPr>
          <w:spacing w:val="-1"/>
        </w:rPr>
        <w:t>年限制性股票激励计划（草案）</w:t>
      </w:r>
      <w:r>
        <w:rPr>
          <w:rFonts w:ascii="Times New Roman" w:hAnsi="Times New Roman" w:cs="Times New Roman" w:eastAsia="Times New Roman" w:hint="default"/>
          <w:spacing w:val="-1"/>
        </w:rPr>
        <w:t>&gt;</w:t>
      </w:r>
      <w:r>
        <w:rPr>
          <w:spacing w:val="-1"/>
        </w:rPr>
        <w:t>及其摘要的议案》及第二届董事会第二十八次会议审议通过的《关于向激励</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28"/>
        <w:jc w:val="left"/>
      </w:pPr>
      <w:r>
        <w:rPr/>
        <w:t>对象授予预留限制性股票的议案》，公司以</w:t>
      </w:r>
      <w:r>
        <w:rPr>
          <w:rFonts w:ascii="Times New Roman" w:hAnsi="Times New Roman" w:cs="Times New Roman" w:eastAsia="Times New Roman" w:hint="default"/>
        </w:rPr>
        <w:t>23.82</w:t>
      </w:r>
      <w:r>
        <w:rPr/>
        <w:t>元</w:t>
      </w:r>
      <w:r>
        <w:rPr>
          <w:rFonts w:ascii="Times New Roman" w:hAnsi="Times New Roman" w:cs="Times New Roman" w:eastAsia="Times New Roman" w:hint="default"/>
        </w:rPr>
        <w:t>/</w:t>
      </w:r>
      <w:r>
        <w:rPr/>
        <w:t>股的价格向王超、胡晓宇授予限制性股票</w:t>
      </w:r>
      <w:r>
        <w:rPr>
          <w:rFonts w:ascii="Times New Roman" w:hAnsi="Times New Roman" w:cs="Times New Roman" w:eastAsia="Times New Roman" w:hint="default"/>
        </w:rPr>
        <w:t>276,000</w:t>
      </w:r>
      <w:r>
        <w:rPr/>
        <w:t>股。截至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 </w:t>
      </w:r>
      <w:r>
        <w:rPr>
          <w:spacing w:val="-1"/>
        </w:rPr>
        <w:t>止，公司已收到限制性股票激励对象缴纳的新增出资款人民币</w:t>
      </w:r>
      <w:r>
        <w:rPr>
          <w:rFonts w:ascii="Times New Roman" w:hAnsi="Times New Roman" w:cs="Times New Roman" w:eastAsia="Times New Roman" w:hint="default"/>
          <w:spacing w:val="-1"/>
        </w:rPr>
        <w:t>6,574,320.00</w:t>
      </w:r>
      <w:r>
        <w:rPr>
          <w:spacing w:val="-1"/>
        </w:rPr>
        <w:t>元，扣除与增资相关的费用为人民币</w:t>
      </w:r>
      <w:r>
        <w:rPr>
          <w:rFonts w:ascii="Times New Roman" w:hAnsi="Times New Roman" w:cs="Times New Roman" w:eastAsia="Times New Roman" w:hint="default"/>
          <w:spacing w:val="-1"/>
        </w:rPr>
        <w:t>37,996.23</w:t>
      </w:r>
      <w:r>
        <w:rPr>
          <w:spacing w:val="-1"/>
        </w:rPr>
        <w:t>元，</w:t>
      </w:r>
      <w:r>
        <w:rPr>
          <w:spacing w:val="-66"/>
        </w:rPr>
        <w:t> </w:t>
      </w:r>
      <w:r>
        <w:rPr/>
        <w:t>实际收到的出资款净额为人民币</w:t>
      </w:r>
      <w:r>
        <w:rPr>
          <w:rFonts w:ascii="Times New Roman" w:hAnsi="Times New Roman" w:cs="Times New Roman" w:eastAsia="Times New Roman" w:hint="default"/>
        </w:rPr>
        <w:t>6,536,323.77</w:t>
      </w:r>
      <w:r>
        <w:rPr/>
        <w:t>元。其中</w:t>
      </w:r>
      <w:r>
        <w:rPr>
          <w:rFonts w:ascii="Times New Roman" w:hAnsi="Times New Roman" w:cs="Times New Roman" w:eastAsia="Times New Roman" w:hint="default"/>
        </w:rPr>
        <w:t>276,000.00</w:t>
      </w:r>
      <w:r>
        <w:rPr/>
        <w:t>元作为新增注册资本</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，其余</w:t>
      </w:r>
      <w:r>
        <w:rPr>
          <w:rFonts w:ascii="Times New Roman" w:hAnsi="Times New Roman" w:cs="Times New Roman" w:eastAsia="Times New Roman" w:hint="default"/>
        </w:rPr>
        <w:t>6,260,323.77</w:t>
      </w:r>
      <w:r>
        <w:rPr/>
        <w:t>元计入资本公 积。</w:t>
      </w:r>
    </w:p>
    <w:p>
      <w:pPr>
        <w:pStyle w:val="BodyText"/>
        <w:spacing w:line="240" w:lineRule="auto" w:before="71"/>
        <w:ind w:right="0"/>
        <w:jc w:val="left"/>
      </w:pPr>
      <w:r>
        <w:rPr/>
        <w:t>②与已解锁的限制性股票相关的资本公积</w:t>
      </w:r>
      <w:r>
        <w:rPr>
          <w:rFonts w:ascii="Times New Roman" w:hAnsi="Times New Roman" w:cs="Times New Roman" w:eastAsia="Times New Roman" w:hint="default"/>
        </w:rPr>
        <w:t>20,726,287.23</w:t>
      </w:r>
      <w:r>
        <w:rPr/>
        <w:t>元由其它资本公积重分类至资本溢价。</w:t>
      </w:r>
    </w:p>
    <w:p>
      <w:pPr>
        <w:pStyle w:val="BodyText"/>
        <w:spacing w:line="240" w:lineRule="auto" w:before="103"/>
        <w:ind w:right="0"/>
        <w:jc w:val="left"/>
      </w:pPr>
      <w:r>
        <w:rPr/>
        <w:t>（</w:t>
      </w:r>
      <w:r>
        <w:rPr>
          <w:rFonts w:ascii="Times New Roman" w:hAnsi="Times New Roman" w:cs="Times New Roman" w:eastAsia="Times New Roman" w:hint="default"/>
        </w:rPr>
        <w:t>2</w:t>
      </w:r>
      <w:r>
        <w:rPr/>
        <w:t>）本期减少：</w:t>
      </w:r>
    </w:p>
    <w:p>
      <w:pPr>
        <w:pStyle w:val="BodyText"/>
        <w:spacing w:line="300" w:lineRule="auto" w:before="101"/>
        <w:ind w:right="1039"/>
        <w:jc w:val="both"/>
      </w:pPr>
      <w:r>
        <w:rPr/>
        <w:t>①</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日，根据公司第三届董事会第二次会议通过的《关于回购注销部分已授予限制性股票的议案》，公司回购注 销部分已授予限制性股票，向董玲玲、孙舰、朱炳飞、谭伟明、王海燕、刘海生、梅世城、谭新安及李海锋回购</w:t>
      </w:r>
      <w:r>
        <w:rPr>
          <w:rFonts w:ascii="Times New Roman" w:hAnsi="Times New Roman" w:cs="Times New Roman" w:eastAsia="Times New Roman" w:hint="default"/>
        </w:rPr>
        <w:t>68,720</w:t>
      </w:r>
      <w:r>
        <w:rPr/>
        <w:t>股限</w:t>
      </w:r>
      <w:r>
        <w:rPr>
          <w:spacing w:val="1"/>
        </w:rPr>
        <w:t> </w:t>
      </w:r>
      <w:r>
        <w:rPr>
          <w:spacing w:val="-4"/>
        </w:rPr>
        <w:t>制性股票。上述回购股份价值合计为</w:t>
      </w:r>
      <w:r>
        <w:rPr>
          <w:rFonts w:ascii="Times New Roman" w:hAnsi="Times New Roman" w:cs="Times New Roman" w:eastAsia="Times New Roman" w:hint="default"/>
          <w:spacing w:val="-4"/>
        </w:rPr>
        <w:t>1,818,793.65</w:t>
      </w:r>
      <w:r>
        <w:rPr>
          <w:spacing w:val="-4"/>
        </w:rPr>
        <w:t>元，其中：股本</w:t>
      </w:r>
      <w:r>
        <w:rPr>
          <w:rFonts w:ascii="Times New Roman" w:hAnsi="Times New Roman" w:cs="Times New Roman" w:eastAsia="Times New Roman" w:hint="default"/>
          <w:spacing w:val="-4"/>
        </w:rPr>
        <w:t>68,720.00</w:t>
      </w:r>
      <w:r>
        <w:rPr>
          <w:spacing w:val="-4"/>
        </w:rPr>
        <w:t>元，其余</w:t>
      </w:r>
      <w:r>
        <w:rPr>
          <w:rFonts w:ascii="Times New Roman" w:hAnsi="Times New Roman" w:cs="Times New Roman" w:eastAsia="Times New Roman" w:hint="default"/>
          <w:spacing w:val="-4"/>
        </w:rPr>
        <w:t>1,712,337.80</w:t>
      </w:r>
      <w:r>
        <w:rPr>
          <w:spacing w:val="-4"/>
        </w:rPr>
        <w:t>元冲减资本公积（股本溢价）。</w:t>
      </w:r>
    </w:p>
    <w:p>
      <w:pPr>
        <w:pStyle w:val="BodyText"/>
        <w:spacing w:line="302" w:lineRule="auto" w:before="51"/>
        <w:ind w:right="1030"/>
        <w:jc w:val="left"/>
      </w:pPr>
      <w:r>
        <w:rPr>
          <w:spacing w:val="-3"/>
        </w:rPr>
        <w:t>②</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8</w:t>
      </w:r>
      <w:r>
        <w:rPr>
          <w:spacing w:val="-3"/>
        </w:rPr>
        <w:t>日，根据</w:t>
      </w:r>
      <w:r>
        <w:rPr>
          <w:rFonts w:ascii="Times New Roman" w:hAnsi="Times New Roman" w:cs="Times New Roman" w:eastAsia="Times New Roman" w:hint="default"/>
          <w:spacing w:val="-3"/>
        </w:rPr>
        <w:t>2017</w:t>
      </w:r>
      <w:r>
        <w:rPr>
          <w:spacing w:val="-3"/>
        </w:rPr>
        <w:t>年股东大会会议审议通过的《关于审议 </w:t>
      </w:r>
      <w:r>
        <w:rPr>
          <w:rFonts w:ascii="Times New Roman" w:hAnsi="Times New Roman" w:cs="Times New Roman" w:eastAsia="Times New Roman" w:hint="default"/>
        </w:rPr>
        <w:t>2017</w:t>
      </w:r>
      <w:r>
        <w:rPr>
          <w:rFonts w:ascii="Times New Roman" w:hAnsi="Times New Roman" w:cs="Times New Roman" w:eastAsia="Times New Roman" w:hint="default"/>
          <w:spacing w:val="41"/>
        </w:rPr>
        <w:t> </w:t>
      </w:r>
      <w:r>
        <w:rPr>
          <w:spacing w:val="-3"/>
        </w:rPr>
        <w:t>年度利润分配及资本公积金转增股本预案的议案》，</w:t>
      </w:r>
      <w:r>
        <w:rPr/>
        <w:t> 以公司现有总股本</w:t>
      </w:r>
      <w:r>
        <w:rPr>
          <w:rFonts w:ascii="Times New Roman" w:hAnsi="Times New Roman" w:cs="Times New Roman" w:eastAsia="Times New Roman" w:hint="default"/>
        </w:rPr>
        <w:t>108,092,830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8.005086</w:t>
      </w:r>
      <w:r>
        <w:rPr/>
        <w:t>股，减少资本公积</w:t>
      </w:r>
      <w:r>
        <w:rPr>
          <w:rFonts w:ascii="Times New Roman" w:hAnsi="Times New Roman" w:cs="Times New Roman" w:eastAsia="Times New Roman" w:hint="default"/>
        </w:rPr>
        <w:t>86,529,240.00</w:t>
      </w:r>
      <w:r>
        <w:rPr/>
        <w:t>元。</w:t>
      </w:r>
    </w:p>
    <w:p>
      <w:pPr>
        <w:pStyle w:val="BodyText"/>
        <w:spacing w:line="300" w:lineRule="auto" w:before="50"/>
        <w:ind w:right="1122"/>
        <w:jc w:val="left"/>
      </w:pPr>
      <w:r>
        <w:rPr/>
        <w:t>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日，根据公司第三届董事会第七次会议审议通过的《关于回购注销部分已授予限制性股票的议案》，公司回 购注销</w:t>
      </w:r>
      <w:r>
        <w:rPr>
          <w:rFonts w:ascii="Times New Roman" w:hAnsi="Times New Roman" w:cs="Times New Roman" w:eastAsia="Times New Roman" w:hint="default"/>
        </w:rPr>
        <w:t>32</w:t>
      </w:r>
      <w:r>
        <w:rPr/>
        <w:t>名激励对象已获授但尚未解锁的限制性股票共</w:t>
      </w:r>
      <w:r>
        <w:rPr>
          <w:rFonts w:ascii="Times New Roman" w:hAnsi="Times New Roman" w:cs="Times New Roman" w:eastAsia="Times New Roman" w:hint="default"/>
        </w:rPr>
        <w:t>339,991</w:t>
      </w:r>
      <w:r>
        <w:rPr/>
        <w:t>股。上述回购股份价值合计为</w:t>
      </w:r>
      <w:r>
        <w:rPr>
          <w:rFonts w:ascii="Times New Roman" w:hAnsi="Times New Roman" w:cs="Times New Roman" w:eastAsia="Times New Roman" w:hint="default"/>
        </w:rPr>
        <w:t>4,899,965.76</w:t>
      </w:r>
      <w:r>
        <w:rPr/>
        <w:t>元，其中：股本 </w:t>
      </w:r>
      <w:r>
        <w:rPr>
          <w:rFonts w:ascii="Times New Roman" w:hAnsi="Times New Roman" w:cs="Times New Roman" w:eastAsia="Times New Roman" w:hint="default"/>
        </w:rPr>
        <w:t>339,991.00</w:t>
      </w:r>
      <w:r>
        <w:rPr/>
        <w:t>元，其余</w:t>
      </w:r>
      <w:r>
        <w:rPr>
          <w:rFonts w:ascii="Times New Roman" w:hAnsi="Times New Roman" w:cs="Times New Roman" w:eastAsia="Times New Roman" w:hint="default"/>
        </w:rPr>
        <w:t>4,559,974.76</w:t>
      </w:r>
      <w:r>
        <w:rPr/>
        <w:t>元冲减资本公积（股本溢价）。</w:t>
      </w:r>
    </w:p>
    <w:p>
      <w:pPr>
        <w:pStyle w:val="BodyText"/>
        <w:spacing w:line="338" w:lineRule="auto" w:before="52"/>
        <w:ind w:right="4182"/>
        <w:jc w:val="left"/>
      </w:pPr>
      <w:r>
        <w:rPr/>
        <w:t>④与上述事项相关的验资及登记费用为</w:t>
      </w:r>
      <w:r>
        <w:rPr>
          <w:rFonts w:ascii="Times New Roman" w:hAnsi="Times New Roman" w:cs="Times New Roman" w:eastAsia="Times New Roman" w:hint="default"/>
        </w:rPr>
        <w:t>157,103.06</w:t>
      </w:r>
      <w:r>
        <w:rPr/>
        <w:t>元，冲减资本公积（股本溢价）。 其他资本公积本期变动说明：</w:t>
      </w:r>
    </w:p>
    <w:p>
      <w:pPr>
        <w:pStyle w:val="BodyText"/>
        <w:spacing w:line="240" w:lineRule="auto" w:before="43"/>
        <w:ind w:right="0"/>
        <w:jc w:val="left"/>
      </w:pPr>
      <w:r>
        <w:rPr/>
        <w:t>（</w:t>
      </w:r>
      <w:r>
        <w:rPr>
          <w:rFonts w:ascii="Times New Roman" w:hAnsi="Times New Roman" w:cs="Times New Roman" w:eastAsia="Times New Roman" w:hint="default"/>
        </w:rPr>
        <w:t>1</w:t>
      </w:r>
      <w:r>
        <w:rPr/>
        <w:t>）本期增加</w:t>
      </w:r>
    </w:p>
    <w:p>
      <w:pPr>
        <w:pStyle w:val="BodyText"/>
        <w:spacing w:line="319" w:lineRule="auto" w:before="101"/>
        <w:ind w:right="0"/>
        <w:jc w:val="left"/>
      </w:pPr>
      <w:r>
        <w:rPr>
          <w:spacing w:val="-2"/>
        </w:rPr>
        <w:t>①权益法核算的长期股权投资，投资方享有的被投资单位除净利润、利润分配以及其他综合收益以外所有者权益的其他变动</w:t>
      </w:r>
      <w:r>
        <w:rPr>
          <w:spacing w:val="-64"/>
        </w:rPr>
        <w:t> </w:t>
      </w:r>
      <w:r>
        <w:rPr>
          <w:spacing w:val="-64"/>
        </w:rPr>
      </w:r>
      <w:r>
        <w:rPr/>
        <w:t>的份额</w:t>
      </w:r>
      <w:r>
        <w:rPr>
          <w:rFonts w:ascii="Times New Roman" w:hAnsi="Times New Roman" w:cs="Times New Roman" w:eastAsia="Times New Roman" w:hint="default"/>
        </w:rPr>
        <w:t>1,947,545.25</w:t>
      </w:r>
      <w:r>
        <w:rPr/>
        <w:t>元。</w:t>
      </w:r>
    </w:p>
    <w:p>
      <w:pPr>
        <w:pStyle w:val="BodyText"/>
        <w:spacing w:line="302" w:lineRule="auto" w:before="35"/>
        <w:ind w:right="1212"/>
        <w:jc w:val="left"/>
      </w:pPr>
      <w:r>
        <w:rPr/>
        <w:t>②</w:t>
      </w:r>
      <w:r>
        <w:rPr>
          <w:rFonts w:ascii="Times New Roman" w:hAnsi="Times New Roman" w:cs="Times New Roman" w:eastAsia="Times New Roman" w:hint="default"/>
        </w:rPr>
        <w:t>2018</w:t>
      </w:r>
      <w:r>
        <w:rPr/>
        <w:t>年股权激励摊销费用以及股权激励预计未来期间可税前扣除的金额超过本年确认的与股份支付相关的成本费用的所 得税影响数</w:t>
      </w:r>
      <w:r>
        <w:rPr>
          <w:rFonts w:ascii="Times New Roman" w:hAnsi="Times New Roman" w:cs="Times New Roman" w:eastAsia="Times New Roman" w:hint="default"/>
        </w:rPr>
        <w:t>3,449,524.43</w:t>
      </w:r>
      <w:r>
        <w:rPr/>
        <w:t>元。</w:t>
      </w:r>
    </w:p>
    <w:p>
      <w:pPr>
        <w:pStyle w:val="BodyText"/>
        <w:spacing w:line="240" w:lineRule="auto" w:before="52"/>
        <w:ind w:right="0"/>
        <w:jc w:val="left"/>
      </w:pPr>
      <w:r>
        <w:rPr/>
        <w:t>（</w:t>
      </w:r>
      <w:r>
        <w:rPr>
          <w:rFonts w:ascii="Times New Roman" w:hAnsi="Times New Roman" w:cs="Times New Roman" w:eastAsia="Times New Roman" w:hint="default"/>
        </w:rPr>
        <w:t>2</w:t>
      </w:r>
      <w:r>
        <w:rPr/>
        <w:t>）本期减少</w:t>
      </w:r>
    </w:p>
    <w:p>
      <w:pPr>
        <w:pStyle w:val="BodyText"/>
        <w:spacing w:line="240" w:lineRule="auto" w:before="102"/>
        <w:ind w:right="0"/>
        <w:jc w:val="left"/>
      </w:pPr>
      <w:r>
        <w:rPr/>
        <w:t>①与已解锁的限制性股票相关的资本公积</w:t>
      </w:r>
      <w:r>
        <w:rPr>
          <w:rFonts w:ascii="Times New Roman" w:hAnsi="Times New Roman" w:cs="Times New Roman" w:eastAsia="Times New Roman" w:hint="default"/>
        </w:rPr>
        <w:t>20,726,287.23</w:t>
      </w:r>
      <w:r>
        <w:rPr/>
        <w:t>元由其它资本公积重分类至资本溢价。</w:t>
      </w:r>
    </w:p>
    <w:p>
      <w:pPr>
        <w:pStyle w:val="BodyText"/>
        <w:spacing w:line="240" w:lineRule="auto" w:before="102"/>
        <w:ind w:right="0"/>
        <w:jc w:val="left"/>
      </w:pPr>
      <w:r>
        <w:rPr/>
        <w:t>②未达到业绩条件的限制性股票调减股权激励费用</w:t>
      </w:r>
      <w:r>
        <w:rPr>
          <w:rFonts w:ascii="Times New Roman" w:hAnsi="Times New Roman" w:cs="Times New Roman" w:eastAsia="Times New Roman" w:hint="default"/>
        </w:rPr>
        <w:t>5,375,702.75</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6、库存股" w:id="277"/>
      <w:bookmarkEnd w:id="277"/>
      <w:r>
        <w:rPr>
          <w:b w:val="0"/>
          <w:bCs w:val="0"/>
        </w:rPr>
      </w:r>
      <w:r>
        <w:rPr>
          <w:rFonts w:ascii="Times New Roman" w:hAnsi="Times New Roman" w:cs="Times New Roman" w:eastAsia="Times New Roman" w:hint="default"/>
        </w:rPr>
        <w:t>26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164,427,447.20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6,574,320.00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66,954,613.49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104,047,153.71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164,427,447.20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6,574,320.00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66,954,613.49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104,047,153.71</w:t>
            </w:r>
          </w:p>
        </w:tc>
      </w:tr>
    </w:tbl>
    <w:p>
      <w:pPr>
        <w:pStyle w:val="BodyText"/>
        <w:spacing w:line="357" w:lineRule="auto" w:before="51"/>
        <w:ind w:left="514" w:right="0" w:hanging="360"/>
        <w:jc w:val="left"/>
      </w:pPr>
      <w:r>
        <w:rPr/>
        <w:t>其他说明，包括本期增减变动情况、变动原因说明： </w:t>
      </w:r>
      <w:r>
        <w:rPr>
          <w:spacing w:val="-2"/>
        </w:rPr>
        <w:t>本期库存股增加为股权激励计划确认的限制性股票回购义务，本期库存股减少为已解锁的限制性股票以及回购注销离职</w:t>
      </w:r>
    </w:p>
    <w:p>
      <w:pPr>
        <w:pStyle w:val="BodyText"/>
        <w:spacing w:line="225" w:lineRule="exact"/>
        <w:ind w:right="0"/>
        <w:jc w:val="left"/>
      </w:pPr>
      <w:r>
        <w:rPr/>
        <w:t>员工的限制性股票和限制性股票对应的未分配股利。</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7、其他综合收益" w:id="278"/>
      <w:bookmarkEnd w:id="278"/>
      <w:r>
        <w:rPr>
          <w:b w:val="0"/>
          <w:bCs w:val="0"/>
        </w:rPr>
      </w:r>
      <w:r>
        <w:rPr>
          <w:rFonts w:ascii="Times New Roman" w:hAnsi="Times New Roman" w:cs="Times New Roman" w:eastAsia="Times New Roman" w:hint="default"/>
        </w:rPr>
        <w:t>27</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2" w:right="101"/>
              <w:jc w:val="left"/>
              <w:rPr>
                <w:rFonts w:ascii="宋体" w:hAnsi="宋体" w:cs="宋体" w:eastAsia="宋体" w:hint="default"/>
                <w:sz w:val="18"/>
                <w:szCs w:val="18"/>
              </w:rPr>
            </w:pPr>
            <w:r>
              <w:rPr>
                <w:rFonts w:ascii="宋体" w:hAnsi="宋体" w:cs="宋体" w:eastAsia="宋体" w:hint="default"/>
                <w:sz w:val="18"/>
                <w:szCs w:val="18"/>
              </w:rPr>
              <w:t>本期所得 税前发生</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0" w:right="30"/>
              <w:jc w:val="left"/>
              <w:rPr>
                <w:rFonts w:ascii="宋体" w:hAnsi="宋体" w:cs="宋体" w:eastAsia="宋体" w:hint="default"/>
                <w:sz w:val="18"/>
                <w:szCs w:val="18"/>
              </w:rPr>
            </w:pPr>
            <w:r>
              <w:rPr>
                <w:rFonts w:ascii="宋体" w:hAnsi="宋体" w:cs="宋体" w:eastAsia="宋体" w:hint="default"/>
                <w:sz w:val="18"/>
                <w:szCs w:val="18"/>
              </w:rPr>
              <w:t>减：前期计入 其他综合收益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02" w:right="101"/>
              <w:jc w:val="left"/>
              <w:rPr>
                <w:rFonts w:ascii="宋体" w:hAnsi="宋体" w:cs="宋体" w:eastAsia="宋体" w:hint="default"/>
                <w:sz w:val="18"/>
                <w:szCs w:val="18"/>
              </w:rPr>
            </w:pPr>
            <w:r>
              <w:rPr>
                <w:rFonts w:ascii="宋体" w:hAnsi="宋体" w:cs="宋体" w:eastAsia="宋体" w:hint="default"/>
                <w:sz w:val="18"/>
                <w:szCs w:val="18"/>
              </w:rPr>
              <w:t>税后归属 于少数股</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62"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东</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-1,022,259.68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2,917,462.5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2,917,462.5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1,895,202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-1,022,259.68</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2,917,462.5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2,917,462.5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1,895,202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r>
      <w:tr>
        <w:trPr>
          <w:trHeight w:val="393"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-1,022,259.68</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2,917,462.5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2,917,462.5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1,895,202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8、盈余公积" w:id="279"/>
      <w:bookmarkEnd w:id="279"/>
      <w:r>
        <w:rPr>
          <w:b w:val="0"/>
          <w:bCs w:val="0"/>
        </w:rPr>
      </w:r>
      <w:r>
        <w:rPr>
          <w:rFonts w:ascii="Times New Roman" w:hAnsi="Times New Roman" w:cs="Times New Roman" w:eastAsia="Times New Roman" w:hint="default"/>
        </w:rPr>
        <w:t>28</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51,893,338.95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6,516,862.50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58,410,201.45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51,893,338.95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6,516,862.50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58,410,201.45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未分配利润" w:id="280"/>
      <w:bookmarkEnd w:id="280"/>
      <w:r>
        <w:rPr>
          <w:b w:val="0"/>
          <w:bCs w:val="0"/>
        </w:rPr>
      </w:r>
      <w:r>
        <w:rPr>
          <w:rFonts w:ascii="Times New Roman" w:hAnsi="Times New Roman" w:cs="Times New Roman" w:eastAsia="Times New Roman" w:hint="default"/>
        </w:rPr>
        <w:t>29</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272,318,474.54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218,992,123.78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272,318,474.54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218,992,123.78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68,804,381.94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88,163,361.56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6,516,862.50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8,497,385.80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支付现金股利</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26,938,224.59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26,339,625.00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307,667,769.39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272,318,474.54</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0、营业收入和营业成本" w:id="281"/>
      <w:bookmarkEnd w:id="281"/>
      <w:r>
        <w:rPr>
          <w:b w:val="0"/>
          <w:bCs w:val="0"/>
        </w:rPr>
      </w:r>
      <w:r>
        <w:rPr>
          <w:rFonts w:ascii="Times New Roman" w:hAnsi="Times New Roman" w:cs="Times New Roman" w:eastAsia="Times New Roman" w:hint="default"/>
        </w:rPr>
        <w:t>30</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20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7" w:right="0"/>
              <w:jc w:val="left"/>
              <w:rPr>
                <w:rFonts w:ascii="Times New Roman" w:hAnsi="Times New Roman" w:cs="Times New Roman" w:eastAsia="Times New Roman" w:hint="default"/>
                <w:sz w:val="18"/>
                <w:szCs w:val="18"/>
              </w:rPr>
            </w:pPr>
            <w:r>
              <w:rPr>
                <w:rFonts w:ascii="Times New Roman"/>
                <w:sz w:val="18"/>
              </w:rPr>
              <w:t>487,816,568.83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296,668,303.89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507,805,831.97</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264,458,756.04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487,816,568.83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296,668,303.89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507,805,831.97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264,458,756.04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税金及附加" w:id="282"/>
      <w:bookmarkEnd w:id="282"/>
      <w:r>
        <w:rPr>
          <w:b w:val="0"/>
          <w:bCs w:val="0"/>
        </w:rPr>
      </w:r>
      <w:r>
        <w:rPr>
          <w:rFonts w:ascii="Times New Roman" w:hAnsi="Times New Roman" w:cs="Times New Roman" w:eastAsia="Times New Roman" w:hint="default"/>
        </w:rPr>
        <w:t>31</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278,493.21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198,923.72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207,330.24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427,363.00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160,423.04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163,749.17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1,065,202.97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371,079.41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2、销售费用" w:id="283"/>
      <w:bookmarkEnd w:id="283"/>
      <w:r>
        <w:rPr>
          <w:b w:val="0"/>
          <w:bCs w:val="0"/>
        </w:rPr>
      </w:r>
      <w:r>
        <w:rPr>
          <w:rFonts w:ascii="Times New Roman" w:hAnsi="Times New Roman" w:cs="Times New Roman" w:eastAsia="Times New Roman" w:hint="default"/>
        </w:rPr>
        <w:t>32</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2,179,216.61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2,133,217.75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加班、出勤餐费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26,136.89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16,905.49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10,248.12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4,526.40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4,675.20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167,163.76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197,333.77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2,393,949.15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2,429,283.84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3、管理费用" w:id="284"/>
      <w:bookmarkEnd w:id="284"/>
      <w:r>
        <w:rPr>
          <w:b w:val="0"/>
          <w:bCs w:val="0"/>
        </w:rPr>
      </w:r>
      <w:r>
        <w:rPr>
          <w:rFonts w:ascii="Times New Roman" w:hAnsi="Times New Roman" w:cs="Times New Roman" w:eastAsia="Times New Roman" w:hint="default"/>
        </w:rPr>
        <w:t>33</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25,299,999.48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16,261,841.99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19,795,226.00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21,461,092.46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941,873.60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11,477,113.66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1,325,774.69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1,029,303.35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实习生费用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369,238.68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958,954.54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1,884,381.13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1,295,332.62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7,400,611.92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4,549,918.23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724,903.44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1,278,650.32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57,742,008.94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58,312,207.17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研发费用" w:id="285"/>
      <w:bookmarkEnd w:id="285"/>
      <w:r>
        <w:rPr>
          <w:b w:val="0"/>
          <w:bCs w:val="0"/>
        </w:rPr>
      </w:r>
      <w:r>
        <w:rPr>
          <w:rFonts w:ascii="Times New Roman" w:hAnsi="Times New Roman" w:cs="Times New Roman" w:eastAsia="Times New Roman" w:hint="default"/>
        </w:rPr>
        <w:t>34</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68,662,587.19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85,601,454.71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4,343,670.39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4,803,811.59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1,485,023.14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1,970,436.14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517,111.27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820,891.14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313,222.95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1,354,907.25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75,321,614.94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94,551,500.83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财务费用" w:id="286"/>
      <w:bookmarkEnd w:id="286"/>
      <w:r>
        <w:rPr>
          <w:b w:val="0"/>
          <w:bCs w:val="0"/>
        </w:rPr>
      </w:r>
      <w:r>
        <w:rPr>
          <w:rFonts w:ascii="Times New Roman" w:hAnsi="Times New Roman" w:cs="Times New Roman" w:eastAsia="Times New Roman" w:hint="default"/>
        </w:rPr>
        <w:t>35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6,441,627.14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4,778,202.92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-4,475,469.10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1,723,611.90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108,829.03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100,761.63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-10,808,267.21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-2,953,829.39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资产减值损失" w:id="287"/>
      <w:bookmarkEnd w:id="287"/>
      <w:r>
        <w:rPr>
          <w:b w:val="0"/>
          <w:bCs w:val="0"/>
        </w:rPr>
      </w:r>
      <w:r>
        <w:rPr>
          <w:rFonts w:ascii="Times New Roman" w:hAnsi="Times New Roman" w:cs="Times New Roman" w:eastAsia="Times New Roman" w:hint="default"/>
        </w:rPr>
        <w:t>36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2,778,775.44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1,798,368.23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2,778,775.44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1,798,368.23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投资收益" w:id="288"/>
      <w:bookmarkEnd w:id="288"/>
      <w:r>
        <w:rPr>
          <w:b w:val="0"/>
          <w:bCs w:val="0"/>
        </w:rPr>
      </w:r>
      <w:r>
        <w:rPr>
          <w:rFonts w:ascii="Times New Roman" w:hAnsi="Times New Roman" w:cs="Times New Roman" w:eastAsia="Times New Roman" w:hint="default"/>
        </w:rPr>
        <w:t>37</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2,897,730.55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-61,080.23</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5,037,730.55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-61,080.23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8、营业外收入" w:id="289"/>
      <w:bookmarkEnd w:id="289"/>
      <w:r>
        <w:rPr>
          <w:b w:val="0"/>
          <w:bCs w:val="0"/>
        </w:rPr>
      </w:r>
      <w:r>
        <w:rPr>
          <w:rFonts w:ascii="Times New Roman" w:hAnsi="Times New Roman" w:cs="Times New Roman" w:eastAsia="Times New Roman" w:hint="default"/>
        </w:rPr>
        <w:t>38</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4,098,847.28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3,456,300.00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4,098,847.28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300,385.76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416,094.94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300,385.76</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4,399,233.04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3,872,394.94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4,399,233.04</w:t>
            </w:r>
          </w:p>
        </w:tc>
      </w:tr>
    </w:tbl>
    <w:p>
      <w:pPr>
        <w:pStyle w:val="BodyText"/>
        <w:spacing w:line="240" w:lineRule="auto" w:before="51"/>
        <w:ind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南山区自主 创新产业发 展专项资金 资助款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南山区经济 促进局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 市外经贸发 展专项资金 服务贸易创 新发展项目 </w:t>
            </w:r>
            <w:r>
              <w:rPr>
                <w:rFonts w:ascii="宋体" w:hAnsi="宋体" w:cs="宋体" w:eastAsia="宋体" w:hint="default"/>
                <w:spacing w:val="-12"/>
                <w:sz w:val="18"/>
                <w:szCs w:val="18"/>
              </w:rPr>
              <w:t>服务贸易（服</w:t>
            </w:r>
            <w:r>
              <w:rPr>
                <w:rFonts w:ascii="宋体" w:hAnsi="宋体" w:cs="宋体" w:eastAsia="宋体" w:hint="default"/>
                <w:sz w:val="18"/>
                <w:szCs w:val="18"/>
              </w:rPr>
              <w:t> </w:t>
            </w:r>
            <w:r>
              <w:rPr>
                <w:rFonts w:ascii="宋体" w:hAnsi="宋体" w:cs="宋体" w:eastAsia="宋体" w:hint="default"/>
                <w:spacing w:val="-12"/>
                <w:sz w:val="18"/>
                <w:szCs w:val="18"/>
              </w:rPr>
              <w:t>务外包）人才</w:t>
            </w:r>
            <w:r>
              <w:rPr>
                <w:rFonts w:ascii="宋体" w:hAnsi="宋体" w:cs="宋体" w:eastAsia="宋体" w:hint="default"/>
                <w:sz w:val="18"/>
                <w:szCs w:val="18"/>
              </w:rPr>
              <w:t> 培训资助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27"/>
              <w:jc w:val="both"/>
              <w:rPr>
                <w:rFonts w:ascii="宋体" w:hAnsi="宋体" w:cs="宋体" w:eastAsia="宋体" w:hint="default"/>
                <w:sz w:val="18"/>
                <w:szCs w:val="18"/>
              </w:rPr>
            </w:pPr>
            <w:r>
              <w:rPr>
                <w:rFonts w:ascii="宋体" w:hAnsi="宋体" w:cs="宋体" w:eastAsia="宋体" w:hint="default"/>
                <w:sz w:val="18"/>
                <w:szCs w:val="18"/>
              </w:rPr>
              <w:t>深圳市经贸 和信息化委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2,079,000.00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失业稳岗补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深圳市社会 保险基金管 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262,847.28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both"/>
              <w:rPr>
                <w:rFonts w:ascii="宋体" w:hAnsi="宋体" w:cs="宋体" w:eastAsia="宋体" w:hint="default"/>
                <w:sz w:val="18"/>
                <w:szCs w:val="18"/>
              </w:rPr>
            </w:pPr>
            <w:r>
              <w:rPr>
                <w:rFonts w:ascii="宋体" w:hAnsi="宋体" w:cs="宋体" w:eastAsia="宋体" w:hint="default"/>
                <w:sz w:val="18"/>
                <w:szCs w:val="18"/>
              </w:rPr>
              <w:t>深圳市服务 贸易创新发 展试点项目 人才培训资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批计算机软 件著作权资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助费用</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p>
          <w:p>
            <w:pPr>
              <w:pStyle w:val="TableParagraph"/>
              <w:spacing w:line="319" w:lineRule="auto" w:before="61"/>
              <w:ind w:left="22" w:right="131"/>
              <w:jc w:val="left"/>
              <w:rPr>
                <w:rFonts w:ascii="宋体" w:hAnsi="宋体" w:cs="宋体" w:eastAsia="宋体" w:hint="default"/>
                <w:sz w:val="18"/>
                <w:szCs w:val="18"/>
              </w:rPr>
            </w:pPr>
            <w:r>
              <w:rPr>
                <w:rFonts w:ascii="宋体" w:hAnsi="宋体" w:cs="宋体" w:eastAsia="宋体" w:hint="default"/>
                <w:sz w:val="18"/>
                <w:szCs w:val="18"/>
              </w:rPr>
              <w:t>年人才安居 住房补租款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27"/>
              <w:jc w:val="left"/>
              <w:rPr>
                <w:rFonts w:ascii="宋体" w:hAnsi="宋体" w:cs="宋体" w:eastAsia="宋体" w:hint="default"/>
                <w:sz w:val="18"/>
                <w:szCs w:val="18"/>
              </w:rPr>
            </w:pPr>
            <w:r>
              <w:rPr>
                <w:rFonts w:ascii="宋体" w:hAnsi="宋体" w:cs="宋体" w:eastAsia="宋体" w:hint="default"/>
                <w:sz w:val="18"/>
                <w:szCs w:val="18"/>
              </w:rPr>
              <w:t>深圳市南山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760,000.00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 圳市中央外 经贸发展专 项资金服务 贸易创新发 展专项资金 服务外包人 才培训资助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营业外支出" w:id="290"/>
      <w:bookmarkEnd w:id="290"/>
      <w:r>
        <w:rPr>
          <w:b w:val="0"/>
          <w:bCs w:val="0"/>
        </w:rPr>
      </w:r>
      <w:r>
        <w:rPr>
          <w:rFonts w:ascii="Times New Roman" w:hAnsi="Times New Roman" w:cs="Times New Roman" w:eastAsia="Times New Roman" w:hint="default"/>
        </w:rPr>
        <w:t>39</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241,572.42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241,572.42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764,790.31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764,790.31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94,626.63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1,027,062.73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94,626.63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1,027,062.73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0、所得税费用" w:id="291"/>
      <w:bookmarkEnd w:id="291"/>
      <w:r>
        <w:rPr>
          <w:b w:val="0"/>
          <w:bCs w:val="0"/>
        </w:rPr>
      </w:r>
      <w:r>
        <w:rPr>
          <w:rFonts w:ascii="Times New Roman" w:hAnsi="Times New Roman" w:cs="Times New Roman" w:eastAsia="Times New Roman" w:hint="default"/>
        </w:rPr>
        <w:t>40</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92"/>
      <w:bookmarkEnd w:id="29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-1,035,723.02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2,221,563.29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3,296,222.65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2,170,229.07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2,260,499.63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4,391,792.36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会计利润与所得税费用调整过程" w:id="293"/>
      <w:bookmarkEnd w:id="29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71,064,881.57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10,659,732.24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58,086.52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-1,463,892.91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-795,286.65</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435,151.35</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20,476.34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加计扣除费用的影响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-7,068,436.77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境外子公司未分配利润产生的影响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414,669.51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2,260,499.63</w:t>
            </w:r>
          </w:p>
        </w:tc>
      </w:tr>
    </w:tbl>
    <w:p>
      <w:pPr>
        <w:spacing w:line="240" w:lineRule="auto" w:before="2"/>
        <w:rPr>
          <w:rFonts w:ascii="宋体" w:hAnsi="宋体" w:cs="宋体" w:eastAsia="宋体" w:hint="default"/>
          <w:sz w:val="19"/>
          <w:szCs w:val="19"/>
        </w:rPr>
      </w:pPr>
    </w:p>
    <w:p>
      <w:pPr>
        <w:spacing w:line="544" w:lineRule="auto" w:before="35"/>
        <w:ind w:left="154" w:right="8855" w:firstLine="0"/>
        <w:jc w:val="left"/>
        <w:rPr>
          <w:rFonts w:ascii="宋体" w:hAnsi="宋体" w:cs="宋体" w:eastAsia="宋体" w:hint="default"/>
          <w:sz w:val="21"/>
          <w:szCs w:val="21"/>
        </w:rPr>
      </w:pPr>
      <w:bookmarkStart w:name="41、其他综合收益" w:id="294"/>
      <w:bookmarkEnd w:id="294"/>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宋体" w:hAnsi="宋体" w:cs="宋体" w:eastAsia="宋体" w:hint="default"/>
          <w:sz w:val="18"/>
          <w:szCs w:val="18"/>
        </w:rPr>
        <w:t>。 </w:t>
      </w:r>
      <w:bookmarkStart w:name="42、现金流量表项目" w:id="295"/>
      <w:bookmarkEnd w:id="295"/>
      <w:r>
        <w:rPr>
          <w:rFonts w:ascii="宋体" w:hAnsi="宋体" w:cs="宋体" w:eastAsia="宋体" w:hint="default"/>
          <w:sz w:val="18"/>
          <w:szCs w:val="18"/>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bookmarkStart w:name="（1）收到的其他与经营活动有关的现金" w:id="296"/>
      <w:bookmarkEnd w:id="29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4,098,847.28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3,456,300.00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5,895,449.33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5,150,428.81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705,449.39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441,134.55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10,699,746.00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9,047,863.36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297"/>
      <w:bookmarkEnd w:id="29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销售及管理费用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31,381,784.63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33,752,031.09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108,829.03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100,761.63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111,568.06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432,140.50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567.369995pt;width:151.25pt;height:40.9pt;mso-position-horizontal-relative:page;mso-position-vertical-relative:page;z-index:-1205368" coordorigin="4467,11347" coordsize="3025,818">
            <v:group style="position:absolute;left:4478;top:11359;width:2;height:393" coordorigin="4478,11359" coordsize="2,393">
              <v:shape style="position:absolute;left:4478;top:11359;width:2;height:393" coordorigin="4478,11359" coordsize="0,393" path="m4478,11359l4478,11751e" filled="false" stroked="true" strokeweight="1.140pt" strokecolor="#ffffff">
                <v:path arrowok="t"/>
              </v:shape>
            </v:group>
            <v:group style="position:absolute;left:4490;top:11359;width:3002;height:393" coordorigin="4490,11359" coordsize="3002,393">
              <v:shape style="position:absolute;left:4490;top:11359;width:3002;height:393" coordorigin="4490,11359" coordsize="3002,393" path="m4490,11751l7491,11751,7491,11359,4490,11359,4490,11751xe" filled="true" fillcolor="#ffffff" stroked="false">
                <v:path arrowok="t"/>
                <v:fill type="solid"/>
              </v:shape>
            </v:group>
            <v:group style="position:absolute;left:4478;top:11761;width:2;height:393" coordorigin="4478,11761" coordsize="2,393">
              <v:shape style="position:absolute;left:4478;top:11761;width:2;height:393" coordorigin="4478,11761" coordsize="0,393" path="m4478,11761l4478,12153e" filled="false" stroked="true" strokeweight="1.140pt" strokecolor="#ffffff">
                <v:path arrowok="t"/>
              </v:shape>
            </v:group>
            <v:group style="position:absolute;left:4490;top:11761;width:3002;height:393" coordorigin="4490,11761" coordsize="3002,393">
              <v:shape style="position:absolute;left:4490;top:11761;width:3002;height:393" coordorigin="4490,11761" coordsize="3002,393" path="m4490,12153l7491,12153,7491,11761,4490,11761,4490,1215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存入保证金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罚款滞纳金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764,790.31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32,459,572.03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36,284,933.22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支付的其他与筹资活动有关的现金" w:id="298"/>
      <w:bookmarkEnd w:id="298"/>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发行股票费用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40,276.00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114,020.20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6,847,552.80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1,009,892.50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6,887,828.80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1,123,912.70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3、现金流量表补充资料" w:id="299"/>
      <w:bookmarkEnd w:id="299"/>
      <w:r>
        <w:rPr>
          <w:b w:val="0"/>
          <w:bCs w:val="0"/>
        </w:rPr>
      </w:r>
      <w:r>
        <w:rPr>
          <w:rFonts w:ascii="Times New Roman" w:hAnsi="Times New Roman" w:cs="Times New Roman" w:eastAsia="Times New Roman" w:hint="default"/>
        </w:rPr>
        <w:t>43</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00"/>
      <w:bookmarkEnd w:id="30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85"/>
        <w:gridCol w:w="198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68,804,381.94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88,163,361.56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2,778,775.44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1,798,368.23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4,862,435.73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3,975,577.48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1,456,973.87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730,491.42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1,598,313.60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664,740.47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241,572.42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-5,037,730.55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61,080.23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2,881,553.14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1,801,956.94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414,669.51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368,272.13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-472,330.93</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-624,866.81</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-10,174,409.78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-73,398,982.51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10,998,582.14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14,634,000.55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941,873.60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11,477,113.66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79,294,660.13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49,651,113.35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532,254,964.35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542,287,620.00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542,287,620.00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589,810,985.92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-10,032,655.65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-47,523,365.92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现金和现金等价物的构成" w:id="301"/>
      <w:bookmarkEnd w:id="301"/>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532,254,964.35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542,287,620.00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56,880.43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41,722.93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532,198,083.92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542,245,897.07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532,254,964.35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542,287,620.00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4、所有权或使用权受到限制的资产" w:id="302"/>
      <w:bookmarkEnd w:id="302"/>
      <w:r>
        <w:rPr>
          <w:b w:val="0"/>
          <w:bCs w:val="0"/>
        </w:rPr>
      </w:r>
      <w:r>
        <w:rPr>
          <w:rFonts w:ascii="Times New Roman" w:hAnsi="Times New Roman" w:cs="Times New Roman" w:eastAsia="Times New Roman" w:hint="default"/>
        </w:rPr>
        <w:t>44</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2,092,600.00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2,092,600.00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外币货币性项目" w:id="303"/>
      <w:bookmarkEnd w:id="303"/>
      <w:r>
        <w:rPr>
          <w:b w:val="0"/>
          <w:bCs w:val="0"/>
        </w:rPr>
      </w:r>
      <w:r>
        <w:rPr>
          <w:rFonts w:ascii="Times New Roman" w:hAnsi="Times New Roman" w:cs="Times New Roman" w:eastAsia="Times New Roman" w:hint="default"/>
        </w:rPr>
        <w:t>45</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04"/>
      <w:bookmarkEnd w:id="30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117,897,905.50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3,330.72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22,852.00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134,529,848.78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117,875,053.50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39,183,439.53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44,644,844.13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39,117,812.43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澳门币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0.8523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65,627.10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648,227.02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739,816.27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648,227.02</w:t>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bookmarkStart w:name="（2）境外经营实体说明，包括对于重要的境外经营实体，应披露其境外主要经营地、记账" w:id="305"/>
      <w:bookmarkEnd w:id="305"/>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19"/>
        <w:gridCol w:w="851"/>
        <w:gridCol w:w="978"/>
        <w:gridCol w:w="3262"/>
        <w:gridCol w:w="2372"/>
      </w:tblGrid>
      <w:tr>
        <w:trPr>
          <w:trHeight w:val="654"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tabs>
                <w:tab w:pos="821" w:val="left" w:leader="none"/>
              </w:tabs>
              <w:spacing w:line="270" w:lineRule="exact"/>
              <w:ind w:left="274"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0" w:right="104" w:hanging="106"/>
              <w:jc w:val="left"/>
              <w:rPr>
                <w:rFonts w:ascii="宋体" w:hAnsi="宋体" w:cs="宋体" w:eastAsia="宋体" w:hint="default"/>
                <w:sz w:val="21"/>
                <w:szCs w:val="21"/>
              </w:rPr>
            </w:pPr>
            <w:r>
              <w:rPr>
                <w:rFonts w:ascii="宋体" w:hAnsi="宋体" w:cs="宋体" w:eastAsia="宋体" w:hint="default"/>
                <w:sz w:val="21"/>
                <w:szCs w:val="21"/>
              </w:rPr>
              <w:t>主要经 营地</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79" w:right="62" w:hanging="316"/>
              <w:jc w:val="left"/>
              <w:rPr>
                <w:rFonts w:ascii="宋体" w:hAnsi="宋体" w:cs="宋体" w:eastAsia="宋体" w:hint="default"/>
                <w:sz w:val="21"/>
                <w:szCs w:val="21"/>
              </w:rPr>
            </w:pPr>
            <w:r>
              <w:rPr>
                <w:rFonts w:ascii="宋体" w:hAnsi="宋体" w:cs="宋体" w:eastAsia="宋体" w:hint="default"/>
                <w:sz w:val="21"/>
                <w:szCs w:val="21"/>
              </w:rPr>
              <w:t>记账本位 币</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786" w:right="0"/>
              <w:jc w:val="left"/>
              <w:rPr>
                <w:rFonts w:ascii="宋体" w:hAnsi="宋体" w:cs="宋体" w:eastAsia="宋体" w:hint="default"/>
                <w:sz w:val="21"/>
                <w:szCs w:val="21"/>
              </w:rPr>
            </w:pPr>
            <w:r>
              <w:rPr>
                <w:rFonts w:ascii="宋体" w:hAnsi="宋体" w:cs="宋体" w:eastAsia="宋体" w:hint="default"/>
                <w:sz w:val="21"/>
                <w:szCs w:val="21"/>
              </w:rPr>
              <w:t>主要财务报表项目</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折算率</w:t>
            </w:r>
          </w:p>
        </w:tc>
      </w:tr>
      <w:tr>
        <w:trPr>
          <w:trHeight w:val="342" w:hRule="exact"/>
        </w:trPr>
        <w:tc>
          <w:tcPr>
            <w:tcW w:w="1319" w:type="dxa"/>
            <w:vMerge w:val="restart"/>
            <w:tcBorders>
              <w:top w:val="single" w:sz="4" w:space="0" w:color="000000"/>
              <w:left w:val="single" w:sz="4" w:space="0" w:color="000000"/>
              <w:right w:val="single" w:sz="4" w:space="0" w:color="000000"/>
            </w:tcBorders>
          </w:tcPr>
          <w:p>
            <w:pPr>
              <w:pStyle w:val="TableParagraph"/>
              <w:spacing w:line="264" w:lineRule="auto"/>
              <w:ind w:left="4" w:right="42"/>
              <w:jc w:val="both"/>
              <w:rPr>
                <w:rFonts w:ascii="宋体" w:hAnsi="宋体" w:cs="宋体" w:eastAsia="宋体" w:hint="default"/>
                <w:sz w:val="21"/>
                <w:szCs w:val="21"/>
              </w:rPr>
            </w:pPr>
            <w:r>
              <w:rPr>
                <w:rFonts w:ascii="宋体" w:hAnsi="宋体" w:cs="宋体" w:eastAsia="宋体" w:hint="default"/>
                <w:sz w:val="21"/>
                <w:szCs w:val="21"/>
              </w:rPr>
              <w:t>四方精创资讯 </w:t>
            </w:r>
            <w:r>
              <w:rPr>
                <w:rFonts w:ascii="Times New Roman" w:hAnsi="Times New Roman" w:cs="Times New Roman" w:eastAsia="Times New Roman" w:hint="default"/>
                <w:sz w:val="21"/>
                <w:szCs w:val="21"/>
              </w:rPr>
              <w:t>(</w:t>
            </w:r>
            <w:r>
              <w:rPr>
                <w:rFonts w:ascii="宋体" w:hAnsi="宋体" w:cs="宋体" w:eastAsia="宋体" w:hint="default"/>
                <w:sz w:val="21"/>
                <w:szCs w:val="21"/>
              </w:rPr>
              <w:t>香港</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 司</w:t>
            </w:r>
          </w:p>
        </w:tc>
        <w:tc>
          <w:tcPr>
            <w:tcW w:w="851" w:type="dxa"/>
            <w:vMerge w:val="restart"/>
            <w:tcBorders>
              <w:top w:val="single" w:sz="4" w:space="0" w:color="000000"/>
              <w:left w:val="single" w:sz="4" w:space="0" w:color="000000"/>
              <w:right w:val="single" w:sz="4" w:space="0" w:color="000000"/>
            </w:tcBorders>
          </w:tcPr>
          <w:p>
            <w:pPr>
              <w:pStyle w:val="TableParagraph"/>
              <w:spacing w:line="270" w:lineRule="exact"/>
              <w:ind w:left="21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978" w:type="dxa"/>
            <w:vMerge w:val="restart"/>
            <w:tcBorders>
              <w:top w:val="single" w:sz="4" w:space="0" w:color="000000"/>
              <w:left w:val="single" w:sz="4" w:space="0" w:color="000000"/>
              <w:right w:val="single" w:sz="4" w:space="0" w:color="000000"/>
            </w:tcBorders>
          </w:tcPr>
          <w:p>
            <w:pPr>
              <w:pStyle w:val="TableParagraph"/>
              <w:spacing w:line="270" w:lineRule="exact"/>
              <w:ind w:left="27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资产、负债项目</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0.8762</w:t>
            </w:r>
          </w:p>
        </w:tc>
      </w:tr>
      <w:tr>
        <w:trPr>
          <w:trHeight w:val="342" w:hRule="exact"/>
        </w:trPr>
        <w:tc>
          <w:tcPr>
            <w:tcW w:w="131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78" w:type="dxa"/>
            <w:vMerge/>
            <w:tcBorders>
              <w:left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股东权益（除未分配利润）项目</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交易发生日的即期汇率</w:t>
            </w:r>
          </w:p>
        </w:tc>
      </w:tr>
      <w:tr>
        <w:trPr>
          <w:trHeight w:val="342" w:hRule="exact"/>
        </w:trPr>
        <w:tc>
          <w:tcPr>
            <w:tcW w:w="131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78" w:type="dxa"/>
            <w:vMerge/>
            <w:tcBorders>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利润表、现金流量表项目</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月度加权平均汇率</w:t>
            </w:r>
          </w:p>
        </w:tc>
      </w:tr>
      <w:tr>
        <w:trPr>
          <w:trHeight w:val="342" w:hRule="exact"/>
        </w:trPr>
        <w:tc>
          <w:tcPr>
            <w:tcW w:w="1319" w:type="dxa"/>
            <w:vMerge w:val="restart"/>
            <w:tcBorders>
              <w:top w:val="single" w:sz="4" w:space="0" w:color="000000"/>
              <w:left w:val="single" w:sz="4" w:space="0" w:color="000000"/>
              <w:right w:val="single" w:sz="4" w:space="0" w:color="000000"/>
            </w:tcBorders>
          </w:tcPr>
          <w:p>
            <w:pPr>
              <w:pStyle w:val="TableParagraph"/>
              <w:spacing w:line="264" w:lineRule="auto"/>
              <w:ind w:left="4" w:right="42"/>
              <w:jc w:val="both"/>
              <w:rPr>
                <w:rFonts w:ascii="宋体" w:hAnsi="宋体" w:cs="宋体" w:eastAsia="宋体" w:hint="default"/>
                <w:sz w:val="21"/>
                <w:szCs w:val="21"/>
              </w:rPr>
            </w:pPr>
            <w:r>
              <w:rPr>
                <w:rFonts w:ascii="宋体" w:hAnsi="宋体" w:cs="宋体" w:eastAsia="宋体" w:hint="default"/>
                <w:sz w:val="21"/>
                <w:szCs w:val="21"/>
              </w:rPr>
              <w:t>四方精创信息 </w:t>
            </w:r>
            <w:r>
              <w:rPr>
                <w:rFonts w:ascii="Times New Roman" w:hAnsi="Times New Roman" w:cs="Times New Roman" w:eastAsia="Times New Roman" w:hint="default"/>
                <w:sz w:val="21"/>
                <w:szCs w:val="21"/>
              </w:rPr>
              <w:t>(</w:t>
            </w:r>
            <w:r>
              <w:rPr>
                <w:rFonts w:ascii="宋体" w:hAnsi="宋体" w:cs="宋体" w:eastAsia="宋体" w:hint="default"/>
                <w:sz w:val="21"/>
                <w:szCs w:val="21"/>
              </w:rPr>
              <w:t>香港</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 司</w:t>
            </w:r>
          </w:p>
        </w:tc>
        <w:tc>
          <w:tcPr>
            <w:tcW w:w="851" w:type="dxa"/>
            <w:vMerge w:val="restart"/>
            <w:tcBorders>
              <w:top w:val="single" w:sz="4" w:space="0" w:color="000000"/>
              <w:left w:val="single" w:sz="4" w:space="0" w:color="000000"/>
              <w:right w:val="single" w:sz="4" w:space="0" w:color="000000"/>
            </w:tcBorders>
          </w:tcPr>
          <w:p>
            <w:pPr>
              <w:pStyle w:val="TableParagraph"/>
              <w:spacing w:line="270" w:lineRule="exact"/>
              <w:ind w:left="21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978" w:type="dxa"/>
            <w:vMerge w:val="restart"/>
            <w:tcBorders>
              <w:top w:val="single" w:sz="4" w:space="0" w:color="000000"/>
              <w:left w:val="single" w:sz="4" w:space="0" w:color="000000"/>
              <w:right w:val="single" w:sz="4" w:space="0" w:color="000000"/>
            </w:tcBorders>
          </w:tcPr>
          <w:p>
            <w:pPr>
              <w:pStyle w:val="TableParagraph"/>
              <w:spacing w:line="270" w:lineRule="exact"/>
              <w:ind w:left="27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资产、负债项目</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0.8762</w:t>
            </w:r>
          </w:p>
        </w:tc>
      </w:tr>
      <w:tr>
        <w:trPr>
          <w:trHeight w:val="342" w:hRule="exact"/>
        </w:trPr>
        <w:tc>
          <w:tcPr>
            <w:tcW w:w="131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78" w:type="dxa"/>
            <w:vMerge/>
            <w:tcBorders>
              <w:left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股东权益（除未分配利润）项目</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交易发生日的即期汇率</w:t>
            </w:r>
          </w:p>
        </w:tc>
      </w:tr>
      <w:tr>
        <w:trPr>
          <w:trHeight w:val="342" w:hRule="exact"/>
        </w:trPr>
        <w:tc>
          <w:tcPr>
            <w:tcW w:w="131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78" w:type="dxa"/>
            <w:vMerge/>
            <w:tcBorders>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利润表、现金流量表项目</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月度加权平均汇率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46、政府补助" w:id="306"/>
      <w:bookmarkEnd w:id="306"/>
      <w:r>
        <w:rPr>
          <w:b w:val="0"/>
          <w:bCs w:val="0"/>
        </w:rPr>
      </w:r>
      <w:r>
        <w:rPr>
          <w:rFonts w:ascii="Times New Roman" w:hAnsi="Times New Roman" w:cs="Times New Roman" w:eastAsia="Times New Roman" w:hint="default"/>
        </w:rPr>
        <w:t>46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07"/>
      <w:bookmarkEnd w:id="30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南山区自主创新产业发展专 项资金资助款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997,000.00</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年深圳市外经贸发展专 项资金服务贸易创新发展项 目服务贸易（服务外包）人才 培训资助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2,079,000.00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2,079,000.00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失业稳岗补贴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262,847.28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262,847.28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年人才安居住房补租款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政府补助退回情况" w:id="308"/>
      <w:bookmarkEnd w:id="308"/>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合并范围的变更" w:id="309"/>
      <w:bookmarkEnd w:id="309"/>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310"/>
      <w:bookmarkEnd w:id="310"/>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购买日之前持有的股权按照公允价值重新计量产生的利得或损失" w:id="311"/>
      <w:bookmarkEnd w:id="311"/>
      <w:r>
        <w:rPr>
          <w:b w:val="0"/>
          <w:bCs w:val="0"/>
        </w:rPr>
      </w:r>
      <w:r>
        <w:rPr/>
        <w:t>（</w:t>
      </w:r>
      <w:r>
        <w:rPr>
          <w:rFonts w:ascii="Times New Roman" w:hAnsi="Times New Roman" w:cs="Times New Roman" w:eastAsia="Times New Roman" w:hint="default"/>
        </w:rPr>
        <w:t>1</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处置子公司" w:id="312"/>
      <w:bookmarkEnd w:id="312"/>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6"/>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其他原因的合并范围变动" w:id="313"/>
      <w:bookmarkEnd w:id="313"/>
      <w:r>
        <w:rPr>
          <w:b w:val="0"/>
          <w:bCs w:val="0"/>
        </w:rPr>
      </w:r>
      <w:r>
        <w:rPr>
          <w:rFonts w:ascii="Times New Roman" w:hAnsi="Times New Roman" w:cs="Times New Roman" w:eastAsia="Times New Roman" w:hint="default"/>
        </w:rPr>
        <w:t>3</w:t>
      </w:r>
      <w:r>
        <w:rPr/>
        <w:t>、其他原因的合并范围变动</w:t>
      </w:r>
      <w:r>
        <w:rPr>
          <w:b w:val="0"/>
          <w:bCs w:val="0"/>
        </w:rPr>
      </w:r>
    </w:p>
    <w:p>
      <w:pPr>
        <w:pStyle w:val="BodyText"/>
        <w:spacing w:line="440" w:lineRule="atLeast" w:before="144"/>
        <w:ind w:left="574" w:right="0" w:hanging="420"/>
        <w:jc w:val="left"/>
        <w:rPr>
          <w:rFonts w:ascii="Times New Roman" w:hAnsi="Times New Roman" w:cs="Times New Roman" w:eastAsia="Times New Roman" w:hint="default"/>
        </w:rPr>
      </w:pPr>
      <w:r>
        <w:rPr/>
        <w:t>说明其他原因导致的合并范围变动（如，新设子公司、清算子公司等）及其相关情况： </w:t>
      </w:r>
      <w:r>
        <w:rPr>
          <w:spacing w:val="2"/>
        </w:rPr>
        <w:t>本公司报告期新增合并单位一家。深圳前海乐寻坊区块链科技有限公司由深圳四方精创资讯股份有限公司于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p>
    <w:p>
      <w:pPr>
        <w:pStyle w:val="BodyText"/>
        <w:spacing w:line="240" w:lineRule="auto" w:before="63"/>
        <w:ind w:right="0"/>
        <w:jc w:val="left"/>
      </w:pPr>
      <w:r>
        <w:rPr/>
        <w:t>月</w:t>
      </w:r>
      <w:r>
        <w:rPr>
          <w:rFonts w:ascii="Times New Roman" w:hAnsi="Times New Roman" w:cs="Times New Roman" w:eastAsia="Times New Roman" w:hint="default"/>
        </w:rPr>
        <w:t>15</w:t>
      </w:r>
      <w:r>
        <w:rPr/>
        <w:t>日在深圳登记设立，截止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日，实缴注册资本为人民币</w:t>
      </w:r>
      <w:r>
        <w:rPr>
          <w:rFonts w:ascii="Times New Roman" w:hAnsi="Times New Roman" w:cs="Times New Roman" w:eastAsia="Times New Roman" w:hint="default"/>
        </w:rPr>
        <w:t>200</w:t>
      </w:r>
      <w:r>
        <w:rPr/>
        <w:t>万元。</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bookmarkStart w:name="九、在其他主体中的权益" w:id="314"/>
      <w:bookmarkEnd w:id="314"/>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15"/>
      <w:bookmarkEnd w:id="31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16"/>
      <w:bookmarkEnd w:id="31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四方精创资讯</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软件开发和系统 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四方精创信息</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深圳前海乐寻坊 区块链科技有限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不重要的合营企业和联营企业的汇总财务信息" w:id="317"/>
      <w:bookmarkEnd w:id="317"/>
      <w:r>
        <w:rPr>
          <w:b w:val="0"/>
          <w:bCs w:val="0"/>
        </w:rPr>
      </w: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48,095,753.10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26,689,937.93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2,897,730.55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-61,080.23</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2,897,730.55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-61,080.23</w:t>
            </w:r>
            <w:r>
              <w:rPr>
                <w:rFonts w:ascii="Times New Roman"/>
                <w:sz w:val="18"/>
              </w:rPr>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关联方及关联交易" w:id="318"/>
      <w:bookmarkEnd w:id="318"/>
      <w:r>
        <w:rPr>
          <w:b w:val="0"/>
          <w:bCs w:val="0"/>
        </w:rPr>
      </w:r>
      <w:r>
        <w:rPr/>
        <w:t>十、关联方及关联交易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19"/>
      <w:bookmarkEnd w:id="319"/>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益群集团控股有限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所有合法的投资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HKD1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25.67%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25.67%</w:t>
            </w:r>
          </w:p>
        </w:tc>
      </w:tr>
    </w:tbl>
    <w:p>
      <w:pPr>
        <w:pStyle w:val="BodyText"/>
        <w:spacing w:line="357" w:lineRule="auto" w:before="51"/>
        <w:ind w:right="1152"/>
        <w:jc w:val="left"/>
      </w:pPr>
      <w:r>
        <w:rPr/>
        <w:t>本企业的母公司情况的说明 公司的实际控制人为周志群先生。周志群先生持有益群集团控股有限公司</w:t>
      </w:r>
      <w:r>
        <w:rPr>
          <w:rFonts w:ascii="Times New Roman" w:hAnsi="Times New Roman" w:cs="Times New Roman" w:eastAsia="Times New Roman" w:hint="default"/>
        </w:rPr>
        <w:t>100%</w:t>
      </w:r>
      <w:r>
        <w:rPr/>
        <w:t>的股权。法人股东益群集团控股有限有限公</w:t>
      </w:r>
    </w:p>
    <w:p>
      <w:pPr>
        <w:pStyle w:val="BodyText"/>
        <w:spacing w:line="484" w:lineRule="auto" w:before="128"/>
        <w:ind w:right="4867"/>
        <w:jc w:val="left"/>
      </w:pPr>
      <w:r>
        <w:rPr/>
        <w:t>司持有公司</w:t>
      </w:r>
      <w:r>
        <w:rPr>
          <w:rFonts w:ascii="Times New Roman" w:hAnsi="Times New Roman" w:cs="Times New Roman" w:eastAsia="Times New Roman" w:hint="default"/>
        </w:rPr>
        <w:t>4,995.06</w:t>
      </w:r>
      <w:r>
        <w:rPr/>
        <w:t>万股股份，占总股本的</w:t>
      </w:r>
      <w:r>
        <w:rPr>
          <w:rFonts w:ascii="Times New Roman" w:hAnsi="Times New Roman" w:cs="Times New Roman" w:eastAsia="Times New Roman" w:hint="default"/>
        </w:rPr>
        <w:t>25.</w:t>
      </w:r>
      <w:r>
        <w:rPr>
          <w:rFonts w:ascii="Arial" w:hAnsi="Arial" w:cs="Arial" w:eastAsia="Arial" w:hint="default"/>
        </w:rPr>
        <w:t>67</w:t>
      </w:r>
      <w:r>
        <w:rPr>
          <w:rFonts w:ascii="Times New Roman" w:hAnsi="Times New Roman" w:cs="Times New Roman" w:eastAsia="Times New Roman" w:hint="default"/>
        </w:rPr>
        <w:t>%</w:t>
      </w:r>
      <w:r>
        <w:rPr/>
        <w:t>，为公司的第一大股东。 本企业最终控制方是周志群先生。</w:t>
      </w:r>
    </w:p>
    <w:p>
      <w:pPr>
        <w:spacing w:line="240" w:lineRule="auto" w:before="9"/>
        <w:rPr>
          <w:rFonts w:ascii="宋体" w:hAnsi="宋体" w:cs="宋体" w:eastAsia="宋体" w:hint="default"/>
          <w:sz w:val="12"/>
          <w:szCs w:val="12"/>
        </w:rPr>
      </w:pPr>
    </w:p>
    <w:p>
      <w:pPr>
        <w:pStyle w:val="Heading3"/>
        <w:spacing w:line="240" w:lineRule="auto"/>
        <w:ind w:right="0"/>
        <w:jc w:val="left"/>
        <w:rPr>
          <w:b w:val="0"/>
          <w:bCs w:val="0"/>
        </w:rPr>
      </w:pPr>
      <w:bookmarkStart w:name="2、本企业的子公司情况" w:id="320"/>
      <w:bookmarkEnd w:id="320"/>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本企业子公司的情况详见附注九。</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其他关联方情况" w:id="321"/>
      <w:bookmarkEnd w:id="321"/>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SYSTEX SOLUTIONS(HK)</w:t>
            </w:r>
            <w:r>
              <w:rPr>
                <w:rFonts w:ascii="Times New Roman"/>
                <w:spacing w:val="-4"/>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益志集团控股有限公司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益威集团控股有限公司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公司股东、实际控制人控股的企业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精诚资讯股份有限公司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精诚（中国）企业管理有限公司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Systex Information (H.K.)</w:t>
            </w:r>
            <w:r>
              <w:rPr>
                <w:rFonts w:ascii="Times New Roman"/>
                <w:spacing w:val="-6"/>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公司监事兼任董事、高级管理人员的企业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精诚精诠信息科技有限公司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精诚恒逸软件有限公司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精诚胜龙信息系统有限公司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32" w:hRule="exact"/>
        </w:trPr>
        <w:tc>
          <w:tcPr>
            <w:tcW w:w="4783" w:type="dxa"/>
            <w:tcBorders>
              <w:top w:val="nil" w:sz="6" w:space="0" w:color="auto"/>
              <w:left w:val="nil" w:sz="6" w:space="0" w:color="auto"/>
              <w:bottom w:val="single" w:sz="4" w:space="0" w:color="000000"/>
              <w:right w:val="nil" w:sz="6" w:space="0" w:color="auto"/>
            </w:tcBorders>
          </w:tcPr>
          <w:p>
            <w:pPr/>
          </w:p>
        </w:tc>
        <w:tc>
          <w:tcPr>
            <w:tcW w:w="4786"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精诚瑞宝计算机系统有限公司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公司董事、监事兼任董事、高级管理人员的企业</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pict>
          <v:group style="position:absolute;margin-left:55.200001pt;margin-top:-49.526318pt;width:485pt;height:.1pt;mso-position-horizontal-relative:page;mso-position-vertical-relative:paragraph;z-index:-1205344" coordorigin="1104,-991" coordsize="9700,2">
            <v:shape style="position:absolute;left:1104;top:-991;width:9700;height:2" coordorigin="1104,-991" coordsize="9700,0" path="m1104,-991l10804,-991e" filled="false" stroked="true" strokeweight=".72pt" strokecolor="#000000">
              <v:path arrowok="t"/>
            </v:shape>
            <w10:wrap type="none"/>
          </v:group>
        </w:pict>
      </w:r>
      <w:bookmarkStart w:name="4、关联交易情况" w:id="322"/>
      <w:bookmarkEnd w:id="322"/>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23"/>
      <w:bookmarkEnd w:id="32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精诚（中国）企业 管理有限公司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软件及技术培训 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43,103.45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451,111.12</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精诚瑞宝计算机系 统有限公司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软件及技术培训 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296,933.43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247,250.47</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精诚资讯股份有限公司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5" w:right="0"/>
              <w:jc w:val="left"/>
              <w:rPr>
                <w:rFonts w:ascii="Times New Roman" w:hAnsi="Times New Roman" w:cs="Times New Roman" w:eastAsia="Times New Roman" w:hint="default"/>
                <w:sz w:val="18"/>
                <w:szCs w:val="18"/>
              </w:rPr>
            </w:pPr>
            <w:r>
              <w:rPr>
                <w:rFonts w:ascii="Times New Roman"/>
                <w:sz w:val="18"/>
              </w:rPr>
              <w:t>390,927.15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75" w:right="0"/>
              <w:jc w:val="left"/>
              <w:rPr>
                <w:rFonts w:ascii="Times New Roman" w:hAnsi="Times New Roman" w:cs="Times New Roman" w:eastAsia="Times New Roman" w:hint="default"/>
                <w:sz w:val="18"/>
                <w:szCs w:val="18"/>
              </w:rPr>
            </w:pPr>
            <w:r>
              <w:rPr>
                <w:rFonts w:ascii="Times New Roman"/>
                <w:sz w:val="18"/>
              </w:rPr>
              <w:t>1,351,128.60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关联方应收应付款项" w:id="324"/>
      <w:bookmarkEnd w:id="324"/>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25"/>
      <w:bookmarkEnd w:id="32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精诚资讯股份有限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93,362.61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1,867.25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688,130.68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13,762.61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一、股份支付" w:id="326"/>
      <w:bookmarkEnd w:id="326"/>
      <w:r>
        <w:rPr>
          <w:b w:val="0"/>
          <w:bCs w:val="0"/>
        </w:rPr>
      </w:r>
      <w:r>
        <w:rPr/>
        <w:t>十一、股份支付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327"/>
      <w:bookmarkEnd w:id="327"/>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2,965,697.00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5,523,896.00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年第一批限制性股票行权价格为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3"/>
          <w:szCs w:val="23"/>
        </w:rPr>
      </w:pPr>
    </w:p>
    <w:p>
      <w:pPr>
        <w:spacing w:line="1317" w:lineRule="exact"/>
        <w:ind w:left="149"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78.95pt;height:65.9pt;mso-position-horizontal-relative:char;mso-position-vertical-relative:line" coordorigin="0,0" coordsize="9579,1318">
            <v:group style="position:absolute;left:10;top:14;width:5446;height:1289" coordorigin="10,14" coordsize="5446,1289">
              <v:shape style="position:absolute;left:10;top:14;width:5446;height:1289" coordorigin="10,14" coordsize="5446,1289" path="m10,1303l5455,1303,5455,14,10,14,10,1303xe" filled="true" fillcolor="#d2d2d2" stroked="false">
                <v:path arrowok="t"/>
                <v:fill type="solid"/>
              </v:shape>
            </v:group>
            <v:group style="position:absolute;left:10;top:10;width:5446;height:2" coordorigin="10,10" coordsize="5446,2">
              <v:shape style="position:absolute;left:10;top:10;width:5446;height:2" coordorigin="10,10" coordsize="5446,0" path="m10,10l5455,10e" filled="false" stroked="true" strokeweight=".48pt" strokecolor="#000000">
                <v:path arrowok="t"/>
              </v:shape>
            </v:group>
            <v:group style="position:absolute;left:5464;top:10;width:4105;height:2" coordorigin="5464,10" coordsize="4105,2">
              <v:shape style="position:absolute;left:5464;top:10;width:4105;height:2" coordorigin="5464,10" coordsize="4105,0" path="m5464,10l9569,10e" filled="false" stroked="true" strokeweight=".48pt" strokecolor="#000000">
                <v:path arrowok="t"/>
              </v:shape>
            </v:group>
            <v:group style="position:absolute;left:5;top:5;width:2;height:1308" coordorigin="5,5" coordsize="2,1308">
              <v:shape style="position:absolute;left:5;top:5;width:2;height:1308" coordorigin="5,5" coordsize="0,1308" path="m5,5l5,1313e" filled="false" stroked="true" strokeweight=".48pt" strokecolor="#000000">
                <v:path arrowok="t"/>
              </v:shape>
            </v:group>
            <v:group style="position:absolute;left:10;top:1308;width:5446;height:2" coordorigin="10,1308" coordsize="5446,2">
              <v:shape style="position:absolute;left:10;top:1308;width:5446;height:2" coordorigin="10,1308" coordsize="5446,0" path="m10,1308l5455,1308e" filled="false" stroked="true" strokeweight=".48pt" strokecolor="#000000">
                <v:path arrowok="t"/>
              </v:shape>
            </v:group>
            <v:group style="position:absolute;left:5460;top:5;width:2;height:1308" coordorigin="5460,5" coordsize="2,1308">
              <v:shape style="position:absolute;left:5460;top:5;width:2;height:1308" coordorigin="5460,5" coordsize="0,1308" path="m5460,5l5460,1313e" filled="false" stroked="true" strokeweight=".48001pt" strokecolor="#000000">
                <v:path arrowok="t"/>
              </v:shape>
            </v:group>
            <v:group style="position:absolute;left:5464;top:1308;width:4105;height:2" coordorigin="5464,1308" coordsize="4105,2">
              <v:shape style="position:absolute;left:5464;top:1308;width:4105;height:2" coordorigin="5464,1308" coordsize="4105,0" path="m5464,1308l9569,1308e" filled="false" stroked="true" strokeweight=".48pt" strokecolor="#000000">
                <v:path arrowok="t"/>
              </v:shape>
            </v:group>
            <v:group style="position:absolute;left:9574;top:5;width:2;height:1308" coordorigin="9574,5" coordsize="2,1308">
              <v:shape style="position:absolute;left:9574;top:5;width:2;height:1308" coordorigin="9574,5" coordsize="0,1308" path="m9574,5l9574,1313e" filled="false" stroked="true" strokeweight=".48004pt" strokecolor="#000000">
                <v:path arrowok="t"/>
              </v:shape>
              <v:shape style="position:absolute;left:5460;top:10;width:4114;height:1299" type="#_x0000_t202" filled="false" stroked="false">
                <v:textbox inset="0,0,0,0">
                  <w:txbxContent>
                    <w:p>
                      <w:pPr>
                        <w:spacing w:line="300" w:lineRule="auto" w:before="15"/>
                        <w:ind w:left="27" w:right="26" w:firstLine="0"/>
                        <w:jc w:val="left"/>
                        <w:rPr>
                          <w:rFonts w:ascii="宋体" w:hAnsi="宋体" w:cs="宋体" w:eastAsia="宋体" w:hint="default"/>
                          <w:sz w:val="18"/>
                          <w:szCs w:val="18"/>
                        </w:rPr>
                      </w:pPr>
                      <w:r>
                        <w:rPr>
                          <w:rFonts w:ascii="宋体" w:hAnsi="宋体" w:cs="宋体" w:eastAsia="宋体" w:hint="default"/>
                          <w:sz w:val="18"/>
                          <w:szCs w:val="18"/>
                        </w:rPr>
                        <w:t>合同剩余期限为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6"/>
                          <w:sz w:val="18"/>
                          <w:szCs w:val="18"/>
                        </w:rPr>
                        <w:t>个月；</w:t>
                      </w:r>
                      <w:r>
                        <w:rPr>
                          <w:rFonts w:ascii="Times New Roman" w:hAnsi="Times New Roman" w:cs="Times New Roman" w:eastAsia="Times New Roman" w:hint="default"/>
                          <w:spacing w:val="-6"/>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年第二批限制性股票 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p>
                      <w:pPr>
                        <w:spacing w:before="1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年第一批限制性股票行权价格为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spacing w:before="64"/>
                        <w:ind w:left="27" w:right="0" w:firstLine="0"/>
                        <w:jc w:val="left"/>
                        <w:rPr>
                          <w:rFonts w:ascii="宋体" w:hAnsi="宋体" w:cs="宋体" w:eastAsia="宋体" w:hint="default"/>
                          <w:sz w:val="18"/>
                          <w:szCs w:val="18"/>
                        </w:rPr>
                      </w:pPr>
                      <w:r>
                        <w:rPr>
                          <w:rFonts w:ascii="宋体" w:hAnsi="宋体" w:cs="宋体" w:eastAsia="宋体" w:hint="default"/>
                          <w:sz w:val="18"/>
                          <w:szCs w:val="18"/>
                        </w:rPr>
                        <w:t>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xbxContent>
                </v:textbox>
                <w10:wrap type="none"/>
              </v:shape>
            </v:group>
          </v:group>
        </w:pict>
      </w:r>
      <w:r>
        <w:rPr>
          <w:rFonts w:ascii="宋体" w:hAnsi="宋体" w:cs="宋体" w:eastAsia="宋体" w:hint="default"/>
          <w:position w:val="-25"/>
          <w:sz w:val="20"/>
          <w:szCs w:val="20"/>
        </w:rPr>
      </w:r>
    </w:p>
    <w:p>
      <w:pPr>
        <w:pStyle w:val="BodyText"/>
        <w:spacing w:line="240" w:lineRule="auto" w:before="47"/>
        <w:ind w:right="0"/>
        <w:jc w:val="both"/>
      </w:pPr>
      <w:r>
        <w:rPr/>
        <w:t>其他说明</w:t>
      </w:r>
    </w:p>
    <w:p>
      <w:pPr>
        <w:pStyle w:val="BodyText"/>
        <w:spacing w:line="430" w:lineRule="atLeast" w:before="2"/>
        <w:ind w:left="514" w:right="0" w:hanging="360"/>
        <w:jc w:val="left"/>
      </w:pPr>
      <w:r>
        <w:rPr/>
        <w:t>（</w:t>
      </w:r>
      <w:r>
        <w:rPr>
          <w:rFonts w:ascii="宋体" w:hAnsi="宋体" w:cs="宋体" w:eastAsia="宋体" w:hint="default"/>
        </w:rPr>
        <w:t>1</w:t>
      </w:r>
      <w:r>
        <w:rPr/>
        <w:t>）</w:t>
      </w:r>
      <w:r>
        <w:rPr>
          <w:rFonts w:ascii="宋体" w:hAnsi="宋体" w:cs="宋体" w:eastAsia="宋体" w:hint="default"/>
        </w:rPr>
        <w:t>2015</w:t>
      </w:r>
      <w:r>
        <w:rPr/>
        <w:t>年限制性股票 </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8</w:t>
      </w:r>
      <w:r>
        <w:rPr>
          <w:spacing w:val="-2"/>
        </w:rPr>
        <w:t>日，公司召开</w:t>
      </w:r>
      <w:r>
        <w:rPr>
          <w:rFonts w:ascii="宋体" w:hAnsi="宋体" w:cs="宋体" w:eastAsia="宋体" w:hint="default"/>
          <w:spacing w:val="-2"/>
        </w:rPr>
        <w:t>2016</w:t>
      </w:r>
      <w:r>
        <w:rPr>
          <w:spacing w:val="-2"/>
        </w:rPr>
        <w:t>年第一次临时股东大会，审议通过了《深圳四方精创资讯股份有限公司限制性股票激励计</w:t>
      </w:r>
    </w:p>
    <w:p>
      <w:pPr>
        <w:pStyle w:val="BodyText"/>
        <w:spacing w:line="316" w:lineRule="auto" w:before="76"/>
        <w:ind w:right="1132"/>
        <w:jc w:val="both"/>
      </w:pPr>
      <w:r>
        <w:rPr>
          <w:spacing w:val="-2"/>
        </w:rPr>
        <w:t>划（草案）》、《关于审核</w:t>
      </w:r>
      <w:r>
        <w:rPr>
          <w:rFonts w:ascii="宋体" w:hAnsi="宋体" w:cs="宋体" w:eastAsia="宋体" w:hint="default"/>
          <w:spacing w:val="-2"/>
        </w:rPr>
        <w:t>&lt;</w:t>
      </w:r>
      <w:r>
        <w:rPr>
          <w:spacing w:val="-2"/>
        </w:rPr>
        <w:t>深圳四方精创资讯股份有限公司限制性股票激励计划实施考核管理办法</w:t>
      </w:r>
      <w:r>
        <w:rPr>
          <w:rFonts w:ascii="宋体" w:hAnsi="宋体" w:cs="宋体" w:eastAsia="宋体" w:hint="default"/>
          <w:spacing w:val="-2"/>
        </w:rPr>
        <w:t>&gt;</w:t>
      </w:r>
      <w:r>
        <w:rPr>
          <w:spacing w:val="-2"/>
        </w:rPr>
        <w:t>的议案》以及《关于授</w:t>
      </w:r>
      <w:r>
        <w:rPr>
          <w:spacing w:val="-68"/>
        </w:rPr>
        <w:t> </w:t>
      </w:r>
      <w:r>
        <w:rPr>
          <w:spacing w:val="-68"/>
        </w:rPr>
      </w:r>
      <w:r>
        <w:rPr>
          <w:spacing w:val="11"/>
        </w:rPr>
        <w:t>权董事会办理公司限制性股票激励计划相关事宜的议案》等议案。根据上述规定，公司已分两批合共授予激励对象</w:t>
      </w:r>
      <w:r>
        <w:rPr>
          <w:spacing w:val="-61"/>
        </w:rPr>
        <w:t> </w:t>
      </w:r>
      <w:r>
        <w:rPr>
          <w:spacing w:val="-61"/>
        </w:rPr>
      </w:r>
      <w:r>
        <w:rPr>
          <w:rFonts w:ascii="宋体" w:hAnsi="宋体" w:cs="宋体" w:eastAsia="宋体" w:hint="default"/>
        </w:rPr>
        <w:t>4,351,500.00</w:t>
      </w:r>
      <w:r>
        <w:rPr/>
        <w:t>股限制性股票，其中</w:t>
      </w:r>
      <w:r>
        <w:rPr>
          <w:rFonts w:ascii="宋体" w:hAnsi="宋体" w:cs="宋体" w:eastAsia="宋体" w:hint="default"/>
        </w:rPr>
        <w:t>2016</w:t>
      </w:r>
      <w:r>
        <w:rPr/>
        <w:t>年授予第一批</w:t>
      </w:r>
      <w:r>
        <w:rPr>
          <w:rFonts w:ascii="宋体" w:hAnsi="宋体" w:cs="宋体" w:eastAsia="宋体" w:hint="default"/>
        </w:rPr>
        <w:t>136</w:t>
      </w:r>
      <w:r>
        <w:rPr/>
        <w:t>名激励对象</w:t>
      </w:r>
      <w:r>
        <w:rPr>
          <w:rFonts w:ascii="宋体" w:hAnsi="宋体" w:cs="宋体" w:eastAsia="宋体" w:hint="default"/>
        </w:rPr>
        <w:t>3,921,500.00</w:t>
      </w:r>
      <w:r>
        <w:rPr/>
        <w:t>股，</w:t>
      </w:r>
      <w:r>
        <w:rPr>
          <w:rFonts w:ascii="宋体" w:hAnsi="宋体" w:cs="宋体" w:eastAsia="宋体" w:hint="default"/>
        </w:rPr>
        <w:t>2017</w:t>
      </w:r>
      <w:r>
        <w:rPr/>
        <w:t>年授予预留第二批</w:t>
      </w:r>
      <w:r>
        <w:rPr>
          <w:rFonts w:ascii="宋体" w:hAnsi="宋体" w:cs="宋体" w:eastAsia="宋体" w:hint="default"/>
        </w:rPr>
        <w:t>1</w:t>
      </w:r>
      <w:r>
        <w:rPr/>
        <w:t>名激励对象</w:t>
      </w:r>
    </w:p>
    <w:p>
      <w:pPr>
        <w:pStyle w:val="BodyText"/>
        <w:spacing w:line="240" w:lineRule="auto" w:before="19"/>
        <w:ind w:right="0"/>
        <w:jc w:val="both"/>
      </w:pPr>
      <w:r>
        <w:rPr>
          <w:rFonts w:ascii="宋体" w:hAnsi="宋体" w:cs="宋体" w:eastAsia="宋体" w:hint="default"/>
        </w:rPr>
        <w:t>430,000.00</w:t>
      </w:r>
      <w:r>
        <w:rPr/>
        <w:t>股。</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2"/>
        </w:rPr>
        <w:t>根据相关规定，股权激励计划有效期为自首次授予期权工具的授权日起四年。本激励计划授予的期权工具自授权日起满</w:t>
      </w:r>
      <w:r>
        <w:rPr/>
        <w:t> </w:t>
      </w:r>
      <w:r>
        <w:rPr>
          <w:rFonts w:ascii="宋体" w:hAnsi="宋体" w:cs="宋体" w:eastAsia="宋体" w:hint="default"/>
        </w:rPr>
        <w:t>12</w:t>
      </w:r>
      <w:r>
        <w:rPr/>
        <w:t>个月后可以开始行权。主要行权条件：在本股权激励计划有效期内，以</w:t>
      </w:r>
      <w:r>
        <w:rPr>
          <w:rFonts w:ascii="宋体" w:hAnsi="宋体" w:cs="宋体" w:eastAsia="宋体" w:hint="default"/>
        </w:rPr>
        <w:t>2015</w:t>
      </w:r>
      <w:r>
        <w:rPr/>
        <w:t>年净利润为基数，</w:t>
      </w:r>
      <w:r>
        <w:rPr>
          <w:rFonts w:ascii="宋体" w:hAnsi="宋体" w:cs="宋体" w:eastAsia="宋体" w:hint="default"/>
        </w:rPr>
        <w:t>2016-2018</w:t>
      </w:r>
      <w:r>
        <w:rPr/>
        <w:t>年相对于</w:t>
      </w:r>
      <w:r>
        <w:rPr>
          <w:rFonts w:ascii="宋体" w:hAnsi="宋体" w:cs="宋体" w:eastAsia="宋体" w:hint="default"/>
        </w:rPr>
        <w:t>2015</w:t>
      </w:r>
      <w:r>
        <w:rPr/>
        <w:t>年</w:t>
      </w:r>
      <w:r>
        <w:rPr>
          <w:spacing w:val="-83"/>
        </w:rPr>
        <w:t> </w:t>
      </w:r>
      <w:r>
        <w:rPr>
          <w:spacing w:val="-2"/>
        </w:rPr>
        <w:t>的净利润增长率分别不低于</w:t>
      </w:r>
      <w:r>
        <w:rPr>
          <w:rFonts w:ascii="宋体" w:hAnsi="宋体" w:cs="宋体" w:eastAsia="宋体" w:hint="default"/>
          <w:spacing w:val="-2"/>
        </w:rPr>
        <w:t>20%</w:t>
      </w:r>
      <w:r>
        <w:rPr>
          <w:spacing w:val="-2"/>
        </w:rPr>
        <w:t>、</w:t>
      </w:r>
      <w:r>
        <w:rPr>
          <w:rFonts w:ascii="宋体" w:hAnsi="宋体" w:cs="宋体" w:eastAsia="宋体" w:hint="default"/>
          <w:spacing w:val="-2"/>
        </w:rPr>
        <w:t>30%</w:t>
      </w:r>
      <w:r>
        <w:rPr>
          <w:spacing w:val="-2"/>
        </w:rPr>
        <w:t>及</w:t>
      </w:r>
      <w:r>
        <w:rPr>
          <w:rFonts w:ascii="宋体" w:hAnsi="宋体" w:cs="宋体" w:eastAsia="宋体" w:hint="default"/>
          <w:spacing w:val="-2"/>
        </w:rPr>
        <w:t>40%</w:t>
      </w:r>
      <w:r>
        <w:rPr>
          <w:spacing w:val="-2"/>
        </w:rPr>
        <w:t>。预留部分的限制性股票的行权条件为，以</w:t>
      </w:r>
      <w:r>
        <w:rPr>
          <w:rFonts w:ascii="宋体" w:hAnsi="宋体" w:cs="宋体" w:eastAsia="宋体" w:hint="default"/>
          <w:spacing w:val="-2"/>
        </w:rPr>
        <w:t>2015</w:t>
      </w:r>
      <w:r>
        <w:rPr>
          <w:spacing w:val="-2"/>
        </w:rPr>
        <w:t>年净利润为基数，</w:t>
      </w:r>
      <w:r>
        <w:rPr>
          <w:rFonts w:ascii="宋体" w:hAnsi="宋体" w:cs="宋体" w:eastAsia="宋体" w:hint="default"/>
          <w:spacing w:val="-2"/>
        </w:rPr>
        <w:t>2017-2018</w:t>
      </w:r>
      <w:r>
        <w:rPr>
          <w:spacing w:val="-2"/>
        </w:rPr>
        <w:t>年相</w:t>
      </w:r>
      <w:r>
        <w:rPr>
          <w:spacing w:val="-44"/>
        </w:rPr>
        <w:t> </w:t>
      </w:r>
      <w:r>
        <w:rPr/>
        <w:t>对于</w:t>
      </w:r>
      <w:r>
        <w:rPr>
          <w:rFonts w:ascii="宋体" w:hAnsi="宋体" w:cs="宋体" w:eastAsia="宋体" w:hint="default"/>
        </w:rPr>
        <w:t>2015</w:t>
      </w:r>
      <w:r>
        <w:rPr/>
        <w:t>年的净利润增长率分别不低于</w:t>
      </w:r>
      <w:r>
        <w:rPr>
          <w:rFonts w:ascii="宋体" w:hAnsi="宋体" w:cs="宋体" w:eastAsia="宋体" w:hint="default"/>
        </w:rPr>
        <w:t>30%</w:t>
      </w:r>
      <w:r>
        <w:rPr/>
        <w:t>及</w:t>
      </w:r>
      <w:r>
        <w:rPr>
          <w:rFonts w:ascii="宋体" w:hAnsi="宋体" w:cs="宋体" w:eastAsia="宋体" w:hint="default"/>
        </w:rPr>
        <w:t>40%</w:t>
      </w:r>
      <w:r>
        <w:rPr/>
        <w:t>。其中净利润为归属于上市公司母公司股东的扣除非经常性损益后的净利</w:t>
      </w:r>
      <w:r>
        <w:rPr>
          <w:spacing w:val="-5"/>
        </w:rPr>
        <w:t> </w:t>
      </w:r>
      <w:r>
        <w:rPr>
          <w:spacing w:val="-5"/>
        </w:rPr>
      </w:r>
      <w:r>
        <w:rPr/>
        <w:t>润。</w:t>
      </w:r>
    </w:p>
    <w:p>
      <w:pPr>
        <w:pStyle w:val="BodyText"/>
        <w:spacing w:line="316" w:lineRule="auto" w:before="139"/>
        <w:ind w:right="1041" w:firstLine="360"/>
        <w:jc w:val="both"/>
      </w:pPr>
      <w:r>
        <w:rPr>
          <w:rFonts w:ascii="宋体" w:hAnsi="宋体" w:cs="宋体" w:eastAsia="宋体" w:hint="default"/>
          <w:spacing w:val="-2"/>
        </w:rPr>
        <w:t>2016</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23</w:t>
      </w:r>
      <w:r>
        <w:rPr>
          <w:spacing w:val="-2"/>
        </w:rPr>
        <w:t>日，公司召开了第二届董事会第十三次会议，审议通过了《关于回购注销部分已授予限制性股票的议案》，</w:t>
      </w:r>
      <w:r>
        <w:rPr/>
        <w:t> 同意向离职员工回购注销其已获授但未解锁的全部限制性股票</w:t>
      </w:r>
      <w:r>
        <w:rPr>
          <w:rFonts w:ascii="宋体" w:hAnsi="宋体" w:cs="宋体" w:eastAsia="宋体" w:hint="default"/>
        </w:rPr>
        <w:t>18,600</w:t>
      </w:r>
      <w:r>
        <w:rPr/>
        <w:t>股，回购价格为授予价格</w:t>
      </w:r>
      <w:r>
        <w:rPr>
          <w:rFonts w:ascii="宋体" w:hAnsi="宋体" w:cs="宋体" w:eastAsia="宋体" w:hint="default"/>
        </w:rPr>
        <w:t>25.59</w:t>
      </w:r>
      <w:r>
        <w:rPr/>
        <w:t>元</w:t>
      </w:r>
      <w:r>
        <w:rPr>
          <w:rFonts w:ascii="宋体" w:hAnsi="宋体" w:cs="宋体" w:eastAsia="宋体" w:hint="default"/>
        </w:rPr>
        <w:t>/</w:t>
      </w:r>
      <w:r>
        <w:rPr/>
        <w:t>股。</w:t>
      </w:r>
    </w:p>
    <w:p>
      <w:pPr>
        <w:pStyle w:val="BodyText"/>
        <w:spacing w:line="316" w:lineRule="auto" w:before="139"/>
        <w:ind w:right="1131" w:firstLine="360"/>
        <w:jc w:val="both"/>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24</w:t>
      </w:r>
      <w:r>
        <w:rPr/>
        <w:t>日，公司召开第二届董事会第十八次会议，审议通过了《关于</w:t>
      </w:r>
      <w:r>
        <w:rPr>
          <w:rFonts w:ascii="宋体" w:hAnsi="宋体" w:cs="宋体" w:eastAsia="宋体" w:hint="default"/>
        </w:rPr>
        <w:t>2015</w:t>
      </w:r>
      <w:r>
        <w:rPr/>
        <w:t>年限制性股票激励计划首次授予部分第 一个解锁期解锁条件成就的议案》，同意对符合解锁条件的激励对象</w:t>
      </w:r>
      <w:r>
        <w:rPr>
          <w:rFonts w:ascii="宋体" w:hAnsi="宋体" w:cs="宋体" w:eastAsia="宋体" w:hint="default"/>
        </w:rPr>
        <w:t>135</w:t>
      </w:r>
      <w:r>
        <w:rPr/>
        <w:t>名，解锁数量为</w:t>
      </w:r>
      <w:r>
        <w:rPr>
          <w:rFonts w:ascii="宋体" w:hAnsi="宋体" w:cs="宋体" w:eastAsia="宋体" w:hint="default"/>
        </w:rPr>
        <w:t>1,170,870</w:t>
      </w:r>
      <w:r>
        <w:rPr/>
        <w:t>股。</w:t>
      </w:r>
    </w:p>
    <w:p>
      <w:pPr>
        <w:pStyle w:val="BodyText"/>
        <w:spacing w:line="316" w:lineRule="auto" w:before="139"/>
        <w:ind w:right="1042" w:firstLine="360"/>
        <w:jc w:val="both"/>
      </w:pPr>
      <w:r>
        <w:rPr>
          <w:rFonts w:ascii="宋体" w:hAnsi="宋体" w:cs="宋体" w:eastAsia="宋体" w:hint="default"/>
          <w:spacing w:val="-5"/>
        </w:rPr>
        <w:t>2017</w:t>
      </w:r>
      <w:r>
        <w:rPr>
          <w:spacing w:val="-5"/>
        </w:rPr>
        <w:t>年</w:t>
      </w:r>
      <w:r>
        <w:rPr>
          <w:rFonts w:ascii="宋体" w:hAnsi="宋体" w:cs="宋体" w:eastAsia="宋体" w:hint="default"/>
          <w:spacing w:val="-5"/>
        </w:rPr>
        <w:t>8</w:t>
      </w:r>
      <w:r>
        <w:rPr>
          <w:spacing w:val="-5"/>
        </w:rPr>
        <w:t>月</w:t>
      </w:r>
      <w:r>
        <w:rPr>
          <w:rFonts w:ascii="宋体" w:hAnsi="宋体" w:cs="宋体" w:eastAsia="宋体" w:hint="default"/>
          <w:spacing w:val="-5"/>
        </w:rPr>
        <w:t>23</w:t>
      </w:r>
      <w:r>
        <w:rPr>
          <w:spacing w:val="-5"/>
        </w:rPr>
        <w:t>日，公司召开了第二届董事会第二十三次会议，审议通过了《关于回购注销部分已授予限制性股票的议案》，</w:t>
      </w:r>
      <w:r>
        <w:rPr/>
        <w:t> 公司向离职员工回购注销其已获授但未解锁的全部限制性股票</w:t>
      </w:r>
      <w:r>
        <w:rPr>
          <w:rFonts w:ascii="宋体" w:hAnsi="宋体" w:cs="宋体" w:eastAsia="宋体" w:hint="default"/>
        </w:rPr>
        <w:t>22,750</w:t>
      </w:r>
      <w:r>
        <w:rPr/>
        <w:t>股，回购价格为授予价格人民币</w:t>
      </w:r>
      <w:r>
        <w:rPr>
          <w:rFonts w:ascii="宋体" w:hAnsi="宋体" w:cs="宋体" w:eastAsia="宋体" w:hint="default"/>
        </w:rPr>
        <w:t>25.59</w:t>
      </w:r>
      <w:r>
        <w:rPr/>
        <w:t>元</w:t>
      </w:r>
      <w:r>
        <w:rPr>
          <w:rFonts w:ascii="宋体" w:hAnsi="宋体" w:cs="宋体" w:eastAsia="宋体" w:hint="default"/>
        </w:rPr>
        <w:t>/</w:t>
      </w:r>
      <w:r>
        <w:rPr/>
        <w:t>股。</w:t>
      </w:r>
    </w:p>
    <w:p>
      <w:pPr>
        <w:pStyle w:val="BodyText"/>
        <w:spacing w:line="316" w:lineRule="auto" w:before="139"/>
        <w:ind w:right="1131" w:firstLine="360"/>
        <w:jc w:val="both"/>
      </w:pP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20</w:t>
      </w:r>
      <w:r>
        <w:rPr/>
        <w:t>日，公司召开第三届董事会第二次会议，审议通过了《关于</w:t>
      </w:r>
      <w:r>
        <w:rPr>
          <w:rFonts w:ascii="宋体" w:hAnsi="宋体" w:cs="宋体" w:eastAsia="宋体" w:hint="default"/>
        </w:rPr>
        <w:t>2015</w:t>
      </w:r>
      <w:r>
        <w:rPr/>
        <w:t>年限制性股票激励计划预留部分第一个解 锁期解锁条件成就的议案》，同意对符合解锁条件的激励对象</w:t>
      </w:r>
      <w:r>
        <w:rPr>
          <w:rFonts w:ascii="宋体" w:hAnsi="宋体" w:cs="宋体" w:eastAsia="宋体" w:hint="default"/>
        </w:rPr>
        <w:t>1</w:t>
      </w:r>
      <w:r>
        <w:rPr/>
        <w:t>名，解锁数量为</w:t>
      </w:r>
      <w:r>
        <w:rPr>
          <w:rFonts w:ascii="宋体" w:hAnsi="宋体" w:cs="宋体" w:eastAsia="宋体" w:hint="default"/>
        </w:rPr>
        <w:t>215,000</w:t>
      </w:r>
      <w:r>
        <w:rPr/>
        <w:t>股。</w:t>
      </w:r>
    </w:p>
    <w:p>
      <w:pPr>
        <w:pStyle w:val="BodyText"/>
        <w:spacing w:line="316" w:lineRule="auto" w:before="139"/>
        <w:ind w:right="1131" w:firstLine="360"/>
        <w:jc w:val="both"/>
      </w:pP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20</w:t>
      </w:r>
      <w:r>
        <w:rPr>
          <w:spacing w:val="-2"/>
        </w:rPr>
        <w:t>日公司第三届董事会第二次会议以及</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9</w:t>
      </w:r>
      <w:r>
        <w:rPr>
          <w:spacing w:val="-2"/>
        </w:rPr>
        <w:t>日第三届董事会第七次会议审议通过的《关于回购注销部</w:t>
      </w:r>
      <w:r>
        <w:rPr/>
        <w:t> 分已授予限制性股票的议案》，</w:t>
      </w:r>
      <w:r>
        <w:rPr>
          <w:rFonts w:ascii="宋体" w:hAnsi="宋体" w:cs="宋体" w:eastAsia="宋体" w:hint="default"/>
        </w:rPr>
        <w:t>2018</w:t>
      </w:r>
      <w:r>
        <w:rPr/>
        <w:t>年公司向离职员工回购注销其已获授但未解锁的全部限制性股票</w:t>
      </w:r>
      <w:r>
        <w:rPr>
          <w:rFonts w:ascii="宋体" w:hAnsi="宋体" w:cs="宋体" w:eastAsia="宋体" w:hint="default"/>
        </w:rPr>
        <w:t>31,220</w:t>
      </w:r>
      <w:r>
        <w:rPr/>
        <w:t>股以及</w:t>
      </w:r>
      <w:r>
        <w:rPr>
          <w:rFonts w:ascii="宋体" w:hAnsi="宋体" w:cs="宋体" w:eastAsia="宋体" w:hint="default"/>
        </w:rPr>
        <w:t>50,846 </w:t>
      </w:r>
      <w:r>
        <w:rPr/>
        <w:t>股，回购价格为分别授予价格</w:t>
      </w:r>
      <w:r>
        <w:rPr>
          <w:rFonts w:ascii="宋体" w:hAnsi="宋体" w:cs="宋体" w:eastAsia="宋体" w:hint="default"/>
        </w:rPr>
        <w:t>25.59</w:t>
      </w:r>
      <w:r>
        <w:rPr/>
        <w:t>元</w:t>
      </w:r>
      <w:r>
        <w:rPr>
          <w:rFonts w:ascii="宋体" w:hAnsi="宋体" w:cs="宋体" w:eastAsia="宋体" w:hint="default"/>
        </w:rPr>
        <w:t>/</w:t>
      </w:r>
      <w:r>
        <w:rPr/>
        <w:t>股以及</w:t>
      </w:r>
      <w:r>
        <w:rPr>
          <w:rFonts w:ascii="宋体" w:hAnsi="宋体" w:cs="宋体" w:eastAsia="宋体" w:hint="default"/>
        </w:rPr>
        <w:t>14.2126</w:t>
      </w:r>
      <w:r>
        <w:rPr/>
        <w:t>元</w:t>
      </w:r>
      <w:r>
        <w:rPr>
          <w:rFonts w:ascii="宋体" w:hAnsi="宋体" w:cs="宋体" w:eastAsia="宋体" w:hint="default"/>
        </w:rPr>
        <w:t>/</w:t>
      </w:r>
      <w:r>
        <w:rPr/>
        <w:t>股。</w:t>
      </w:r>
    </w:p>
    <w:p>
      <w:pPr>
        <w:pStyle w:val="BodyText"/>
        <w:spacing w:line="316" w:lineRule="auto" w:before="139"/>
        <w:ind w:right="1131" w:firstLine="360"/>
        <w:jc w:val="both"/>
      </w:pP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20</w:t>
      </w:r>
      <w:r>
        <w:rPr/>
        <w:t>日第三届董事会第二次会议审议通过的《关于</w:t>
      </w:r>
      <w:r>
        <w:rPr>
          <w:rFonts w:ascii="宋体" w:hAnsi="宋体" w:cs="宋体" w:eastAsia="宋体" w:hint="default"/>
        </w:rPr>
        <w:t>2015</w:t>
      </w:r>
      <w:r>
        <w:rPr/>
        <w:t>年限制性股票激励计划首次授予部分第二个解锁期解锁 条件成就的议案》，解锁符合解锁条件的激励对象</w:t>
      </w:r>
      <w:r>
        <w:rPr>
          <w:rFonts w:ascii="宋体" w:hAnsi="宋体" w:cs="宋体" w:eastAsia="宋体" w:hint="default"/>
        </w:rPr>
        <w:t>129</w:t>
      </w:r>
      <w:r>
        <w:rPr/>
        <w:t>名，解锁数量为</w:t>
      </w:r>
      <w:r>
        <w:rPr>
          <w:rFonts w:ascii="宋体" w:hAnsi="宋体" w:cs="宋体" w:eastAsia="宋体" w:hint="default"/>
        </w:rPr>
        <w:t>1,147,740</w:t>
      </w:r>
      <w:r>
        <w:rPr/>
        <w:t>股。</w:t>
      </w:r>
    </w:p>
    <w:p>
      <w:pPr>
        <w:pStyle w:val="BodyText"/>
        <w:spacing w:line="316" w:lineRule="auto" w:before="139"/>
        <w:ind w:right="1130" w:firstLine="360"/>
        <w:jc w:val="both"/>
      </w:pPr>
      <w:r>
        <w:rPr/>
        <w:t>由于</w:t>
      </w:r>
      <w:r>
        <w:rPr>
          <w:rFonts w:ascii="宋体" w:hAnsi="宋体" w:cs="宋体" w:eastAsia="宋体" w:hint="default"/>
        </w:rPr>
        <w:t>2018</w:t>
      </w:r>
      <w:r>
        <w:rPr/>
        <w:t>年经审定后的净利润指标未达到</w:t>
      </w:r>
      <w:r>
        <w:rPr>
          <w:rFonts w:ascii="宋体" w:hAnsi="宋体" w:cs="宋体" w:eastAsia="宋体" w:hint="default"/>
        </w:rPr>
        <w:t>2015</w:t>
      </w:r>
      <w:r>
        <w:rPr/>
        <w:t>年限制性股票激励计划对第一批授予的股票第三个解锁期以及预留部分 股票第二个解锁期解锁条件的要求。因业绩未达标（首次授予第三个解锁期）未能解锁，数量为</w:t>
      </w:r>
      <w:r>
        <w:rPr>
          <w:rFonts w:ascii="宋体" w:hAnsi="宋体" w:cs="宋体" w:eastAsia="宋体" w:hint="default"/>
        </w:rPr>
        <w:t>2,704,502</w:t>
      </w:r>
      <w:r>
        <w:rPr/>
        <w:t>股；因业绩未达</w:t>
      </w:r>
      <w:r>
        <w:rPr>
          <w:spacing w:val="-83"/>
        </w:rPr>
        <w:t> </w:t>
      </w:r>
      <w:r>
        <w:rPr/>
        <w:t>标（预留授予第二个解锁期）未能解锁，数量为</w:t>
      </w:r>
      <w:r>
        <w:rPr>
          <w:rFonts w:ascii="宋体" w:hAnsi="宋体" w:cs="宋体" w:eastAsia="宋体" w:hint="default"/>
        </w:rPr>
        <w:t>387,109</w:t>
      </w:r>
      <w:r>
        <w:rPr/>
        <w:t>股。</w:t>
      </w:r>
    </w:p>
    <w:p>
      <w:pPr>
        <w:pStyle w:val="BodyText"/>
        <w:spacing w:line="432" w:lineRule="exact" w:before="3"/>
        <w:ind w:left="514" w:right="0" w:hanging="360"/>
        <w:jc w:val="left"/>
      </w:pPr>
      <w:r>
        <w:rPr/>
        <w:t>（</w:t>
      </w:r>
      <w:r>
        <w:rPr>
          <w:rFonts w:ascii="宋体" w:hAnsi="宋体" w:cs="宋体" w:eastAsia="宋体" w:hint="default"/>
        </w:rPr>
        <w:t>2</w:t>
      </w:r>
      <w:r>
        <w:rPr/>
        <w:t>）</w:t>
      </w:r>
      <w:r>
        <w:rPr>
          <w:rFonts w:ascii="宋体" w:hAnsi="宋体" w:cs="宋体" w:eastAsia="宋体" w:hint="default"/>
        </w:rPr>
        <w:t>2016</w:t>
      </w:r>
      <w:r>
        <w:rPr/>
        <w:t>年限制性股票 </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8</w:t>
      </w:r>
      <w:r>
        <w:rPr>
          <w:spacing w:val="-2"/>
        </w:rPr>
        <w:t>日，公司召开</w:t>
      </w:r>
      <w:r>
        <w:rPr>
          <w:rFonts w:ascii="宋体" w:hAnsi="宋体" w:cs="宋体" w:eastAsia="宋体" w:hint="default"/>
          <w:spacing w:val="-2"/>
        </w:rPr>
        <w:t>2017</w:t>
      </w:r>
      <w:r>
        <w:rPr>
          <w:spacing w:val="-2"/>
        </w:rPr>
        <w:t>年第一次临时股东大会，审议通过了《深圳四方精创资讯股份有限公司</w:t>
      </w:r>
      <w:r>
        <w:rPr>
          <w:rFonts w:ascii="宋体" w:hAnsi="宋体" w:cs="宋体" w:eastAsia="宋体" w:hint="default"/>
          <w:spacing w:val="-2"/>
        </w:rPr>
        <w:t>2016</w:t>
      </w:r>
      <w:r>
        <w:rPr>
          <w:spacing w:val="-2"/>
        </w:rPr>
        <w:t>年限制性股票</w:t>
      </w:r>
    </w:p>
    <w:p>
      <w:pPr>
        <w:pStyle w:val="BodyText"/>
        <w:spacing w:line="319" w:lineRule="auto" w:before="15"/>
        <w:ind w:right="1130"/>
        <w:jc w:val="both"/>
      </w:pPr>
      <w:r>
        <w:rPr>
          <w:spacing w:val="-5"/>
        </w:rPr>
        <w:t>激励计划（草案）》、《关于审核</w:t>
      </w:r>
      <w:r>
        <w:rPr>
          <w:rFonts w:ascii="宋体" w:hAnsi="宋体" w:cs="宋体" w:eastAsia="宋体" w:hint="default"/>
          <w:spacing w:val="-5"/>
        </w:rPr>
        <w:t>&lt;</w:t>
      </w:r>
      <w:r>
        <w:rPr>
          <w:spacing w:val="-5"/>
        </w:rPr>
        <w:t>深圳四方精创资讯股份有限公司限制性股票激励计划（草案）</w:t>
      </w:r>
      <w:r>
        <w:rPr>
          <w:rFonts w:ascii="宋体" w:hAnsi="宋体" w:cs="宋体" w:eastAsia="宋体" w:hint="default"/>
          <w:spacing w:val="-5"/>
        </w:rPr>
        <w:t>&gt;</w:t>
      </w:r>
      <w:r>
        <w:rPr>
          <w:spacing w:val="-5"/>
        </w:rPr>
        <w:t>及其摘要的议案》以及《关</w:t>
      </w:r>
      <w:r>
        <w:rPr>
          <w:spacing w:val="-75"/>
        </w:rPr>
        <w:t> </w:t>
      </w:r>
      <w:r>
        <w:rPr>
          <w:spacing w:val="-75"/>
        </w:rPr>
      </w:r>
      <w:r>
        <w:rPr>
          <w:spacing w:val="-2"/>
        </w:rPr>
        <w:t>于提请股东大会授权董事会办理公司</w:t>
      </w:r>
      <w:r>
        <w:rPr>
          <w:rFonts w:ascii="宋体" w:hAnsi="宋体" w:cs="宋体" w:eastAsia="宋体" w:hint="default"/>
          <w:spacing w:val="-2"/>
        </w:rPr>
        <w:t>2016</w:t>
      </w:r>
      <w:r>
        <w:rPr>
          <w:spacing w:val="-2"/>
        </w:rPr>
        <w:t>年限制性股票激励计划相关事宜的议案》等议案。根据上述规定，公司向第一批激</w:t>
      </w:r>
      <w:r>
        <w:rPr>
          <w:spacing w:val="-62"/>
        </w:rPr>
        <w:t> </w:t>
      </w:r>
      <w:r>
        <w:rPr>
          <w:spacing w:val="-62"/>
        </w:rPr>
      </w:r>
      <w:r>
        <w:rPr/>
        <w:t>励对象授予</w:t>
      </w:r>
      <w:r>
        <w:rPr>
          <w:rFonts w:ascii="宋体" w:hAnsi="宋体" w:cs="宋体" w:eastAsia="宋体" w:hint="default"/>
        </w:rPr>
        <w:t>1,076,800.00</w:t>
      </w:r>
      <w:r>
        <w:rPr/>
        <w:t>股限制性股票。</w:t>
      </w:r>
      <w:r>
        <w:rPr>
          <w:rFonts w:ascii="宋体" w:hAnsi="宋体" w:cs="宋体" w:eastAsia="宋体" w:hint="default"/>
        </w:rPr>
        <w:t>2018</w:t>
      </w:r>
      <w:r>
        <w:rPr/>
        <w:t>年授予第二批</w:t>
      </w:r>
      <w:r>
        <w:rPr>
          <w:rFonts w:ascii="宋体" w:hAnsi="宋体" w:cs="宋体" w:eastAsia="宋体" w:hint="default"/>
        </w:rPr>
        <w:t>2</w:t>
      </w:r>
      <w:r>
        <w:rPr/>
        <w:t>名激励对象</w:t>
      </w:r>
      <w:r>
        <w:rPr>
          <w:rFonts w:ascii="宋体" w:hAnsi="宋体" w:cs="宋体" w:eastAsia="宋体" w:hint="default"/>
        </w:rPr>
        <w:t>276,000.00</w:t>
      </w:r>
      <w:r>
        <w:rPr/>
        <w:t>股。</w:t>
      </w:r>
    </w:p>
    <w:p>
      <w:pPr>
        <w:pStyle w:val="BodyText"/>
        <w:spacing w:line="316" w:lineRule="auto" w:before="137"/>
        <w:ind w:right="1130" w:firstLine="360"/>
        <w:jc w:val="both"/>
      </w:pPr>
      <w:r>
        <w:rPr>
          <w:spacing w:val="-2"/>
        </w:rPr>
        <w:t>根据相关规定，股权激励计划有效期为自首次授予期权工具的授权日起四年。本激励计划授予的期权工具自授权日起满</w:t>
      </w:r>
      <w:r>
        <w:rPr/>
        <w:t> </w:t>
      </w:r>
      <w:r>
        <w:rPr>
          <w:rFonts w:ascii="宋体" w:hAnsi="宋体" w:cs="宋体" w:eastAsia="宋体" w:hint="default"/>
        </w:rPr>
        <w:t>12</w:t>
      </w:r>
      <w:r>
        <w:rPr/>
        <w:t>个月后可以开始行权。主要行权条件：在本股权激励计划有效期内，以</w:t>
      </w:r>
      <w:r>
        <w:rPr>
          <w:rFonts w:ascii="宋体" w:hAnsi="宋体" w:cs="宋体" w:eastAsia="宋体" w:hint="default"/>
        </w:rPr>
        <w:t>2016</w:t>
      </w:r>
      <w:r>
        <w:rPr/>
        <w:t>年净利润为基数，</w:t>
      </w:r>
      <w:r>
        <w:rPr>
          <w:rFonts w:ascii="宋体" w:hAnsi="宋体" w:cs="宋体" w:eastAsia="宋体" w:hint="default"/>
        </w:rPr>
        <w:t>2017-2019</w:t>
      </w:r>
      <w:r>
        <w:rPr/>
        <w:t>年相对于</w:t>
      </w:r>
      <w:r>
        <w:rPr>
          <w:rFonts w:ascii="宋体" w:hAnsi="宋体" w:cs="宋体" w:eastAsia="宋体" w:hint="default"/>
        </w:rPr>
        <w:t>2016</w:t>
      </w:r>
      <w:r>
        <w:rPr/>
        <w:t>年</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的净利润增长率分别不低于</w:t>
      </w:r>
      <w:r>
        <w:rPr>
          <w:rFonts w:ascii="宋体" w:hAnsi="宋体" w:cs="宋体" w:eastAsia="宋体" w:hint="default"/>
          <w:spacing w:val="-2"/>
        </w:rPr>
        <w:t>15%</w:t>
      </w:r>
      <w:r>
        <w:rPr>
          <w:spacing w:val="-2"/>
        </w:rPr>
        <w:t>、</w:t>
      </w:r>
      <w:r>
        <w:rPr>
          <w:rFonts w:ascii="宋体" w:hAnsi="宋体" w:cs="宋体" w:eastAsia="宋体" w:hint="default"/>
          <w:spacing w:val="-2"/>
        </w:rPr>
        <w:t>20%</w:t>
      </w:r>
      <w:r>
        <w:rPr>
          <w:spacing w:val="-2"/>
        </w:rPr>
        <w:t>及</w:t>
      </w:r>
      <w:r>
        <w:rPr>
          <w:rFonts w:ascii="宋体" w:hAnsi="宋体" w:cs="宋体" w:eastAsia="宋体" w:hint="default"/>
          <w:spacing w:val="-2"/>
        </w:rPr>
        <w:t>25%</w:t>
      </w:r>
      <w:r>
        <w:rPr>
          <w:spacing w:val="-2"/>
        </w:rPr>
        <w:t>。预留部分的限制性股票的行权条件为，以</w:t>
      </w:r>
      <w:r>
        <w:rPr>
          <w:rFonts w:ascii="宋体" w:hAnsi="宋体" w:cs="宋体" w:eastAsia="宋体" w:hint="default"/>
          <w:spacing w:val="-2"/>
        </w:rPr>
        <w:t>2016</w:t>
      </w:r>
      <w:r>
        <w:rPr>
          <w:spacing w:val="-2"/>
        </w:rPr>
        <w:t>年净利润为基数，</w:t>
      </w:r>
      <w:r>
        <w:rPr>
          <w:rFonts w:ascii="宋体" w:hAnsi="宋体" w:cs="宋体" w:eastAsia="宋体" w:hint="default"/>
          <w:spacing w:val="-2"/>
        </w:rPr>
        <w:t>2018-2019</w:t>
      </w:r>
      <w:r>
        <w:rPr>
          <w:spacing w:val="-2"/>
        </w:rPr>
        <w:t>年相</w:t>
      </w:r>
      <w:r>
        <w:rPr>
          <w:spacing w:val="-44"/>
        </w:rPr>
        <w:t> </w:t>
      </w:r>
      <w:r>
        <w:rPr/>
        <w:t>对于</w:t>
      </w:r>
      <w:r>
        <w:rPr>
          <w:rFonts w:ascii="宋体" w:hAnsi="宋体" w:cs="宋体" w:eastAsia="宋体" w:hint="default"/>
        </w:rPr>
        <w:t>2016</w:t>
      </w:r>
      <w:r>
        <w:rPr/>
        <w:t>年的净利润增长率分别不低于</w:t>
      </w:r>
      <w:r>
        <w:rPr>
          <w:rFonts w:ascii="宋体" w:hAnsi="宋体" w:cs="宋体" w:eastAsia="宋体" w:hint="default"/>
        </w:rPr>
        <w:t>20%</w:t>
      </w:r>
      <w:r>
        <w:rPr/>
        <w:t>及</w:t>
      </w:r>
      <w:r>
        <w:rPr>
          <w:rFonts w:ascii="宋体" w:hAnsi="宋体" w:cs="宋体" w:eastAsia="宋体" w:hint="default"/>
        </w:rPr>
        <w:t>25%</w:t>
      </w:r>
      <w:r>
        <w:rPr/>
        <w:t>。</w:t>
      </w:r>
    </w:p>
    <w:p>
      <w:pPr>
        <w:pStyle w:val="BodyText"/>
        <w:spacing w:line="316" w:lineRule="auto" w:before="139"/>
        <w:ind w:right="1132" w:firstLine="360"/>
        <w:jc w:val="both"/>
      </w:pP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23</w:t>
      </w:r>
      <w:r>
        <w:rPr/>
        <w:t>日，公司召开第二届董事会第二十三次会议审议通过了《关于回购注销部分已授予限制性股票的议案》， 公司向离职员工回购注销其已获授但未解锁的全部限制性股票</w:t>
      </w:r>
      <w:r>
        <w:rPr>
          <w:rFonts w:ascii="宋体" w:hAnsi="宋体" w:cs="宋体" w:eastAsia="宋体" w:hint="default"/>
        </w:rPr>
        <w:t>14,800</w:t>
      </w:r>
      <w:r>
        <w:rPr/>
        <w:t>股，回购价格为授予价格</w:t>
      </w:r>
      <w:r>
        <w:rPr>
          <w:rFonts w:ascii="宋体" w:hAnsi="宋体" w:cs="宋体" w:eastAsia="宋体" w:hint="default"/>
        </w:rPr>
        <w:t>28.90</w:t>
      </w:r>
      <w:r>
        <w:rPr/>
        <w:t>元</w:t>
      </w:r>
      <w:r>
        <w:rPr>
          <w:rFonts w:ascii="宋体" w:hAnsi="宋体" w:cs="宋体" w:eastAsia="宋体" w:hint="default"/>
        </w:rPr>
        <w:t>/</w:t>
      </w:r>
      <w:r>
        <w:rPr/>
        <w:t>股。</w:t>
      </w:r>
    </w:p>
    <w:p>
      <w:pPr>
        <w:pStyle w:val="BodyText"/>
        <w:spacing w:line="240" w:lineRule="auto" w:before="139"/>
        <w:ind w:left="514" w:right="0"/>
        <w:jc w:val="left"/>
      </w:pP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16</w:t>
      </w:r>
      <w:r>
        <w:rPr/>
        <w:t>日，公司召开第二届董事会第二十八次会议审议并通过了《关于向激励对象授予预留限制性股票的议案》，</w:t>
      </w:r>
    </w:p>
    <w:p>
      <w:pPr>
        <w:pStyle w:val="BodyText"/>
        <w:spacing w:line="240" w:lineRule="auto" w:before="76"/>
        <w:ind w:right="0"/>
        <w:jc w:val="left"/>
      </w:pPr>
      <w:r>
        <w:rPr>
          <w:rFonts w:ascii="宋体" w:hAnsi="宋体" w:cs="宋体" w:eastAsia="宋体" w:hint="default"/>
          <w:spacing w:val="2"/>
        </w:rPr>
        <w:t>2016</w:t>
      </w:r>
      <w:r>
        <w:rPr>
          <w:spacing w:val="2"/>
        </w:rPr>
        <w:t>年限制性股票激励计划规定的预留限制性股票的授予条件已经成就，确定</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16</w:t>
      </w:r>
      <w:r>
        <w:rPr>
          <w:spacing w:val="2"/>
        </w:rPr>
        <w:t>日为授予日，授予价格为每股</w:t>
      </w:r>
    </w:p>
    <w:p>
      <w:pPr>
        <w:pStyle w:val="BodyText"/>
        <w:spacing w:line="240" w:lineRule="auto" w:before="76"/>
        <w:ind w:right="0"/>
        <w:jc w:val="left"/>
      </w:pPr>
      <w:r>
        <w:rPr>
          <w:rFonts w:ascii="宋体" w:hAnsi="宋体" w:cs="宋体" w:eastAsia="宋体" w:hint="default"/>
        </w:rPr>
        <w:t>23.82</w:t>
      </w:r>
      <w:r>
        <w:rPr/>
        <w:t>元，授予</w:t>
      </w:r>
      <w:r>
        <w:rPr>
          <w:rFonts w:ascii="宋体" w:hAnsi="宋体" w:cs="宋体" w:eastAsia="宋体" w:hint="default"/>
        </w:rPr>
        <w:t>2</w:t>
      </w:r>
      <w:r>
        <w:rPr/>
        <w:t>名激励对象</w:t>
      </w:r>
      <w:r>
        <w:rPr>
          <w:rFonts w:ascii="宋体" w:hAnsi="宋体" w:cs="宋体" w:eastAsia="宋体" w:hint="default"/>
        </w:rPr>
        <w:t>276,000</w:t>
      </w:r>
      <w:r>
        <w:rPr/>
        <w:t>股限制性股票。</w:t>
      </w:r>
    </w:p>
    <w:p>
      <w:pPr>
        <w:spacing w:line="240" w:lineRule="auto" w:before="0"/>
        <w:rPr>
          <w:rFonts w:ascii="宋体" w:hAnsi="宋体" w:cs="宋体" w:eastAsia="宋体" w:hint="default"/>
          <w:sz w:val="15"/>
          <w:szCs w:val="15"/>
        </w:rPr>
      </w:pPr>
    </w:p>
    <w:p>
      <w:pPr>
        <w:pStyle w:val="BodyText"/>
        <w:spacing w:line="316" w:lineRule="auto"/>
        <w:ind w:right="1129" w:firstLine="360"/>
        <w:jc w:val="both"/>
      </w:pP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20</w:t>
      </w:r>
      <w:r>
        <w:rPr/>
        <w:t>日，公司召开第三届董事会第二次会议审议通过了《关于</w:t>
      </w:r>
      <w:r>
        <w:rPr>
          <w:rFonts w:ascii="宋体" w:hAnsi="宋体" w:cs="宋体" w:eastAsia="宋体" w:hint="default"/>
        </w:rPr>
        <w:t>2016</w:t>
      </w:r>
      <w:r>
        <w:rPr/>
        <w:t>年限制性股票激励计划首次授予部分第一个 解锁期解锁条件成就的议案》、《关于回购注销部分已授予限制性股票的议案》，同意对符合解锁条件的激励对象</w:t>
      </w:r>
      <w:r>
        <w:rPr>
          <w:rFonts w:ascii="宋体" w:hAnsi="宋体" w:cs="宋体" w:eastAsia="宋体" w:hint="default"/>
        </w:rPr>
        <w:t>140</w:t>
      </w:r>
      <w:r>
        <w:rPr/>
        <w:t>名，</w:t>
      </w:r>
      <w:r>
        <w:rPr>
          <w:spacing w:val="-81"/>
        </w:rPr>
        <w:t> </w:t>
      </w:r>
      <w:r>
        <w:rPr/>
        <w:t>解锁数量为</w:t>
      </w:r>
      <w:r>
        <w:rPr>
          <w:rFonts w:ascii="宋体" w:hAnsi="宋体" w:cs="宋体" w:eastAsia="宋体" w:hint="default"/>
        </w:rPr>
        <w:t>311,340</w:t>
      </w:r>
      <w:r>
        <w:rPr/>
        <w:t>股，按规定解锁并为其办理相应的解锁手续，同意回购注销限制性股票</w:t>
      </w:r>
      <w:r>
        <w:rPr>
          <w:rFonts w:ascii="宋体" w:hAnsi="宋体" w:cs="宋体" w:eastAsia="宋体" w:hint="default"/>
        </w:rPr>
        <w:t>24,200</w:t>
      </w:r>
      <w:r>
        <w:rPr/>
        <w:t>股，回购价格为授予价格</w:t>
      </w:r>
      <w:r>
        <w:rPr>
          <w:spacing w:val="-84"/>
        </w:rPr>
        <w:t> </w:t>
      </w:r>
      <w:r>
        <w:rPr>
          <w:spacing w:val="-84"/>
        </w:rPr>
      </w:r>
      <w:r>
        <w:rPr/>
        <w:t>人民币</w:t>
      </w:r>
      <w:r>
        <w:rPr>
          <w:rFonts w:ascii="宋体" w:hAnsi="宋体" w:cs="宋体" w:eastAsia="宋体" w:hint="default"/>
        </w:rPr>
        <w:t>28.90</w:t>
      </w:r>
      <w:r>
        <w:rPr/>
        <w:t>元</w:t>
      </w:r>
      <w:r>
        <w:rPr>
          <w:rFonts w:ascii="宋体" w:hAnsi="宋体" w:cs="宋体" w:eastAsia="宋体" w:hint="default"/>
        </w:rPr>
        <w:t>/</w:t>
      </w:r>
      <w:r>
        <w:rPr/>
        <w:t>股。</w:t>
      </w:r>
    </w:p>
    <w:p>
      <w:pPr>
        <w:pStyle w:val="BodyText"/>
        <w:spacing w:line="316" w:lineRule="auto" w:before="139"/>
        <w:ind w:right="1132" w:firstLine="360"/>
        <w:jc w:val="both"/>
      </w:pP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9</w:t>
      </w:r>
      <w:r>
        <w:rPr/>
        <w:t>日，公司召开第三届董事会第七次会议审议通过了《关于回购注销部分已授予限制性股票的议案》，公司 向离职员工回购注销其已获授但未解锁的全部限制性股票</w:t>
      </w:r>
      <w:r>
        <w:rPr>
          <w:rFonts w:ascii="宋体" w:hAnsi="宋体" w:cs="宋体" w:eastAsia="宋体" w:hint="default"/>
        </w:rPr>
        <w:t>179,854</w:t>
      </w:r>
      <w:r>
        <w:rPr/>
        <w:t>股，回购价格为</w:t>
      </w:r>
      <w:r>
        <w:rPr>
          <w:rFonts w:ascii="宋体" w:hAnsi="宋体" w:cs="宋体" w:eastAsia="宋体" w:hint="default"/>
        </w:rPr>
        <w:t>16.0510</w:t>
      </w:r>
      <w:r>
        <w:rPr/>
        <w:t>元</w:t>
      </w:r>
      <w:r>
        <w:rPr>
          <w:rFonts w:ascii="宋体" w:hAnsi="宋体" w:cs="宋体" w:eastAsia="宋体" w:hint="default"/>
        </w:rPr>
        <w:t>/</w:t>
      </w:r>
      <w:r>
        <w:rPr/>
        <w:t>股。</w:t>
      </w:r>
    </w:p>
    <w:p>
      <w:pPr>
        <w:pStyle w:val="BodyText"/>
        <w:spacing w:line="316" w:lineRule="auto" w:before="139"/>
        <w:ind w:right="1130" w:firstLine="360"/>
        <w:jc w:val="both"/>
      </w:pPr>
      <w:r>
        <w:rPr/>
        <w:t>由于</w:t>
      </w:r>
      <w:r>
        <w:rPr>
          <w:rFonts w:ascii="宋体" w:hAnsi="宋体" w:cs="宋体" w:eastAsia="宋体" w:hint="default"/>
        </w:rPr>
        <w:t>2018</w:t>
      </w:r>
      <w:r>
        <w:rPr/>
        <w:t>年经审定后的净利润指标未达到</w:t>
      </w:r>
      <w:r>
        <w:rPr>
          <w:rFonts w:ascii="宋体" w:hAnsi="宋体" w:cs="宋体" w:eastAsia="宋体" w:hint="default"/>
        </w:rPr>
        <w:t>2016</w:t>
      </w:r>
      <w:r>
        <w:rPr/>
        <w:t>年限制性股票激励计划对第一批授予的股票第二个解锁期以及预留部分 股票第一个解锁期解锁条件的要求。因业绩未达标（首次授予第二个解锁期）未能解锁，数量为</w:t>
      </w:r>
      <w:r>
        <w:rPr>
          <w:rFonts w:ascii="宋体" w:hAnsi="宋体" w:cs="宋体" w:eastAsia="宋体" w:hint="default"/>
        </w:rPr>
        <w:t>483,487</w:t>
      </w:r>
      <w:r>
        <w:rPr/>
        <w:t>股；因业绩未达标</w:t>
      </w:r>
    </w:p>
    <w:p>
      <w:pPr>
        <w:pStyle w:val="BodyText"/>
        <w:spacing w:line="240" w:lineRule="auto" w:before="19"/>
        <w:ind w:right="0"/>
        <w:jc w:val="left"/>
      </w:pPr>
      <w:r>
        <w:rPr/>
        <w:t>（预留授予第一个解锁期）未能解锁，数量为</w:t>
      </w:r>
      <w:r>
        <w:rPr>
          <w:rFonts w:ascii="宋体" w:hAnsi="宋体" w:cs="宋体" w:eastAsia="宋体" w:hint="default"/>
        </w:rPr>
        <w:t>248,470</w:t>
      </w:r>
      <w:r>
        <w:rPr/>
        <w:t>股。</w:t>
      </w:r>
    </w:p>
    <w:p>
      <w:pPr>
        <w:pStyle w:val="BodyText"/>
        <w:spacing w:line="430" w:lineRule="atLeast" w:before="2"/>
        <w:ind w:left="514" w:right="0" w:hanging="360"/>
        <w:jc w:val="left"/>
      </w:pPr>
      <w:r>
        <w:rPr/>
        <w:t>（</w:t>
      </w:r>
      <w:r>
        <w:rPr>
          <w:rFonts w:ascii="宋体" w:hAnsi="宋体" w:cs="宋体" w:eastAsia="宋体" w:hint="default"/>
        </w:rPr>
        <w:t>3</w:t>
      </w:r>
      <w:r>
        <w:rPr/>
        <w:t>）</w:t>
      </w:r>
      <w:r>
        <w:rPr>
          <w:rFonts w:ascii="宋体" w:hAnsi="宋体" w:cs="宋体" w:eastAsia="宋体" w:hint="default"/>
        </w:rPr>
        <w:t>2017</w:t>
      </w:r>
      <w:r>
        <w:rPr/>
        <w:t>年限制性股票 </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11</w:t>
      </w:r>
      <w:r>
        <w:rPr>
          <w:spacing w:val="-2"/>
        </w:rPr>
        <w:t>日，公司召开</w:t>
      </w:r>
      <w:r>
        <w:rPr>
          <w:rFonts w:ascii="宋体" w:hAnsi="宋体" w:cs="宋体" w:eastAsia="宋体" w:hint="default"/>
          <w:spacing w:val="-2"/>
        </w:rPr>
        <w:t>2017</w:t>
      </w:r>
      <w:r>
        <w:rPr>
          <w:spacing w:val="-2"/>
        </w:rPr>
        <w:t>年第二次临时股东大会，审议通过了《深圳四方精创资讯股份有限公司</w:t>
      </w:r>
      <w:r>
        <w:rPr>
          <w:rFonts w:ascii="宋体" w:hAnsi="宋体" w:cs="宋体" w:eastAsia="宋体" w:hint="default"/>
          <w:spacing w:val="-2"/>
        </w:rPr>
        <w:t>2017</w:t>
      </w:r>
      <w:r>
        <w:rPr>
          <w:spacing w:val="-2"/>
        </w:rPr>
        <w:t>年限制性股</w:t>
      </w:r>
    </w:p>
    <w:p>
      <w:pPr>
        <w:pStyle w:val="BodyText"/>
        <w:spacing w:line="319" w:lineRule="auto" w:before="76"/>
        <w:ind w:right="0"/>
        <w:jc w:val="left"/>
      </w:pPr>
      <w:r>
        <w:rPr>
          <w:spacing w:val="-4"/>
        </w:rPr>
        <w:t>票激励计划（草案）》、《关于审核</w:t>
      </w:r>
      <w:r>
        <w:rPr>
          <w:rFonts w:ascii="宋体" w:hAnsi="宋体" w:cs="宋体" w:eastAsia="宋体" w:hint="default"/>
          <w:spacing w:val="-4"/>
        </w:rPr>
        <w:t>&lt;</w:t>
      </w:r>
      <w:r>
        <w:rPr>
          <w:spacing w:val="-4"/>
        </w:rPr>
        <w:t>深圳四方精创资讯股份有限公司</w:t>
      </w:r>
      <w:r>
        <w:rPr>
          <w:rFonts w:ascii="宋体" w:hAnsi="宋体" w:cs="宋体" w:eastAsia="宋体" w:hint="default"/>
          <w:spacing w:val="-4"/>
        </w:rPr>
        <w:t>2017</w:t>
      </w:r>
      <w:r>
        <w:rPr>
          <w:spacing w:val="-4"/>
        </w:rPr>
        <w:t>年限制性股票激励计划（草案）</w:t>
      </w:r>
      <w:r>
        <w:rPr>
          <w:rFonts w:ascii="宋体" w:hAnsi="宋体" w:cs="宋体" w:eastAsia="宋体" w:hint="default"/>
          <w:spacing w:val="-4"/>
        </w:rPr>
        <w:t>&gt;</w:t>
      </w:r>
      <w:r>
        <w:rPr>
          <w:spacing w:val="-4"/>
        </w:rPr>
        <w:t>及其摘要的议案》</w:t>
      </w:r>
      <w:r>
        <w:rPr>
          <w:spacing w:val="-35"/>
        </w:rPr>
        <w:t> </w:t>
      </w:r>
      <w:r>
        <w:rPr>
          <w:spacing w:val="-35"/>
        </w:rPr>
      </w:r>
      <w:r>
        <w:rPr>
          <w:spacing w:val="-2"/>
        </w:rPr>
        <w:t>以及《关于提请股东大会授权董事会办理公司</w:t>
      </w:r>
      <w:r>
        <w:rPr>
          <w:rFonts w:ascii="宋体" w:hAnsi="宋体" w:cs="宋体" w:eastAsia="宋体" w:hint="default"/>
          <w:spacing w:val="-2"/>
        </w:rPr>
        <w:t>2017</w:t>
      </w:r>
      <w:r>
        <w:rPr>
          <w:spacing w:val="-2"/>
        </w:rPr>
        <w:t>年限制性股票激励计划相关事宜的议案》等议案。根据上述规定，公司向</w:t>
      </w:r>
      <w:r>
        <w:rPr>
          <w:spacing w:val="-62"/>
        </w:rPr>
        <w:t> </w:t>
      </w:r>
      <w:r>
        <w:rPr>
          <w:spacing w:val="-62"/>
        </w:rPr>
      </w:r>
      <w:r>
        <w:rPr/>
        <w:t>第一批激励对象授予</w:t>
      </w:r>
      <w:r>
        <w:rPr>
          <w:rFonts w:ascii="宋体" w:hAnsi="宋体" w:cs="宋体" w:eastAsia="宋体" w:hint="default"/>
        </w:rPr>
        <w:t>2,513,400</w:t>
      </w:r>
      <w:r>
        <w:rPr/>
        <w:t>股限制性股票。</w:t>
      </w:r>
    </w:p>
    <w:p>
      <w:pPr>
        <w:pStyle w:val="BodyText"/>
        <w:spacing w:line="316" w:lineRule="auto" w:before="137"/>
        <w:ind w:right="1130" w:firstLine="360"/>
        <w:jc w:val="both"/>
      </w:pPr>
      <w:r>
        <w:rPr>
          <w:spacing w:val="-2"/>
        </w:rPr>
        <w:t>根据相关规定，股权激励计划有效期为自首次授予期权工具的授权日起四年。本激励计划授予的期权工具自授权日起满</w:t>
      </w:r>
      <w:r>
        <w:rPr/>
        <w:t> </w:t>
      </w:r>
      <w:r>
        <w:rPr>
          <w:rFonts w:ascii="宋体" w:hAnsi="宋体" w:cs="宋体" w:eastAsia="宋体" w:hint="default"/>
        </w:rPr>
        <w:t>12</w:t>
      </w:r>
      <w:r>
        <w:rPr/>
        <w:t>个月后可以开始行权。主要行权条件：在本股权激励计划有效期内，以</w:t>
      </w:r>
      <w:r>
        <w:rPr>
          <w:rFonts w:ascii="宋体" w:hAnsi="宋体" w:cs="宋体" w:eastAsia="宋体" w:hint="default"/>
        </w:rPr>
        <w:t>2016</w:t>
      </w:r>
      <w:r>
        <w:rPr/>
        <w:t>年净利润为基数，</w:t>
      </w:r>
      <w:r>
        <w:rPr>
          <w:rFonts w:ascii="宋体" w:hAnsi="宋体" w:cs="宋体" w:eastAsia="宋体" w:hint="default"/>
        </w:rPr>
        <w:t>2017-2019</w:t>
      </w:r>
      <w:r>
        <w:rPr/>
        <w:t>年相对于</w:t>
      </w:r>
      <w:r>
        <w:rPr>
          <w:rFonts w:ascii="宋体" w:hAnsi="宋体" w:cs="宋体" w:eastAsia="宋体" w:hint="default"/>
        </w:rPr>
        <w:t>2016</w:t>
      </w:r>
      <w:r>
        <w:rPr/>
        <w:t>年</w:t>
      </w:r>
      <w:r>
        <w:rPr>
          <w:spacing w:val="-83"/>
        </w:rPr>
        <w:t> </w:t>
      </w:r>
      <w:r>
        <w:rPr>
          <w:spacing w:val="-2"/>
        </w:rPr>
        <w:t>的净利润增长率分别不低于</w:t>
      </w:r>
      <w:r>
        <w:rPr>
          <w:rFonts w:ascii="宋体" w:hAnsi="宋体" w:cs="宋体" w:eastAsia="宋体" w:hint="default"/>
          <w:spacing w:val="-2"/>
        </w:rPr>
        <w:t>15%</w:t>
      </w:r>
      <w:r>
        <w:rPr>
          <w:spacing w:val="-2"/>
        </w:rPr>
        <w:t>、</w:t>
      </w:r>
      <w:r>
        <w:rPr>
          <w:rFonts w:ascii="宋体" w:hAnsi="宋体" w:cs="宋体" w:eastAsia="宋体" w:hint="default"/>
          <w:spacing w:val="-2"/>
        </w:rPr>
        <w:t>20%</w:t>
      </w:r>
      <w:r>
        <w:rPr>
          <w:spacing w:val="-2"/>
        </w:rPr>
        <w:t>及</w:t>
      </w:r>
      <w:r>
        <w:rPr>
          <w:rFonts w:ascii="宋体" w:hAnsi="宋体" w:cs="宋体" w:eastAsia="宋体" w:hint="default"/>
          <w:spacing w:val="-2"/>
        </w:rPr>
        <w:t>25%</w:t>
      </w:r>
      <w:r>
        <w:rPr>
          <w:spacing w:val="-2"/>
        </w:rPr>
        <w:t>。预留部分的限制性股票的行权条件为，以</w:t>
      </w:r>
      <w:r>
        <w:rPr>
          <w:rFonts w:ascii="宋体" w:hAnsi="宋体" w:cs="宋体" w:eastAsia="宋体" w:hint="default"/>
          <w:spacing w:val="-2"/>
        </w:rPr>
        <w:t>2016</w:t>
      </w:r>
      <w:r>
        <w:rPr>
          <w:spacing w:val="-2"/>
        </w:rPr>
        <w:t>年净利润为基数，</w:t>
      </w:r>
      <w:r>
        <w:rPr>
          <w:rFonts w:ascii="宋体" w:hAnsi="宋体" w:cs="宋体" w:eastAsia="宋体" w:hint="default"/>
          <w:spacing w:val="-2"/>
        </w:rPr>
        <w:t>2018-2019</w:t>
      </w:r>
      <w:r>
        <w:rPr>
          <w:spacing w:val="-2"/>
        </w:rPr>
        <w:t>年相</w:t>
      </w:r>
      <w:r>
        <w:rPr>
          <w:spacing w:val="-44"/>
        </w:rPr>
        <w:t> </w:t>
      </w:r>
      <w:r>
        <w:rPr/>
        <w:t>对于</w:t>
      </w:r>
      <w:r>
        <w:rPr>
          <w:rFonts w:ascii="宋体" w:hAnsi="宋体" w:cs="宋体" w:eastAsia="宋体" w:hint="default"/>
        </w:rPr>
        <w:t>2016</w:t>
      </w:r>
      <w:r>
        <w:rPr/>
        <w:t>年的净利润增长率分别不低于</w:t>
      </w:r>
      <w:r>
        <w:rPr>
          <w:rFonts w:ascii="宋体" w:hAnsi="宋体" w:cs="宋体" w:eastAsia="宋体" w:hint="default"/>
        </w:rPr>
        <w:t>20%</w:t>
      </w:r>
      <w:r>
        <w:rPr/>
        <w:t>及</w:t>
      </w:r>
      <w:r>
        <w:rPr>
          <w:rFonts w:ascii="宋体" w:hAnsi="宋体" w:cs="宋体" w:eastAsia="宋体" w:hint="default"/>
        </w:rPr>
        <w:t>25%</w:t>
      </w:r>
      <w:r>
        <w:rPr/>
        <w:t>。</w:t>
      </w:r>
    </w:p>
    <w:p>
      <w:pPr>
        <w:pStyle w:val="BodyText"/>
        <w:spacing w:line="316" w:lineRule="auto" w:before="139"/>
        <w:ind w:right="1130" w:firstLine="360"/>
        <w:jc w:val="both"/>
      </w:pP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20</w:t>
      </w:r>
      <w:r>
        <w:rPr>
          <w:spacing w:val="-2"/>
        </w:rPr>
        <w:t>日公司第三届董事会第二次会议以及</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9</w:t>
      </w:r>
      <w:r>
        <w:rPr>
          <w:spacing w:val="-2"/>
        </w:rPr>
        <w:t>日第三届董事会第七次会议审议通过的《关于回购注销部</w:t>
      </w:r>
      <w:r>
        <w:rPr/>
        <w:t> </w:t>
      </w:r>
      <w:r>
        <w:rPr>
          <w:spacing w:val="-2"/>
        </w:rPr>
        <w:t>分已授予限制性股票的议案》和《关于取消授予</w:t>
      </w:r>
      <w:r>
        <w:rPr>
          <w:rFonts w:ascii="宋体" w:hAnsi="宋体" w:cs="宋体" w:eastAsia="宋体" w:hint="default"/>
          <w:spacing w:val="-2"/>
        </w:rPr>
        <w:t>2017</w:t>
      </w:r>
      <w:r>
        <w:rPr>
          <w:spacing w:val="-2"/>
        </w:rPr>
        <w:t>年限制性股票激励计划预留限制性股票的议案》，</w:t>
      </w:r>
      <w:r>
        <w:rPr>
          <w:rFonts w:ascii="宋体" w:hAnsi="宋体" w:cs="宋体" w:eastAsia="宋体" w:hint="default"/>
          <w:spacing w:val="-2"/>
        </w:rPr>
        <w:t>2018</w:t>
      </w:r>
      <w:r>
        <w:rPr>
          <w:spacing w:val="-2"/>
        </w:rPr>
        <w:t>年公司向离职员</w:t>
      </w:r>
      <w:r>
        <w:rPr>
          <w:spacing w:val="-58"/>
        </w:rPr>
        <w:t> </w:t>
      </w:r>
      <w:r>
        <w:rPr/>
        <w:t>工回购注销其已授予但未解锁的全部限制性股票</w:t>
      </w:r>
      <w:r>
        <w:rPr>
          <w:rFonts w:ascii="宋体" w:hAnsi="宋体" w:cs="宋体" w:eastAsia="宋体" w:hint="default"/>
        </w:rPr>
        <w:t>13,300</w:t>
      </w:r>
      <w:r>
        <w:rPr/>
        <w:t>股以及</w:t>
      </w:r>
      <w:r>
        <w:rPr>
          <w:rFonts w:ascii="宋体" w:hAnsi="宋体" w:cs="宋体" w:eastAsia="宋体" w:hint="default"/>
        </w:rPr>
        <w:t>109,291</w:t>
      </w:r>
      <w:r>
        <w:rPr/>
        <w:t>股，回购价格分别为授予价格人民币</w:t>
      </w:r>
      <w:r>
        <w:rPr>
          <w:rFonts w:ascii="宋体" w:hAnsi="宋体" w:cs="宋体" w:eastAsia="宋体" w:hint="default"/>
        </w:rPr>
        <w:t>21.26</w:t>
      </w:r>
      <w:r>
        <w:rPr/>
        <w:t>元</w:t>
      </w:r>
      <w:r>
        <w:rPr>
          <w:rFonts w:ascii="宋体" w:hAnsi="宋体" w:cs="宋体" w:eastAsia="宋体" w:hint="default"/>
        </w:rPr>
        <w:t>/</w:t>
      </w:r>
      <w:r>
        <w:rPr/>
        <w:t>股以及</w:t>
      </w:r>
      <w:r>
        <w:rPr>
          <w:spacing w:val="-84"/>
        </w:rPr>
        <w:t> </w:t>
      </w:r>
      <w:r>
        <w:rPr>
          <w:spacing w:val="-84"/>
        </w:rPr>
      </w:r>
      <w:r>
        <w:rPr>
          <w:rFonts w:ascii="宋体" w:hAnsi="宋体" w:cs="宋体" w:eastAsia="宋体" w:hint="default"/>
        </w:rPr>
        <w:t>11.8077</w:t>
      </w:r>
      <w:r>
        <w:rPr/>
        <w:t>元</w:t>
      </w:r>
      <w:r>
        <w:rPr>
          <w:rFonts w:ascii="宋体" w:hAnsi="宋体" w:cs="宋体" w:eastAsia="宋体" w:hint="default"/>
        </w:rPr>
        <w:t>/</w:t>
      </w:r>
      <w:r>
        <w:rPr/>
        <w:t>股，取消授予</w:t>
      </w:r>
      <w:r>
        <w:rPr>
          <w:rFonts w:ascii="宋体" w:hAnsi="宋体" w:cs="宋体" w:eastAsia="宋体" w:hint="default"/>
        </w:rPr>
        <w:t>2017</w:t>
      </w:r>
      <w:r>
        <w:rPr/>
        <w:t>年限制性股票激励计划预留的</w:t>
      </w:r>
      <w:r>
        <w:rPr>
          <w:rFonts w:ascii="宋体" w:hAnsi="宋体" w:cs="宋体" w:eastAsia="宋体" w:hint="default"/>
        </w:rPr>
        <w:t>633,200</w:t>
      </w:r>
      <w:r>
        <w:rPr/>
        <w:t>股限制性股票。</w:t>
      </w:r>
    </w:p>
    <w:p>
      <w:pPr>
        <w:pStyle w:val="BodyText"/>
        <w:spacing w:line="316" w:lineRule="auto" w:before="139"/>
        <w:ind w:right="1129" w:firstLine="360"/>
        <w:jc w:val="both"/>
      </w:pP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日，根据公司召开第三届董事会第九次会议审议通过的《关于</w:t>
      </w:r>
      <w:r>
        <w:rPr>
          <w:rFonts w:ascii="宋体" w:hAnsi="宋体" w:cs="宋体" w:eastAsia="宋体" w:hint="default"/>
          <w:spacing w:val="-2"/>
        </w:rPr>
        <w:t>2017</w:t>
      </w:r>
      <w:r>
        <w:rPr>
          <w:spacing w:val="-2"/>
        </w:rPr>
        <w:t>年限制性股票激励计划首次授予部分第</w:t>
      </w:r>
      <w:r>
        <w:rPr/>
        <w:t> 一个解锁期解锁条件成就的议案》、《关于回购注销部分已授予限制性股票的议案》，同意对符合解锁条件的激励对象</w:t>
      </w:r>
      <w:r>
        <w:rPr>
          <w:rFonts w:ascii="宋体" w:hAnsi="宋体" w:cs="宋体" w:eastAsia="宋体" w:hint="default"/>
        </w:rPr>
        <w:t>158</w:t>
      </w:r>
      <w:r>
        <w:rPr>
          <w:rFonts w:ascii="宋体" w:hAnsi="宋体" w:cs="宋体" w:eastAsia="宋体" w:hint="default"/>
          <w:spacing w:val="-82"/>
        </w:rPr>
        <w:t> </w:t>
      </w:r>
      <w:r>
        <w:rPr/>
        <w:t>名，解锁数量为</w:t>
      </w:r>
      <w:r>
        <w:rPr>
          <w:rFonts w:ascii="宋体" w:hAnsi="宋体" w:cs="宋体" w:eastAsia="宋体" w:hint="default"/>
        </w:rPr>
        <w:t>1,291,617</w:t>
      </w:r>
      <w:r>
        <w:rPr/>
        <w:t>股，按规定解锁并为其办理相应的解锁手续，同意回购注销限制性股票</w:t>
      </w:r>
      <w:r>
        <w:rPr>
          <w:rFonts w:ascii="宋体" w:hAnsi="宋体" w:cs="宋体" w:eastAsia="宋体" w:hint="default"/>
        </w:rPr>
        <w:t>61,217</w:t>
      </w:r>
      <w:r>
        <w:rPr/>
        <w:t>股，回购价格为人</w:t>
      </w:r>
      <w:r>
        <w:rPr>
          <w:spacing w:val="-83"/>
        </w:rPr>
        <w:t> </w:t>
      </w:r>
      <w:r>
        <w:rPr>
          <w:spacing w:val="-83"/>
        </w:rPr>
      </w:r>
      <w:r>
        <w:rPr/>
        <w:t>民币</w:t>
      </w:r>
      <w:r>
        <w:rPr>
          <w:rFonts w:ascii="宋体" w:hAnsi="宋体" w:cs="宋体" w:eastAsia="宋体" w:hint="default"/>
        </w:rPr>
        <w:t>11.8077</w:t>
      </w:r>
      <w:r>
        <w:rPr/>
        <w:t>元</w:t>
      </w:r>
      <w:r>
        <w:rPr>
          <w:rFonts w:ascii="宋体" w:hAnsi="宋体" w:cs="宋体" w:eastAsia="宋体" w:hint="default"/>
        </w:rPr>
        <w:t>/</w:t>
      </w:r>
      <w:r>
        <w:rPr/>
        <w:t>股。</w:t>
      </w:r>
    </w:p>
    <w:p>
      <w:pPr>
        <w:pStyle w:val="BodyText"/>
        <w:spacing w:line="316" w:lineRule="auto" w:before="139"/>
        <w:ind w:right="1137" w:firstLine="360"/>
        <w:jc w:val="both"/>
      </w:pPr>
      <w:r>
        <w:rPr/>
        <w:t>由于</w:t>
      </w:r>
      <w:r>
        <w:rPr>
          <w:rFonts w:ascii="宋体" w:hAnsi="宋体" w:cs="宋体" w:eastAsia="宋体" w:hint="default"/>
        </w:rPr>
        <w:t>2018</w:t>
      </w:r>
      <w:r>
        <w:rPr/>
        <w:t>年经审定后的净利润指标未达到</w:t>
      </w:r>
      <w:r>
        <w:rPr>
          <w:rFonts w:ascii="宋体" w:hAnsi="宋体" w:cs="宋体" w:eastAsia="宋体" w:hint="default"/>
        </w:rPr>
        <w:t>2017</w:t>
      </w:r>
      <w:r>
        <w:rPr/>
        <w:t>年限制性股票激励计划对第一批授予的股票第二个解锁期解锁条件的要 求。因业绩未达标（首次授予第二个解锁期）未能解锁，数量为</w:t>
      </w:r>
      <w:r>
        <w:rPr>
          <w:rFonts w:ascii="宋体" w:hAnsi="宋体" w:cs="宋体" w:eastAsia="宋体" w:hint="default"/>
        </w:rPr>
        <w:t>1,291,617</w:t>
      </w:r>
      <w:r>
        <w:rPr/>
        <w:t>股。</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以权益结算的股份支付情况" w:id="328"/>
      <w:bookmarkEnd w:id="32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布莱克－斯科尔模型来计算期权的理论价值</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公司根据在职激励对象对应的权益工具以及对未来年度公 司业绩的预测进行确定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23,725,745.45</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941,873.60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现金结算的股份支付情况" w:id="329"/>
      <w:bookmarkEnd w:id="32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二、承诺及或有事项" w:id="330"/>
      <w:bookmarkEnd w:id="330"/>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331"/>
      <w:bookmarkEnd w:id="331"/>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6432" w:hanging="360"/>
        <w:jc w:val="left"/>
      </w:pPr>
      <w:r>
        <w:rPr/>
        <w:t>资产负债表日存在的重要承诺 截至报告日，公司不存在应披露的重要承诺事项。</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或有事项" w:id="332"/>
      <w:bookmarkEnd w:id="33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公司没有需要披露的重要或有事项，也应予以说明" w:id="333"/>
      <w:bookmarkEnd w:id="333"/>
      <w:r>
        <w:rPr>
          <w:b w:val="0"/>
          <w:bCs w:val="0"/>
        </w:rPr>
      </w:r>
      <w:r>
        <w:rPr/>
        <w:t>（</w:t>
      </w:r>
      <w:r>
        <w:rPr>
          <w:rFonts w:ascii="Times New Roman" w:hAnsi="Times New Roman" w:cs="Times New Roman" w:eastAsia="Times New Roman" w:hint="default"/>
        </w:rPr>
        <w:t>1</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三、资产负债表日后事项" w:id="334"/>
      <w:bookmarkEnd w:id="334"/>
      <w:r>
        <w:rPr>
          <w:b w:val="0"/>
          <w:bCs w:val="0"/>
        </w:rPr>
      </w: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利润分配情况" w:id="335"/>
      <w:bookmarkEnd w:id="335"/>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29,133,129.30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29,133,129.30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资产负债表日后事项说明" w:id="336"/>
      <w:bookmarkEnd w:id="336"/>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right="0"/>
        <w:jc w:val="left"/>
      </w:pPr>
      <w:r>
        <w:rPr>
          <w:spacing w:val="-1"/>
        </w:rPr>
        <w:t>根据</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日公司第三届董事会第九次会议审议通过的《关于回购注销部分已授予限制性股票</w:t>
      </w:r>
      <w:r>
        <w:rPr/>
        <w:t> </w:t>
      </w:r>
      <w:r>
        <w:rPr>
          <w:spacing w:val="-2"/>
        </w:rPr>
        <w:t>的议案》，回购注销部分激励对象已获授但尚未解锁的限制性股票共</w:t>
      </w:r>
      <w:r>
        <w:rPr>
          <w:rFonts w:ascii="Times New Roman" w:hAnsi="Times New Roman" w:cs="Times New Roman" w:eastAsia="Times New Roman" w:hint="default"/>
          <w:spacing w:val="-2"/>
        </w:rPr>
        <w:t>61,217</w:t>
      </w:r>
      <w:r>
        <w:rPr>
          <w:spacing w:val="-2"/>
        </w:rPr>
        <w:t>股，公司于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25</w:t>
      </w:r>
      <w:r>
        <w:rPr>
          <w:spacing w:val="-2"/>
        </w:rPr>
        <w:t>日完成</w:t>
      </w:r>
    </w:p>
    <w:p>
      <w:pPr>
        <w:pStyle w:val="Heading4"/>
        <w:spacing w:line="240" w:lineRule="auto" w:before="172"/>
        <w:ind w:right="0" w:firstLine="0"/>
        <w:jc w:val="left"/>
        <w:rPr>
          <w:rFonts w:ascii="宋体" w:hAnsi="宋体" w:cs="宋体" w:eastAsia="宋体" w:hint="default"/>
        </w:rPr>
      </w:pPr>
      <w:r>
        <w:rPr/>
        <w:t>回购注销，变更完成后，注册资本为人民币</w:t>
      </w:r>
      <w:r>
        <w:rPr>
          <w:rFonts w:ascii="Times New Roman" w:hAnsi="Times New Roman" w:cs="Times New Roman" w:eastAsia="Times New Roman" w:hint="default"/>
        </w:rPr>
        <w:t>194,220,862.00</w:t>
      </w:r>
      <w:r>
        <w:rPr/>
        <w:t>元</w:t>
      </w:r>
      <w:r>
        <w:rPr>
          <w:rFonts w:ascii="宋体" w:hAnsi="宋体" w:cs="宋体" w:eastAsia="宋体" w:hint="default"/>
        </w:rPr>
        <w:t>。</w:t>
      </w:r>
    </w:p>
    <w:p>
      <w:pPr>
        <w:spacing w:after="0" w:line="240" w:lineRule="auto"/>
        <w:jc w:val="left"/>
        <w:rPr>
          <w:rFonts w:ascii="宋体" w:hAnsi="宋体" w:cs="宋体" w:eastAsia="宋体" w:hint="default"/>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四、其他重要事项" w:id="337"/>
      <w:bookmarkEnd w:id="337"/>
      <w:r>
        <w:rPr>
          <w:b w:val="0"/>
          <w:bCs w:val="0"/>
        </w:rPr>
      </w:r>
      <w:r>
        <w:rPr/>
        <w:t>十四、其他重要事项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分部信息" w:id="338"/>
      <w:bookmarkEnd w:id="338"/>
      <w:r>
        <w:rPr>
          <w:b w:val="0"/>
          <w:bCs w:val="0"/>
        </w:rPr>
      </w:r>
      <w:r>
        <w:rPr>
          <w:rFonts w:ascii="Times New Roman" w:hAnsi="Times New Roman" w:cs="Times New Roman" w:eastAsia="Times New Roman" w:hint="default"/>
        </w:rPr>
        <w:t>1</w:t>
      </w:r>
      <w:r>
        <w:rPr/>
        <w:t>、分部信息</w:t>
      </w:r>
      <w:r>
        <w:rPr>
          <w:b w:val="0"/>
          <w:bCs w:val="0"/>
        </w:rPr>
      </w:r>
    </w:p>
    <w:p>
      <w:pPr>
        <w:spacing w:line="610" w:lineRule="atLeast" w:before="3"/>
        <w:ind w:left="574" w:right="1127" w:hanging="420"/>
        <w:jc w:val="left"/>
        <w:rPr>
          <w:rFonts w:ascii="宋体" w:hAnsi="宋体" w:cs="宋体" w:eastAsia="宋体" w:hint="default"/>
          <w:sz w:val="21"/>
          <w:szCs w:val="21"/>
        </w:rPr>
      </w:pPr>
      <w:bookmarkStart w:name="（1）报告分部的确定依据与会计政策" w:id="339"/>
      <w:bookmarkEnd w:id="3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公司按照主营业务地区划分经营分部，并将营业收入占所有分部收入合计</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以上的经营分部确认为</w:t>
      </w:r>
    </w:p>
    <w:p>
      <w:pPr>
        <w:pStyle w:val="Heading4"/>
        <w:spacing w:line="240" w:lineRule="auto" w:before="21"/>
        <w:ind w:right="0" w:firstLine="0"/>
        <w:jc w:val="left"/>
      </w:pPr>
      <w:r>
        <w:rPr/>
        <w:t>报告分部，各报告分部的情况如下：</w:t>
      </w:r>
    </w:p>
    <w:p>
      <w:pPr>
        <w:spacing w:line="240" w:lineRule="auto" w:before="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85"/>
        <w:gridCol w:w="1898"/>
        <w:gridCol w:w="6572"/>
      </w:tblGrid>
      <w:tr>
        <w:trPr>
          <w:trHeight w:val="3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97" w:right="0"/>
              <w:jc w:val="left"/>
              <w:rPr>
                <w:rFonts w:ascii="宋体" w:hAnsi="宋体" w:cs="宋体" w:eastAsia="宋体" w:hint="default"/>
                <w:sz w:val="21"/>
                <w:szCs w:val="21"/>
              </w:rPr>
            </w:pPr>
            <w:r>
              <w:rPr>
                <w:rFonts w:ascii="宋体" w:hAnsi="宋体" w:cs="宋体" w:eastAsia="宋体" w:hint="default"/>
                <w:sz w:val="21"/>
                <w:szCs w:val="21"/>
              </w:rPr>
              <w:t>报 告 分</w:t>
            </w:r>
            <w:r>
              <w:rPr>
                <w:rFonts w:ascii="宋体" w:hAnsi="宋体" w:cs="宋体" w:eastAsia="宋体" w:hint="default"/>
                <w:spacing w:val="-63"/>
                <w:sz w:val="21"/>
                <w:szCs w:val="21"/>
              </w:rPr>
              <w:t> </w:t>
            </w:r>
            <w:r>
              <w:rPr>
                <w:rFonts w:ascii="宋体" w:hAnsi="宋体" w:cs="宋体" w:eastAsia="宋体" w:hint="default"/>
                <w:sz w:val="21"/>
                <w:szCs w:val="21"/>
              </w:rPr>
              <w:t>部</w:t>
            </w:r>
          </w:p>
        </w:tc>
        <w:tc>
          <w:tcPr>
            <w:tcW w:w="6572" w:type="dxa"/>
            <w:tcBorders>
              <w:top w:val="single" w:sz="4" w:space="0" w:color="000000"/>
              <w:left w:val="single" w:sz="4" w:space="0" w:color="000000"/>
              <w:bottom w:val="single" w:sz="4" w:space="0" w:color="000000"/>
              <w:right w:val="single" w:sz="4" w:space="0" w:color="000000"/>
            </w:tcBorders>
          </w:tcPr>
          <w:p>
            <w:pPr>
              <w:pStyle w:val="TableParagraph"/>
              <w:tabs>
                <w:tab w:pos="461" w:val="left" w:leader="none"/>
                <w:tab w:pos="923" w:val="left" w:leader="none"/>
                <w:tab w:pos="1387"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所</w:t>
              <w:tab/>
              <w:t>属</w:t>
              <w:tab/>
              <w:t>公</w:t>
              <w:tab/>
              <w:t>司</w:t>
            </w:r>
          </w:p>
        </w:tc>
      </w:tr>
      <w:tr>
        <w:trPr>
          <w:trHeight w:val="3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报告分部</w:t>
            </w:r>
            <w:r>
              <w:rPr>
                <w:rFonts w:ascii="Times New Roman" w:hAnsi="Times New Roman" w:cs="Times New Roman" w:eastAsia="Times New Roman" w:hint="default"/>
                <w:sz w:val="21"/>
                <w:szCs w:val="21"/>
              </w:rPr>
              <w:t>1</w:t>
            </w:r>
          </w:p>
        </w:tc>
        <w:tc>
          <w:tcPr>
            <w:tcW w:w="657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深圳四方精创资讯股份有限公司、深圳前海乐寻坊区块链科技有限公司</w:t>
            </w:r>
          </w:p>
        </w:tc>
      </w:tr>
      <w:tr>
        <w:trPr>
          <w:trHeight w:val="34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报告分部</w:t>
            </w:r>
            <w:r>
              <w:rPr>
                <w:rFonts w:ascii="Times New Roman" w:hAnsi="Times New Roman" w:cs="Times New Roman" w:eastAsia="Times New Roman" w:hint="default"/>
                <w:sz w:val="21"/>
                <w:szCs w:val="21"/>
              </w:rPr>
              <w:t>2</w:t>
            </w:r>
          </w:p>
        </w:tc>
        <w:tc>
          <w:tcPr>
            <w:tcW w:w="657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四方精创资讯</w:t>
            </w:r>
            <w:r>
              <w:rPr>
                <w:rFonts w:ascii="Times New Roman" w:hAnsi="Times New Roman" w:cs="Times New Roman" w:eastAsia="Times New Roman" w:hint="default"/>
                <w:sz w:val="21"/>
                <w:szCs w:val="21"/>
              </w:rPr>
              <w:t>(</w:t>
            </w:r>
            <w:r>
              <w:rPr>
                <w:rFonts w:ascii="宋体" w:hAnsi="宋体" w:cs="宋体" w:eastAsia="宋体" w:hint="default"/>
                <w:sz w:val="21"/>
                <w:szCs w:val="21"/>
              </w:rPr>
              <w:t>香港</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有限公司、四方精创信息</w:t>
            </w:r>
            <w:r>
              <w:rPr>
                <w:rFonts w:ascii="Times New Roman" w:hAnsi="Times New Roman" w:cs="Times New Roman" w:eastAsia="Times New Roman" w:hint="default"/>
                <w:sz w:val="21"/>
                <w:szCs w:val="21"/>
              </w:rPr>
              <w:t>(</w:t>
            </w:r>
            <w:r>
              <w:rPr>
                <w:rFonts w:ascii="宋体" w:hAnsi="宋体" w:cs="宋体" w:eastAsia="宋体" w:hint="default"/>
                <w:sz w:val="21"/>
                <w:szCs w:val="21"/>
              </w:rPr>
              <w:t>香港</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r>
    </w:tbl>
    <w:p>
      <w:pPr>
        <w:spacing w:line="240" w:lineRule="auto" w:before="5"/>
        <w:rPr>
          <w:rFonts w:ascii="宋体" w:hAnsi="宋体" w:cs="宋体" w:eastAsia="宋体" w:hint="default"/>
          <w:sz w:val="5"/>
          <w:szCs w:val="5"/>
        </w:rPr>
      </w:pPr>
    </w:p>
    <w:p>
      <w:pPr>
        <w:pStyle w:val="Heading4"/>
        <w:spacing w:line="240" w:lineRule="auto" w:before="35"/>
        <w:ind w:left="931" w:right="0" w:firstLine="0"/>
        <w:jc w:val="left"/>
      </w:pPr>
      <w:r>
        <w:rPr/>
        <w:t>报告分部的会计政策见附注五。</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right="0"/>
        <w:jc w:val="left"/>
        <w:rPr>
          <w:b w:val="0"/>
          <w:bCs w:val="0"/>
        </w:rPr>
      </w:pPr>
      <w:bookmarkStart w:name="（2）报告分部的财务信息" w:id="340"/>
      <w:bookmarkEnd w:id="34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报告分部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51"/>
              <w:ind w:left="5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报告分部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14"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1,207,311,619.48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245,204,926.91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-220,147,312.85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1,232,369,233.54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172,370,937.02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184,948,511.04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-180,433,607.52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176,885,840.54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465,951,536.46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245,283,072.44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-223,418,040.07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487,816,568.83</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293,630,471.56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226,455,872.40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-223,418,040.07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296,668,303.89</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66,638,793.25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4,426,088.32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71,064,881.57</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五、母公司财务报表主要项目注释" w:id="341"/>
      <w:bookmarkEnd w:id="341"/>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及应收账款" w:id="342"/>
      <w:bookmarkEnd w:id="342"/>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288,143,423.03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225,645,934.95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288,143,423.03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225,645,934.95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账款" w:id="343"/>
      <w:bookmarkEnd w:id="343"/>
      <w:r>
        <w:rPr>
          <w:b w:val="0"/>
          <w:bCs w:val="0"/>
        </w:rPr>
      </w: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161"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11"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1,569,40</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1,569,40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291,507,</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968.90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3,364,54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288,143,4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23.03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229,171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,625.24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3,525,690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225,645,93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4.95</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393,202.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393,202.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293,470,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571.43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5,327,14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8.40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1.82%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288,143,4</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23.03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229,171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,625.24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3,525,690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1.54%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225,645,93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4.95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9"/>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8"/>
              <w:jc w:val="righ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1,569,400.00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106,047,163.16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2,120,943.26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3,295,008.77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329,500.88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1,828,203.45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914,101.73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111,170,375.38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3,364,545.87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w:t>
            </w:r>
          </w:p>
        </w:tc>
      </w:tr>
    </w:tbl>
    <w:p>
      <w:pPr>
        <w:pStyle w:val="BodyText"/>
        <w:spacing w:line="357" w:lineRule="auto" w:before="51"/>
        <w:ind w:right="6432"/>
        <w:jc w:val="left"/>
      </w:pPr>
      <w:r>
        <w:rPr/>
        <w:t>确定该组合依据的说明： 组合中，采用余额百分比法计提坏账准备的应收账款：</w:t>
      </w:r>
    </w:p>
    <w:p>
      <w:pPr>
        <w:pStyle w:val="BodyText"/>
        <w:spacing w:line="348" w:lineRule="auto" w:before="29"/>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240" w:lineRule="auto" w:before="14"/>
        <w:ind w:right="0"/>
        <w:jc w:val="left"/>
      </w:pPr>
      <w:r>
        <w:rPr/>
        <w:t>本期计提坏账准备金额</w:t>
      </w:r>
      <w:r>
        <w:rPr>
          <w:spacing w:val="-49"/>
        </w:rPr>
        <w:t> </w:t>
      </w:r>
      <w:r>
        <w:rPr>
          <w:rFonts w:ascii="Times New Roman" w:hAnsi="Times New Roman" w:cs="Times New Roman" w:eastAsia="Times New Roman" w:hint="default"/>
        </w:rPr>
        <w:t>1,801,458.11</w:t>
      </w:r>
      <w:r>
        <w:rPr>
          <w:rFonts w:ascii="Times New Roman" w:hAnsi="Times New Roman" w:cs="Times New Roman" w:eastAsia="Times New Roman" w:hint="default"/>
          <w:spacing w:val="-4"/>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按欠款方归集的期末余额前五名的应收账款情况</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20"/>
        <w:gridCol w:w="1781"/>
        <w:gridCol w:w="1639"/>
        <w:gridCol w:w="1641"/>
      </w:tblGrid>
      <w:tr>
        <w:trPr>
          <w:trHeight w:val="649" w:hRule="exact"/>
        </w:trPr>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left="386" w:right="0"/>
              <w:jc w:val="left"/>
              <w:rPr>
                <w:rFonts w:ascii="宋体" w:hAnsi="宋体" w:cs="宋体" w:eastAsia="宋体" w:hint="default"/>
                <w:sz w:val="20"/>
                <w:szCs w:val="20"/>
              </w:rPr>
            </w:pPr>
            <w:r>
              <w:rPr>
                <w:rFonts w:ascii="宋体" w:hAnsi="宋体" w:cs="宋体" w:eastAsia="宋体" w:hint="default"/>
                <w:sz w:val="20"/>
                <w:szCs w:val="20"/>
              </w:rPr>
              <w:t>金额（元）</w:t>
            </w:r>
          </w:p>
        </w:tc>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614" w:right="12" w:hanging="600"/>
              <w:jc w:val="left"/>
              <w:rPr>
                <w:rFonts w:ascii="宋体" w:hAnsi="宋体" w:cs="宋体" w:eastAsia="宋体" w:hint="default"/>
                <w:sz w:val="20"/>
                <w:szCs w:val="20"/>
              </w:rPr>
            </w:pPr>
            <w:r>
              <w:rPr>
                <w:rFonts w:ascii="宋体" w:hAnsi="宋体" w:cs="宋体" w:eastAsia="宋体" w:hint="default"/>
                <w:sz w:val="20"/>
                <w:szCs w:val="20"/>
              </w:rPr>
              <w:t>占应收账款总额的</w:t>
            </w:r>
            <w:r>
              <w:rPr>
                <w:rFonts w:ascii="宋体" w:hAnsi="宋体" w:cs="宋体" w:eastAsia="宋体" w:hint="default"/>
                <w:w w:val="100"/>
                <w:sz w:val="20"/>
                <w:szCs w:val="20"/>
              </w:rPr>
              <w:t> </w:t>
            </w:r>
            <w:r>
              <w:rPr>
                <w:rFonts w:ascii="宋体" w:hAnsi="宋体" w:cs="宋体" w:eastAsia="宋体" w:hint="default"/>
                <w:sz w:val="20"/>
                <w:szCs w:val="20"/>
              </w:rPr>
              <w:t>比例</w:t>
            </w:r>
          </w:p>
        </w:tc>
        <w:tc>
          <w:tcPr>
            <w:tcW w:w="1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坏账准备期末余额</w:t>
            </w:r>
          </w:p>
          <w:p>
            <w:pPr>
              <w:pStyle w:val="TableParagraph"/>
              <w:spacing w:line="240" w:lineRule="auto" w:before="50"/>
              <w:ind w:left="2" w:right="0"/>
              <w:jc w:val="center"/>
              <w:rPr>
                <w:rFonts w:ascii="宋体" w:hAnsi="宋体" w:cs="宋体" w:eastAsia="宋体" w:hint="default"/>
                <w:sz w:val="20"/>
                <w:szCs w:val="20"/>
              </w:rPr>
            </w:pPr>
            <w:r>
              <w:rPr>
                <w:rFonts w:ascii="宋体" w:hAnsi="宋体" w:cs="宋体" w:eastAsia="宋体" w:hint="default"/>
                <w:sz w:val="20"/>
                <w:szCs w:val="20"/>
              </w:rPr>
              <w:t>（元）</w:t>
            </w:r>
          </w:p>
        </w:tc>
      </w:tr>
      <w:tr>
        <w:trPr>
          <w:trHeight w:val="42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180,337,593.52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61.45%</w:t>
            </w:r>
          </w:p>
        </w:tc>
        <w:tc>
          <w:tcPr>
            <w:tcW w:w="1641"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67,829,869.69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23.11%</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2,894,609.39</w:t>
            </w:r>
          </w:p>
        </w:tc>
      </w:tr>
      <w:tr>
        <w:trPr>
          <w:trHeight w:val="42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5,193,700.73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1.77%</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972,940.16</w:t>
            </w:r>
          </w:p>
        </w:tc>
      </w:tr>
      <w:tr>
        <w:trPr>
          <w:trHeight w:val="42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5,077,624.98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1.73%</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101,552.50</w:t>
            </w:r>
          </w:p>
        </w:tc>
      </w:tr>
      <w:tr>
        <w:trPr>
          <w:trHeight w:val="421"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3,517,494.50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1.20%</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70,349.89</w:t>
            </w:r>
          </w:p>
        </w:tc>
      </w:tr>
      <w:tr>
        <w:trPr>
          <w:trHeight w:val="422" w:hRule="exact"/>
        </w:trPr>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261,956,283.42</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89.26%</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4,039,451.94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应收款" w:id="344"/>
      <w:bookmarkEnd w:id="34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1,375,451.60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829,273.79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2,544,438.76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2,970,529.81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3,919,890.36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3,799,803.60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345"/>
      <w:bookmarkEnd w:id="34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七天通知存款利息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1,375,451.60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829,273.79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1,375,451.60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829,273.79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应收款" w:id="346"/>
      <w:bookmarkEnd w:id="346"/>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2,544,43</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8.76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2,544,438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2,970,5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29.81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2,970,529.8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2,544,43</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8.76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2,544,438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2,970,5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29.81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2,970,529.8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0"/>
        <w:gridCol w:w="2390"/>
      </w:tblGrid>
      <w:tr>
        <w:trPr>
          <w:trHeight w:val="205" w:hRule="exact"/>
        </w:trPr>
        <w:tc>
          <w:tcPr>
            <w:tcW w:w="2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8"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2,544,438.76</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2,544,438.76</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60" w:lineRule="auto" w:before="51"/>
        <w:ind w:right="1149"/>
        <w:jc w:val="left"/>
      </w:pPr>
      <w:r>
        <w:rPr/>
        <w:t>确定该组合依据的说明： 组合中，采用余额百分比法计提坏账准备的其他应收款：</w:t>
      </w:r>
    </w:p>
    <w:p>
      <w:pPr>
        <w:pStyle w:val="BodyText"/>
        <w:spacing w:line="338" w:lineRule="auto" w:before="26"/>
        <w:ind w:right="15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1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49"/>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17"/>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49"/>
        <w:jc w:val="left"/>
      </w:pPr>
      <w:r>
        <w:rPr>
          <w:rFonts w:ascii="Times New Roman" w:hAnsi="Times New Roman" w:cs="Times New Roman" w:eastAsia="Times New Roman" w:hint="default"/>
        </w:rPr>
        <w:t>3)</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5824" w:space="300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2,544,438.76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2,879,338.69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91,191.12</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2,544,438.76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2,970,529.81</w:t>
            </w:r>
          </w:p>
        </w:tc>
      </w:tr>
    </w:tbl>
    <w:p>
      <w:pPr>
        <w:pStyle w:val="BodyText"/>
        <w:spacing w:line="240" w:lineRule="auto" w:before="51"/>
        <w:ind w:right="0"/>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932,027.49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510,096.00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253,404.80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165,910.00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149,945.30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2,011,383.59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79.05%</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47"/>
      <w:bookmarkEnd w:id="34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39,713,705.33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39,713,705.33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37,713,705.33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37,713,705.33</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15,113,285.99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15,113,285.99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54,826,991.32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54,826,991.32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37,713,705.33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37,713,705.33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48"/>
      <w:bookmarkEnd w:id="34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四方精创资讯（香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10,737,705.33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10,737,705.33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四方精创信息</w:t>
            </w:r>
            <w:r>
              <w:rPr>
                <w:rFonts w:ascii="Times New Roman" w:hAnsi="Times New Roman" w:cs="Times New Roman" w:eastAsia="Times New Roman" w:hint="default"/>
                <w:sz w:val="18"/>
                <w:szCs w:val="18"/>
              </w:rPr>
              <w:t>(</w:t>
            </w:r>
            <w:r>
              <w:rPr>
                <w:rFonts w:ascii="宋体" w:hAnsi="宋体" w:cs="宋体" w:eastAsia="宋体" w:hint="default"/>
                <w:sz w:val="18"/>
                <w:szCs w:val="18"/>
              </w:rPr>
              <w:t>香 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26,976,000.00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26,976,000.00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深圳前海乐寻坊 区块链科技有限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37,713,705.33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39,713,705.33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349"/>
      <w:bookmarkEnd w:id="34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北京优智 汇咨询有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113,285.9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15,113,28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113,285.9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15,113,28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113,285.9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15,113,28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营业收入和营业成本" w:id="350"/>
      <w:bookmarkEnd w:id="35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465,951,536.46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293,630,471.56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493,456,387.66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261,154,829.97</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465,951,536.46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293,630,471.56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493,456,387.66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261,154,829.97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351"/>
      <w:bookmarkEnd w:id="35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113,285.99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2,253,285.99</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六、补充资料" w:id="352"/>
      <w:bookmarkEnd w:id="352"/>
      <w:r>
        <w:rPr>
          <w:b w:val="0"/>
          <w:bCs w:val="0"/>
        </w:rPr>
      </w:r>
      <w:r>
        <w:rPr/>
        <w:t>十六、补充资料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53"/>
      <w:bookmarkEnd w:id="35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-241,572.42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4,098,847.28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-485,104.55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623,649.09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2,748,521.22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354"/>
      <w:bookmarkEnd w:id="35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5"/>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355"/>
      <w:bookmarkEnd w:id="35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356"/>
      <w:bookmarkEnd w:id="35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357"/>
      <w:bookmarkEnd w:id="35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1"/>
        <w:spacing w:line="240" w:lineRule="auto"/>
        <w:ind w:left="3286" w:right="0"/>
        <w:jc w:val="left"/>
        <w:rPr>
          <w:b w:val="0"/>
          <w:bCs w:val="0"/>
        </w:rPr>
      </w:pPr>
      <w:bookmarkStart w:name="_TOC_250000" w:id="358"/>
      <w:bookmarkStart w:name="第十二节 备查文件目录" w:id="359"/>
      <w:r>
        <w:rPr>
          <w:b w:val="0"/>
          <w:bCs w:val="0"/>
        </w:rPr>
      </w:r>
      <w:r>
        <w:rPr/>
        <w:t>第十二节</w:t>
      </w:r>
      <w:r>
        <w:rPr>
          <w:spacing w:val="-8"/>
        </w:rPr>
        <w:t> </w:t>
      </w:r>
      <w:r>
        <w:rPr/>
        <w:t>备查文件目录</w:t>
      </w:r>
      <w:bookmarkEnd w:id="358"/>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t>（一）载有公司负责人、主管会计工作负责人、会计机构负责人（会计主管人员）签名并盖章的财务报表。</w:t>
      </w:r>
    </w:p>
    <w:p>
      <w:pPr>
        <w:pStyle w:val="BodyText"/>
        <w:spacing w:line="240" w:lineRule="auto" w:before="77"/>
        <w:ind w:right="0"/>
        <w:jc w:val="left"/>
      </w:pPr>
      <w:r>
        <w:rPr/>
        <w:t>（二）载有会计师事务所盖章、注册会计师签名并盖章的审计报告原件。</w:t>
      </w:r>
    </w:p>
    <w:p>
      <w:pPr>
        <w:pStyle w:val="BodyText"/>
        <w:spacing w:line="240" w:lineRule="auto" w:before="76"/>
        <w:ind w:right="0"/>
        <w:jc w:val="left"/>
      </w:pPr>
      <w:r>
        <w:rPr/>
        <w:t>（三）报告期内在中国证监会指定网站上公开披露过的所有公司文件的正本及公告的原稿。</w:t>
      </w:r>
    </w:p>
    <w:p>
      <w:pPr>
        <w:pStyle w:val="BodyText"/>
        <w:spacing w:line="240" w:lineRule="auto" w:before="117"/>
        <w:ind w:right="0"/>
        <w:jc w:val="left"/>
      </w:pPr>
      <w:r>
        <w:rPr/>
        <w:t>（四）经公司法定代表人签名的</w:t>
      </w:r>
      <w:r>
        <w:rPr>
          <w:rFonts w:ascii="Times New Roman" w:hAnsi="Times New Roman" w:cs="Times New Roman" w:eastAsia="Times New Roman" w:hint="default"/>
        </w:rPr>
        <w:t>2018</w:t>
      </w:r>
      <w:r>
        <w:rPr/>
        <w:t>年年度报告文件原件。</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6232" type="#_x0000_t75" stroked="false">
          <v:imagedata r:id="rId1" o:title=""/>
        </v:shape>
      </w:pict>
    </w:r>
    <w:r>
      <w:rPr/>
      <w:pict>
        <v:shape style="position:absolute;margin-left:533.179993pt;margin-top:795.517944pt;width:6.5pt;height:11pt;mso-position-horizontal-relative:page;mso-position-vertical-relative:page;z-index:-12062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6184" type="#_x0000_t75" stroked="false">
          <v:imagedata r:id="rId1" o:title=""/>
        </v:shape>
      </w:pict>
    </w:r>
    <w:r>
      <w:rPr/>
      <w:pict>
        <v:shape style="position:absolute;margin-left:527.679993pt;margin-top:781.957947pt;width:13pt;height:11pt;mso-position-horizontal-relative:page;mso-position-vertical-relative:page;z-index:-1206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6136" type="#_x0000_t75" stroked="false">
          <v:imagedata r:id="rId1" o:title=""/>
        </v:shape>
      </w:pict>
    </w:r>
    <w:r>
      <w:rPr/>
      <w:pict>
        <v:shape style="position:absolute;margin-left:524.179993pt;margin-top:781.957947pt;width:15.5pt;height:11pt;mso-position-horizontal-relative:page;mso-position-vertical-relative:page;z-index:-12061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6088" type="#_x0000_t75" stroked="false">
          <v:imagedata r:id="rId1" o:title=""/>
        </v:shape>
      </w:pict>
    </w:r>
    <w:r>
      <w:rPr/>
      <w:pict>
        <v:shape style="position:absolute;margin-left:523.179993pt;margin-top:781.957947pt;width:17.5pt;height:11pt;mso-position-horizontal-relative:page;mso-position-vertical-relative:page;z-index:-1206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206256" type="#_x0000_t202" filled="false" stroked="false">
          <v:textbox inset="0,0,0,0">
            <w:txbxContent>
              <w:p>
                <w:pPr>
                  <w:pStyle w:val="BodyText"/>
                  <w:spacing w:line="214" w:lineRule="exact"/>
                  <w:ind w:left="20" w:right="0"/>
                  <w:jc w:val="left"/>
                </w:pPr>
                <w:r>
                  <w:rPr/>
                  <w:t>深圳四方精创资讯股份有限公司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423"/>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125"/>
      <w:ind w:left="154" w:firstLine="420"/>
      <w:outlineLvl w:val="4"/>
    </w:pPr>
    <w:rPr>
      <w:rFonts w:ascii="宋体" w:hAnsi="宋体" w:eastAsia="宋体"/>
      <w:sz w:val="21"/>
      <w:szCs w:val="21"/>
    </w:rPr>
  </w:style>
  <w:style w:styleId="Heading5" w:type="paragraph">
    <w:name w:val="Heading 5"/>
    <w:basedOn w:val="Normal"/>
    <w:uiPriority w:val="1"/>
    <w:qFormat/>
    <w:pPr>
      <w:ind w:left="154"/>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formssi.com/" TargetMode="External"/><Relationship Id="rId10" Type="http://schemas.openxmlformats.org/officeDocument/2006/relationships/hyperlink" Target="mailto:formssyntronss@formssi.com" TargetMode="External"/><Relationship Id="rId11" Type="http://schemas.openxmlformats.org/officeDocument/2006/relationships/hyperlink" Target="http://www.cninfo.com.cn/" TargetMode="External"/><Relationship Id="rId12" Type="http://schemas.openxmlformats.org/officeDocument/2006/relationships/hyperlink" Target="http://w/"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深圳四方精创资讯股份有限公司</dc:creator>
  <dc:title>深圳四方精创资讯股份有限公司2018年年度报告全文</dc:title>
  <dcterms:created xsi:type="dcterms:W3CDTF">2020-05-05T03:20:12Z</dcterms:created>
  <dcterms:modified xsi:type="dcterms:W3CDTF">2020-05-05T03:20:12Z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Office Word 2007</vt:lpwstr>
  </property>
  <property fmtid="{D5CDD505-2E9C-101B-9397-08002B2CF9AE}" pid="4" name="LastSaved">
    <vt:filetime>2020-05-04T00:00:00Z</vt:filetime>
  </property>
</Properties>
</file>