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spacing w:line="1376" w:lineRule="exact"/>
        <w:ind w:left="44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944499" cy="87429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4499" cy="874299"/>
                    </a:xfrm>
                    <a:prstGeom prst="rect">
                      <a:avLst/>
                    </a:prstGeom>
                  </pic:spPr>
                </pic:pic>
              </a:graphicData>
            </a:graphic>
          </wp:inline>
        </w:drawing>
      </w:r>
      <w:r>
        <w:rPr>
          <w:rFonts w:ascii="Times New Roman" w:hAnsi="Times New Roman" w:cs="Times New Roman" w:eastAsia="Times New Roman" w:hint="default"/>
          <w:position w:val="-27"/>
          <w:sz w:val="20"/>
          <w:szCs w:val="20"/>
        </w:rPr>
      </w:r>
    </w:p>
    <w:p>
      <w:pPr>
        <w:spacing w:line="240" w:lineRule="auto" w:before="10"/>
        <w:rPr>
          <w:rFonts w:ascii="Times New Roman" w:hAnsi="Times New Roman" w:cs="Times New Roman" w:eastAsia="Times New Roman" w:hint="default"/>
          <w:sz w:val="29"/>
          <w:szCs w:val="29"/>
        </w:rPr>
      </w:pPr>
    </w:p>
    <w:p>
      <w:pPr>
        <w:spacing w:line="460" w:lineRule="exact" w:before="0"/>
        <w:ind w:left="2421" w:right="3388" w:firstLine="0"/>
        <w:jc w:val="center"/>
        <w:rPr>
          <w:rFonts w:ascii="宋体" w:hAnsi="宋体" w:cs="宋体" w:eastAsia="宋体" w:hint="default"/>
          <w:sz w:val="36"/>
          <w:szCs w:val="36"/>
        </w:rPr>
      </w:pPr>
      <w:r>
        <w:rPr>
          <w:rFonts w:ascii="宋体" w:hAnsi="宋体" w:cs="宋体" w:eastAsia="宋体" w:hint="default"/>
          <w:b/>
          <w:bCs/>
          <w:sz w:val="36"/>
          <w:szCs w:val="36"/>
        </w:rPr>
        <w:t>深圳四方精创资讯股份有限公司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43"/>
          <w:szCs w:val="43"/>
        </w:rPr>
      </w:pPr>
    </w:p>
    <w:p>
      <w:pPr>
        <w:spacing w:before="0"/>
        <w:ind w:left="2421" w:right="3388"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2019</w:t>
      </w:r>
      <w:r>
        <w:rPr>
          <w:rFonts w:ascii="Times New Roman" w:hAnsi="Times New Roman" w:cs="Times New Roman" w:eastAsia="Times New Roman" w:hint="default"/>
          <w:b/>
          <w:bCs/>
          <w:spacing w:val="30"/>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8"/>
        <w:rPr>
          <w:rFonts w:ascii="宋体" w:hAnsi="宋体" w:cs="宋体" w:eastAsia="宋体" w:hint="default"/>
          <w:b/>
          <w:bCs/>
          <w:sz w:val="44"/>
          <w:szCs w:val="44"/>
        </w:rPr>
      </w:pPr>
    </w:p>
    <w:p>
      <w:pPr>
        <w:spacing w:before="0"/>
        <w:ind w:left="2405" w:right="3388" w:firstLine="0"/>
        <w:jc w:val="center"/>
        <w:rPr>
          <w:rFonts w:ascii="Times New Roman" w:hAnsi="Times New Roman" w:cs="Times New Roman" w:eastAsia="Times New Roman" w:hint="default"/>
          <w:sz w:val="22"/>
          <w:szCs w:val="22"/>
        </w:rPr>
      </w:pPr>
      <w:r>
        <w:rPr>
          <w:rFonts w:ascii="Times New Roman"/>
          <w:b/>
          <w:spacing w:val="-4"/>
          <w:sz w:val="22"/>
        </w:rPr>
        <w:t>2020-007</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2"/>
        <w:rPr>
          <w:rFonts w:ascii="Times New Roman" w:hAnsi="Times New Roman" w:cs="Times New Roman" w:eastAsia="Times New Roman" w:hint="default"/>
          <w:b/>
          <w:bCs/>
          <w:sz w:val="22"/>
          <w:szCs w:val="22"/>
        </w:rPr>
      </w:pPr>
    </w:p>
    <w:p>
      <w:pPr>
        <w:spacing w:before="0"/>
        <w:ind w:left="2421" w:right="3388"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03</w:t>
      </w:r>
      <w:r>
        <w:rPr>
          <w:rFonts w:ascii="Times New Roman" w:hAnsi="Times New Roman" w:cs="Times New Roman" w:eastAsia="Times New Roman" w:hint="default"/>
          <w:b/>
          <w:bCs/>
          <w:spacing w:val="-4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866" w:footer="981" w:top="1040" w:bottom="1180" w:left="1000" w:right="0"/>
          <w:pgNumType w:start="1"/>
        </w:sectPr>
      </w:pPr>
    </w:p>
    <w:p>
      <w:pPr>
        <w:spacing w:line="240" w:lineRule="auto" w:before="0"/>
        <w:rPr>
          <w:rFonts w:ascii="宋体" w:hAnsi="宋体" w:cs="宋体" w:eastAsia="宋体" w:hint="default"/>
          <w:b/>
          <w:bCs/>
          <w:sz w:val="20"/>
          <w:szCs w:val="20"/>
        </w:rPr>
      </w:pPr>
    </w:p>
    <w:p>
      <w:pPr>
        <w:pStyle w:val="Heading1"/>
        <w:spacing w:line="240" w:lineRule="auto" w:before="187"/>
        <w:ind w:left="2799" w:right="939"/>
        <w:jc w:val="left"/>
        <w:rPr>
          <w:b w:val="0"/>
          <w:bCs w:val="0"/>
        </w:rPr>
      </w:pPr>
      <w:bookmarkStart w:name="第一节 重要提示、目录和释义" w:id="1"/>
      <w:bookmarkEnd w:id="1"/>
      <w:r>
        <w:rPr>
          <w:b w:val="0"/>
          <w:bCs w:val="0"/>
        </w:rPr>
      </w:r>
      <w:bookmarkStart w:name="_bookmark0" w:id="2"/>
      <w:bookmarkEnd w:id="2"/>
      <w:r>
        <w:rPr>
          <w:b w:val="0"/>
          <w:bCs w:val="0"/>
        </w:rPr>
      </w:r>
      <w:r>
        <w:rPr>
          <w:spacing w:val="4"/>
        </w:rPr>
        <w:t>第一节</w:t>
      </w:r>
      <w:r>
        <w:rPr>
          <w:spacing w:val="71"/>
        </w:rPr>
        <w:t> </w:t>
      </w:r>
      <w:r>
        <w:rPr>
          <w:spacing w:val="5"/>
        </w:rPr>
        <w:t>重要提示、目录和释义</w:t>
      </w:r>
      <w:r>
        <w:rPr>
          <w:b w:val="0"/>
          <w:bCs w:val="0"/>
          <w:spacing w:val="5"/>
        </w:rPr>
      </w:r>
    </w:p>
    <w:p>
      <w:pPr>
        <w:spacing w:line="240" w:lineRule="auto" w:before="0"/>
        <w:rPr>
          <w:rFonts w:ascii="宋体" w:hAnsi="宋体" w:cs="宋体" w:eastAsia="宋体" w:hint="default"/>
          <w:b/>
          <w:bCs/>
          <w:sz w:val="32"/>
          <w:szCs w:val="32"/>
        </w:rPr>
      </w:pPr>
    </w:p>
    <w:p>
      <w:pPr>
        <w:spacing w:line="408" w:lineRule="auto" w:before="216"/>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391" w:lineRule="auto" w:before="158"/>
        <w:ind w:left="141" w:right="939" w:firstLine="555"/>
        <w:jc w:val="left"/>
        <w:rPr>
          <w:rFonts w:ascii="宋体" w:hAnsi="宋体" w:cs="宋体" w:eastAsia="宋体" w:hint="default"/>
          <w:sz w:val="28"/>
          <w:szCs w:val="28"/>
        </w:rPr>
      </w:pPr>
      <w:r>
        <w:rPr>
          <w:rFonts w:ascii="宋体" w:hAnsi="宋体" w:cs="宋体" w:eastAsia="宋体" w:hint="default"/>
          <w:b/>
          <w:bCs/>
          <w:spacing w:val="-5"/>
          <w:sz w:val="28"/>
          <w:szCs w:val="28"/>
        </w:rPr>
        <w:t>公司负责人周志群、主管会计工作负责人李琳及会计机构负责人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会计主管</w:t>
      </w:r>
      <w:r>
        <w:rPr>
          <w:rFonts w:ascii="宋体" w:hAnsi="宋体" w:cs="宋体" w:eastAsia="宋体" w:hint="default"/>
          <w:b/>
          <w:bCs/>
          <w:w w:val="101"/>
          <w:sz w:val="28"/>
          <w:szCs w:val="28"/>
        </w:rPr>
        <w:t> </w:t>
      </w:r>
      <w:r>
        <w:rPr>
          <w:rFonts w:ascii="宋体" w:hAnsi="宋体" w:cs="宋体" w:eastAsia="宋体" w:hint="default"/>
          <w:b/>
          <w:bCs/>
          <w:spacing w:val="-4"/>
          <w:sz w:val="28"/>
          <w:szCs w:val="28"/>
        </w:rPr>
        <w:t>人员</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郭敏玲声明：保证年度报告中财务报告的真实、准确、完整。</w:t>
      </w:r>
      <w:r>
        <w:rPr>
          <w:rFonts w:ascii="宋体" w:hAnsi="宋体" w:cs="宋体" w:eastAsia="宋体" w:hint="default"/>
          <w:spacing w:val="-4"/>
          <w:sz w:val="28"/>
          <w:szCs w:val="28"/>
        </w:rPr>
      </w:r>
    </w:p>
    <w:p>
      <w:pPr>
        <w:spacing w:before="137"/>
        <w:ind w:left="696" w:right="939"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spacing w:val="-4"/>
          <w:sz w:val="28"/>
          <w:szCs w:val="28"/>
        </w:rPr>
      </w:r>
    </w:p>
    <w:p>
      <w:pPr>
        <w:spacing w:line="240" w:lineRule="auto" w:before="1"/>
        <w:rPr>
          <w:rFonts w:ascii="宋体" w:hAnsi="宋体" w:cs="宋体" w:eastAsia="宋体" w:hint="default"/>
          <w:b/>
          <w:bCs/>
          <w:sz w:val="27"/>
          <w:szCs w:val="27"/>
        </w:rPr>
      </w:pPr>
    </w:p>
    <w:p>
      <w:pPr>
        <w:spacing w:line="410" w:lineRule="auto" w:before="0"/>
        <w:ind w:left="141" w:right="939" w:firstLine="555"/>
        <w:jc w:val="left"/>
        <w:rPr>
          <w:rFonts w:ascii="宋体" w:hAnsi="宋体" w:cs="宋体" w:eastAsia="宋体" w:hint="default"/>
          <w:sz w:val="28"/>
          <w:szCs w:val="28"/>
        </w:rPr>
      </w:pPr>
      <w:r>
        <w:rPr>
          <w:rFonts w:ascii="宋体" w:hAnsi="宋体" w:cs="宋体" w:eastAsia="宋体" w:hint="default"/>
          <w:b/>
          <w:bCs/>
          <w:sz w:val="28"/>
          <w:szCs w:val="28"/>
        </w:rPr>
        <w:t>（一）面临依赖金融机构和客户集中的风险：公司主营业务对金融机构发</w:t>
      </w:r>
      <w:r>
        <w:rPr>
          <w:rFonts w:ascii="宋体" w:hAnsi="宋体" w:cs="宋体" w:eastAsia="宋体" w:hint="default"/>
          <w:b/>
          <w:bCs/>
          <w:w w:val="101"/>
          <w:sz w:val="28"/>
          <w:szCs w:val="28"/>
        </w:rPr>
        <w:t> </w:t>
      </w:r>
      <w:r>
        <w:rPr>
          <w:rFonts w:ascii="宋体" w:hAnsi="宋体" w:cs="宋体" w:eastAsia="宋体" w:hint="default"/>
          <w:b/>
          <w:bCs/>
          <w:sz w:val="28"/>
          <w:szCs w:val="28"/>
        </w:rPr>
        <w:t>展的依赖程度高，尤其是对金融机构信息化投入存在较大的依赖性。如果我国</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宏观经济形势出现较大波动、金融机构管理体制变化、全球经济不景气等不利</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因素导致金融机构的信息化建设速度放缓，将可能对公司的业务发展产生不利</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影响。公司核心业务是为金融机构提供软件产品、解决方案以及应用维护，业</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pacing w:val="-13"/>
          <w:w w:val="101"/>
          <w:sz w:val="28"/>
          <w:szCs w:val="28"/>
        </w:rPr>
        <w:t>务收入主要来源于为大型商业银行，其特点决定了公司的客户集中度较高。（二）</w:t>
      </w:r>
      <w:r>
        <w:rPr>
          <w:rFonts w:ascii="宋体" w:hAnsi="宋体" w:cs="宋体" w:eastAsia="宋体" w:hint="default"/>
          <w:b/>
          <w:bCs/>
          <w:w w:val="101"/>
          <w:sz w:val="28"/>
          <w:szCs w:val="28"/>
        </w:rPr>
        <w:t> </w:t>
      </w:r>
      <w:r>
        <w:rPr>
          <w:rFonts w:ascii="宋体" w:hAnsi="宋体" w:cs="宋体" w:eastAsia="宋体" w:hint="default"/>
          <w:b/>
          <w:bCs/>
          <w:sz w:val="28"/>
          <w:szCs w:val="28"/>
        </w:rPr>
        <w:t>面临市场竞争日益激烈的风险：公司多年来通过自身技术的不断积累和对金融</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机构需求的深入研究和准确把握，赢得了良好的市场声誉，在业内具有较高的</w:t>
      </w:r>
      <w:r>
        <w:rPr>
          <w:rFonts w:ascii="宋体" w:hAnsi="宋体" w:cs="宋体" w:eastAsia="宋体" w:hint="default"/>
          <w:b/>
          <w:bCs/>
          <w:spacing w:val="-27"/>
          <w:sz w:val="28"/>
          <w:szCs w:val="28"/>
        </w:rPr>
        <w:t> </w:t>
      </w:r>
      <w:r>
        <w:rPr>
          <w:rFonts w:ascii="宋体" w:hAnsi="宋体" w:cs="宋体" w:eastAsia="宋体" w:hint="default"/>
          <w:b/>
          <w:bCs/>
          <w:spacing w:val="-27"/>
          <w:sz w:val="28"/>
          <w:szCs w:val="28"/>
        </w:rPr>
      </w:r>
      <w:r>
        <w:rPr>
          <w:rFonts w:ascii="宋体" w:hAnsi="宋体" w:cs="宋体" w:eastAsia="宋体" w:hint="default"/>
          <w:b/>
          <w:bCs/>
          <w:sz w:val="28"/>
          <w:szCs w:val="28"/>
        </w:rPr>
        <w:t>知名度和较强的竞争能力。但由于金融科技市场是一个高度开放的市场，来自</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国内外同行的竞争日趋激烈；行业内企业也有可能通过压低价格等手段来参与</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市场竞争，导致竞争加剧。如果公司应对市场竞争的方式采取不当，将对公司</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pacing w:val="-10"/>
          <w:w w:val="101"/>
          <w:sz w:val="28"/>
          <w:szCs w:val="28"/>
        </w:rPr>
        <w:t>的经营发展产生不利影响。（三）创新产品研发风险：公司正在实施创新驱动战</w:t>
      </w:r>
      <w:r>
        <w:rPr>
          <w:rFonts w:ascii="宋体" w:hAnsi="宋体" w:cs="宋体" w:eastAsia="宋体" w:hint="default"/>
          <w:b/>
          <w:bCs/>
          <w:spacing w:val="-118"/>
          <w:w w:val="101"/>
          <w:sz w:val="28"/>
          <w:szCs w:val="28"/>
        </w:rPr>
        <w:t> </w:t>
      </w:r>
      <w:r>
        <w:rPr>
          <w:rFonts w:ascii="宋体" w:hAnsi="宋体" w:cs="宋体" w:eastAsia="宋体" w:hint="default"/>
          <w:b/>
          <w:bCs/>
          <w:spacing w:val="-118"/>
          <w:w w:val="101"/>
          <w:sz w:val="28"/>
          <w:szCs w:val="28"/>
        </w:rPr>
      </w:r>
      <w:r>
        <w:rPr>
          <w:rFonts w:ascii="宋体" w:hAnsi="宋体" w:cs="宋体" w:eastAsia="宋体" w:hint="default"/>
          <w:b/>
          <w:bCs/>
          <w:sz w:val="28"/>
          <w:szCs w:val="28"/>
        </w:rPr>
        <w:t>略，分布式，微服务、区块链等前沿金融科技产品的研发工作，存在一定的不</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pacing w:val="-10"/>
          <w:w w:val="101"/>
          <w:sz w:val="28"/>
          <w:szCs w:val="28"/>
        </w:rPr>
        <w:t>确定因素，因此有不能达到预期目标的风险。（四）面临人才流失和人工成本上</w:t>
      </w:r>
      <w:r>
        <w:rPr>
          <w:rFonts w:ascii="宋体" w:hAnsi="宋体" w:cs="宋体" w:eastAsia="宋体" w:hint="default"/>
          <w:spacing w:val="-10"/>
          <w:sz w:val="28"/>
          <w:szCs w:val="28"/>
        </w:rPr>
      </w:r>
    </w:p>
    <w:p>
      <w:pPr>
        <w:spacing w:after="0" w:line="410" w:lineRule="auto"/>
        <w:jc w:val="left"/>
        <w:rPr>
          <w:rFonts w:ascii="宋体" w:hAnsi="宋体" w:cs="宋体" w:eastAsia="宋体" w:hint="default"/>
          <w:sz w:val="28"/>
          <w:szCs w:val="28"/>
        </w:rPr>
        <w:sectPr>
          <w:pgSz w:w="11910" w:h="16850"/>
          <w:pgMar w:header="866" w:footer="981" w:top="1120" w:bottom="1180" w:left="1000" w:right="0"/>
        </w:sectPr>
      </w:pPr>
    </w:p>
    <w:p>
      <w:pPr>
        <w:spacing w:line="240" w:lineRule="auto" w:before="9"/>
        <w:rPr>
          <w:rFonts w:ascii="宋体" w:hAnsi="宋体" w:cs="宋体" w:eastAsia="宋体" w:hint="default"/>
          <w:b/>
          <w:bCs/>
          <w:sz w:val="28"/>
          <w:szCs w:val="28"/>
        </w:rPr>
      </w:pPr>
    </w:p>
    <w:p>
      <w:pPr>
        <w:spacing w:line="410" w:lineRule="auto" w:before="18"/>
        <w:ind w:left="141" w:right="939" w:firstLine="0"/>
        <w:jc w:val="left"/>
        <w:rPr>
          <w:rFonts w:ascii="宋体" w:hAnsi="宋体" w:cs="宋体" w:eastAsia="宋体" w:hint="default"/>
          <w:sz w:val="28"/>
          <w:szCs w:val="28"/>
        </w:rPr>
      </w:pPr>
      <w:r>
        <w:rPr>
          <w:rFonts w:ascii="宋体" w:hAnsi="宋体" w:cs="宋体" w:eastAsia="宋体" w:hint="default"/>
          <w:b/>
          <w:bCs/>
          <w:sz w:val="28"/>
          <w:szCs w:val="28"/>
        </w:rPr>
        <w:t>涨的风险：国家经济结构转型，互联网新兴行业的快速发展，导致对专业人才</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pacing w:val="-10"/>
          <w:sz w:val="28"/>
          <w:szCs w:val="28"/>
        </w:rPr>
        <w:t>的争夺非常激烈；公司核心业务最主要的成本为人工成本。随着公司业务发展，</w:t>
      </w:r>
      <w:r>
        <w:rPr>
          <w:rFonts w:ascii="宋体" w:hAnsi="宋体" w:cs="宋体" w:eastAsia="宋体" w:hint="default"/>
          <w:b/>
          <w:bCs/>
          <w:spacing w:val="39"/>
          <w:sz w:val="28"/>
          <w:szCs w:val="28"/>
        </w:rPr>
        <w:t> </w:t>
      </w:r>
      <w:r>
        <w:rPr>
          <w:rFonts w:ascii="宋体" w:hAnsi="宋体" w:cs="宋体" w:eastAsia="宋体" w:hint="default"/>
          <w:b/>
          <w:bCs/>
          <w:spacing w:val="39"/>
          <w:sz w:val="28"/>
          <w:szCs w:val="28"/>
        </w:rPr>
      </w:r>
      <w:r>
        <w:rPr>
          <w:rFonts w:ascii="宋体" w:hAnsi="宋体" w:cs="宋体" w:eastAsia="宋体" w:hint="default"/>
          <w:b/>
          <w:bCs/>
          <w:sz w:val="28"/>
          <w:szCs w:val="28"/>
        </w:rPr>
        <w:t>人员规模不断增加。同时，物价水平持续上涨，生活成本持续上升，薪酬水平</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pacing w:val="-10"/>
          <w:w w:val="101"/>
          <w:sz w:val="28"/>
          <w:szCs w:val="28"/>
        </w:rPr>
        <w:t>不断上涨，带来了很大的成本压力。（五）业务季节性波动的风险：目前公司的</w:t>
      </w:r>
      <w:r>
        <w:rPr>
          <w:rFonts w:ascii="宋体" w:hAnsi="宋体" w:cs="宋体" w:eastAsia="宋体" w:hint="default"/>
          <w:b/>
          <w:bCs/>
          <w:spacing w:val="-118"/>
          <w:w w:val="101"/>
          <w:sz w:val="28"/>
          <w:szCs w:val="28"/>
        </w:rPr>
        <w:t> </w:t>
      </w:r>
      <w:r>
        <w:rPr>
          <w:rFonts w:ascii="宋体" w:hAnsi="宋体" w:cs="宋体" w:eastAsia="宋体" w:hint="default"/>
          <w:b/>
          <w:bCs/>
          <w:spacing w:val="-118"/>
          <w:w w:val="101"/>
          <w:sz w:val="28"/>
          <w:szCs w:val="28"/>
        </w:rPr>
      </w:r>
      <w:r>
        <w:rPr>
          <w:rFonts w:ascii="宋体" w:hAnsi="宋体" w:cs="宋体" w:eastAsia="宋体" w:hint="default"/>
          <w:b/>
          <w:bCs/>
          <w:sz w:val="28"/>
          <w:szCs w:val="28"/>
        </w:rPr>
        <w:t>客户主要为银行类金融机构，银行信息化建设的预算、立项、招标、采购和实</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施具有明显的季节性特征，一般在第四季度制订次年年度预算计划，审批通常</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集中在次年第一季度，采购招标一般则安排在次年第一、二季度；此外，上半</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年存在春节放假等因素，员工招聘培训在上半年也较多，因此公司上半年的营</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pacing w:val="-6"/>
          <w:w w:val="101"/>
          <w:sz w:val="28"/>
          <w:szCs w:val="28"/>
        </w:rPr>
        <w:t>业收入和营业利润占比较少，在下半年占比较多，业绩存在季节性波动。（六）</w:t>
      </w:r>
      <w:r>
        <w:rPr>
          <w:rFonts w:ascii="宋体" w:hAnsi="宋体" w:cs="宋体" w:eastAsia="宋体" w:hint="default"/>
          <w:b/>
          <w:bCs/>
          <w:spacing w:val="-120"/>
          <w:w w:val="101"/>
          <w:sz w:val="28"/>
          <w:szCs w:val="28"/>
        </w:rPr>
        <w:t> </w:t>
      </w:r>
      <w:r>
        <w:rPr>
          <w:rFonts w:ascii="宋体" w:hAnsi="宋体" w:cs="宋体" w:eastAsia="宋体" w:hint="default"/>
          <w:b/>
          <w:bCs/>
          <w:spacing w:val="-120"/>
          <w:w w:val="101"/>
          <w:sz w:val="28"/>
          <w:szCs w:val="28"/>
        </w:rPr>
      </w:r>
      <w:r>
        <w:rPr>
          <w:rFonts w:ascii="宋体" w:hAnsi="宋体" w:cs="宋体" w:eastAsia="宋体" w:hint="default"/>
          <w:b/>
          <w:bCs/>
          <w:sz w:val="28"/>
          <w:szCs w:val="28"/>
        </w:rPr>
        <w:t>存在业务规模扩张和对外投资导致的管理风险：随着公司规模加大、业务模式</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创新、市场多元化和不断加大的对外投资与合作，相应资产规模、人员规模也</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不断加大以及不同国家和地区的法律法规的不同，这对公司的管理提出了更高</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的要求。如果不能相应调整完善原有的运营管理体系和提高经营管理水平，建</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立起与之相适应的运作机制并有效运行，将直接影响公司的经营效率、发展速</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pacing w:val="-10"/>
          <w:w w:val="101"/>
          <w:sz w:val="28"/>
          <w:szCs w:val="28"/>
        </w:rPr>
        <w:t>度和业绩水平。（七）市场技术发展方向变化的风险：目前软件行业正处于快速</w:t>
      </w:r>
      <w:r>
        <w:rPr>
          <w:rFonts w:ascii="宋体" w:hAnsi="宋体" w:cs="宋体" w:eastAsia="宋体" w:hint="default"/>
          <w:b/>
          <w:bCs/>
          <w:spacing w:val="-118"/>
          <w:w w:val="101"/>
          <w:sz w:val="28"/>
          <w:szCs w:val="28"/>
        </w:rPr>
        <w:t> </w:t>
      </w:r>
      <w:r>
        <w:rPr>
          <w:rFonts w:ascii="宋体" w:hAnsi="宋体" w:cs="宋体" w:eastAsia="宋体" w:hint="default"/>
          <w:b/>
          <w:bCs/>
          <w:spacing w:val="-118"/>
          <w:w w:val="101"/>
          <w:sz w:val="28"/>
          <w:szCs w:val="28"/>
        </w:rPr>
      </w:r>
      <w:r>
        <w:rPr>
          <w:rFonts w:ascii="宋体" w:hAnsi="宋体" w:cs="宋体" w:eastAsia="宋体" w:hint="default"/>
          <w:b/>
          <w:bCs/>
          <w:sz w:val="28"/>
          <w:szCs w:val="28"/>
        </w:rPr>
        <w:t>发展阶段，技术更新换代快，用户对技术服务的要求不断提高。因此，若公司</w:t>
      </w:r>
      <w:r>
        <w:rPr>
          <w:rFonts w:ascii="宋体" w:hAnsi="宋体" w:cs="宋体" w:eastAsia="宋体" w:hint="default"/>
          <w:b/>
          <w:bCs/>
          <w:spacing w:val="-29"/>
          <w:sz w:val="28"/>
          <w:szCs w:val="28"/>
        </w:rPr>
        <w:t> </w:t>
      </w:r>
      <w:r>
        <w:rPr>
          <w:rFonts w:ascii="宋体" w:hAnsi="宋体" w:cs="宋体" w:eastAsia="宋体" w:hint="default"/>
          <w:b/>
          <w:bCs/>
          <w:spacing w:val="-29"/>
          <w:sz w:val="28"/>
          <w:szCs w:val="28"/>
        </w:rPr>
      </w:r>
      <w:r>
        <w:rPr>
          <w:rFonts w:ascii="宋体" w:hAnsi="宋体" w:cs="宋体" w:eastAsia="宋体" w:hint="default"/>
          <w:b/>
          <w:bCs/>
          <w:spacing w:val="-6"/>
          <w:sz w:val="28"/>
          <w:szCs w:val="28"/>
        </w:rPr>
        <w:t>对技术和市场的变化不能快速响应，对行业关键技术的发展动态不能及时掌控，</w:t>
      </w:r>
      <w:r>
        <w:rPr>
          <w:rFonts w:ascii="宋体" w:hAnsi="宋体" w:cs="宋体" w:eastAsia="宋体" w:hint="default"/>
          <w:b/>
          <w:bCs/>
          <w:spacing w:val="35"/>
          <w:sz w:val="28"/>
          <w:szCs w:val="28"/>
        </w:rPr>
        <w:t> </w:t>
      </w:r>
      <w:r>
        <w:rPr>
          <w:rFonts w:ascii="宋体" w:hAnsi="宋体" w:cs="宋体" w:eastAsia="宋体" w:hint="default"/>
          <w:b/>
          <w:bCs/>
          <w:spacing w:val="35"/>
          <w:sz w:val="28"/>
          <w:szCs w:val="28"/>
        </w:rPr>
      </w:r>
      <w:r>
        <w:rPr>
          <w:rFonts w:ascii="宋体" w:hAnsi="宋体" w:cs="宋体" w:eastAsia="宋体" w:hint="default"/>
          <w:b/>
          <w:bCs/>
          <w:sz w:val="28"/>
          <w:szCs w:val="28"/>
        </w:rPr>
        <w:t>将导致公司的市场竞争能力下降，公司因而存在一定的技术发展风险。公司在</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做好主营业务的同时，会跟随金融科技发展趋势，但若对技术及市场等变化未</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z w:val="28"/>
          <w:szCs w:val="28"/>
        </w:rPr>
        <w:t>能准确、快速响应，业务转型将存在达不到预期目标的风险，未来是否盈利存</w:t>
      </w:r>
      <w:r>
        <w:rPr>
          <w:rFonts w:ascii="宋体" w:hAnsi="宋体" w:cs="宋体" w:eastAsia="宋体" w:hint="default"/>
          <w:b/>
          <w:bCs/>
          <w:spacing w:val="-24"/>
          <w:sz w:val="28"/>
          <w:szCs w:val="28"/>
        </w:rPr>
        <w:t> </w:t>
      </w:r>
      <w:r>
        <w:rPr>
          <w:rFonts w:ascii="宋体" w:hAnsi="宋体" w:cs="宋体" w:eastAsia="宋体" w:hint="default"/>
          <w:b/>
          <w:bCs/>
          <w:spacing w:val="-24"/>
          <w:sz w:val="28"/>
          <w:szCs w:val="28"/>
        </w:rPr>
      </w:r>
      <w:r>
        <w:rPr>
          <w:rFonts w:ascii="宋体" w:hAnsi="宋体" w:cs="宋体" w:eastAsia="宋体" w:hint="default"/>
          <w:b/>
          <w:bCs/>
          <w:spacing w:val="-10"/>
          <w:w w:val="101"/>
          <w:sz w:val="28"/>
          <w:szCs w:val="28"/>
        </w:rPr>
        <w:t>在不确定性。（八）尽管公司已做充分的市场调研和可行性论证，但项目实施周</w:t>
      </w:r>
      <w:r>
        <w:rPr>
          <w:rFonts w:ascii="宋体" w:hAnsi="宋体" w:cs="宋体" w:eastAsia="宋体" w:hint="default"/>
          <w:b/>
          <w:bCs/>
          <w:spacing w:val="-119"/>
          <w:w w:val="101"/>
          <w:sz w:val="28"/>
          <w:szCs w:val="28"/>
        </w:rPr>
        <w:t> </w:t>
      </w:r>
      <w:r>
        <w:rPr>
          <w:rFonts w:ascii="宋体" w:hAnsi="宋体" w:cs="宋体" w:eastAsia="宋体" w:hint="default"/>
          <w:b/>
          <w:bCs/>
          <w:spacing w:val="-119"/>
          <w:w w:val="101"/>
          <w:sz w:val="28"/>
          <w:szCs w:val="28"/>
        </w:rPr>
      </w:r>
      <w:r>
        <w:rPr>
          <w:rFonts w:ascii="宋体" w:hAnsi="宋体" w:cs="宋体" w:eastAsia="宋体" w:hint="default"/>
          <w:b/>
          <w:bCs/>
          <w:sz w:val="28"/>
          <w:szCs w:val="28"/>
        </w:rPr>
        <w:t>期较长，在此期间由于宏观经济、市场环境、技术进步等因素，存在募集资金</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50"/>
          <w:pgMar w:header="866" w:footer="981" w:top="1120" w:bottom="1180" w:left="1000" w:right="0"/>
        </w:sectPr>
      </w:pPr>
    </w:p>
    <w:p>
      <w:pPr>
        <w:spacing w:line="240" w:lineRule="auto" w:before="9"/>
        <w:rPr>
          <w:rFonts w:ascii="宋体" w:hAnsi="宋体" w:cs="宋体" w:eastAsia="宋体" w:hint="default"/>
          <w:b/>
          <w:bCs/>
          <w:sz w:val="28"/>
          <w:szCs w:val="28"/>
        </w:rPr>
      </w:pPr>
    </w:p>
    <w:p>
      <w:pPr>
        <w:spacing w:line="408" w:lineRule="auto" w:before="18"/>
        <w:ind w:left="141" w:right="1089" w:firstLine="0"/>
        <w:jc w:val="both"/>
        <w:rPr>
          <w:rFonts w:ascii="宋体" w:hAnsi="宋体" w:cs="宋体" w:eastAsia="宋体" w:hint="default"/>
          <w:sz w:val="28"/>
          <w:szCs w:val="28"/>
        </w:rPr>
      </w:pPr>
      <w:r>
        <w:rPr>
          <w:rFonts w:ascii="宋体" w:hAnsi="宋体" w:cs="宋体" w:eastAsia="宋体" w:hint="default"/>
          <w:b/>
          <w:bCs/>
          <w:spacing w:val="-10"/>
          <w:w w:val="101"/>
          <w:sz w:val="28"/>
          <w:szCs w:val="28"/>
        </w:rPr>
        <w:t>投资项目不达预期的风险。（九）公司设立的子公司、合资公司、参股公司，未</w:t>
      </w:r>
      <w:r>
        <w:rPr>
          <w:rFonts w:ascii="宋体" w:hAnsi="宋体" w:cs="宋体" w:eastAsia="宋体" w:hint="default"/>
          <w:b/>
          <w:bCs/>
          <w:spacing w:val="-121"/>
          <w:w w:val="101"/>
          <w:sz w:val="28"/>
          <w:szCs w:val="28"/>
        </w:rPr>
        <w:t> </w:t>
      </w:r>
      <w:r>
        <w:rPr>
          <w:rFonts w:ascii="宋体" w:hAnsi="宋体" w:cs="宋体" w:eastAsia="宋体" w:hint="default"/>
          <w:b/>
          <w:bCs/>
          <w:spacing w:val="-121"/>
          <w:w w:val="101"/>
          <w:sz w:val="28"/>
          <w:szCs w:val="28"/>
        </w:rPr>
      </w:r>
      <w:r>
        <w:rPr>
          <w:rFonts w:ascii="宋体" w:hAnsi="宋体" w:cs="宋体" w:eastAsia="宋体" w:hint="default"/>
          <w:b/>
          <w:bCs/>
          <w:spacing w:val="-10"/>
          <w:w w:val="101"/>
          <w:sz w:val="28"/>
          <w:szCs w:val="28"/>
        </w:rPr>
        <w:t>来实现盈利存在不确定性。（十）国际政治经济不稳定及汇率波动风险：公司正</w:t>
      </w:r>
      <w:r>
        <w:rPr>
          <w:rFonts w:ascii="宋体" w:hAnsi="宋体" w:cs="宋体" w:eastAsia="宋体" w:hint="default"/>
          <w:b/>
          <w:bCs/>
          <w:spacing w:val="-120"/>
          <w:w w:val="101"/>
          <w:sz w:val="28"/>
          <w:szCs w:val="28"/>
        </w:rPr>
        <w:t> </w:t>
      </w:r>
      <w:r>
        <w:rPr>
          <w:rFonts w:ascii="宋体" w:hAnsi="宋体" w:cs="宋体" w:eastAsia="宋体" w:hint="default"/>
          <w:b/>
          <w:bCs/>
          <w:spacing w:val="-120"/>
          <w:w w:val="101"/>
          <w:sz w:val="28"/>
          <w:szCs w:val="28"/>
        </w:rPr>
      </w:r>
      <w:r>
        <w:rPr>
          <w:rFonts w:ascii="宋体" w:hAnsi="宋体" w:cs="宋体" w:eastAsia="宋体" w:hint="default"/>
          <w:b/>
          <w:bCs/>
          <w:spacing w:val="-1"/>
          <w:sz w:val="28"/>
          <w:szCs w:val="28"/>
        </w:rPr>
        <w:t>在实施全球化布局，目前海外业务占比规模较大。报告期内，贸易保护主义有</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加剧的趋势，而国际政治经济形势的不确定性，将会给公司在海外业务拓展方</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面带来不确定性，汇率波动也会给公司外汇结算等方面带来潜在风险。</w:t>
      </w:r>
      <w:r>
        <w:rPr>
          <w:rFonts w:ascii="宋体" w:hAnsi="宋体" w:cs="宋体" w:eastAsia="宋体" w:hint="default"/>
          <w:spacing w:val="-4"/>
          <w:sz w:val="28"/>
          <w:szCs w:val="28"/>
        </w:rPr>
      </w:r>
    </w:p>
    <w:p>
      <w:pPr>
        <w:spacing w:before="173"/>
        <w:ind w:left="696" w:right="939" w:firstLine="0"/>
        <w:jc w:val="left"/>
        <w:rPr>
          <w:rFonts w:ascii="宋体" w:hAnsi="宋体" w:cs="宋体" w:eastAsia="宋体" w:hint="default"/>
          <w:sz w:val="28"/>
          <w:szCs w:val="28"/>
        </w:rPr>
      </w:pPr>
      <w:r>
        <w:rPr>
          <w:rFonts w:ascii="宋体" w:hAnsi="宋体" w:cs="宋体" w:eastAsia="宋体" w:hint="default"/>
          <w:b/>
          <w:bCs/>
          <w:spacing w:val="-5"/>
          <w:sz w:val="28"/>
          <w:szCs w:val="28"/>
        </w:rPr>
        <w:t>公司经本次董事会审议通过的利润分配预案为：以 </w:t>
      </w:r>
      <w:r>
        <w:rPr>
          <w:rFonts w:ascii="Times New Roman" w:hAnsi="Times New Roman" w:cs="Times New Roman" w:eastAsia="Times New Roman" w:hint="default"/>
          <w:b/>
          <w:bCs/>
          <w:spacing w:val="-5"/>
          <w:sz w:val="28"/>
          <w:szCs w:val="28"/>
        </w:rPr>
        <w:t>188,968,261 </w:t>
      </w:r>
      <w:r>
        <w:rPr>
          <w:rFonts w:ascii="Times New Roman" w:hAnsi="Times New Roman" w:cs="Times New Roman" w:eastAsia="Times New Roman" w:hint="default"/>
          <w:b/>
          <w:bCs/>
          <w:spacing w:val="25"/>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28"/>
        <w:ind w:left="141" w:right="0" w:firstLine="0"/>
        <w:jc w:val="both"/>
        <w:rPr>
          <w:rFonts w:ascii="宋体" w:hAnsi="宋体" w:cs="宋体" w:eastAsia="宋体" w:hint="default"/>
          <w:sz w:val="28"/>
          <w:szCs w:val="28"/>
        </w:rPr>
      </w:pPr>
      <w:r>
        <w:rPr>
          <w:rFonts w:ascii="宋体" w:hAnsi="宋体" w:cs="宋体" w:eastAsia="宋体" w:hint="default"/>
          <w:b/>
          <w:bCs/>
          <w:w w:val="101"/>
          <w:sz w:val="28"/>
          <w:szCs w:val="28"/>
        </w:rPr>
        <w:t>全体股</w:t>
      </w:r>
      <w:r>
        <w:rPr>
          <w:rFonts w:ascii="宋体" w:hAnsi="宋体" w:cs="宋体" w:eastAsia="宋体" w:hint="default"/>
          <w:b/>
          <w:bCs/>
          <w:spacing w:val="-16"/>
          <w:w w:val="101"/>
          <w:sz w:val="28"/>
          <w:szCs w:val="28"/>
        </w:rPr>
        <w:t>东</w:t>
      </w:r>
      <w:r>
        <w:rPr>
          <w:rFonts w:ascii="宋体" w:hAnsi="宋体" w:cs="宋体" w:eastAsia="宋体" w:hint="default"/>
          <w:b/>
          <w:bCs/>
          <w:w w:val="101"/>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8"/>
          <w:w w:val="101"/>
          <w:sz w:val="28"/>
          <w:szCs w:val="28"/>
        </w:rPr>
        <w:t>1</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股派发现</w:t>
      </w:r>
      <w:r>
        <w:rPr>
          <w:rFonts w:ascii="宋体" w:hAnsi="宋体" w:cs="宋体" w:eastAsia="宋体" w:hint="default"/>
          <w:b/>
          <w:bCs/>
          <w:spacing w:val="-16"/>
          <w:w w:val="101"/>
          <w:sz w:val="28"/>
          <w:szCs w:val="28"/>
        </w:rPr>
        <w:t>金</w:t>
      </w:r>
      <w:r>
        <w:rPr>
          <w:rFonts w:ascii="宋体" w:hAnsi="宋体" w:cs="宋体" w:eastAsia="宋体" w:hint="default"/>
          <w:b/>
          <w:bCs/>
          <w:w w:val="101"/>
          <w:sz w:val="28"/>
          <w:szCs w:val="28"/>
        </w:rPr>
        <w:t>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8"/>
          <w:w w:val="101"/>
          <w:sz w:val="28"/>
          <w:szCs w:val="28"/>
        </w:rPr>
        <w:t>1</w:t>
      </w:r>
      <w:r>
        <w:rPr>
          <w:rFonts w:ascii="Times New Roman" w:hAnsi="Times New Roman" w:cs="Times New Roman" w:eastAsia="Times New Roman" w:hint="default"/>
          <w:b/>
          <w:bCs/>
          <w:spacing w:val="-12"/>
          <w:w w:val="101"/>
          <w:sz w:val="28"/>
          <w:szCs w:val="28"/>
        </w:rPr>
        <w:t>.</w:t>
      </w:r>
      <w:r>
        <w:rPr>
          <w:rFonts w:ascii="Times New Roman" w:hAnsi="Times New Roman" w:cs="Times New Roman" w:eastAsia="Times New Roman" w:hint="default"/>
          <w:b/>
          <w:bCs/>
          <w:w w:val="101"/>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元（含</w:t>
      </w:r>
      <w:r>
        <w:rPr>
          <w:rFonts w:ascii="宋体" w:hAnsi="宋体" w:cs="宋体" w:eastAsia="宋体" w:hint="default"/>
          <w:b/>
          <w:bCs/>
          <w:spacing w:val="-16"/>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w w:val="101"/>
          <w:sz w:val="28"/>
          <w:szCs w:val="28"/>
        </w:rPr>
        <w:t>，</w:t>
      </w:r>
      <w:r>
        <w:rPr>
          <w:rFonts w:ascii="宋体" w:hAnsi="宋体" w:cs="宋体" w:eastAsia="宋体" w:hint="default"/>
          <w:b/>
          <w:bCs/>
          <w:spacing w:val="-16"/>
          <w:w w:val="101"/>
          <w:sz w:val="28"/>
          <w:szCs w:val="28"/>
        </w:rPr>
        <w:t>送</w:t>
      </w:r>
      <w:r>
        <w:rPr>
          <w:rFonts w:ascii="宋体" w:hAnsi="宋体" w:cs="宋体" w:eastAsia="宋体" w:hint="default"/>
          <w:b/>
          <w:bCs/>
          <w:w w:val="101"/>
          <w:sz w:val="28"/>
          <w:szCs w:val="28"/>
        </w:rPr>
        <w:t>红股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16"/>
          <w:w w:val="101"/>
          <w:sz w:val="28"/>
          <w:szCs w:val="28"/>
        </w:rPr>
        <w:t>股</w:t>
      </w:r>
      <w:r>
        <w:rPr>
          <w:rFonts w:ascii="宋体" w:hAnsi="宋体" w:cs="宋体" w:eastAsia="宋体" w:hint="default"/>
          <w:b/>
          <w:bCs/>
          <w:w w:val="101"/>
          <w:sz w:val="28"/>
          <w:szCs w:val="28"/>
        </w:rPr>
        <w:t>（含</w:t>
      </w:r>
      <w:r>
        <w:rPr>
          <w:rFonts w:ascii="宋体" w:hAnsi="宋体" w:cs="宋体" w:eastAsia="宋体" w:hint="default"/>
          <w:b/>
          <w:bCs/>
          <w:spacing w:val="-16"/>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w w:val="101"/>
          <w:sz w:val="28"/>
          <w:szCs w:val="28"/>
        </w:rPr>
        <w:t>，</w:t>
      </w:r>
      <w:r>
        <w:rPr>
          <w:rFonts w:ascii="宋体" w:hAnsi="宋体" w:cs="宋体" w:eastAsia="宋体" w:hint="default"/>
          <w:b/>
          <w:bCs/>
          <w:spacing w:val="-16"/>
          <w:w w:val="101"/>
          <w:sz w:val="28"/>
          <w:szCs w:val="28"/>
        </w:rPr>
        <w:t>以</w:t>
      </w:r>
      <w:r>
        <w:rPr>
          <w:rFonts w:ascii="宋体" w:hAnsi="宋体" w:cs="宋体" w:eastAsia="宋体" w:hint="default"/>
          <w:b/>
          <w:bCs/>
          <w:w w:val="101"/>
          <w:sz w:val="28"/>
          <w:szCs w:val="28"/>
        </w:rPr>
        <w:t>资本公</w:t>
      </w:r>
      <w:r>
        <w:rPr>
          <w:rFonts w:ascii="宋体" w:hAnsi="宋体" w:cs="宋体" w:eastAsia="宋体" w:hint="default"/>
          <w:sz w:val="28"/>
          <w:szCs w:val="28"/>
        </w:rPr>
      </w:r>
    </w:p>
    <w:p>
      <w:pPr>
        <w:spacing w:before="243"/>
        <w:ind w:left="141"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54"/>
          <w:sz w:val="28"/>
          <w:szCs w:val="28"/>
        </w:rPr>
        <w:t> </w:t>
      </w:r>
      <w:r>
        <w:rPr>
          <w:rFonts w:ascii="Times New Roman" w:hAnsi="Times New Roman" w:cs="Times New Roman" w:eastAsia="Times New Roman" w:hint="default"/>
          <w:b/>
          <w:bCs/>
          <w:spacing w:val="-4"/>
          <w:sz w:val="28"/>
          <w:szCs w:val="28"/>
        </w:rPr>
        <w:t>10</w:t>
      </w:r>
      <w:r>
        <w:rPr>
          <w:rFonts w:ascii="Times New Roman" w:hAnsi="Times New Roman" w:cs="Times New Roman" w:eastAsia="Times New Roman" w:hint="default"/>
          <w:b/>
          <w:bCs/>
          <w:spacing w:val="9"/>
          <w:sz w:val="28"/>
          <w:szCs w:val="28"/>
        </w:rPr>
        <w:t> </w:t>
      </w:r>
      <w:r>
        <w:rPr>
          <w:rFonts w:ascii="宋体" w:hAnsi="宋体" w:cs="宋体" w:eastAsia="宋体" w:hint="default"/>
          <w:b/>
          <w:bCs/>
          <w:spacing w:val="-6"/>
          <w:sz w:val="28"/>
          <w:szCs w:val="28"/>
        </w:rPr>
        <w:t>股转增</w:t>
      </w:r>
      <w:r>
        <w:rPr>
          <w:rFonts w:ascii="宋体" w:hAnsi="宋体" w:cs="宋体" w:eastAsia="宋体" w:hint="default"/>
          <w:b/>
          <w:bCs/>
          <w:spacing w:val="-54"/>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9"/>
          <w:sz w:val="28"/>
          <w:szCs w:val="28"/>
        </w:rPr>
        <w:t> </w:t>
      </w:r>
      <w:r>
        <w:rPr>
          <w:rFonts w:ascii="宋体" w:hAnsi="宋体" w:cs="宋体" w:eastAsia="宋体" w:hint="default"/>
          <w:b/>
          <w:bCs/>
          <w:spacing w:val="-15"/>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50"/>
          <w:pgMar w:header="866" w:footer="981" w:top="1120" w:bottom="1180" w:left="1000" w:right="0"/>
        </w:sectPr>
      </w:pPr>
    </w:p>
    <w:p>
      <w:pPr>
        <w:spacing w:line="240" w:lineRule="auto" w:before="2"/>
        <w:rPr>
          <w:rFonts w:ascii="宋体" w:hAnsi="宋体" w:cs="宋体" w:eastAsia="宋体" w:hint="default"/>
          <w:b/>
          <w:bCs/>
          <w:sz w:val="27"/>
          <w:szCs w:val="27"/>
        </w:rPr>
      </w:pPr>
    </w:p>
    <w:p>
      <w:pPr>
        <w:spacing w:line="460" w:lineRule="exact" w:before="0"/>
        <w:ind w:left="2404" w:right="338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before="162"/>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2"/>
              </w:rPr>
              <w:t> </w:t>
            </w:r>
            <w:r>
              <w:rPr>
                <w:spacing w:val="2"/>
              </w:rPr>
              <w:t>公司业务概要</w:t>
            </w:r>
            <w:r>
              <w:rPr>
                <w:rFonts w:ascii="宋体" w:hAnsi="宋体" w:cs="宋体" w:eastAsia="宋体" w:hint="default"/>
                <w:spacing w:val="2"/>
              </w:rPr>
              <w:tab/>
            </w:r>
            <w:r>
              <w:rPr>
                <w:rFonts w:ascii="宋体" w:hAnsi="宋体" w:cs="宋体" w:eastAsia="宋体" w:hint="default"/>
              </w:rPr>
              <w:t>11</w:t>
            </w:r>
            <w:r>
              <w:rPr>
                <w:rFonts w:ascii="宋体" w:hAnsi="宋体" w:cs="宋体" w:eastAsia="宋体" w:hint="default"/>
                <w:b w:val="0"/>
                <w:bCs w:val="0"/>
              </w:rPr>
            </w:r>
          </w:hyperlink>
        </w:p>
        <w:p>
          <w:pPr>
            <w:pStyle w:val="TOC1"/>
            <w:tabs>
              <w:tab w:pos="9782" w:val="right" w:leader="dot"/>
            </w:tabs>
            <w:spacing w:line="240" w:lineRule="auto" w:before="148"/>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14</w:t>
            </w:r>
            <w:r>
              <w:rPr>
                <w:rFonts w:ascii="宋体" w:hAnsi="宋体" w:cs="宋体" w:eastAsia="宋体"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7"/>
              </w:rPr>
              <w:t> </w:t>
            </w:r>
            <w:r>
              <w:rPr/>
              <w:t>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6"/>
              </w:rPr>
              <w:t> </w:t>
            </w:r>
            <w:r>
              <w:rPr/>
              <w:t>股份变动及股东情况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7"/>
              </w:rPr>
              <w:t> </w:t>
            </w:r>
            <w:r>
              <w:rPr>
                <w:spacing w:val="2"/>
              </w:rPr>
              <w:t>优先股相关情况</w:t>
            </w:r>
            <w:r>
              <w:rPr>
                <w:rFonts w:ascii="Times New Roman" w:hAnsi="Times New Roman" w:cs="Times New Roman" w:eastAsia="Times New Roman" w:hint="default"/>
                <w:spacing w:val="2"/>
              </w:rPr>
              <w:tab/>
            </w:r>
            <w:r>
              <w:rPr>
                <w:rFonts w:ascii="Times New Roman" w:hAnsi="Times New Roman" w:cs="Times New Roman" w:eastAsia="Times New Roman" w:hint="default"/>
              </w:rPr>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6"/>
              </w:rPr>
              <w:t> </w:t>
            </w:r>
            <w:r>
              <w:rPr/>
              <w:t>可转换公司债券相关情况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before="147"/>
            <w:ind w:right="0"/>
            <w:jc w:val="left"/>
            <w:rPr>
              <w:rFonts w:ascii="Times New Roman" w:hAnsi="Times New Roman" w:cs="Times New Roman" w:eastAsia="Times New Roman" w:hint="default"/>
              <w:b w:val="0"/>
              <w:bCs w:val="0"/>
            </w:rPr>
          </w:pPr>
          <w:hyperlink w:history="true" w:anchor="_bookmark8">
            <w:r>
              <w:rPr/>
              <w:t>第九节</w:t>
            </w:r>
            <w:r>
              <w:rPr>
                <w:spacing w:val="-17"/>
              </w:rPr>
              <w:t> </w:t>
            </w:r>
            <w:r>
              <w:rPr/>
              <w:t>董事、监事、高级管理人员和员工情况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7"/>
              </w:rPr>
              <w:t> </w:t>
            </w:r>
            <w:r>
              <w:rPr/>
              <w:t>公司治理</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6"/>
              </w:rPr>
              <w:t> </w:t>
            </w:r>
            <w:r>
              <w:rPr/>
              <w:t>公司债券相关情况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7"/>
              </w:rPr>
              <w:t> </w:t>
            </w:r>
            <w:r>
              <w:rPr/>
              <w:t>财务报告</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17"/>
              </w:rPr>
              <w:t> </w:t>
            </w:r>
            <w:r>
              <w:rPr>
                <w:spacing w:val="2"/>
              </w:rPr>
              <w:t>备查文件目录</w:t>
            </w:r>
            <w:r>
              <w:rPr>
                <w:rFonts w:ascii="Times New Roman" w:hAnsi="Times New Roman" w:cs="Times New Roman" w:eastAsia="Times New Roman" w:hint="default"/>
                <w:spacing w:val="2"/>
              </w:rPr>
              <w:tab/>
            </w:r>
            <w:r>
              <w:rPr>
                <w:rFonts w:ascii="Times New Roman" w:hAnsi="Times New Roman" w:cs="Times New Roman" w:eastAsia="Times New Roman" w:hint="default"/>
              </w:rPr>
              <w:t>179</w:t>
            </w:r>
            <w:r>
              <w:rPr>
                <w:rFonts w:ascii="Times New Roman" w:hAnsi="Times New Roman" w:cs="Times New Roman" w:eastAsia="Times New Roman" w:hint="default"/>
                <w:b w:val="0"/>
                <w:bCs w:val="0"/>
              </w:rPr>
            </w:r>
          </w:hyperlink>
        </w:p>
        <w:p>
          <w:pPr/>
          <w:r>
            <w:fldChar w:fldCharType="end"/>
          </w:r>
        </w:p>
      </w:sdtContent>
    </w:sdt>
    <w:p>
      <w:pPr>
        <w:spacing w:after="0"/>
        <w:sectPr>
          <w:pgSz w:w="11910" w:h="16850"/>
          <w:pgMar w:header="866" w:footer="981" w:top="1120" w:bottom="1180" w:left="1000" w:right="0"/>
        </w:sectPr>
      </w:pPr>
    </w:p>
    <w:p>
      <w:pPr>
        <w:spacing w:before="345"/>
        <w:ind w:left="2404" w:right="3388" w:firstLine="0"/>
        <w:jc w:val="center"/>
        <w:rPr>
          <w:rFonts w:ascii="宋体" w:hAnsi="宋体" w:cs="宋体" w:eastAsia="宋体" w:hint="default"/>
          <w:sz w:val="36"/>
          <w:szCs w:val="36"/>
        </w:rPr>
      </w:pPr>
      <w:r>
        <w:rPr>
          <w:rFonts w:ascii="宋体" w:hAnsi="宋体" w:cs="宋体" w:eastAsia="宋体" w:hint="default"/>
          <w:b/>
          <w:bCs/>
          <w:sz w:val="36"/>
          <w:szCs w:val="36"/>
        </w:rPr>
        <w:t>释义</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tbl>
      <w:tblPr>
        <w:tblW w:w="0" w:type="auto"/>
        <w:jc w:val="left"/>
        <w:tblInd w:w="126" w:type="dxa"/>
        <w:tblLayout w:type="fixed"/>
        <w:tblCellMar>
          <w:top w:w="0" w:type="dxa"/>
          <w:left w:w="0" w:type="dxa"/>
          <w:bottom w:w="0" w:type="dxa"/>
          <w:right w:w="0" w:type="dxa"/>
        </w:tblCellMar>
        <w:tblLook w:val="01E0"/>
      </w:tblPr>
      <w:tblGrid>
        <w:gridCol w:w="3545"/>
        <w:gridCol w:w="593"/>
        <w:gridCol w:w="5444"/>
      </w:tblGrid>
      <w:tr>
        <w:trPr>
          <w:trHeight w:val="405"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公司、本公司、四方精创</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深圳四方精创资讯股份有限公司章程</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深圳四方精创资讯股份有限公司股东大会</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深圳四方精创资讯股份有限公司董事会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深圳四方精创资讯股份有限公司监事会</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益群控股</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益志控股</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益威控股</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Systex</w:t>
            </w:r>
            <w:r>
              <w:rPr>
                <w:rFonts w:ascii="Times New Roman"/>
                <w:spacing w:val="-17"/>
                <w:sz w:val="18"/>
              </w:rPr>
              <w:t> </w:t>
            </w:r>
            <w:r>
              <w:rPr>
                <w:rFonts w:ascii="Times New Roman"/>
                <w:sz w:val="18"/>
              </w:rPr>
              <w:t>Solutions</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Systex Solutions (HK) </w:t>
            </w:r>
            <w:r>
              <w:rPr>
                <w:rFonts w:ascii="Times New Roman"/>
                <w:spacing w:val="-3"/>
                <w:sz w:val="18"/>
              </w:rPr>
              <w:t>Limited</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俊图精科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深圳俊图精科投资有限公司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威升精科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石河子市威升精科股权投资合伙企业（有限合伙）</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信方精科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石河子市信方精科股权投资合伙企业（有限合伙）</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四方香港</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四方信息</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乐寻坊</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深圳前海乐寻坊区块链科技有限公司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四方泰国</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四方精创（泰国）有限公司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华兴、会计师、申报会计师</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华兴会计师事务所（特殊普通合伙）</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Heading1"/>
        <w:spacing w:line="240" w:lineRule="auto"/>
        <w:ind w:left="2634" w:right="939"/>
        <w:jc w:val="left"/>
        <w:rPr>
          <w:b w:val="0"/>
          <w:bCs w:val="0"/>
        </w:rPr>
      </w:pPr>
      <w:bookmarkStart w:name="第二节 公司简介和主要财务指标" w:id="3"/>
      <w:bookmarkEnd w:id="3"/>
      <w:r>
        <w:rPr>
          <w:b w:val="0"/>
          <w:bCs w:val="0"/>
        </w:rPr>
      </w:r>
      <w:bookmarkStart w:name="_bookmark1" w:id="4"/>
      <w:bookmarkEnd w:id="4"/>
      <w:r>
        <w:rPr>
          <w:b w:val="0"/>
          <w:bCs w:val="0"/>
        </w:rPr>
      </w:r>
      <w:r>
        <w:rPr>
          <w:spacing w:val="4"/>
        </w:rPr>
        <w:t>第二节</w:t>
      </w:r>
      <w:r>
        <w:rPr>
          <w:spacing w:val="84"/>
        </w:rPr>
        <w:t> </w:t>
      </w:r>
      <w:r>
        <w:rPr>
          <w:spacing w:val="5"/>
        </w:rPr>
        <w:t>公司简介和主要财务指标</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939"/>
        <w:jc w:val="left"/>
        <w:rPr>
          <w:b w:val="0"/>
          <w:bCs w:val="0"/>
        </w:rPr>
      </w:pPr>
      <w:bookmarkStart w:name="一、公司信息" w:id="5"/>
      <w:bookmarkEnd w:id="5"/>
      <w:r>
        <w:rPr>
          <w:b w:val="0"/>
          <w:bCs w:val="0"/>
        </w:rPr>
      </w:r>
      <w:r>
        <w:rPr/>
        <w:t>一、公司信息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0"/>
          <w:szCs w:val="10"/>
        </w:rPr>
      </w:pPr>
    </w:p>
    <w:p>
      <w:pPr>
        <w:spacing w:line="390" w:lineRule="exact"/>
        <w:ind w:left="24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63.45pt;height:19.55pt;mso-position-horizontal-relative:char;mso-position-vertical-relative:line" coordorigin="0,0" coordsize="7269,391">
            <v:group style="position:absolute;left:0;top:0;width:30;height:391" coordorigin="0,0" coordsize="30,391">
              <v:shape style="position:absolute;left:0;top:0;width:30;height:391" coordorigin="0,0" coordsize="30,391" path="m0,390l30,390,30,0,0,0,0,390xe" filled="true" fillcolor="#ffffff" stroked="false">
                <v:path arrowok="t"/>
                <v:fill type="solid"/>
              </v:shape>
            </v:group>
            <v:group style="position:absolute;left:30;top:0;width:7239;height:391" coordorigin="30,0" coordsize="7239,391">
              <v:shape style="position:absolute;left:30;top:0;width:7239;height:391" coordorigin="30,0" coordsize="7239,391" path="m30,390l7269,390,7269,0,30,0,30,390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240" w:lineRule="auto"/>
        <w:ind w:left="0" w:right="1142"/>
        <w:jc w:val="right"/>
      </w:pPr>
      <w:r>
        <w:rPr/>
        <w:pict>
          <v:shape style="position:absolute;margin-left:56.325001pt;margin-top:-123.868309pt;width:480.25pt;height:241.7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四方精创</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300468</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四方精创</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Shenzhen Forms Syntron Information Co.,Ltd.</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9"/>
                          <w:ind w:left="-96" w:right="0"/>
                          <w:jc w:val="left"/>
                          <w:rPr>
                            <w:rFonts w:ascii="Times New Roman" w:hAnsi="Times New Roman" w:cs="Times New Roman" w:eastAsia="Times New Roman" w:hint="default"/>
                            <w:sz w:val="18"/>
                            <w:szCs w:val="18"/>
                          </w:rPr>
                        </w:pPr>
                        <w:r>
                          <w:rPr>
                            <w:rFonts w:ascii="宋体" w:hAnsi="宋体" w:cs="宋体" w:eastAsia="宋体" w:hint="default"/>
                            <w:spacing w:val="-10"/>
                            <w:position w:val="1"/>
                            <w:sz w:val="18"/>
                            <w:szCs w:val="18"/>
                          </w:rPr>
                          <w:t>）</w:t>
                        </w:r>
                        <w:r>
                          <w:rPr>
                            <w:rFonts w:ascii="Times New Roman" w:hAnsi="Times New Roman" w:cs="Times New Roman" w:eastAsia="Times New Roman" w:hint="default"/>
                            <w:spacing w:val="-10"/>
                            <w:sz w:val="18"/>
                            <w:szCs w:val="18"/>
                          </w:rPr>
                          <w:t>Forms</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Syntron</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周志群</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深圳市南山区科技中二路深圳软件园</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43"/>
                            <w:sz w:val="18"/>
                            <w:szCs w:val="18"/>
                          </w:rPr>
                          <w:t> </w:t>
                        </w:r>
                        <w:r>
                          <w:rPr>
                            <w:rFonts w:ascii="Times New Roman" w:hAnsi="Times New Roman" w:cs="Times New Roman" w:eastAsia="Times New Roman" w:hint="default"/>
                            <w:spacing w:val="-9"/>
                            <w:sz w:val="18"/>
                            <w:szCs w:val="18"/>
                          </w:rPr>
                          <w:t>402</w:t>
                        </w:r>
                        <w:r>
                          <w:rPr>
                            <w:rFonts w:ascii="宋体" w:hAnsi="宋体" w:cs="宋体" w:eastAsia="宋体" w:hint="default"/>
                            <w:spacing w:val="-9"/>
                            <w:sz w:val="18"/>
                            <w:szCs w:val="18"/>
                          </w:rPr>
                          <w:t>、深圳软件园（</w:t>
                        </w:r>
                        <w:r>
                          <w:rPr>
                            <w:rFonts w:ascii="Times New Roman" w:hAnsi="Times New Roman" w:cs="Times New Roman" w:eastAsia="Times New Roman" w:hint="default"/>
                            <w:spacing w:val="-9"/>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期）</w:t>
                        </w:r>
                        <w:r>
                          <w:rPr>
                            <w:rFonts w:ascii="Times New Roman" w:hAnsi="Times New Roman" w:cs="Times New Roman" w:eastAsia="Times New Roman" w:hint="default"/>
                            <w:spacing w:val="-8"/>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302</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室（仅限办公</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518057</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1008 </w:t>
                        </w:r>
                        <w:r>
                          <w:rPr>
                            <w:rFonts w:ascii="宋体" w:hAnsi="宋体" w:cs="宋体" w:eastAsia="宋体" w:hint="default"/>
                            <w:sz w:val="18"/>
                            <w:szCs w:val="18"/>
                          </w:rPr>
                          <w:t>室</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518057</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8">
                          <w:r>
                            <w:rPr>
                              <w:rFonts w:ascii="Times New Roman"/>
                              <w:sz w:val="18"/>
                            </w:rPr>
                            <w:t>www.formssi.com</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9">
                          <w:r>
                            <w:rPr>
                              <w:rFonts w:ascii="Times New Roman"/>
                              <w:sz w:val="18"/>
                            </w:rPr>
                            <w:t>formssyntronss@formssi.com</w:t>
                          </w:r>
                        </w:hyperlink>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6"/>
        <w:ind w:right="939"/>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3192"/>
        <w:gridCol w:w="3184"/>
        <w:gridCol w:w="3199"/>
      </w:tblGrid>
      <w:tr>
        <w:trPr>
          <w:trHeight w:val="406"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彭淑欣</w:t>
            </w:r>
          </w:p>
        </w:tc>
      </w:tr>
      <w:tr>
        <w:trPr>
          <w:trHeight w:val="158"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8" w:space="0" w:color="D2D2D2"/>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p>
          <w:p>
            <w:pPr>
              <w:pStyle w:val="TableParagraph"/>
              <w:spacing w:line="240" w:lineRule="auto" w:before="66"/>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 </w:t>
            </w:r>
            <w:r>
              <w:rPr>
                <w:rFonts w:ascii="宋体" w:hAnsi="宋体" w:cs="宋体" w:eastAsia="宋体" w:hint="default"/>
                <w:sz w:val="18"/>
                <w:szCs w:val="18"/>
              </w:rPr>
              <w:t>室</w:t>
            </w:r>
          </w:p>
        </w:tc>
        <w:tc>
          <w:tcPr>
            <w:tcW w:w="3199" w:type="dxa"/>
            <w:vMerge w:val="restart"/>
            <w:tcBorders>
              <w:top w:val="single" w:sz="6" w:space="0" w:color="000000"/>
              <w:left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 </w:t>
            </w:r>
            <w:r>
              <w:rPr>
                <w:rFonts w:ascii="宋体" w:hAnsi="宋体" w:cs="宋体" w:eastAsia="宋体" w:hint="default"/>
                <w:sz w:val="18"/>
                <w:szCs w:val="18"/>
              </w:rPr>
              <w:t>室</w:t>
            </w:r>
          </w:p>
        </w:tc>
      </w:tr>
      <w:tr>
        <w:trPr>
          <w:trHeight w:val="391"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4" w:type="dxa"/>
            <w:vMerge/>
            <w:tcBorders>
              <w:left w:val="single" w:sz="18"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158"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8"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left="-1" w:right="0"/>
              <w:jc w:val="left"/>
              <w:rPr>
                <w:rFonts w:ascii="Times New Roman" w:hAnsi="Times New Roman" w:cs="Times New Roman" w:eastAsia="Times New Roman" w:hint="default"/>
                <w:sz w:val="18"/>
                <w:szCs w:val="18"/>
              </w:rPr>
            </w:pPr>
            <w:r>
              <w:rPr>
                <w:rFonts w:ascii="Times New Roman"/>
                <w:sz w:val="18"/>
              </w:rPr>
              <w:t>0755-86649962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0755-86649962</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0755-86649962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0755-86649962</w:t>
            </w:r>
          </w:p>
        </w:tc>
      </w:tr>
      <w:tr>
        <w:trPr>
          <w:trHeight w:val="391"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hyperlink r:id="rId9">
              <w:r>
                <w:rPr>
                  <w:rFonts w:ascii="Times New Roman"/>
                  <w:sz w:val="18"/>
                </w:rPr>
                <w:t>formssyntronss@formssi.com</w:t>
              </w:r>
            </w:hyperlink>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9">
              <w:r>
                <w:rPr>
                  <w:rFonts w:ascii="Times New Roman"/>
                  <w:sz w:val="18"/>
                </w:rPr>
                <w:t>formssyntronss@formssi.com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939"/>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90"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1008 </w:t>
            </w:r>
            <w:r>
              <w:rPr>
                <w:rFonts w:ascii="宋体" w:hAnsi="宋体" w:cs="宋体" w:eastAsia="宋体" w:hint="default"/>
                <w:sz w:val="18"/>
                <w:szCs w:val="18"/>
              </w:rPr>
              <w:t>室董事会秘书办公室</w:t>
            </w:r>
          </w:p>
        </w:tc>
      </w:tr>
    </w:tbl>
    <w:p>
      <w:pPr>
        <w:spacing w:line="240" w:lineRule="auto" w:before="12"/>
        <w:rPr>
          <w:rFonts w:ascii="宋体" w:hAnsi="宋体" w:cs="宋体" w:eastAsia="宋体" w:hint="default"/>
          <w:b/>
          <w:bCs/>
          <w:sz w:val="17"/>
          <w:szCs w:val="17"/>
        </w:rPr>
      </w:pPr>
    </w:p>
    <w:p>
      <w:pPr>
        <w:pStyle w:val="Heading2"/>
        <w:spacing w:line="240" w:lineRule="auto" w:before="26"/>
        <w:ind w:right="939"/>
        <w:jc w:val="left"/>
        <w:rPr>
          <w:b w:val="0"/>
          <w:bCs w:val="0"/>
        </w:rPr>
      </w:pPr>
      <w:bookmarkStart w:name="四、其他有关资料" w:id="8"/>
      <w:bookmarkEnd w:id="8"/>
      <w:r>
        <w:rPr>
          <w:b w:val="0"/>
          <w:bCs w:val="0"/>
        </w:rPr>
      </w:r>
      <w:r>
        <w:rPr/>
        <w:t>四、其他有关资料</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t>公司聘请的会计师事务所</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华兴会计师事务所（特殊普通合伙）</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福建省福州市湖东路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152 </w:t>
            </w:r>
            <w:r>
              <w:rPr>
                <w:rFonts w:ascii="宋体" w:hAnsi="宋体" w:cs="宋体" w:eastAsia="宋体" w:hint="default"/>
                <w:sz w:val="18"/>
                <w:szCs w:val="18"/>
              </w:rPr>
              <w:t>号中山大厦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 </w:t>
            </w:r>
            <w:r>
              <w:rPr>
                <w:rFonts w:ascii="宋体" w:hAnsi="宋体" w:cs="宋体" w:eastAsia="宋体" w:hint="default"/>
                <w:sz w:val="18"/>
                <w:szCs w:val="18"/>
              </w:rPr>
              <w:t>楼</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刘远帅、俞健业</w:t>
            </w:r>
          </w:p>
        </w:tc>
      </w:tr>
    </w:tbl>
    <w:p>
      <w:pPr>
        <w:pStyle w:val="BodyText"/>
        <w:spacing w:line="240" w:lineRule="auto" w:before="44"/>
        <w:ind w:right="939"/>
        <w:jc w:val="left"/>
      </w:pPr>
      <w:r>
        <w:rPr/>
        <w:t>公司聘请的报告期内履行持续督导职责的保荐机构</w:t>
      </w:r>
    </w:p>
    <w:p>
      <w:pPr>
        <w:pStyle w:val="BodyText"/>
        <w:spacing w:line="331"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公司聘请的报告期内履行持续督导职责的财务顾问</w:t>
      </w:r>
    </w:p>
    <w:p>
      <w:pPr>
        <w:pStyle w:val="BodyText"/>
        <w:spacing w:line="240" w:lineRule="auto" w:before="56"/>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939"/>
        <w:jc w:val="left"/>
      </w:pPr>
      <w:r>
        <w:rPr/>
        <w:t>公司是否需追溯调整或重述以前年度会计数据</w:t>
      </w:r>
    </w:p>
    <w:p>
      <w:pPr>
        <w:pStyle w:val="BodyText"/>
        <w:spacing w:line="240" w:lineRule="auto" w:before="125"/>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27"/>
        <w:gridCol w:w="1742"/>
        <w:gridCol w:w="1742"/>
      </w:tblGrid>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525,558,672.81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487,816,568.83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7.74%</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507,805,831.97</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96,238,638.56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68,804,381.94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39.87%</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88,163,361.56</w:t>
            </w:r>
          </w:p>
        </w:tc>
      </w:tr>
      <w:tr>
        <w:trPr>
          <w:trHeight w:val="72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88,436,850.20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66,055,860.72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33.88%</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84,966,452.49</w:t>
            </w:r>
          </w:p>
        </w:tc>
      </w:tr>
      <w:tr>
        <w:trPr>
          <w:trHeight w:val="7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119,278,918.09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79,294,660.13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50.42%</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49,651,113.35</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0.50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0.35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42.86%</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0.47</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0.50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0.35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42.86%</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0.47</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w w:val="95"/>
                <w:sz w:val="18"/>
              </w:rPr>
              <w:t>9.52%</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6.88%</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2.64%</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9.82%</w:t>
            </w:r>
            <w:r>
              <w:rPr>
                <w:rFonts w:ascii="Times New Roman"/>
                <w:sz w:val="18"/>
              </w:rPr>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1,197,411,942.54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1,233,192,855.43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1,178,371,191.97</w:t>
            </w:r>
          </w:p>
        </w:tc>
      </w:tr>
      <w:tr>
        <w:trPr>
          <w:trHeight w:val="7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1,102,435,617.35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1,054,204,545.71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4.58%</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949,321,068.27</w:t>
            </w:r>
          </w:p>
        </w:tc>
      </w:tr>
    </w:tbl>
    <w:p>
      <w:pPr>
        <w:pStyle w:val="BodyText"/>
        <w:spacing w:line="240" w:lineRule="auto" w:before="44"/>
        <w:ind w:right="939"/>
        <w:jc w:val="left"/>
      </w:pPr>
      <w:r>
        <w:rPr/>
        <w:t>截止披露前一交易日的公司总股本：</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536"/>
        <w:gridCol w:w="5046"/>
      </w:tblGrid>
      <w:tr>
        <w:trPr>
          <w:trHeight w:val="390" w:hRule="exact"/>
        </w:trPr>
        <w:tc>
          <w:tcPr>
            <w:tcW w:w="45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188,968,261</w:t>
            </w:r>
          </w:p>
        </w:tc>
      </w:tr>
    </w:tbl>
    <w:p>
      <w:pPr>
        <w:pStyle w:val="BodyText"/>
        <w:spacing w:line="304" w:lineRule="auto" w:before="45"/>
        <w:ind w:right="939"/>
        <w:jc w:val="left"/>
      </w:pPr>
      <w:r>
        <w:rPr>
          <w:spacing w:val="-2"/>
        </w:rPr>
        <w:t>公司报告期末至年度报告披露日股本是否因发行新股、增发、配股、股权激励行权、回购等原因发生变化且影响所有者权益</w:t>
      </w:r>
      <w:r>
        <w:rPr>
          <w:spacing w:val="-42"/>
        </w:rPr>
        <w:t> </w:t>
      </w:r>
      <w:r>
        <w:rPr>
          <w:spacing w:val="-42"/>
        </w:rPr>
      </w:r>
      <w:r>
        <w:rPr/>
        <w:t>金额</w:t>
      </w:r>
    </w:p>
    <w:p>
      <w:pPr>
        <w:pStyle w:val="BodyText"/>
        <w:spacing w:line="240" w:lineRule="auto" w:before="91"/>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4536"/>
        <w:gridCol w:w="5046"/>
      </w:tblGrid>
      <w:tr>
        <w:trPr>
          <w:trHeight w:val="450" w:hRule="exact"/>
        </w:trPr>
        <w:tc>
          <w:tcPr>
            <w:tcW w:w="45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5"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0.5093</w:t>
            </w:r>
          </w:p>
        </w:tc>
      </w:tr>
    </w:tbl>
    <w:p>
      <w:pPr>
        <w:pStyle w:val="BodyText"/>
        <w:spacing w:line="240" w:lineRule="auto" w:before="45"/>
        <w:ind w:right="939"/>
        <w:jc w:val="left"/>
      </w:pPr>
      <w:r>
        <w:rPr/>
        <w:t>是否存在公司债</w:t>
      </w:r>
    </w:p>
    <w:p>
      <w:pPr>
        <w:pStyle w:val="BodyText"/>
        <w:spacing w:line="240" w:lineRule="auto" w:before="124"/>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866" w:footer="981" w:top="1120" w:bottom="1180" w:left="1000" w:right="0"/>
        </w:sectPr>
      </w:pPr>
    </w:p>
    <w:p>
      <w:pPr>
        <w:spacing w:line="240" w:lineRule="auto" w:before="3"/>
        <w:rPr>
          <w:rFonts w:ascii="宋体" w:hAnsi="宋体" w:cs="宋体" w:eastAsia="宋体" w:hint="default"/>
          <w:sz w:val="20"/>
          <w:szCs w:val="20"/>
        </w:rPr>
      </w:pPr>
    </w:p>
    <w:p>
      <w:pPr>
        <w:pStyle w:val="Heading2"/>
        <w:spacing w:line="240" w:lineRule="auto" w:before="26"/>
        <w:ind w:right="939"/>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107,124,497.08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104,962,215.62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115,717,259.94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197,754,700.17</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13,968,118.68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17,670,507.35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25,097,400.70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39,502,611.83</w:t>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13,910,271.20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15,569,367.69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21,764,083.40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37,193,127.91</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3,364,759.45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19,362,764.48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-1,084,037.07</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97,635,431.23</w:t>
            </w:r>
          </w:p>
        </w:tc>
      </w:tr>
    </w:tbl>
    <w:p>
      <w:pPr>
        <w:pStyle w:val="BodyText"/>
        <w:spacing w:line="240" w:lineRule="auto" w:before="45"/>
        <w:ind w:right="939"/>
        <w:jc w:val="left"/>
      </w:pPr>
      <w:r>
        <w:rPr/>
        <w:t>上述财务指标或其加总数是否与公司已披露季度报告、半年度报告相关财务指标存在重大差异</w:t>
      </w:r>
    </w:p>
    <w:p>
      <w:pPr>
        <w:pStyle w:val="BodyText"/>
        <w:spacing w:line="240" w:lineRule="auto" w:before="124"/>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1"/>
        <w:rPr>
          <w:rFonts w:ascii="宋体" w:hAnsi="宋体" w:cs="宋体" w:eastAsia="宋体" w:hint="default"/>
          <w:sz w:val="23"/>
          <w:szCs w:val="23"/>
        </w:rPr>
      </w:pPr>
    </w:p>
    <w:p>
      <w:pPr>
        <w:pStyle w:val="Heading2"/>
        <w:spacing w:line="240" w:lineRule="auto"/>
        <w:ind w:right="939"/>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939"/>
        <w:jc w:val="left"/>
        <w:rPr>
          <w:b w:val="0"/>
          <w:bCs w:val="0"/>
        </w:rPr>
      </w:pPr>
      <w:bookmarkStart w:name="3、境内外会计准则下会计数据差异原因说明" w:id="14"/>
      <w:bookmarkEnd w:id="14"/>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939"/>
        <w:jc w:val="left"/>
        <w:rPr>
          <w:b w:val="0"/>
          <w:bCs w:val="0"/>
        </w:rPr>
      </w:pPr>
      <w:bookmarkStart w:name="八、非经常性损益项目及金额" w:id="15"/>
      <w:bookmarkEnd w:id="15"/>
      <w:r>
        <w:rPr>
          <w:b w:val="0"/>
          <w:bCs w:val="0"/>
        </w:rPr>
      </w:r>
      <w:r>
        <w:rPr/>
        <w:t>八、非经常性损益项目及金额</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391"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2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7"/>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15,127.61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-241,572.42</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8,799,759.14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4,098,847.28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3,456,300.00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189,071.49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-485,104.55</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321,468.31</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174,852.23</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1,377,022.11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623,649.09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580,859.24</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7,801,788.36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2,748,521.22</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3,196,909.07</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240" w:lineRule="auto" w:before="44"/>
        <w:ind w:right="939"/>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66"/>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7"/>
        <w:ind w:right="939"/>
        <w:jc w:val="left"/>
      </w:pPr>
      <w:r>
        <w:rPr>
          <w:rFonts w:ascii="Times New Roman" w:hAnsi="Times New Roman" w:cs="Times New Roman" w:eastAsia="Times New Roman" w:hint="default"/>
        </w:rPr>
        <w:t>□  </w:t>
      </w:r>
      <w:r>
        <w:rPr/>
        <w:t>适用 √</w:t>
      </w:r>
      <w:r>
        <w:rPr>
          <w:spacing w:val="11"/>
        </w:rPr>
        <w:t> </w:t>
      </w:r>
      <w:r>
        <w:rPr/>
        <w:t>不适用</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left="3430" w:right="939"/>
        <w:jc w:val="left"/>
        <w:rPr>
          <w:b w:val="0"/>
          <w:bCs w:val="0"/>
        </w:rPr>
      </w:pPr>
      <w:bookmarkStart w:name="第三节 公司业务概要" w:id="16"/>
      <w:bookmarkEnd w:id="16"/>
      <w:r>
        <w:rPr>
          <w:b w:val="0"/>
          <w:bCs w:val="0"/>
        </w:rPr>
      </w:r>
      <w:bookmarkStart w:name="_bookmark2" w:id="17"/>
      <w:bookmarkEnd w:id="17"/>
      <w:r>
        <w:rPr>
          <w:b w:val="0"/>
          <w:bCs w:val="0"/>
        </w:rPr>
      </w:r>
      <w:r>
        <w:rPr>
          <w:spacing w:val="4"/>
        </w:rPr>
        <w:t>第三节</w:t>
      </w:r>
      <w:r>
        <w:rPr>
          <w:spacing w:val="55"/>
        </w:rPr>
        <w:t> </w:t>
      </w:r>
      <w:r>
        <w:rPr>
          <w:spacing w:val="6"/>
        </w:rPr>
        <w:t>公司业务概要</w:t>
      </w:r>
      <w:r>
        <w:rPr>
          <w:b w:val="0"/>
          <w:bCs w:val="0"/>
          <w:spacing w:val="6"/>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3"/>
        <w:rPr>
          <w:rFonts w:ascii="宋体" w:hAnsi="宋体" w:cs="宋体" w:eastAsia="宋体" w:hint="default"/>
          <w:sz w:val="14"/>
          <w:szCs w:val="14"/>
        </w:rPr>
      </w:pPr>
    </w:p>
    <w:p>
      <w:pPr>
        <w:pStyle w:val="BodyText"/>
        <w:spacing w:line="412" w:lineRule="auto"/>
        <w:ind w:left="501" w:right="939" w:hanging="361"/>
        <w:jc w:val="left"/>
      </w:pPr>
      <w:r>
        <w:rPr/>
        <w:t>（一）公司业务相关的宏观经济层面或外部经营环境的发展现状和变化趋势及公司行业地位或区域市场地位的变动趋势 </w:t>
      </w:r>
      <w:r>
        <w:rPr>
          <w:spacing w:val="-2"/>
        </w:rPr>
        <w:t>公司的经营范围包括从事计算机软、硬件的技术开发，销售自行开发的软件；数据库的设计、开发和维护；计算机系统</w:t>
      </w:r>
    </w:p>
    <w:p>
      <w:pPr>
        <w:pStyle w:val="BodyText"/>
        <w:spacing w:line="398" w:lineRule="auto" w:before="40"/>
        <w:ind w:left="501" w:right="1030" w:hanging="361"/>
        <w:jc w:val="left"/>
      </w:pPr>
      <w:r>
        <w:rPr/>
        <w:t>集成及其相关的技术咨询、维护；计算机软、硬件的批发、佣金代理（不含拍卖）、进出口及相关配套业务；技术进出口。 </w:t>
      </w:r>
      <w:r>
        <w:rPr>
          <w:spacing w:val="-2"/>
        </w:rPr>
        <w:t>报告期，公司继续坚持做好主营业务，秉承在服务好现有客户的同时积极拓展新客户；充分发挥公司全球服务能力，坚</w:t>
      </w:r>
    </w:p>
    <w:p>
      <w:pPr>
        <w:pStyle w:val="BodyText"/>
        <w:spacing w:line="410" w:lineRule="auto" w:before="51"/>
        <w:ind w:right="1111"/>
        <w:jc w:val="both"/>
      </w:pPr>
      <w:r>
        <w:rPr>
          <w:spacing w:val="-2"/>
        </w:rPr>
        <w:t>持境内外协同发展，聚焦海内外金融机构需求，以期实现业务增长；公司积极把握未来银行发展机遇，积极投入分布式、区</w:t>
      </w:r>
      <w:r>
        <w:rPr>
          <w:spacing w:val="-57"/>
        </w:rPr>
        <w:t> </w:t>
      </w:r>
      <w:r>
        <w:rPr>
          <w:spacing w:val="-57"/>
        </w:rPr>
      </w:r>
      <w:r>
        <w:rPr>
          <w:spacing w:val="-2"/>
        </w:rPr>
        <w:t>块链、跨境支付、云计算等新技术研发，以期在技术上把握先发优势，积极推动产品在境内外落地；公司在深耕港澳市场的</w:t>
      </w:r>
      <w:r>
        <w:rPr>
          <w:spacing w:val="-48"/>
        </w:rPr>
        <w:t> </w:t>
      </w:r>
      <w:r>
        <w:rPr>
          <w:spacing w:val="-48"/>
        </w:rPr>
      </w:r>
      <w:r>
        <w:rPr>
          <w:spacing w:val="-2"/>
        </w:rPr>
        <w:t>同时，积极响应国家一带一路政策，开展对外投资，成立了四方精创（泰国）有限公司，拓展东南亚市场等国际市场，布局</w:t>
      </w:r>
      <w:r>
        <w:rPr>
          <w:spacing w:val="-73"/>
        </w:rPr>
        <w:t> </w:t>
      </w:r>
      <w:r>
        <w:rPr>
          <w:spacing w:val="-73"/>
        </w:rPr>
      </w:r>
      <w:r>
        <w:rPr>
          <w:spacing w:val="-2"/>
        </w:rPr>
        <w:t>未来业务发展；公司始终坚持以人为本，产品</w:t>
      </w:r>
      <w:r>
        <w:rPr>
          <w:rFonts w:ascii="宋体" w:hAnsi="宋体" w:cs="宋体" w:eastAsia="宋体" w:hint="default"/>
          <w:spacing w:val="-2"/>
        </w:rPr>
        <w:t>+</w:t>
      </w:r>
      <w:r>
        <w:rPr>
          <w:spacing w:val="-2"/>
        </w:rPr>
        <w:t>服务，平台</w:t>
      </w:r>
      <w:r>
        <w:rPr>
          <w:rFonts w:ascii="宋体" w:hAnsi="宋体" w:cs="宋体" w:eastAsia="宋体" w:hint="default"/>
          <w:spacing w:val="-2"/>
        </w:rPr>
        <w:t>+</w:t>
      </w:r>
      <w:r>
        <w:rPr>
          <w:spacing w:val="-2"/>
        </w:rPr>
        <w:t>服务的发展方向，不断提高管理能力、组织能力，以适应公司经</w:t>
      </w:r>
      <w:r>
        <w:rPr>
          <w:spacing w:val="-66"/>
        </w:rPr>
        <w:t> </w:t>
      </w:r>
      <w:r>
        <w:rPr>
          <w:spacing w:val="-66"/>
        </w:rPr>
      </w:r>
      <w:r>
        <w:rPr/>
        <w:t>营计划和战略规划，实现公司发展目标。</w:t>
      </w:r>
    </w:p>
    <w:p>
      <w:pPr>
        <w:pStyle w:val="BodyText"/>
        <w:spacing w:line="408" w:lineRule="auto" w:before="27"/>
        <w:ind w:right="1097" w:firstLine="360"/>
        <w:jc w:val="both"/>
      </w:pPr>
      <w:r>
        <w:rPr>
          <w:spacing w:val="-1"/>
        </w:rPr>
        <w:t>报告期，公司继续保持研发投入，全年研发投入</w:t>
      </w:r>
      <w:r>
        <w:rPr>
          <w:rFonts w:ascii="宋体" w:hAnsi="宋体" w:cs="宋体" w:eastAsia="宋体" w:hint="default"/>
          <w:spacing w:val="-1"/>
        </w:rPr>
        <w:t>8,431.54</w:t>
      </w:r>
      <w:r>
        <w:rPr>
          <w:spacing w:val="-1"/>
        </w:rPr>
        <w:t>万元，占公司营业收入的</w:t>
      </w:r>
      <w:r>
        <w:rPr>
          <w:rFonts w:ascii="宋体" w:hAnsi="宋体" w:cs="宋体" w:eastAsia="宋体" w:hint="default"/>
          <w:spacing w:val="-1"/>
        </w:rPr>
        <w:t>16.04%</w:t>
      </w:r>
      <w:r>
        <w:rPr>
          <w:spacing w:val="-1"/>
        </w:rPr>
        <w:t>，其中分布式架构微服务平台</w:t>
      </w:r>
      <w:r>
        <w:rPr/>
        <w:t> </w:t>
      </w:r>
      <w:r>
        <w:rPr>
          <w:spacing w:val="-2"/>
        </w:rPr>
        <w:t>及区块链的技术研发投入占全年研发投入的</w:t>
      </w:r>
      <w:r>
        <w:rPr>
          <w:rFonts w:ascii="宋体" w:hAnsi="宋体" w:cs="宋体" w:eastAsia="宋体" w:hint="default"/>
          <w:spacing w:val="-2"/>
        </w:rPr>
        <w:t>64.71%</w:t>
      </w:r>
      <w:r>
        <w:rPr>
          <w:spacing w:val="-2"/>
        </w:rPr>
        <w:t>。公司已推出了面向金融行业的分布式架构微服务</w:t>
      </w:r>
      <w:r>
        <w:rPr>
          <w:rFonts w:ascii="宋体" w:hAnsi="宋体" w:cs="宋体" w:eastAsia="宋体" w:hint="default"/>
          <w:spacing w:val="-2"/>
        </w:rPr>
        <w:t>PaaS</w:t>
      </w:r>
      <w:r>
        <w:rPr>
          <w:spacing w:val="-2"/>
        </w:rPr>
        <w:t>平台</w:t>
      </w:r>
      <w:r>
        <w:rPr>
          <w:rFonts w:ascii="宋体" w:hAnsi="宋体" w:cs="宋体" w:eastAsia="宋体" w:hint="default"/>
          <w:spacing w:val="-2"/>
        </w:rPr>
        <w:t>PU</w:t>
      </w:r>
      <w:r>
        <w:rPr>
          <w:spacing w:val="-2"/>
        </w:rPr>
        <w:t>（</w:t>
      </w:r>
      <w:r>
        <w:rPr>
          <w:rFonts w:ascii="宋体" w:hAnsi="宋体" w:cs="宋体" w:eastAsia="宋体" w:hint="default"/>
          <w:spacing w:val="-2"/>
        </w:rPr>
        <w:t>Platform</w:t>
      </w:r>
      <w:r>
        <w:rPr>
          <w:rFonts w:ascii="宋体" w:hAnsi="宋体" w:cs="宋体" w:eastAsia="宋体" w:hint="default"/>
          <w:spacing w:val="-43"/>
        </w:rPr>
        <w:t> </w:t>
      </w:r>
      <w:r>
        <w:rPr>
          <w:rFonts w:ascii="宋体" w:hAnsi="宋体" w:cs="宋体" w:eastAsia="宋体" w:hint="default"/>
          <w:spacing w:val="-2"/>
        </w:rPr>
        <w:t>Universe</w:t>
      </w:r>
      <w:r>
        <w:rPr>
          <w:spacing w:val="-2"/>
        </w:rPr>
        <w:t>）及建制在其上的模块化银行业务平台，具备了面向未来银行发展的技术能力；公司已具备从区块链底层平台到应</w:t>
      </w:r>
      <w:r>
        <w:rPr>
          <w:spacing w:val="-66"/>
        </w:rPr>
        <w:t> </w:t>
      </w:r>
      <w:r>
        <w:rPr>
          <w:spacing w:val="-66"/>
        </w:rPr>
      </w:r>
      <w:r>
        <w:rPr/>
        <w:t>用解决方案的全方位研发与交付能力，区块链</w:t>
      </w:r>
      <w:r>
        <w:rPr>
          <w:rFonts w:ascii="宋体" w:hAnsi="宋体" w:cs="宋体" w:eastAsia="宋体" w:hint="default"/>
        </w:rPr>
        <w:t>+</w:t>
      </w:r>
      <w:r>
        <w:rPr/>
        <w:t>通证经济融合创新能力。在技术研发的同时，积极开展对外合作，业务模式</w:t>
      </w:r>
      <w:r>
        <w:rPr>
          <w:spacing w:val="-86"/>
        </w:rPr>
        <w:t> </w:t>
      </w:r>
      <w:r>
        <w:rPr/>
        <w:t>创新，推动技术转化与产品落地。</w:t>
      </w:r>
      <w:r>
        <w:rPr>
          <w:rFonts w:ascii="宋体" w:hAnsi="宋体" w:cs="宋体" w:eastAsia="宋体" w:hint="default"/>
        </w:rPr>
        <w:t>PU</w:t>
      </w:r>
      <w:r>
        <w:rPr/>
        <w:t>产品依托华为 </w:t>
      </w:r>
      <w:r>
        <w:rPr>
          <w:rFonts w:ascii="宋体" w:hAnsi="宋体" w:cs="宋体" w:eastAsia="宋体" w:hint="default"/>
        </w:rPr>
        <w:t>FusionCube</w:t>
      </w:r>
      <w:r>
        <w:rPr>
          <w:rFonts w:ascii="宋体" w:hAnsi="宋体" w:cs="宋体" w:eastAsia="宋体" w:hint="default"/>
          <w:spacing w:val="-63"/>
        </w:rPr>
        <w:t> </w:t>
      </w:r>
      <w:r>
        <w:rPr/>
        <w:t>提供的先进的计算、网络、存储一体化的能力，可助力金融 机构客户智慧、极简、开放、安全、高效地部署各类应用，帮助客户节省成本、提升效率。公司与华为合作的</w:t>
      </w:r>
      <w:r>
        <w:rPr>
          <w:rFonts w:ascii="宋体" w:hAnsi="宋体" w:cs="宋体" w:eastAsia="宋体" w:hint="default"/>
        </w:rPr>
        <w:t>Fincube</w:t>
      </w:r>
      <w:r>
        <w:rPr/>
        <w:t>解决</w:t>
      </w:r>
      <w:r>
        <w:rPr>
          <w:spacing w:val="-79"/>
        </w:rPr>
        <w:t> </w:t>
      </w:r>
      <w:r>
        <w:rPr>
          <w:spacing w:val="-2"/>
        </w:rPr>
        <w:t>方案已在报告期内推向市场。人才是公司发展的关键，公司已推出国内首家基于区块链的人才互动平台“乐寻坊”，并在报</w:t>
      </w:r>
      <w:r>
        <w:rPr>
          <w:spacing w:val="-54"/>
        </w:rPr>
        <w:t> </w:t>
      </w:r>
      <w:r>
        <w:rPr>
          <w:spacing w:val="-54"/>
        </w:rPr>
      </w:r>
      <w:r>
        <w:rPr>
          <w:spacing w:val="-2"/>
        </w:rPr>
        <w:t>告期内获得国家互联网信息办公室首批发布的区块链信息服务备案，获得国家信息安全等级保护三级认证，积极探索区块链</w:t>
      </w:r>
    </w:p>
    <w:p>
      <w:pPr>
        <w:pStyle w:val="BodyText"/>
        <w:spacing w:line="398" w:lineRule="auto" w:before="44"/>
        <w:ind w:left="501" w:right="939" w:hanging="361"/>
        <w:jc w:val="left"/>
        <w:rPr>
          <w:rFonts w:ascii="宋体" w:hAnsi="宋体" w:cs="宋体" w:eastAsia="宋体" w:hint="default"/>
        </w:rPr>
      </w:pPr>
      <w:r>
        <w:rPr>
          <w:rFonts w:ascii="宋体" w:hAnsi="宋体" w:cs="宋体" w:eastAsia="宋体" w:hint="default"/>
        </w:rPr>
        <w:t>+</w:t>
      </w:r>
      <w:r>
        <w:rPr/>
        <w:t>人才服务的创新业务模式，促进公司长远发展。 </w:t>
      </w:r>
      <w:r>
        <w:rPr>
          <w:spacing w:val="-3"/>
        </w:rPr>
        <w:t>报告期，公司完成了年度经营目标，实现营业收入</w:t>
      </w:r>
      <w:r>
        <w:rPr>
          <w:rFonts w:ascii="宋体" w:hAnsi="宋体" w:cs="宋体" w:eastAsia="宋体" w:hint="default"/>
          <w:spacing w:val="-3"/>
        </w:rPr>
        <w:t>52,555.87</w:t>
      </w:r>
      <w:r>
        <w:rPr>
          <w:spacing w:val="-3"/>
        </w:rPr>
        <w:t>万元，较上年同期增加</w:t>
      </w:r>
      <w:r>
        <w:rPr>
          <w:rFonts w:ascii="宋体" w:hAnsi="宋体" w:cs="宋体" w:eastAsia="宋体" w:hint="default"/>
          <w:spacing w:val="-3"/>
        </w:rPr>
        <w:t>7.74%</w:t>
      </w:r>
      <w:r>
        <w:rPr>
          <w:spacing w:val="-3"/>
        </w:rPr>
        <w:t>，其中，软件开发为</w:t>
      </w:r>
      <w:r>
        <w:rPr>
          <w:rFonts w:ascii="宋体" w:hAnsi="宋体" w:cs="宋体" w:eastAsia="宋体" w:hint="default"/>
          <w:spacing w:val="-3"/>
        </w:rPr>
        <w:t>51,044.21</w:t>
      </w:r>
    </w:p>
    <w:p>
      <w:pPr>
        <w:pStyle w:val="BodyText"/>
        <w:spacing w:line="408" w:lineRule="auto" w:before="51"/>
        <w:ind w:right="1094"/>
        <w:jc w:val="both"/>
      </w:pPr>
      <w:r>
        <w:rPr/>
        <w:t>万元，较上年同期增长</w:t>
      </w:r>
      <w:r>
        <w:rPr>
          <w:rFonts w:ascii="宋体" w:hAnsi="宋体" w:cs="宋体" w:eastAsia="宋体" w:hint="default"/>
        </w:rPr>
        <w:t>18.16%</w:t>
      </w:r>
      <w:r>
        <w:rPr/>
        <w:t>，境外业务收入为</w:t>
      </w:r>
      <w:r>
        <w:rPr>
          <w:rFonts w:ascii="宋体" w:hAnsi="宋体" w:cs="宋体" w:eastAsia="宋体" w:hint="default"/>
        </w:rPr>
        <w:t>31,868.56</w:t>
      </w:r>
      <w:r>
        <w:rPr/>
        <w:t>万元，较上年同期增长</w:t>
      </w:r>
      <w:r>
        <w:rPr>
          <w:rFonts w:ascii="宋体" w:hAnsi="宋体" w:cs="宋体" w:eastAsia="宋体" w:hint="default"/>
        </w:rPr>
        <w:t>29.29%</w:t>
      </w:r>
      <w:r>
        <w:rPr/>
        <w:t>，占总营业收入的</w:t>
      </w:r>
      <w:r>
        <w:rPr>
          <w:rFonts w:ascii="宋体" w:hAnsi="宋体" w:cs="宋体" w:eastAsia="宋体" w:hint="default"/>
        </w:rPr>
        <w:t>60.64%</w:t>
      </w:r>
      <w:r>
        <w:rPr/>
        <w:t>；归属于</w:t>
      </w:r>
      <w:r>
        <w:rPr>
          <w:spacing w:val="-82"/>
        </w:rPr>
        <w:t> </w:t>
      </w:r>
      <w:r>
        <w:rPr>
          <w:spacing w:val="-1"/>
        </w:rPr>
        <w:t>上市公司股东的净利润</w:t>
      </w:r>
      <w:r>
        <w:rPr>
          <w:rFonts w:ascii="宋体" w:hAnsi="宋体" w:cs="宋体" w:eastAsia="宋体" w:hint="default"/>
          <w:spacing w:val="-1"/>
        </w:rPr>
        <w:t>9,623.86</w:t>
      </w:r>
      <w:r>
        <w:rPr>
          <w:spacing w:val="-1"/>
        </w:rPr>
        <w:t>万元，较上年同期增长</w:t>
      </w:r>
      <w:r>
        <w:rPr>
          <w:rFonts w:ascii="宋体" w:hAnsi="宋体" w:cs="宋体" w:eastAsia="宋体" w:hint="default"/>
          <w:spacing w:val="-1"/>
        </w:rPr>
        <w:t>39.87%</w:t>
      </w:r>
      <w:r>
        <w:rPr>
          <w:spacing w:val="-1"/>
        </w:rPr>
        <w:t>。公司新增软件著作权、软件产品登记、科技成果登记共计</w:t>
      </w:r>
      <w:r>
        <w:rPr>
          <w:rFonts w:ascii="宋体" w:hAnsi="宋体" w:cs="宋体" w:eastAsia="宋体" w:hint="default"/>
          <w:spacing w:val="-1"/>
        </w:rPr>
        <w:t>99</w:t>
      </w:r>
      <w:r>
        <w:rPr>
          <w:rFonts w:ascii="宋体" w:hAnsi="宋体" w:cs="宋体" w:eastAsia="宋体" w:hint="default"/>
          <w:spacing w:val="-79"/>
        </w:rPr>
        <w:t> </w:t>
      </w:r>
      <w:r>
        <w:rPr>
          <w:spacing w:val="9"/>
        </w:rPr>
        <w:t>项。公司继续积极推进募集资金投资项目建设工作，</w:t>
      </w:r>
      <w:r>
        <w:rPr>
          <w:spacing w:val="-64"/>
        </w:rPr>
        <w:t> </w:t>
      </w:r>
      <w:r>
        <w:rPr>
          <w:rFonts w:ascii="宋体" w:hAnsi="宋体" w:cs="宋体" w:eastAsia="宋体" w:hint="default"/>
          <w:spacing w:val="4"/>
        </w:rPr>
        <w:t>2019</w:t>
      </w:r>
      <w:r>
        <w:rPr>
          <w:spacing w:val="4"/>
        </w:rPr>
        <w:t>年完成投入</w:t>
      </w:r>
      <w:r>
        <w:rPr>
          <w:spacing w:val="-73"/>
        </w:rPr>
        <w:t> </w:t>
      </w:r>
      <w:r>
        <w:rPr>
          <w:rFonts w:ascii="宋体" w:hAnsi="宋体" w:cs="宋体" w:eastAsia="宋体" w:hint="default"/>
        </w:rPr>
        <w:t>863.03</w:t>
      </w:r>
      <w:r>
        <w:rPr>
          <w:rFonts w:ascii="宋体" w:hAnsi="宋体" w:cs="宋体" w:eastAsia="宋体" w:hint="default"/>
          <w:spacing w:val="-73"/>
        </w:rPr>
        <w:t> </w:t>
      </w:r>
      <w:r>
        <w:rPr>
          <w:spacing w:val="7"/>
        </w:rPr>
        <w:t>万元，截止至</w:t>
      </w:r>
      <w:r>
        <w:rPr>
          <w:spacing w:val="-73"/>
        </w:rPr>
        <w:t> </w:t>
      </w:r>
      <w:r>
        <w:rPr>
          <w:rFonts w:ascii="宋体" w:hAnsi="宋体" w:cs="宋体" w:eastAsia="宋体" w:hint="default"/>
          <w:spacing w:val="7"/>
        </w:rPr>
        <w:t>2019</w:t>
      </w:r>
      <w:r>
        <w:rPr>
          <w:spacing w:val="7"/>
        </w:rPr>
        <w:t>年底累计投入募集资金</w:t>
      </w:r>
      <w:r>
        <w:rPr>
          <w:spacing w:val="-88"/>
        </w:rPr>
        <w:t> </w:t>
      </w:r>
      <w:r>
        <w:rPr>
          <w:spacing w:val="-88"/>
        </w:rPr>
      </w:r>
      <w:r>
        <w:rPr>
          <w:rFonts w:ascii="宋体" w:hAnsi="宋体" w:cs="宋体" w:eastAsia="宋体" w:hint="default"/>
        </w:rPr>
        <w:t>42,513.61</w:t>
      </w:r>
      <w:r>
        <w:rPr/>
        <w:t>万元，为公司发展起到了良好的推动作用。</w:t>
      </w:r>
    </w:p>
    <w:p>
      <w:pPr>
        <w:pStyle w:val="BodyText"/>
        <w:spacing w:line="398" w:lineRule="auto" w:before="43"/>
        <w:ind w:left="501" w:right="939" w:hanging="361"/>
        <w:jc w:val="left"/>
      </w:pPr>
      <w:r>
        <w:rPr/>
        <w:t>（二）公司业务相关的宏观经济层面或外部经营环境的发展现状和变化趋势及公司行业地位或区域市场地位的变动趋势 </w:t>
      </w:r>
      <w:r>
        <w:rPr>
          <w:spacing w:val="-2"/>
        </w:rPr>
        <w:t>公司是技术领先的专业金融</w:t>
      </w:r>
      <w:r>
        <w:rPr>
          <w:rFonts w:ascii="宋体" w:hAnsi="宋体" w:cs="宋体" w:eastAsia="宋体" w:hint="default"/>
          <w:spacing w:val="-2"/>
        </w:rPr>
        <w:t>IT</w:t>
      </w:r>
      <w:r>
        <w:rPr>
          <w:spacing w:val="-2"/>
        </w:rPr>
        <w:t>综合解决方案供应商，其中针对大型商业银行的软件开发服务是本公司传统核心业务，主</w:t>
      </w:r>
    </w:p>
    <w:p>
      <w:pPr>
        <w:pStyle w:val="BodyText"/>
        <w:spacing w:line="408" w:lineRule="auto" w:before="51"/>
        <w:ind w:right="1095"/>
        <w:jc w:val="both"/>
      </w:pPr>
      <w:r>
        <w:rPr/>
        <w:t>要客户为境内外大型商业银行，是中国银行、中银香港、渣打银行、东亚银行、永亨银行、微众银行、</w:t>
      </w:r>
      <w:r>
        <w:rPr>
          <w:rFonts w:ascii="宋体" w:hAnsi="宋体" w:cs="宋体" w:eastAsia="宋体" w:hint="default"/>
        </w:rPr>
        <w:t>Welab</w:t>
      </w:r>
      <w:r>
        <w:rPr>
          <w:rFonts w:ascii="宋体" w:hAnsi="宋体" w:cs="宋体" w:eastAsia="宋体" w:hint="default"/>
          <w:spacing w:val="-50"/>
        </w:rPr>
        <w:t> </w:t>
      </w:r>
      <w:r>
        <w:rPr>
          <w:rFonts w:ascii="宋体" w:hAnsi="宋体" w:cs="宋体" w:eastAsia="宋体" w:hint="default"/>
        </w:rPr>
        <w:t>Bank</w:t>
      </w:r>
      <w:r>
        <w:rPr/>
        <w:t>（汇立银 </w:t>
      </w:r>
      <w:r>
        <w:rPr>
          <w:spacing w:val="-2"/>
        </w:rPr>
        <w:t>行）、大新银行、百信银行、招银前海等境内外知名金融机构的长期合作伙伴。公司具备面向未来银行的技术能力、全方位</w:t>
      </w:r>
      <w:r>
        <w:rPr>
          <w:spacing w:val="-72"/>
        </w:rPr>
        <w:t> </w:t>
      </w:r>
      <w:r>
        <w:rPr>
          <w:spacing w:val="-72"/>
        </w:rPr>
      </w:r>
      <w:r>
        <w:rPr>
          <w:spacing w:val="-1"/>
        </w:rPr>
        <w:t>解决方案与顾问咨询能力，全球服务能力，不仅可为国内大中小型金融机构提供全方位的金融</w:t>
      </w:r>
      <w:r>
        <w:rPr>
          <w:rFonts w:ascii="宋体" w:hAnsi="宋体" w:cs="宋体" w:eastAsia="宋体" w:hint="default"/>
          <w:spacing w:val="-1"/>
        </w:rPr>
        <w:t>IT</w:t>
      </w:r>
      <w:r>
        <w:rPr>
          <w:spacing w:val="-1"/>
        </w:rPr>
        <w:t>需求支持，也可为港澳、东</w:t>
      </w:r>
      <w:r>
        <w:rPr>
          <w:spacing w:val="-87"/>
        </w:rPr>
        <w:t> </w:t>
      </w:r>
      <w:r>
        <w:rPr>
          <w:spacing w:val="-87"/>
        </w:rPr>
      </w:r>
      <w:r>
        <w:rPr>
          <w:spacing w:val="-2"/>
        </w:rPr>
        <w:t>南亚及世界其他国家和地区的金融机构提供顾问咨询、设计研发、产品、交付运维的金融科技支持，从而助力金融机构全流</w:t>
      </w:r>
    </w:p>
    <w:p>
      <w:pPr>
        <w:spacing w:after="0" w:line="408" w:lineRule="auto"/>
        <w:jc w:val="both"/>
        <w:sectPr>
          <w:pgSz w:w="11910" w:h="16850"/>
          <w:pgMar w:header="866" w:footer="981" w:top="1120" w:bottom="1180" w:left="1000" w:right="0"/>
        </w:sectPr>
      </w:pPr>
    </w:p>
    <w:p>
      <w:pPr>
        <w:spacing w:line="240" w:lineRule="auto" w:before="10"/>
        <w:rPr>
          <w:rFonts w:ascii="宋体" w:hAnsi="宋体" w:cs="宋体" w:eastAsia="宋体" w:hint="default"/>
          <w:sz w:val="28"/>
          <w:szCs w:val="28"/>
        </w:rPr>
      </w:pPr>
    </w:p>
    <w:p>
      <w:pPr>
        <w:pStyle w:val="BodyText"/>
        <w:spacing w:line="412" w:lineRule="auto" w:before="44"/>
        <w:ind w:left="501" w:right="939" w:hanging="361"/>
        <w:jc w:val="left"/>
      </w:pPr>
      <w:r>
        <w:rPr/>
        <w:t>程技术及业务的快速创新和持续发展。 </w:t>
      </w:r>
      <w:r>
        <w:rPr>
          <w:spacing w:val="-2"/>
        </w:rPr>
        <w:t>国家工业与信息化部发布的软件和信息技术服务业统计公报，</w:t>
      </w:r>
      <w:r>
        <w:rPr>
          <w:rFonts w:ascii="宋体" w:hAnsi="宋体" w:cs="宋体" w:eastAsia="宋体" w:hint="default"/>
          <w:spacing w:val="-2"/>
        </w:rPr>
        <w:t>2019</w:t>
      </w:r>
      <w:r>
        <w:rPr>
          <w:spacing w:val="-2"/>
        </w:rPr>
        <w:t>年中国软件和信息服务业务收入保持较快增长，完成</w:t>
      </w:r>
    </w:p>
    <w:p>
      <w:pPr>
        <w:pStyle w:val="BodyText"/>
        <w:spacing w:line="408" w:lineRule="auto" w:before="25"/>
        <w:ind w:right="1126"/>
        <w:jc w:val="both"/>
      </w:pPr>
      <w:r>
        <w:rPr/>
        <w:t>软件业务收入达到</w:t>
      </w:r>
      <w:r>
        <w:rPr>
          <w:rFonts w:ascii="宋体" w:hAnsi="宋体" w:cs="宋体" w:eastAsia="宋体" w:hint="default"/>
        </w:rPr>
        <w:t>71,768</w:t>
      </w:r>
      <w:r>
        <w:rPr/>
        <w:t>亿元，同比增长</w:t>
      </w:r>
      <w:r>
        <w:rPr>
          <w:rFonts w:ascii="宋体" w:hAnsi="宋体" w:cs="宋体" w:eastAsia="宋体" w:hint="default"/>
        </w:rPr>
        <w:t>15.4%</w:t>
      </w:r>
      <w:r>
        <w:rPr/>
        <w:t>，增速同比提高</w:t>
      </w:r>
      <w:r>
        <w:rPr>
          <w:rFonts w:ascii="宋体" w:hAnsi="宋体" w:cs="宋体" w:eastAsia="宋体" w:hint="default"/>
        </w:rPr>
        <w:t>3.0%;</w:t>
      </w:r>
      <w:r>
        <w:rPr/>
        <w:t>从分产品收入来看，</w:t>
      </w:r>
      <w:r>
        <w:rPr>
          <w:rFonts w:ascii="宋体" w:hAnsi="宋体" w:cs="宋体" w:eastAsia="宋体" w:hint="default"/>
        </w:rPr>
        <w:t>2019</w:t>
      </w:r>
      <w:r>
        <w:rPr/>
        <w:t>年软件产品实现收入</w:t>
      </w:r>
      <w:r>
        <w:rPr>
          <w:rFonts w:ascii="宋体" w:hAnsi="宋体" w:cs="宋体" w:eastAsia="宋体" w:hint="default"/>
        </w:rPr>
        <w:t>20,067</w:t>
      </w:r>
      <w:r>
        <w:rPr>
          <w:rFonts w:ascii="宋体" w:hAnsi="宋体" w:cs="宋体" w:eastAsia="宋体" w:hint="default"/>
          <w:spacing w:val="3"/>
        </w:rPr>
        <w:t> </w:t>
      </w:r>
      <w:r>
        <w:rPr/>
        <w:t>亿元，同比增长</w:t>
      </w:r>
      <w:r>
        <w:rPr>
          <w:rFonts w:ascii="宋体" w:hAnsi="宋体" w:cs="宋体" w:eastAsia="宋体" w:hint="default"/>
        </w:rPr>
        <w:t>12.5%</w:t>
      </w:r>
      <w:r>
        <w:rPr/>
        <w:t>，占全行业比重为</w:t>
      </w:r>
      <w:r>
        <w:rPr>
          <w:rFonts w:ascii="宋体" w:hAnsi="宋体" w:cs="宋体" w:eastAsia="宋体" w:hint="default"/>
        </w:rPr>
        <w:t>28.0%</w:t>
      </w:r>
      <w:r>
        <w:rPr/>
        <w:t>；受益于信息技术服务加快云化发展，</w:t>
      </w:r>
      <w:r>
        <w:rPr>
          <w:rFonts w:ascii="宋体" w:hAnsi="宋体" w:cs="宋体" w:eastAsia="宋体" w:hint="default"/>
        </w:rPr>
        <w:t>2019</w:t>
      </w:r>
      <w:r>
        <w:rPr/>
        <w:t>年中国信息技术服务实现收入为</w:t>
      </w:r>
      <w:r>
        <w:rPr>
          <w:spacing w:val="1"/>
        </w:rPr>
        <w:t> </w:t>
      </w:r>
      <w:r>
        <w:rPr>
          <w:spacing w:val="1"/>
        </w:rPr>
      </w:r>
      <w:r>
        <w:rPr>
          <w:rFonts w:ascii="宋体" w:hAnsi="宋体" w:cs="宋体" w:eastAsia="宋体" w:hint="default"/>
        </w:rPr>
        <w:t>42,574</w:t>
      </w:r>
      <w:r>
        <w:rPr/>
        <w:t>亿元，同比增长</w:t>
      </w:r>
      <w:r>
        <w:rPr>
          <w:rFonts w:ascii="宋体" w:hAnsi="宋体" w:cs="宋体" w:eastAsia="宋体" w:hint="default"/>
        </w:rPr>
        <w:t>18.4%</w:t>
      </w:r>
      <w:r>
        <w:rPr/>
        <w:t>，增速高出全行业平均水平</w:t>
      </w:r>
      <w:r>
        <w:rPr>
          <w:rFonts w:ascii="宋体" w:hAnsi="宋体" w:cs="宋体" w:eastAsia="宋体" w:hint="default"/>
        </w:rPr>
        <w:t>3</w:t>
      </w:r>
      <w:r>
        <w:rPr/>
        <w:t>个百分点，占全行业收入比重为</w:t>
      </w:r>
      <w:r>
        <w:rPr>
          <w:rFonts w:ascii="宋体" w:hAnsi="宋体" w:cs="宋体" w:eastAsia="宋体" w:hint="default"/>
        </w:rPr>
        <w:t>59.3%</w:t>
      </w:r>
      <w:r>
        <w:rPr/>
        <w:t>。国内软件和信息技术服务</w:t>
      </w:r>
      <w:r>
        <w:rPr>
          <w:spacing w:val="-83"/>
        </w:rPr>
        <w:t> </w:t>
      </w:r>
      <w:r>
        <w:rPr/>
        <w:t>业处在高速发展的轨道中，为公司的业务持续发展提供广阔的市场空间。</w:t>
      </w:r>
    </w:p>
    <w:p>
      <w:pPr>
        <w:pStyle w:val="BodyText"/>
        <w:spacing w:line="408" w:lineRule="auto" w:before="43"/>
        <w:ind w:right="1110" w:firstLine="360"/>
        <w:jc w:val="both"/>
      </w:pPr>
      <w:r>
        <w:rPr/>
        <w:t>中国银行业</w:t>
      </w:r>
      <w:r>
        <w:rPr>
          <w:rFonts w:ascii="宋体" w:hAnsi="宋体" w:cs="宋体" w:eastAsia="宋体" w:hint="default"/>
        </w:rPr>
        <w:t>IT</w:t>
      </w:r>
      <w:r>
        <w:rPr/>
        <w:t>解决方案市场发展现状及趋势</w:t>
      </w:r>
      <w:r>
        <w:rPr>
          <w:rFonts w:ascii="宋体" w:hAnsi="宋体" w:cs="宋体" w:eastAsia="宋体" w:hint="default"/>
        </w:rPr>
        <w:t>:</w:t>
      </w:r>
      <w:r>
        <w:rPr>
          <w:rFonts w:ascii="宋体" w:hAnsi="宋体" w:cs="宋体" w:eastAsia="宋体" w:hint="default"/>
          <w:spacing w:val="-65"/>
        </w:rPr>
        <w:t> </w:t>
      </w:r>
      <w:r>
        <w:rPr>
          <w:rFonts w:ascii="宋体" w:hAnsi="宋体" w:cs="宋体" w:eastAsia="宋体" w:hint="default"/>
        </w:rPr>
        <w:t>IDC</w:t>
      </w:r>
      <w:r>
        <w:rPr/>
        <w:t>预测该市场</w:t>
      </w:r>
      <w:r>
        <w:rPr>
          <w:rFonts w:ascii="宋体" w:hAnsi="宋体" w:cs="宋体" w:eastAsia="宋体" w:hint="default"/>
        </w:rPr>
        <w:t>2019</w:t>
      </w:r>
      <w:r>
        <w:rPr/>
        <w:t>到</w:t>
      </w:r>
      <w:r>
        <w:rPr>
          <w:rFonts w:ascii="宋体" w:hAnsi="宋体" w:cs="宋体" w:eastAsia="宋体" w:hint="default"/>
        </w:rPr>
        <w:t>2023</w:t>
      </w:r>
      <w:r>
        <w:rPr/>
        <w:t>年的年均复合增长率为</w:t>
      </w:r>
      <w:r>
        <w:rPr>
          <w:rFonts w:ascii="宋体" w:hAnsi="宋体" w:cs="宋体" w:eastAsia="宋体" w:hint="default"/>
        </w:rPr>
        <w:t>20.8%</w:t>
      </w:r>
      <w:r>
        <w:rPr/>
        <w:t>。到</w:t>
      </w:r>
      <w:r>
        <w:rPr>
          <w:rFonts w:ascii="宋体" w:hAnsi="宋体" w:cs="宋体" w:eastAsia="宋体" w:hint="default"/>
        </w:rPr>
        <w:t>2023</w:t>
      </w:r>
      <w:r>
        <w:rPr/>
        <w:t>年，中国 </w:t>
      </w:r>
      <w:r>
        <w:rPr>
          <w:spacing w:val="-2"/>
        </w:rPr>
        <w:t>银行业</w:t>
      </w:r>
      <w:r>
        <w:rPr>
          <w:rFonts w:ascii="宋体" w:hAnsi="宋体" w:cs="宋体" w:eastAsia="宋体" w:hint="default"/>
          <w:spacing w:val="-2"/>
        </w:rPr>
        <w:t>IT</w:t>
      </w:r>
      <w:r>
        <w:rPr>
          <w:spacing w:val="-2"/>
        </w:rPr>
        <w:t>解决方案市场规模将达到</w:t>
      </w:r>
      <w:r>
        <w:rPr>
          <w:rFonts w:ascii="宋体" w:hAnsi="宋体" w:cs="宋体" w:eastAsia="宋体" w:hint="default"/>
          <w:spacing w:val="-2"/>
        </w:rPr>
        <w:t>1,071</w:t>
      </w:r>
      <w:r>
        <w:rPr>
          <w:spacing w:val="-2"/>
        </w:rPr>
        <w:t>亿元人民币。（资料来源：《中国银行业</w:t>
      </w:r>
      <w:r>
        <w:rPr>
          <w:rFonts w:ascii="宋体" w:hAnsi="宋体" w:cs="宋体" w:eastAsia="宋体" w:hint="default"/>
          <w:spacing w:val="-2"/>
        </w:rPr>
        <w:t>IT</w:t>
      </w:r>
      <w:r>
        <w:rPr>
          <w:spacing w:val="-2"/>
        </w:rPr>
        <w:t>解决方案市场份额，</w:t>
      </w:r>
      <w:r>
        <w:rPr>
          <w:rFonts w:ascii="宋体" w:hAnsi="宋体" w:cs="宋体" w:eastAsia="宋体" w:hint="default"/>
          <w:spacing w:val="-2"/>
        </w:rPr>
        <w:t>2018</w:t>
      </w:r>
      <w:r>
        <w:rPr>
          <w:spacing w:val="-2"/>
        </w:rPr>
        <w:t>》，</w:t>
      </w:r>
      <w:r>
        <w:rPr>
          <w:rFonts w:ascii="宋体" w:hAnsi="宋体" w:cs="宋体" w:eastAsia="宋体" w:hint="default"/>
          <w:spacing w:val="-2"/>
        </w:rPr>
        <w:t>IDC</w:t>
      </w:r>
      <w:r>
        <w:rPr>
          <w:spacing w:val="-2"/>
        </w:rPr>
        <w:t>）；传</w:t>
      </w:r>
      <w:r>
        <w:rPr>
          <w:spacing w:val="-49"/>
        </w:rPr>
        <w:t> </w:t>
      </w:r>
      <w:r>
        <w:rPr>
          <w:spacing w:val="-49"/>
        </w:rPr>
      </w:r>
      <w:r>
        <w:rPr>
          <w:spacing w:val="-2"/>
        </w:rPr>
        <w:t>统银行等金融机构正面临互联网金融的猛烈冲击，以及供给侧结构性改革等因素带来的巨大变化，竞争日趋激烈，目前各家</w:t>
      </w:r>
      <w:r>
        <w:rPr>
          <w:spacing w:val="-75"/>
        </w:rPr>
        <w:t> </w:t>
      </w:r>
      <w:r>
        <w:rPr>
          <w:spacing w:val="-75"/>
        </w:rPr>
      </w:r>
      <w:r>
        <w:rPr>
          <w:spacing w:val="-2"/>
        </w:rPr>
        <w:t>银行正处于架构转型升级的不同阶段，对软件和信息技术服务的需求不断上升。随着互联网、大数据、区块链、云计算、人</w:t>
      </w:r>
      <w:r>
        <w:rPr>
          <w:spacing w:val="-72"/>
        </w:rPr>
        <w:t> </w:t>
      </w:r>
      <w:r>
        <w:rPr>
          <w:spacing w:val="-72"/>
        </w:rPr>
      </w:r>
      <w:r>
        <w:rPr>
          <w:spacing w:val="-2"/>
        </w:rPr>
        <w:t>工智能等技术广泛地应用到金融服务领域，极大地推动科技与金融服务深度融合；此外，随着国家“一带一路”战略的全面</w:t>
      </w:r>
      <w:r>
        <w:rPr>
          <w:spacing w:val="-50"/>
        </w:rPr>
        <w:t> </w:t>
      </w:r>
      <w:r>
        <w:rPr>
          <w:spacing w:val="-50"/>
        </w:rPr>
      </w:r>
      <w:r>
        <w:rPr/>
        <w:t>实施，粤港澳大湾区建设带来相关金融行业发展，为金融科技企业带来更多的市场机会和商机。</w:t>
      </w:r>
    </w:p>
    <w:p>
      <w:pPr>
        <w:spacing w:line="240" w:lineRule="auto" w:before="2"/>
        <w:rPr>
          <w:rFonts w:ascii="宋体" w:hAnsi="宋体" w:cs="宋体" w:eastAsia="宋体" w:hint="default"/>
          <w:sz w:val="15"/>
          <w:szCs w:val="15"/>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3034"/>
        <w:gridCol w:w="6541"/>
      </w:tblGrid>
      <w:tr>
        <w:trPr>
          <w:trHeight w:val="187" w:hRule="exact"/>
        </w:trPr>
        <w:tc>
          <w:tcPr>
            <w:tcW w:w="3034" w:type="dxa"/>
            <w:tcBorders>
              <w:top w:val="single" w:sz="6" w:space="0" w:color="000000"/>
              <w:left w:val="single" w:sz="6" w:space="0" w:color="000000"/>
              <w:bottom w:val="nil" w:sz="6" w:space="0" w:color="auto"/>
              <w:right w:val="single" w:sz="6" w:space="0" w:color="000000"/>
            </w:tcBorders>
            <w:shd w:val="clear" w:color="auto" w:fill="D2D2D2"/>
          </w:tcPr>
          <w:p>
            <w:pPr/>
          </w:p>
        </w:tc>
        <w:tc>
          <w:tcPr>
            <w:tcW w:w="654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03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4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5"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34" w:type="dxa"/>
            <w:tcBorders>
              <w:top w:val="nil" w:sz="6" w:space="0" w:color="auto"/>
              <w:left w:val="single" w:sz="6" w:space="0" w:color="000000"/>
              <w:bottom w:val="single" w:sz="6" w:space="0" w:color="000000"/>
              <w:right w:val="single" w:sz="6" w:space="0" w:color="000000"/>
            </w:tcBorders>
            <w:shd w:val="clear" w:color="auto" w:fill="D2D2D2"/>
          </w:tcPr>
          <w:p>
            <w:pPr/>
          </w:p>
        </w:tc>
        <w:tc>
          <w:tcPr>
            <w:tcW w:w="654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6" w:hRule="exact"/>
        </w:trPr>
        <w:tc>
          <w:tcPr>
            <w:tcW w:w="30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4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报告期无重大变化</w:t>
            </w:r>
          </w:p>
        </w:tc>
      </w:tr>
      <w:tr>
        <w:trPr>
          <w:trHeight w:val="390" w:hRule="exact"/>
        </w:trPr>
        <w:tc>
          <w:tcPr>
            <w:tcW w:w="30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4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报告期无重大变化</w:t>
            </w:r>
          </w:p>
        </w:tc>
      </w:tr>
      <w:tr>
        <w:trPr>
          <w:trHeight w:val="406" w:hRule="exact"/>
        </w:trPr>
        <w:tc>
          <w:tcPr>
            <w:tcW w:w="30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4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报告期无重大变化</w:t>
            </w:r>
          </w:p>
        </w:tc>
      </w:tr>
      <w:tr>
        <w:trPr>
          <w:trHeight w:val="405" w:hRule="exact"/>
        </w:trPr>
        <w:tc>
          <w:tcPr>
            <w:tcW w:w="30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4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由于在建工程转固定资产</w:t>
            </w:r>
          </w:p>
        </w:tc>
      </w:tr>
    </w:tbl>
    <w:p>
      <w:pPr>
        <w:spacing w:line="240" w:lineRule="auto" w:before="11"/>
        <w:rPr>
          <w:rFonts w:ascii="宋体" w:hAnsi="宋体" w:cs="宋体" w:eastAsia="宋体" w:hint="default"/>
          <w:b/>
          <w:bCs/>
          <w:sz w:val="19"/>
          <w:szCs w:val="19"/>
        </w:rPr>
      </w:pPr>
    </w:p>
    <w:p>
      <w:pPr>
        <w:pStyle w:val="Heading3"/>
        <w:spacing w:line="240" w:lineRule="auto" w:before="35"/>
        <w:ind w:right="939"/>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适用</w:t>
      </w:r>
      <w:r>
        <w:rPr>
          <w:spacing w:val="11"/>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1"/>
        <w:rPr>
          <w:rFonts w:ascii="宋体" w:hAnsi="宋体" w:cs="宋体" w:eastAsia="宋体" w:hint="default"/>
          <w:b/>
          <w:bCs/>
          <w:sz w:val="26"/>
          <w:szCs w:val="26"/>
        </w:rPr>
      </w:pPr>
    </w:p>
    <w:p>
      <w:pPr>
        <w:pStyle w:val="BodyText"/>
        <w:spacing w:line="304" w:lineRule="auto"/>
        <w:ind w:left="501" w:right="939" w:hanging="36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、面向未来银行的技术能力 </w:t>
      </w:r>
      <w:r>
        <w:rPr>
          <w:spacing w:val="-7"/>
          <w:w w:val="99"/>
        </w:rPr>
        <w:t>公司积极投入分布式、区块链、跨境支付、云计算等新技术研发，已推出面向金融行业的分布式架构微服务平台（</w:t>
      </w:r>
      <w:r>
        <w:rPr>
          <w:rFonts w:ascii="Times New Roman" w:hAnsi="Times New Roman" w:cs="Times New Roman" w:eastAsia="Times New Roman" w:hint="default"/>
          <w:spacing w:val="-7"/>
          <w:w w:val="99"/>
        </w:rPr>
        <w:t>Platform</w:t>
      </w:r>
    </w:p>
    <w:p>
      <w:pPr>
        <w:pStyle w:val="BodyText"/>
        <w:spacing w:line="288" w:lineRule="auto" w:before="12"/>
        <w:ind w:right="1106"/>
        <w:jc w:val="both"/>
      </w:pPr>
      <w:r>
        <w:rPr>
          <w:rFonts w:ascii="Times New Roman" w:hAnsi="Times New Roman" w:cs="Times New Roman" w:eastAsia="Times New Roman" w:hint="default"/>
        </w:rPr>
        <w:t>Universe</w:t>
      </w:r>
      <w:r>
        <w:rPr/>
        <w:t>）与建制在其上的乐高式模块化银行业务平台</w:t>
      </w:r>
      <w:r>
        <w:rPr>
          <w:rFonts w:ascii="Times New Roman" w:hAnsi="Times New Roman" w:cs="Times New Roman" w:eastAsia="Times New Roman" w:hint="default"/>
        </w:rPr>
        <w:t>(Lego Bank)</w:t>
      </w:r>
      <w:r>
        <w:rPr/>
        <w:t>，可帮助各种规模的银行客户更好地迎接</w:t>
      </w:r>
      <w:r>
        <w:rPr>
          <w:rFonts w:ascii="Times New Roman" w:hAnsi="Times New Roman" w:cs="Times New Roman" w:eastAsia="Times New Roman" w:hint="default"/>
        </w:rPr>
        <w:t>“</w:t>
      </w:r>
      <w:r>
        <w:rPr/>
        <w:t>银行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rFonts w:ascii="Times New Roman" w:hAnsi="Times New Roman" w:cs="Times New Roman" w:eastAsia="Times New Roman" w:hint="default"/>
        </w:rPr>
        <w:t>”</w:t>
      </w:r>
      <w:r>
        <w:rPr/>
        <w:t>时代 的挑战；公司已具备从区块链底层平台到应用解决方案的全方位研发与交付能力，具备区块链</w:t>
      </w:r>
      <w:r>
        <w:rPr>
          <w:rFonts w:ascii="Times New Roman" w:hAnsi="Times New Roman" w:cs="Times New Roman" w:eastAsia="Times New Roman" w:hint="default"/>
        </w:rPr>
        <w:t>+</w:t>
      </w:r>
      <w:r>
        <w:rPr/>
        <w:t>通证经济融合创新应用的能</w:t>
      </w:r>
      <w:r>
        <w:rPr>
          <w:spacing w:val="-79"/>
        </w:rPr>
        <w:t> </w:t>
      </w:r>
      <w:r>
        <w:rPr>
          <w:spacing w:val="-2"/>
        </w:rPr>
        <w:t>力，并在数字货币、应用型通证等加密数字资产领域积累了丰富的研发与运营经验。通过持续推动产品落地，在技术上把握</w:t>
      </w:r>
    </w:p>
    <w:p>
      <w:pPr>
        <w:pStyle w:val="BodyText"/>
        <w:spacing w:line="240" w:lineRule="auto" w:before="44"/>
        <w:ind w:right="939"/>
        <w:jc w:val="left"/>
      </w:pPr>
      <w:r>
        <w:rPr/>
        <w:t>先发优势，公司已具备面向未来开放式银行发展的技术能力。</w:t>
      </w:r>
    </w:p>
    <w:p>
      <w:pPr>
        <w:pStyle w:val="BodyText"/>
        <w:spacing w:line="290" w:lineRule="auto" w:before="94"/>
        <w:ind w:left="501" w:right="939" w:hanging="361"/>
        <w:jc w:val="left"/>
      </w:pPr>
      <w:r>
        <w:rPr>
          <w:rFonts w:ascii="Times New Roman" w:hAnsi="Times New Roman" w:cs="Times New Roman" w:eastAsia="Times New Roman" w:hint="default"/>
        </w:rPr>
        <w:t>2</w:t>
      </w:r>
      <w:r>
        <w:rPr/>
        <w:t>、全方位解决方案与顾问咨询能力 </w:t>
      </w:r>
      <w:r>
        <w:rPr>
          <w:spacing w:val="-2"/>
        </w:rPr>
        <w:t>公司可以为金融机构客户提供顾问咨询、设计研发、交付运维的全方位、端到端的综合解决方案。基于新一代分布式基</w:t>
      </w:r>
    </w:p>
    <w:p>
      <w:pPr>
        <w:pStyle w:val="BodyText"/>
        <w:spacing w:line="276" w:lineRule="auto" w:before="56"/>
        <w:ind w:right="939"/>
        <w:jc w:val="left"/>
      </w:pPr>
      <w:r>
        <w:rPr/>
        <w:t>础平台以及面向银行</w:t>
      </w:r>
      <w:r>
        <w:rPr>
          <w:rFonts w:ascii="Times New Roman" w:hAnsi="Times New Roman" w:cs="Times New Roman" w:eastAsia="Times New Roman" w:hint="default"/>
        </w:rPr>
        <w:t>4.0</w:t>
      </w:r>
      <w:r>
        <w:rPr/>
        <w:t>的基础架构，公司不但有能力向海内外金融机构提供面向未来银行的更简单、更敏捷、更安全的产</w:t>
      </w:r>
      <w:r>
        <w:rPr>
          <w:spacing w:val="-47"/>
        </w:rPr>
        <w:t> </w:t>
      </w:r>
      <w:r>
        <w:rPr>
          <w:spacing w:val="-47"/>
        </w:rPr>
      </w:r>
      <w:r>
        <w:rPr>
          <w:spacing w:val="-2"/>
        </w:rPr>
        <w:t>品与解决方案，还可以向客户提供全分布式最佳数字化解决方案的顾问咨询服务，助力金融机构全流程技术及业务的快速创</w:t>
      </w:r>
    </w:p>
    <w:p>
      <w:pPr>
        <w:spacing w:after="0" w:line="276" w:lineRule="auto"/>
        <w:jc w:val="left"/>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240" w:lineRule="auto" w:before="44"/>
        <w:ind w:right="939"/>
        <w:jc w:val="left"/>
      </w:pPr>
      <w:r>
        <w:rPr/>
        <w:t>新和持续发展。</w:t>
      </w:r>
    </w:p>
    <w:p>
      <w:pPr>
        <w:pStyle w:val="BodyText"/>
        <w:spacing w:line="290" w:lineRule="auto" w:before="94"/>
        <w:ind w:left="501" w:right="1133" w:hanging="316"/>
        <w:jc w:val="left"/>
      </w:pPr>
      <w:r>
        <w:rPr>
          <w:rFonts w:ascii="Times New Roman" w:hAnsi="Times New Roman" w:cs="Times New Roman" w:eastAsia="Times New Roman" w:hint="default"/>
        </w:rPr>
        <w:t>3</w:t>
      </w:r>
      <w:r>
        <w:rPr/>
        <w:t>、全球服务能力 </w:t>
      </w:r>
      <w:r>
        <w:rPr>
          <w:spacing w:val="-2"/>
        </w:rPr>
        <w:t>公司秉承境内外业务协同发展的战略，通过与海内外金融机构长期紧密的合作，积累了丰富的海内外金融业务与技术经</w:t>
      </w:r>
    </w:p>
    <w:p>
      <w:pPr>
        <w:pStyle w:val="BodyText"/>
        <w:spacing w:line="240" w:lineRule="auto" w:before="27"/>
        <w:ind w:right="939"/>
        <w:jc w:val="left"/>
      </w:pPr>
      <w:r>
        <w:rPr/>
        <w:t>验，并深刻理解不同文化体系下的商业规则，具有为全球不同国家和地区的金融机构发展提供规模化离岸服务的能力。</w:t>
      </w:r>
    </w:p>
    <w:p>
      <w:pPr>
        <w:pStyle w:val="BodyText"/>
        <w:spacing w:line="240" w:lineRule="auto" w:before="94"/>
        <w:ind w:right="939"/>
        <w:jc w:val="left"/>
      </w:pPr>
      <w:r>
        <w:rPr>
          <w:rFonts w:ascii="Times New Roman" w:hAnsi="Times New Roman" w:cs="Times New Roman" w:eastAsia="Times New Roman" w:hint="default"/>
        </w:rPr>
        <w:t>4</w:t>
      </w:r>
      <w:r>
        <w:rPr/>
        <w:t>、人才优势</w:t>
      </w:r>
    </w:p>
    <w:p>
      <w:pPr>
        <w:pStyle w:val="BodyText"/>
        <w:spacing w:line="312" w:lineRule="auto" w:before="51"/>
        <w:ind w:right="1126" w:firstLine="360"/>
        <w:jc w:val="both"/>
      </w:pPr>
      <w:r>
        <w:rPr>
          <w:spacing w:val="-2"/>
        </w:rPr>
        <w:t>公司拥有具备国际视野与前沿金融科技背景的顾问咨询团队；拥有掌握领先技术和具备创新能力的产品研发团队；拥有</w:t>
      </w:r>
      <w:r>
        <w:rPr/>
        <w:t> 具备金融</w:t>
      </w:r>
      <w:r>
        <w:rPr>
          <w:rFonts w:ascii="Times New Roman" w:hAnsi="Times New Roman" w:cs="Times New Roman" w:eastAsia="Times New Roman" w:hint="default"/>
        </w:rPr>
        <w:t>+</w:t>
      </w:r>
      <w:r>
        <w:rPr/>
        <w:t>科技的复合型交付团队；拥有具有先进管理经验的境内外管理专家团队。专业团队规模近</w:t>
      </w:r>
      <w:r>
        <w:rPr>
          <w:rFonts w:ascii="Times New Roman" w:hAnsi="Times New Roman" w:cs="Times New Roman" w:eastAsia="Times New Roman" w:hint="default"/>
        </w:rPr>
        <w:t>2</w:t>
      </w:r>
      <w:r>
        <w:rPr/>
        <w:t>千人，为公司全球化</w:t>
      </w:r>
      <w:r>
        <w:rPr>
          <w:spacing w:val="-7"/>
        </w:rPr>
        <w:t> </w:t>
      </w:r>
      <w:r>
        <w:rPr>
          <w:spacing w:val="-7"/>
        </w:rPr>
      </w:r>
      <w:r>
        <w:rPr/>
        <w:t>布局、持续创新和未来发展提供了有力的保障。</w:t>
      </w:r>
    </w:p>
    <w:p>
      <w:pPr>
        <w:spacing w:after="0" w:line="312" w:lineRule="auto"/>
        <w:jc w:val="both"/>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left="2950" w:right="939"/>
        <w:jc w:val="left"/>
        <w:rPr>
          <w:b w:val="0"/>
          <w:bCs w:val="0"/>
        </w:rPr>
      </w:pPr>
      <w:bookmarkStart w:name="第四节 经营情况讨论与分析" w:id="23"/>
      <w:bookmarkEnd w:id="23"/>
      <w:r>
        <w:rPr>
          <w:b w:val="0"/>
          <w:bCs w:val="0"/>
        </w:rPr>
      </w:r>
      <w:bookmarkStart w:name="_bookmark3" w:id="24"/>
      <w:bookmarkEnd w:id="24"/>
      <w:r>
        <w:rPr>
          <w:b w:val="0"/>
          <w:bCs w:val="0"/>
        </w:rPr>
      </w:r>
      <w:r>
        <w:rPr>
          <w:spacing w:val="4"/>
        </w:rPr>
        <w:t>第四节</w:t>
      </w:r>
      <w:r>
        <w:rPr>
          <w:spacing w:val="73"/>
        </w:rPr>
        <w:t> </w:t>
      </w:r>
      <w:r>
        <w:rPr>
          <w:spacing w:val="5"/>
        </w:rPr>
        <w:t>经营情况讨论与分析</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939"/>
        <w:jc w:val="left"/>
        <w:rPr>
          <w:b w:val="0"/>
          <w:bCs w:val="0"/>
        </w:rPr>
      </w:pPr>
      <w:bookmarkStart w:name="一、 概述" w:id="25"/>
      <w:bookmarkEnd w:id="25"/>
      <w:r>
        <w:rPr>
          <w:b w:val="0"/>
          <w:bCs w:val="0"/>
        </w:rPr>
      </w:r>
      <w:r>
        <w:rPr/>
        <w:t>一、</w:t>
      </w:r>
      <w:r>
        <w:rPr>
          <w:spacing w:val="-95"/>
        </w:rPr>
        <w:t> </w:t>
      </w:r>
      <w:r>
        <w:rPr/>
        <w:t>概述</w:t>
      </w:r>
      <w:r>
        <w:rPr>
          <w:b w:val="0"/>
          <w:bCs w:val="0"/>
        </w:rPr>
      </w:r>
    </w:p>
    <w:p>
      <w:pPr>
        <w:spacing w:line="240" w:lineRule="auto" w:before="1"/>
        <w:rPr>
          <w:rFonts w:ascii="宋体" w:hAnsi="宋体" w:cs="宋体" w:eastAsia="宋体" w:hint="default"/>
          <w:b/>
          <w:bCs/>
          <w:sz w:val="26"/>
          <w:szCs w:val="26"/>
        </w:rPr>
      </w:pPr>
    </w:p>
    <w:p>
      <w:pPr>
        <w:pStyle w:val="BodyText"/>
        <w:spacing w:line="319" w:lineRule="auto"/>
        <w:ind w:right="1097" w:firstLine="360"/>
        <w:jc w:val="both"/>
      </w:pPr>
      <w:r>
        <w:rPr>
          <w:spacing w:val="-2"/>
        </w:rPr>
        <w:t>报告期内，在市场竞争日益激烈的形势下，公司面对挑战，积极拓展海内外市场，较好地完成了经营目标。公司实现营</w:t>
      </w:r>
      <w:r>
        <w:rPr/>
        <w:t> 业收入</w:t>
      </w:r>
      <w:r>
        <w:rPr>
          <w:rFonts w:ascii="Times New Roman" w:hAnsi="Times New Roman" w:cs="Times New Roman" w:eastAsia="Times New Roman" w:hint="default"/>
        </w:rPr>
        <w:t>52,555.87</w:t>
      </w:r>
      <w:r>
        <w:rPr/>
        <w:t>万元，较上年同期增加</w:t>
      </w:r>
      <w:r>
        <w:rPr>
          <w:rFonts w:ascii="Times New Roman" w:hAnsi="Times New Roman" w:cs="Times New Roman" w:eastAsia="Times New Roman" w:hint="default"/>
        </w:rPr>
        <w:t>7.74%</w:t>
      </w:r>
      <w:r>
        <w:rPr/>
        <w:t>；其中，软件开发收入为</w:t>
      </w:r>
      <w:r>
        <w:rPr>
          <w:rFonts w:ascii="Times New Roman" w:hAnsi="Times New Roman" w:cs="Times New Roman" w:eastAsia="Times New Roman" w:hint="default"/>
        </w:rPr>
        <w:t>51,044.21</w:t>
      </w:r>
      <w:r>
        <w:rPr/>
        <w:t>万元，较上年同期增长</w:t>
      </w:r>
      <w:r>
        <w:rPr>
          <w:rFonts w:ascii="Times New Roman" w:hAnsi="Times New Roman" w:cs="Times New Roman" w:eastAsia="Times New Roman" w:hint="default"/>
        </w:rPr>
        <w:t>18.16%</w:t>
      </w:r>
      <w:r>
        <w:rPr/>
        <w:t>，境外业务收</w:t>
      </w:r>
      <w:r>
        <w:rPr>
          <w:spacing w:val="-84"/>
        </w:rPr>
        <w:t> </w:t>
      </w:r>
      <w:r>
        <w:rPr/>
        <w:t>入为</w:t>
      </w:r>
      <w:r>
        <w:rPr>
          <w:rFonts w:ascii="Times New Roman" w:hAnsi="Times New Roman" w:cs="Times New Roman" w:eastAsia="Times New Roman" w:hint="default"/>
        </w:rPr>
        <w:t>31,868.56</w:t>
      </w:r>
      <w:r>
        <w:rPr/>
        <w:t>万元，较上年同期增长</w:t>
      </w:r>
      <w:r>
        <w:rPr>
          <w:rFonts w:ascii="Times New Roman" w:hAnsi="Times New Roman" w:cs="Times New Roman" w:eastAsia="Times New Roman" w:hint="default"/>
        </w:rPr>
        <w:t>29.29%</w:t>
      </w:r>
      <w:r>
        <w:rPr/>
        <w:t>，占总营业收入的</w:t>
      </w:r>
      <w:r>
        <w:rPr>
          <w:rFonts w:ascii="Times New Roman" w:hAnsi="Times New Roman" w:cs="Times New Roman" w:eastAsia="Times New Roman" w:hint="default"/>
        </w:rPr>
        <w:t>60.64%</w:t>
      </w:r>
      <w:r>
        <w:rPr/>
        <w:t>；归属于上市公司股东的净利润</w:t>
      </w:r>
      <w:r>
        <w:rPr>
          <w:rFonts w:ascii="Times New Roman" w:hAnsi="Times New Roman" w:cs="Times New Roman" w:eastAsia="Times New Roman" w:hint="default"/>
        </w:rPr>
        <w:t>9,623.86</w:t>
      </w:r>
      <w:r>
        <w:rPr/>
        <w:t>万元，较上年</w:t>
      </w:r>
    </w:p>
    <w:p>
      <w:pPr>
        <w:pStyle w:val="BodyText"/>
        <w:spacing w:line="234" w:lineRule="exact"/>
        <w:ind w:right="939"/>
        <w:jc w:val="left"/>
      </w:pPr>
      <w:r>
        <w:rPr/>
        <w:t>同期增加</w:t>
      </w:r>
      <w:r>
        <w:rPr>
          <w:rFonts w:ascii="Times New Roman" w:hAnsi="Times New Roman" w:cs="Times New Roman" w:eastAsia="Times New Roman" w:hint="default"/>
        </w:rPr>
        <w:t>39.87%</w:t>
      </w:r>
      <w:r>
        <w:rPr/>
        <w:t>。</w:t>
      </w:r>
    </w:p>
    <w:p>
      <w:pPr>
        <w:pStyle w:val="BodyText"/>
        <w:spacing w:line="300" w:lineRule="auto" w:before="111"/>
        <w:ind w:right="939" w:firstLine="360"/>
        <w:jc w:val="left"/>
      </w:pPr>
      <w:r>
        <w:rPr>
          <w:rFonts w:ascii="Times New Roman" w:hAnsi="Times New Roman" w:cs="Times New Roman" w:eastAsia="Times New Roman" w:hint="default"/>
        </w:rPr>
        <w:t>2019</w:t>
      </w:r>
      <w:r>
        <w:rPr/>
        <w:t>年，公司继续保持研发投入，全年研发投入</w:t>
      </w:r>
      <w:r>
        <w:rPr>
          <w:rFonts w:ascii="Times New Roman" w:hAnsi="Times New Roman" w:cs="Times New Roman" w:eastAsia="Times New Roman" w:hint="default"/>
        </w:rPr>
        <w:t>8,431.54</w:t>
      </w:r>
      <w:r>
        <w:rPr/>
        <w:t>万元，占公司营业收入的</w:t>
      </w:r>
      <w:r>
        <w:rPr>
          <w:rFonts w:ascii="Times New Roman" w:hAnsi="Times New Roman" w:cs="Times New Roman" w:eastAsia="Times New Roman" w:hint="default"/>
        </w:rPr>
        <w:t>16.04%</w:t>
      </w:r>
      <w:r>
        <w:rPr/>
        <w:t>；公司加大力度研发分布式架 构微服务平台及区块链技术，占全年研发投入的</w:t>
      </w:r>
      <w:r>
        <w:rPr>
          <w:spacing w:val="-62"/>
        </w:rPr>
        <w:t> </w:t>
      </w:r>
      <w:r>
        <w:rPr>
          <w:rFonts w:ascii="Times New Roman" w:hAnsi="Times New Roman" w:cs="Times New Roman" w:eastAsia="Times New Roman" w:hint="default"/>
        </w:rPr>
        <w:t>64.71%</w:t>
      </w:r>
      <w:r>
        <w:rPr/>
        <w:t>。公司在报告期内已推出面向金融行业的分布式架构微服务</w:t>
      </w:r>
      <w:r>
        <w:rPr>
          <w:rFonts w:ascii="Times New Roman" w:hAnsi="Times New Roman" w:cs="Times New Roman" w:eastAsia="Times New Roman" w:hint="default"/>
        </w:rPr>
        <w:t>PaaS</w:t>
      </w:r>
      <w:r>
        <w:rPr/>
        <w:t>平</w:t>
      </w:r>
      <w:r>
        <w:rPr>
          <w:spacing w:val="-40"/>
        </w:rPr>
        <w:t> </w:t>
      </w:r>
      <w:r>
        <w:rPr/>
        <w:t>台</w:t>
      </w:r>
      <w:r>
        <w:rPr>
          <w:rFonts w:ascii="Times New Roman" w:hAnsi="Times New Roman" w:cs="Times New Roman" w:eastAsia="Times New Roman" w:hint="default"/>
        </w:rPr>
        <w:t>PU</w:t>
      </w:r>
      <w:r>
        <w:rPr/>
        <w:t>（</w:t>
      </w:r>
      <w:r>
        <w:rPr>
          <w:rFonts w:ascii="Times New Roman" w:hAnsi="Times New Roman" w:cs="Times New Roman" w:eastAsia="Times New Roman" w:hint="default"/>
        </w:rPr>
        <w:t>Platform Universe</w:t>
      </w:r>
      <w:r>
        <w:rPr/>
        <w:t>）及建制在其上的模块化银行业务平台，具备了面向未来银行发展的技术能力；公司新增软件著作</w:t>
      </w:r>
      <w:r>
        <w:rPr>
          <w:spacing w:val="-89"/>
        </w:rPr>
        <w:t> </w:t>
      </w:r>
      <w:r>
        <w:rPr/>
        <w:t>权、软件产品登记、科技成果登记共计</w:t>
      </w:r>
      <w:r>
        <w:rPr>
          <w:rFonts w:ascii="Times New Roman" w:hAnsi="Times New Roman" w:cs="Times New Roman" w:eastAsia="Times New Roman" w:hint="default"/>
        </w:rPr>
        <w:t>99</w:t>
      </w:r>
      <w:r>
        <w:rPr/>
        <w:t>项。公司继续积极推进募集资金投资项目建设工作，</w:t>
      </w:r>
      <w:r>
        <w:rPr>
          <w:rFonts w:ascii="Times New Roman" w:hAnsi="Times New Roman" w:cs="Times New Roman" w:eastAsia="Times New Roman" w:hint="default"/>
        </w:rPr>
        <w:t>2019</w:t>
      </w:r>
      <w:r>
        <w:rPr/>
        <w:t>年完成投入</w:t>
      </w:r>
      <w:r>
        <w:rPr>
          <w:rFonts w:ascii="Times New Roman" w:hAnsi="Times New Roman" w:cs="Times New Roman" w:eastAsia="Times New Roman" w:hint="default"/>
        </w:rPr>
        <w:t>863.03</w:t>
      </w:r>
      <w:r>
        <w:rPr/>
        <w:t>万元，</w:t>
      </w:r>
      <w:r>
        <w:rPr>
          <w:spacing w:val="-40"/>
        </w:rPr>
        <w:t> </w:t>
      </w:r>
      <w:r>
        <w:rPr/>
        <w:t>截止至</w:t>
      </w:r>
      <w:r>
        <w:rPr>
          <w:rFonts w:ascii="Times New Roman" w:hAnsi="Times New Roman" w:cs="Times New Roman" w:eastAsia="Times New Roman" w:hint="default"/>
        </w:rPr>
        <w:t>2019</w:t>
      </w:r>
      <w:r>
        <w:rPr/>
        <w:t>年底累计投入募集资金</w:t>
      </w:r>
      <w:r>
        <w:rPr>
          <w:rFonts w:ascii="Times New Roman" w:hAnsi="Times New Roman" w:cs="Times New Roman" w:eastAsia="Times New Roman" w:hint="default"/>
        </w:rPr>
        <w:t>42,513.61</w:t>
      </w:r>
      <w:r>
        <w:rPr/>
        <w:t>万元，为公司发展起到了良好的推动作用。</w:t>
      </w:r>
    </w:p>
    <w:p>
      <w:pPr>
        <w:pStyle w:val="BodyText"/>
        <w:spacing w:line="304" w:lineRule="auto" w:before="46"/>
        <w:ind w:right="1105" w:firstLine="360"/>
        <w:jc w:val="both"/>
      </w:pPr>
      <w:r>
        <w:rPr>
          <w:spacing w:val="-5"/>
        </w:rPr>
        <w:t>公司继续坚持境内外协同发展战略，聚焦海内外金融机构需求。在技术研发的同时，积极开展对外合作，业务模式创新，</w:t>
      </w:r>
      <w:r>
        <w:rPr/>
        <w:t> </w:t>
      </w:r>
      <w:r>
        <w:rPr>
          <w:spacing w:val="-1"/>
        </w:rPr>
        <w:t>推动技术转化与产品落地。公司与华为合作的</w:t>
      </w:r>
      <w:r>
        <w:rPr>
          <w:rFonts w:ascii="Times New Roman" w:hAnsi="Times New Roman" w:cs="Times New Roman" w:eastAsia="Times New Roman" w:hint="default"/>
          <w:spacing w:val="-1"/>
        </w:rPr>
        <w:t>Fincube</w:t>
      </w:r>
      <w:r>
        <w:rPr>
          <w:spacing w:val="-1"/>
        </w:rPr>
        <w:t>解决方案已在报告期内推向市场；设立了四方精创</w:t>
      </w:r>
      <w:r>
        <w:rPr>
          <w:rFonts w:ascii="Times New Roman" w:hAnsi="Times New Roman" w:cs="Times New Roman" w:eastAsia="Times New Roman" w:hint="default"/>
          <w:spacing w:val="-1"/>
        </w:rPr>
        <w:t>(</w:t>
      </w:r>
      <w:r>
        <w:rPr>
          <w:spacing w:val="-1"/>
        </w:rPr>
        <w:t>泰国</w:t>
      </w:r>
      <w:r>
        <w:rPr>
          <w:rFonts w:ascii="Times New Roman" w:hAnsi="Times New Roman" w:cs="Times New Roman" w:eastAsia="Times New Roman" w:hint="default"/>
          <w:spacing w:val="-1"/>
        </w:rPr>
        <w:t>)</w:t>
      </w:r>
      <w:r>
        <w:rPr>
          <w:spacing w:val="-1"/>
        </w:rPr>
        <w:t>有限公司，致</w:t>
      </w:r>
      <w:r>
        <w:rPr>
          <w:spacing w:val="-80"/>
        </w:rPr>
        <w:t> </w:t>
      </w:r>
      <w:r>
        <w:rPr>
          <w:spacing w:val="-80"/>
        </w:rPr>
      </w:r>
      <w:r>
        <w:rPr/>
        <w:t>力于拓展东南亚市场等国际市场，布局未来业务发展。</w:t>
      </w:r>
    </w:p>
    <w:p>
      <w:pPr>
        <w:spacing w:line="240" w:lineRule="auto" w:before="5"/>
        <w:rPr>
          <w:rFonts w:ascii="宋体" w:hAnsi="宋体" w:cs="宋体" w:eastAsia="宋体" w:hint="default"/>
          <w:sz w:val="23"/>
          <w:szCs w:val="23"/>
        </w:rPr>
      </w:pPr>
    </w:p>
    <w:p>
      <w:pPr>
        <w:pStyle w:val="Heading2"/>
        <w:spacing w:line="240" w:lineRule="auto"/>
        <w:ind w:right="939"/>
        <w:jc w:val="left"/>
        <w:rPr>
          <w:b w:val="0"/>
          <w:bCs w:val="0"/>
        </w:rPr>
      </w:pPr>
      <w:bookmarkStart w:name="二、主营业务分析" w:id="26"/>
      <w:bookmarkEnd w:id="26"/>
      <w:r>
        <w:rPr>
          <w:b w:val="0"/>
          <w:bCs w:val="0"/>
        </w:rPr>
      </w:r>
      <w:r>
        <w:rPr/>
        <w:t>二、主营业务分析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9"/>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是否与经营情况讨论与分析中的概述披露相同</w:t>
      </w:r>
    </w:p>
    <w:p>
      <w:pPr>
        <w:pStyle w:val="BodyText"/>
        <w:spacing w:line="240" w:lineRule="auto" w:before="124"/>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111"/>
        <w:ind w:right="939"/>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939"/>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营业收入整体情况</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5"/>
        <w:gridCol w:w="1607"/>
        <w:gridCol w:w="1590"/>
        <w:gridCol w:w="1597"/>
        <w:gridCol w:w="1590"/>
        <w:gridCol w:w="1604"/>
      </w:tblGrid>
      <w:tr>
        <w:trPr>
          <w:trHeight w:val="203" w:hRule="exact"/>
        </w:trPr>
        <w:tc>
          <w:tcPr>
            <w:tcW w:w="1595"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595" w:type="dxa"/>
            <w:vMerge w:val="restart"/>
            <w:tcBorders>
              <w:top w:val="nil" w:sz="6" w:space="0" w:color="auto"/>
              <w:left w:val="single" w:sz="6" w:space="0" w:color="000000"/>
              <w:right w:val="single" w:sz="6" w:space="0" w:color="000000"/>
            </w:tcBorders>
            <w:shd w:val="clear" w:color="auto" w:fill="D2D2D2"/>
          </w:tcPr>
          <w:p>
            <w:pPr/>
          </w:p>
        </w:tc>
        <w:tc>
          <w:tcPr>
            <w:tcW w:w="3197" w:type="dxa"/>
            <w:gridSpan w:val="2"/>
            <w:vMerge/>
            <w:tcBorders>
              <w:left w:val="single" w:sz="6" w:space="0" w:color="000000"/>
              <w:bottom w:val="single" w:sz="6" w:space="0" w:color="000000"/>
              <w:right w:val="single" w:sz="6" w:space="0" w:color="000000"/>
            </w:tcBorders>
            <w:shd w:val="clear" w:color="auto" w:fill="D2D2D2"/>
          </w:tcPr>
          <w:p>
            <w:pPr/>
          </w:p>
        </w:tc>
        <w:tc>
          <w:tcPr>
            <w:tcW w:w="3187" w:type="dxa"/>
            <w:gridSpan w:val="2"/>
            <w:vMerge/>
            <w:tcBorders>
              <w:left w:val="single" w:sz="6" w:space="0" w:color="000000"/>
              <w:bottom w:val="single" w:sz="6" w:space="0" w:color="000000"/>
              <w:right w:val="single" w:sz="6" w:space="0" w:color="000000"/>
            </w:tcBorders>
            <w:shd w:val="clear" w:color="auto" w:fill="D2D2D2"/>
          </w:tcPr>
          <w:p>
            <w:pPr/>
          </w:p>
        </w:tc>
        <w:tc>
          <w:tcPr>
            <w:tcW w:w="160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8" w:hRule="exact"/>
        </w:trPr>
        <w:tc>
          <w:tcPr>
            <w:tcW w:w="1595"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9"/>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4"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595"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4"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5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87"/>
              <w:ind w:right="9"/>
              <w:jc w:val="right"/>
              <w:rPr>
                <w:rFonts w:ascii="Times New Roman" w:hAnsi="Times New Roman" w:cs="Times New Roman" w:eastAsia="Times New Roman" w:hint="default"/>
                <w:sz w:val="18"/>
                <w:szCs w:val="18"/>
              </w:rPr>
            </w:pPr>
            <w:r>
              <w:rPr>
                <w:rFonts w:ascii="Times New Roman"/>
                <w:sz w:val="18"/>
              </w:rPr>
              <w:t>525,558,672.81</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87"/>
              <w:ind w:right="4"/>
              <w:jc w:val="right"/>
              <w:rPr>
                <w:rFonts w:ascii="Times New Roman" w:hAnsi="Times New Roman" w:cs="Times New Roman" w:eastAsia="Times New Roman" w:hint="default"/>
                <w:sz w:val="18"/>
                <w:szCs w:val="18"/>
              </w:rPr>
            </w:pPr>
            <w:r>
              <w:rPr>
                <w:rFonts w:ascii="Times New Roman"/>
                <w:sz w:val="18"/>
              </w:rPr>
              <w:t>487,816,568.83</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7.74%</w:t>
            </w:r>
            <w:r>
              <w:rPr>
                <w:rFonts w:ascii="Times New Roman"/>
                <w:sz w:val="18"/>
              </w:rPr>
            </w:r>
          </w:p>
        </w:tc>
      </w:tr>
      <w:tr>
        <w:trPr>
          <w:trHeight w:val="390"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6" w:hRule="exact"/>
        </w:trPr>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525,558,672.81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487,816,568.83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7.74%</w:t>
            </w:r>
            <w:r>
              <w:rPr>
                <w:rFonts w:ascii="Times New Roman"/>
                <w:sz w:val="18"/>
              </w:rPr>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510,442,087.31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97.12%</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431,980,123.05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88.55%</w:t>
            </w:r>
            <w:r>
              <w:rPr>
                <w:rFonts w:ascii="Times New Roman"/>
                <w:sz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18.16%</w:t>
            </w:r>
            <w:r>
              <w:rPr>
                <w:rFonts w:ascii="Times New Roman"/>
                <w:sz w:val="18"/>
              </w:rPr>
            </w:r>
          </w:p>
        </w:tc>
      </w:tr>
      <w:tr>
        <w:trPr>
          <w:trHeight w:val="390" w:hRule="exact"/>
        </w:trPr>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15,028,266.90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2.86%</w:t>
            </w:r>
            <w:r>
              <w:rPr>
                <w:rFonts w:ascii="Times New Roman"/>
                <w:sz w:val="18"/>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13,763,369.79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2.82%</w:t>
            </w:r>
            <w:r>
              <w:rPr>
                <w:rFonts w:ascii="Times New Roman"/>
                <w:sz w:val="18"/>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9.19%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88,318.60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42,073,075.99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8.62%</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-99.79%</w:t>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206,873,107.52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39.36%</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241,333,094.69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49.47%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-14.28%</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318,685,565.29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60.64%</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246,483,474.14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50.53%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29.29%</w:t>
            </w:r>
            <w:r>
              <w:rPr>
                <w:rFonts w:ascii="Times New Roman"/>
                <w:sz w:val="18"/>
              </w:rPr>
            </w:r>
          </w:p>
        </w:tc>
      </w:tr>
    </w:tbl>
    <w:p>
      <w:pPr>
        <w:pStyle w:val="BodyText"/>
        <w:spacing w:line="240" w:lineRule="auto" w:before="60"/>
        <w:ind w:right="93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81"/>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17"/>
        <w:gridCol w:w="1006"/>
        <w:gridCol w:w="1021"/>
        <w:gridCol w:w="1006"/>
        <w:gridCol w:w="1022"/>
        <w:gridCol w:w="991"/>
        <w:gridCol w:w="1006"/>
        <w:gridCol w:w="1006"/>
        <w:gridCol w:w="1006"/>
      </w:tblGrid>
      <w:tr>
        <w:trPr>
          <w:trHeight w:val="405" w:hRule="exact"/>
        </w:trPr>
        <w:tc>
          <w:tcPr>
            <w:tcW w:w="1517" w:type="dxa"/>
            <w:vMerge w:val="restart"/>
            <w:tcBorders>
              <w:top w:val="single" w:sz="6" w:space="0" w:color="000000"/>
              <w:left w:val="single" w:sz="6" w:space="0" w:color="000000"/>
              <w:right w:val="single" w:sz="6" w:space="0" w:color="000000"/>
            </w:tcBorders>
            <w:shd w:val="clear" w:color="auto" w:fill="D2D2D2"/>
          </w:tcPr>
          <w:p>
            <w:pPr/>
          </w:p>
        </w:tc>
        <w:tc>
          <w:tcPr>
            <w:tcW w:w="405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401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1517" w:type="dxa"/>
            <w:vMerge/>
            <w:tcBorders>
              <w:left w:val="single" w:sz="6" w:space="0" w:color="000000"/>
              <w:bottom w:val="single" w:sz="6" w:space="0" w:color="000000"/>
              <w:right w:val="single" w:sz="6" w:space="0" w:color="000000"/>
            </w:tcBorders>
            <w:shd w:val="clear" w:color="auto" w:fill="D2D2D2"/>
          </w:tcPr>
          <w:p>
            <w:pP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1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20"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107,124,497.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08</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104,962,215.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115,717,259.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94</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197,754,700.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104,018,884.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106,674,850.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110,913,446.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166,209,387.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61</w:t>
            </w:r>
          </w:p>
        </w:tc>
      </w:tr>
      <w:tr>
        <w:trPr>
          <w:trHeight w:val="706"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13,968,118.6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17,670,507.3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25,097,400.7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39,502,611.8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13,171,433.8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17,749,194.4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24,062,851.3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13,820,902.3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52" w:lineRule="auto" w:before="44"/>
        <w:ind w:left="501" w:right="939" w:hanging="361"/>
        <w:jc w:val="left"/>
      </w:pPr>
      <w:r>
        <w:rPr/>
        <w:t>说明经营季节性（或周期性）发生的原因及波动风险 </w:t>
      </w:r>
      <w:r>
        <w:rPr>
          <w:spacing w:val="-2"/>
        </w:rPr>
        <w:t>目前公司的客户主要为银行类金融机构，银行信息化建设的预算、立项、招标、采购和实施具有季节性特征，一般在第</w:t>
      </w:r>
    </w:p>
    <w:p>
      <w:pPr>
        <w:pStyle w:val="BodyText"/>
        <w:spacing w:line="314" w:lineRule="auto"/>
        <w:ind w:right="1029"/>
        <w:jc w:val="left"/>
      </w:pPr>
      <w:r>
        <w:rPr>
          <w:spacing w:val="-2"/>
        </w:rPr>
        <w:t>四季度制订次年年度预算计划，审批通常集中在次年第一季度，采购招标一般则安排在次年第一、二季度；此外，上半年存</w:t>
      </w:r>
      <w:r>
        <w:rPr>
          <w:spacing w:val="-57"/>
        </w:rPr>
        <w:t> </w:t>
      </w:r>
      <w:r>
        <w:rPr>
          <w:spacing w:val="-57"/>
        </w:rPr>
      </w:r>
      <w:r>
        <w:rPr/>
        <w:t>在春节放假等因素，员工招聘培训在上半年也较多，因此公司上半年的营业收入和营业利润占比较少，在下半年占比较多， 业绩存在季节性波动。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3"/>
        <w:spacing w:line="240" w:lineRule="auto"/>
        <w:ind w:right="939"/>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866" w:footer="981" w:top="1120" w:bottom="1180" w:left="100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1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left="-21" w:right="0"/>
        <w:jc w:val="left"/>
      </w:pPr>
      <w:r>
        <w:rPr/>
        <w:t>单位：元</w:t>
      </w:r>
    </w:p>
    <w:p>
      <w:pPr>
        <w:spacing w:after="0" w:line="240" w:lineRule="auto"/>
        <w:jc w:val="left"/>
        <w:sectPr>
          <w:type w:val="continuous"/>
          <w:pgSz w:w="11910" w:h="16850"/>
          <w:pgMar w:top="1040" w:bottom="1180" w:left="1000" w:right="0"/>
          <w:cols w:num="2" w:equalWidth="0">
            <w:col w:w="9058" w:space="40"/>
            <w:col w:w="1812"/>
          </w:cols>
        </w:sectPr>
      </w:pP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90"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5"/>
              <w:jc w:val="left"/>
              <w:rPr>
                <w:rFonts w:ascii="宋体" w:hAnsi="宋体" w:cs="宋体" w:eastAsia="宋体" w:hint="default"/>
                <w:sz w:val="18"/>
                <w:szCs w:val="18"/>
              </w:rPr>
            </w:pPr>
            <w:r>
              <w:rPr>
                <w:rFonts w:ascii="宋体" w:hAnsi="宋体" w:cs="宋体" w:eastAsia="宋体" w:hint="default"/>
                <w:spacing w:val="8"/>
                <w:sz w:val="18"/>
                <w:szCs w:val="18"/>
              </w:rPr>
              <w:t>软件与信息服务</w:t>
            </w:r>
            <w:r>
              <w:rPr>
                <w:rFonts w:ascii="宋体" w:hAnsi="宋体" w:cs="宋体" w:eastAsia="宋体" w:hint="default"/>
                <w:sz w:val="18"/>
                <w:szCs w:val="18"/>
              </w:rPr>
              <w:t> 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525,558,672.81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266,180,762.88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49.35%</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7.74%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10.17%</w:t>
            </w:r>
            <w:r>
              <w:rPr>
                <w:rFonts w:ascii="Times New Roman"/>
                <w:sz w:val="18"/>
              </w:rPr>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510,442,087.31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260,608,031.30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48.94%</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18.16%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7.51%</w:t>
            </w:r>
            <w:r>
              <w:rPr>
                <w:rFonts w:ascii="Times New Roman"/>
                <w:sz w:val="18"/>
              </w:rPr>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15,028,266.90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5,511,278.89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63.33%</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9.19%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28.69%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-5.56%</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88,318.60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61,452.69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30.42%</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-99.84%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24.02%</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525,558,672.81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266,180,762.88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49.35%</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7.74%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10.17%</w:t>
            </w:r>
            <w:r>
              <w:rPr>
                <w:rFonts w:ascii="Times New Roman"/>
                <w:sz w:val="18"/>
              </w:rPr>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206,873,107.52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108,912,598.29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47.35%</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-29.95%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11.78%</w:t>
            </w:r>
            <w:r>
              <w:rPr>
                <w:rFonts w:ascii="Times New Roman"/>
                <w:sz w:val="18"/>
              </w:rPr>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318,685,565.29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157,268,164.59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50.65%</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29.29%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11.39%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7.93%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0" w:right="0"/>
              <w:jc w:val="left"/>
              <w:rPr>
                <w:rFonts w:ascii="Times New Roman" w:hAnsi="Times New Roman" w:cs="Times New Roman" w:eastAsia="Times New Roman" w:hint="default"/>
                <w:sz w:val="18"/>
                <w:szCs w:val="18"/>
              </w:rPr>
            </w:pPr>
            <w:r>
              <w:rPr>
                <w:rFonts w:ascii="Times New Roman"/>
                <w:sz w:val="18"/>
              </w:rPr>
              <w:t>525,558,672.81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0" w:right="0"/>
              <w:jc w:val="left"/>
              <w:rPr>
                <w:rFonts w:ascii="Times New Roman" w:hAnsi="Times New Roman" w:cs="Times New Roman" w:eastAsia="Times New Roman" w:hint="default"/>
                <w:sz w:val="18"/>
                <w:szCs w:val="18"/>
              </w:rPr>
            </w:pPr>
            <w:r>
              <w:rPr>
                <w:rFonts w:ascii="Times New Roman"/>
                <w:sz w:val="18"/>
              </w:rPr>
              <w:t>266,180,762.88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81" w:right="0"/>
              <w:jc w:val="left"/>
              <w:rPr>
                <w:rFonts w:ascii="Times New Roman" w:hAnsi="Times New Roman" w:cs="Times New Roman" w:eastAsia="Times New Roman" w:hint="default"/>
                <w:sz w:val="18"/>
                <w:szCs w:val="18"/>
              </w:rPr>
            </w:pPr>
            <w:r>
              <w:rPr>
                <w:rFonts w:ascii="Times New Roman"/>
                <w:sz w:val="18"/>
              </w:rPr>
              <w:t>49.35%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71" w:right="0"/>
              <w:jc w:val="left"/>
              <w:rPr>
                <w:rFonts w:ascii="Times New Roman" w:hAnsi="Times New Roman" w:cs="Times New Roman" w:eastAsia="Times New Roman" w:hint="default"/>
                <w:sz w:val="18"/>
                <w:szCs w:val="18"/>
              </w:rPr>
            </w:pPr>
            <w:r>
              <w:rPr>
                <w:rFonts w:ascii="Times New Roman"/>
                <w:sz w:val="18"/>
              </w:rPr>
              <w:t>7.74%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06" w:right="0"/>
              <w:jc w:val="left"/>
              <w:rPr>
                <w:rFonts w:ascii="Times New Roman" w:hAnsi="Times New Roman" w:cs="Times New Roman" w:eastAsia="Times New Roman" w:hint="default"/>
                <w:sz w:val="18"/>
                <w:szCs w:val="18"/>
              </w:rPr>
            </w:pPr>
            <w:r>
              <w:rPr>
                <w:rFonts w:ascii="Times New Roman"/>
                <w:sz w:val="18"/>
              </w:rPr>
              <w:t>-10.28%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81" w:right="0"/>
              <w:jc w:val="left"/>
              <w:rPr>
                <w:rFonts w:ascii="Times New Roman" w:hAnsi="Times New Roman" w:cs="Times New Roman" w:eastAsia="Times New Roman" w:hint="default"/>
                <w:sz w:val="18"/>
                <w:szCs w:val="18"/>
              </w:rPr>
            </w:pPr>
            <w:r>
              <w:rPr>
                <w:rFonts w:ascii="Times New Roman"/>
                <w:sz w:val="18"/>
              </w:rPr>
              <w:t>10.17%</w:t>
            </w:r>
          </w:p>
        </w:tc>
      </w:tr>
    </w:tbl>
    <w:p>
      <w:pPr>
        <w:pStyle w:val="BodyText"/>
        <w:spacing w:line="240" w:lineRule="auto" w:before="60"/>
        <w:ind w:right="939"/>
        <w:jc w:val="left"/>
      </w:pPr>
      <w:r>
        <w:rPr/>
        <w:t>公司主营业务数据统计口径在报告期发生调整的情况下，公司最近</w:t>
      </w:r>
      <w:r>
        <w:rPr>
          <w:spacing w:val="-39"/>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11"/>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6"/>
        <w:ind w:right="939"/>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5"/>
          <w:szCs w:val="25"/>
        </w:rPr>
      </w:pPr>
    </w:p>
    <w:p>
      <w:pPr>
        <w:pStyle w:val="BodyText"/>
        <w:spacing w:line="350" w:lineRule="auto"/>
        <w:ind w:right="9489"/>
        <w:jc w:val="left"/>
      </w:pPr>
      <w:r>
        <w:rPr/>
        <w:t>行业和产品分类 行业分类</w:t>
      </w:r>
    </w:p>
    <w:p>
      <w:pPr>
        <w:pStyle w:val="BodyText"/>
        <w:spacing w:line="240" w:lineRule="auto" w:before="42"/>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6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256,906,471.94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96.52%</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243,853,124.07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82.20%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5.35%</w:t>
            </w:r>
            <w:r>
              <w:rPr>
                <w:rFonts w:ascii="Times New Roman"/>
                <w:sz w:val="18"/>
              </w:rPr>
            </w:r>
          </w:p>
        </w:tc>
      </w:tr>
      <w:tr>
        <w:trPr>
          <w:trHeight w:val="405" w:hRule="exact"/>
        </w:trPr>
        <w:tc>
          <w:tcPr>
            <w:tcW w:w="1367" w:type="dxa"/>
            <w:vMerge/>
            <w:tcBorders>
              <w:left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9,212,838.25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3.46%</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13,434,826.64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4.53%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-31.43%</w:t>
            </w:r>
          </w:p>
        </w:tc>
      </w:tr>
      <w:tr>
        <w:trPr>
          <w:trHeight w:val="406" w:hRule="exact"/>
        </w:trPr>
        <w:tc>
          <w:tcPr>
            <w:tcW w:w="1367" w:type="dxa"/>
            <w:vMerge/>
            <w:tcBorders>
              <w:left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61,452.69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39,380,353.18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13.27%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-99.84%</w:t>
            </w:r>
          </w:p>
        </w:tc>
      </w:tr>
      <w:tr>
        <w:trPr>
          <w:trHeight w:val="406" w:hRule="exact"/>
        </w:trPr>
        <w:tc>
          <w:tcPr>
            <w:tcW w:w="1367" w:type="dxa"/>
            <w:vMerge/>
            <w:tcBorders>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266,180,762.88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296,668,303.89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-10.28%</w:t>
            </w:r>
          </w:p>
        </w:tc>
      </w:tr>
    </w:tbl>
    <w:p>
      <w:pPr>
        <w:spacing w:line="240" w:lineRule="auto" w:before="5"/>
        <w:rPr>
          <w:rFonts w:ascii="宋体" w:hAnsi="宋体" w:cs="宋体" w:eastAsia="宋体" w:hint="default"/>
          <w:sz w:val="26"/>
          <w:szCs w:val="26"/>
        </w:rPr>
      </w:pPr>
    </w:p>
    <w:p>
      <w:pPr>
        <w:pStyle w:val="BodyText"/>
        <w:spacing w:line="240" w:lineRule="auto" w:before="44"/>
        <w:ind w:right="939"/>
        <w:jc w:val="left"/>
      </w:pPr>
      <w:r>
        <w:rPr/>
        <w:t>产品分类</w:t>
      </w:r>
    </w:p>
    <w:p>
      <w:pPr>
        <w:pStyle w:val="BodyText"/>
        <w:spacing w:line="240" w:lineRule="auto" w:before="109"/>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367"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251,581,731.14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94.52%</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239,723,068.31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80.81%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4.95%</w:t>
            </w:r>
            <w:r>
              <w:rPr>
                <w:rFonts w:ascii="Times New Roman"/>
                <w:sz w:val="18"/>
              </w:rPr>
            </w:r>
          </w:p>
        </w:tc>
      </w:tr>
      <w:tr>
        <w:trPr>
          <w:trHeight w:val="405" w:hRule="exact"/>
        </w:trPr>
        <w:tc>
          <w:tcPr>
            <w:tcW w:w="1367" w:type="dxa"/>
            <w:vMerge/>
            <w:tcBorders>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9,026,300.16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3.39%</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13,282,284.34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4.48%</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-32.04%</w:t>
            </w:r>
          </w:p>
        </w:tc>
      </w:tr>
      <w:tr>
        <w:trPr>
          <w:trHeight w:val="405" w:hRule="exact"/>
        </w:trPr>
        <w:tc>
          <w:tcPr>
            <w:tcW w:w="1367"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5,324,740.80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4,130,055.76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1.39%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28.93%</w:t>
            </w:r>
            <w:r>
              <w:rPr>
                <w:rFonts w:ascii="Times New Roman"/>
                <w:sz w:val="18"/>
              </w:rPr>
            </w:r>
          </w:p>
        </w:tc>
      </w:tr>
      <w:tr>
        <w:trPr>
          <w:trHeight w:val="391" w:hRule="exact"/>
        </w:trPr>
        <w:tc>
          <w:tcPr>
            <w:tcW w:w="1367" w:type="dxa"/>
            <w:vMerge/>
            <w:tcBorders>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186,538.09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152,542.30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22.29%</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61,452.69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39,380,353.18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13.27%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-99.84%</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266,180,762.88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296,668,303.89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-10.28%</w:t>
            </w:r>
          </w:p>
        </w:tc>
      </w:tr>
    </w:tbl>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50"/>
          <w:pgMar w:header="866" w:footer="981" w:top="1120" w:bottom="1180" w:left="1000" w:right="0"/>
        </w:sectPr>
      </w:pPr>
    </w:p>
    <w:p>
      <w:pPr>
        <w:pStyle w:val="BodyText"/>
        <w:spacing w:line="319" w:lineRule="auto" w:before="44"/>
        <w:ind w:right="-1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left="-21" w:right="0"/>
        <w:jc w:val="left"/>
      </w:pPr>
      <w:r>
        <w:rPr/>
        <w:t>单位：元</w:t>
      </w:r>
    </w:p>
    <w:p>
      <w:pPr>
        <w:spacing w:after="0" w:line="240" w:lineRule="auto"/>
        <w:jc w:val="left"/>
        <w:sectPr>
          <w:type w:val="continuous"/>
          <w:pgSz w:w="11910" w:h="16850"/>
          <w:pgMar w:top="1040" w:bottom="1180" w:left="1000" w:right="0"/>
          <w:cols w:num="2" w:equalWidth="0">
            <w:col w:w="9058" w:space="40"/>
            <w:col w:w="1812"/>
          </w:cols>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9"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0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256,906,471.94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96.52%</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243,853,124.07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82.20%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5.35%</w:t>
            </w:r>
            <w:r>
              <w:rPr>
                <w:rFonts w:ascii="Times New Roman"/>
                <w:sz w:val="18"/>
              </w:rPr>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9,212,838.25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3.46%</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13,434,826.64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4.53%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-31.43%</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61,452.69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39,380,353.18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13.27%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-99.84%</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266,180,762.88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296,668,303.89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-10.28%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35"/>
        <w:ind w:right="939"/>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 是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否</w:t>
      </w:r>
    </w:p>
    <w:p>
      <w:pPr>
        <w:pStyle w:val="BodyText"/>
        <w:spacing w:line="240" w:lineRule="auto" w:before="81"/>
        <w:ind w:left="501" w:right="939"/>
        <w:jc w:val="left"/>
      </w:pPr>
      <w:r>
        <w:rPr/>
        <w:t>本公司报告期新增合并单位一家。</w:t>
      </w:r>
    </w:p>
    <w:p>
      <w:pPr>
        <w:pStyle w:val="BodyText"/>
        <w:spacing w:line="302" w:lineRule="auto" w:before="140"/>
        <w:ind w:right="1087" w:firstLine="360"/>
        <w:jc w:val="left"/>
      </w:pPr>
      <w:r>
        <w:rPr/>
        <w:t>四方精创（泰国）有限公司由四方精创信息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有限公司于</w:t>
      </w:r>
      <w:r>
        <w:rPr>
          <w:spacing w:val="-44"/>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9 </w:t>
      </w:r>
      <w:r>
        <w:rPr/>
        <w:t>月</w:t>
      </w:r>
      <w:r>
        <w:rPr>
          <w:spacing w:val="-45"/>
        </w:rPr>
        <w:t> </w:t>
      </w:r>
      <w:r>
        <w:rPr>
          <w:rFonts w:ascii="Times New Roman" w:hAnsi="Times New Roman" w:cs="Times New Roman" w:eastAsia="Times New Roman" w:hint="default"/>
        </w:rPr>
        <w:t>6 </w:t>
      </w:r>
      <w:r>
        <w:rPr/>
        <w:t>日设立，截止</w:t>
      </w:r>
      <w:r>
        <w:rPr>
          <w:spacing w:val="-44"/>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日，认缴注 册资本</w:t>
      </w:r>
      <w:r>
        <w:rPr>
          <w:spacing w:val="-45"/>
        </w:rPr>
        <w:t> </w:t>
      </w:r>
      <w:r>
        <w:rPr>
          <w:rFonts w:ascii="Times New Roman" w:hAnsi="Times New Roman" w:cs="Times New Roman" w:eastAsia="Times New Roman" w:hint="default"/>
        </w:rPr>
        <w:t>400 </w:t>
      </w:r>
      <w:r>
        <w:rPr/>
        <w:t>万泰铢，实缴注册资本为</w:t>
      </w:r>
      <w:r>
        <w:rPr>
          <w:spacing w:val="-43"/>
        </w:rPr>
        <w:t> </w:t>
      </w:r>
      <w:r>
        <w:rPr>
          <w:rFonts w:ascii="Times New Roman" w:hAnsi="Times New Roman" w:cs="Times New Roman" w:eastAsia="Times New Roman" w:hint="default"/>
        </w:rPr>
        <w:t>0</w:t>
      </w:r>
      <w:r>
        <w:rPr/>
        <w:t>。</w:t>
      </w:r>
    </w:p>
    <w:p>
      <w:pPr>
        <w:spacing w:line="240" w:lineRule="auto" w:before="6"/>
        <w:rPr>
          <w:rFonts w:ascii="宋体" w:hAnsi="宋体" w:cs="宋体" w:eastAsia="宋体" w:hint="default"/>
          <w:sz w:val="22"/>
          <w:szCs w:val="22"/>
        </w:rPr>
      </w:pPr>
    </w:p>
    <w:p>
      <w:pPr>
        <w:pStyle w:val="Heading3"/>
        <w:spacing w:line="240" w:lineRule="auto"/>
        <w:ind w:right="939"/>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939"/>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939"/>
        <w:jc w:val="left"/>
      </w:pPr>
      <w:r>
        <w:rPr/>
        <w:t>公司主要销售客户情况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415,978,838.56</w:t>
            </w:r>
          </w:p>
        </w:tc>
      </w:tr>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79.14%</w:t>
            </w:r>
          </w:p>
        </w:tc>
      </w:tr>
      <w:tr>
        <w:trPr>
          <w:trHeight w:val="7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0"/>
        <w:ind w:right="939"/>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249,290,386.79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47.43%</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121,153,053.22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23.05%</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18,987,106.62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3.61%</w:t>
            </w:r>
            <w:r>
              <w:rPr>
                <w:rFonts w:ascii="Times New Roman"/>
                <w:sz w:val="18"/>
              </w:rPr>
            </w:r>
          </w:p>
        </w:tc>
      </w:tr>
      <w:tr>
        <w:trPr>
          <w:trHeight w:val="391"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14,732,943.76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2.80%</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11,815,348.16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2.25%</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415,978,838.56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79.14%</w:t>
            </w:r>
          </w:p>
        </w:tc>
      </w:tr>
    </w:tbl>
    <w:p>
      <w:pPr>
        <w:pStyle w:val="BodyText"/>
        <w:spacing w:line="240" w:lineRule="auto" w:before="45"/>
        <w:ind w:right="939"/>
        <w:jc w:val="left"/>
      </w:pPr>
      <w:r>
        <w:rPr/>
        <w:t>主要客户其他情况说明</w:t>
      </w:r>
    </w:p>
    <w:p>
      <w:pPr>
        <w:pStyle w:val="BodyText"/>
        <w:spacing w:line="319" w:lineRule="auto" w:before="124"/>
        <w:ind w:right="912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适用√不适用</w:t>
      </w:r>
      <w:r>
        <w:rPr>
          <w:w w:val="99"/>
        </w:rPr>
        <w:t> </w:t>
      </w:r>
      <w:r>
        <w:rPr/>
        <w:t>公司主要供应商情况</w:t>
      </w:r>
    </w:p>
    <w:p>
      <w:pPr>
        <w:spacing w:line="240" w:lineRule="auto" w:before="13"/>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390"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61,452.69</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59"/>
        <w:ind w:right="939"/>
        <w:jc w:val="left"/>
      </w:pPr>
      <w:r>
        <w:rPr/>
        <w:t>公司前</w:t>
      </w:r>
      <w:r>
        <w:rPr>
          <w:spacing w:val="-45"/>
        </w:rPr>
        <w:t> </w:t>
      </w:r>
      <w:r>
        <w:rPr>
          <w:rFonts w:ascii="Times New Roman" w:hAnsi="Times New Roman" w:cs="Times New Roman" w:eastAsia="Times New Roman" w:hint="default"/>
        </w:rPr>
        <w:t>5 </w:t>
      </w:r>
      <w:r>
        <w:rPr/>
        <w:t>名供应商资料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61,452.69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61,452.69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45"/>
        <w:ind w:right="939"/>
        <w:jc w:val="left"/>
      </w:pPr>
      <w:r>
        <w:rPr/>
        <w:t>主要供应商其他情况说明</w:t>
      </w:r>
    </w:p>
    <w:p>
      <w:pPr>
        <w:pStyle w:val="BodyText"/>
        <w:spacing w:line="240" w:lineRule="auto" w:before="124"/>
        <w:ind w:right="939"/>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适用√不适用</w:t>
      </w:r>
    </w:p>
    <w:p>
      <w:pPr>
        <w:spacing w:line="240" w:lineRule="auto" w:before="0"/>
        <w:rPr>
          <w:rFonts w:ascii="宋体" w:hAnsi="宋体" w:cs="宋体" w:eastAsia="宋体" w:hint="default"/>
          <w:sz w:val="18"/>
          <w:szCs w:val="18"/>
        </w:rPr>
      </w:pPr>
    </w:p>
    <w:p>
      <w:pPr>
        <w:pStyle w:val="Heading3"/>
        <w:spacing w:line="240" w:lineRule="auto" w:before="126"/>
        <w:ind w:right="939"/>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15"/>
        <w:gridCol w:w="1637"/>
        <w:gridCol w:w="1637"/>
        <w:gridCol w:w="1457"/>
        <w:gridCol w:w="2929"/>
      </w:tblGrid>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3,359,319.17</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2,393,949.15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40.33%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主要是报告期销售人员薪酬增加</w:t>
            </w:r>
          </w:p>
        </w:tc>
      </w:tr>
      <w:tr>
        <w:trPr>
          <w:trHeight w:val="158"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637"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48" w:right="0"/>
              <w:jc w:val="left"/>
              <w:rPr>
                <w:rFonts w:ascii="Times New Roman" w:hAnsi="Times New Roman" w:cs="Times New Roman" w:eastAsia="Times New Roman" w:hint="default"/>
                <w:sz w:val="18"/>
                <w:szCs w:val="18"/>
              </w:rPr>
            </w:pPr>
            <w:r>
              <w:rPr>
                <w:rFonts w:ascii="Times New Roman"/>
                <w:sz w:val="18"/>
              </w:rPr>
              <w:t>86,717,043.61</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57,742,008.94</w:t>
            </w:r>
          </w:p>
        </w:tc>
        <w:tc>
          <w:tcPr>
            <w:tcW w:w="145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50.18%</w:t>
            </w:r>
          </w:p>
        </w:tc>
        <w:tc>
          <w:tcPr>
            <w:tcW w:w="2929" w:type="dxa"/>
            <w:vMerge w:val="restart"/>
            <w:tcBorders>
              <w:top w:val="single" w:sz="6" w:space="0" w:color="000000"/>
              <w:left w:val="single" w:sz="6" w:space="0" w:color="000000"/>
              <w:right w:val="single" w:sz="6" w:space="0" w:color="000000"/>
            </w:tcBorders>
          </w:tcPr>
          <w:p>
            <w:pPr>
              <w:pStyle w:val="TableParagraph"/>
              <w:spacing w:line="304" w:lineRule="auto" w:before="45"/>
              <w:ind w:left="30" w:right="4"/>
              <w:jc w:val="left"/>
              <w:rPr>
                <w:rFonts w:ascii="宋体" w:hAnsi="宋体" w:cs="宋体" w:eastAsia="宋体" w:hint="default"/>
                <w:sz w:val="18"/>
                <w:szCs w:val="18"/>
              </w:rPr>
            </w:pPr>
            <w:r>
              <w:rPr>
                <w:rFonts w:ascii="宋体" w:hAnsi="宋体" w:cs="宋体" w:eastAsia="宋体" w:hint="default"/>
                <w:spacing w:val="11"/>
                <w:sz w:val="18"/>
                <w:szCs w:val="18"/>
              </w:rPr>
              <w:t>主要是报告期职工薪酬及折旧摊销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费用增加</w:t>
            </w:r>
          </w:p>
        </w:tc>
      </w:tr>
      <w:tr>
        <w:trPr>
          <w:trHeight w:val="390"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2"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2929" w:type="dxa"/>
            <w:vMerge/>
            <w:tcBorders>
              <w:left w:val="single" w:sz="6" w:space="0" w:color="000000"/>
              <w:right w:val="single" w:sz="6" w:space="0" w:color="000000"/>
            </w:tcBorders>
          </w:tcPr>
          <w:p>
            <w:pPr/>
          </w:p>
        </w:tc>
      </w:tr>
      <w:tr>
        <w:trPr>
          <w:trHeight w:val="173"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637" w:type="dxa"/>
            <w:vMerge/>
            <w:tcBorders>
              <w:left w:val="single" w:sz="12" w:space="0" w:color="D2D2D2"/>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2929" w:type="dxa"/>
            <w:vMerge/>
            <w:tcBorders>
              <w:left w:val="single" w:sz="6" w:space="0" w:color="000000"/>
              <w:bottom w:val="single" w:sz="6" w:space="0" w:color="000000"/>
              <w:right w:val="single" w:sz="6" w:space="0" w:color="000000"/>
            </w:tcBorders>
          </w:tcPr>
          <w:p>
            <w:pP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-10,490,943.55</w:t>
            </w:r>
            <w:r>
              <w:rPr>
                <w:rFonts w:ascii="Times New Roman"/>
                <w:sz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-10,808,267.21</w:t>
            </w:r>
            <w:r>
              <w:rPr>
                <w:rFonts w:ascii="Times New Roman"/>
                <w:sz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2.94%</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84,315,394.86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75,321,614.94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11.94%</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319" w:lineRule="auto" w:before="96"/>
        <w:ind w:right="939" w:firstLine="360"/>
        <w:jc w:val="left"/>
      </w:pPr>
      <w:r>
        <w:rPr>
          <w:rFonts w:ascii="Times New Roman" w:hAnsi="Times New Roman" w:cs="Times New Roman" w:eastAsia="Times New Roman" w:hint="default"/>
        </w:rPr>
        <w:t>2019</w:t>
      </w:r>
      <w:r>
        <w:rPr/>
        <w:t>年，公司继续保持研发投入，全年研发投入</w:t>
      </w:r>
      <w:r>
        <w:rPr>
          <w:rFonts w:ascii="Times New Roman" w:hAnsi="Times New Roman" w:cs="Times New Roman" w:eastAsia="Times New Roman" w:hint="default"/>
        </w:rPr>
        <w:t>8,431.54</w:t>
      </w:r>
      <w:r>
        <w:rPr/>
        <w:t>万元，占公司营业收入的</w:t>
      </w:r>
      <w:r>
        <w:rPr>
          <w:rFonts w:ascii="Times New Roman" w:hAnsi="Times New Roman" w:cs="Times New Roman" w:eastAsia="Times New Roman" w:hint="default"/>
        </w:rPr>
        <w:t>16.04</w:t>
      </w:r>
      <w:r>
        <w:rPr>
          <w:rFonts w:ascii="宋体" w:hAnsi="宋体" w:cs="宋体" w:eastAsia="宋体" w:hint="default"/>
        </w:rPr>
        <w:t>%</w:t>
      </w:r>
      <w:r>
        <w:rPr/>
        <w:t>；公司加大力度研发分布式架 构微服务平台及区块链技术，占全年研发投入的</w:t>
      </w:r>
      <w:r>
        <w:rPr>
          <w:rFonts w:ascii="Times New Roman" w:hAnsi="Times New Roman" w:cs="Times New Roman" w:eastAsia="Times New Roman" w:hint="default"/>
        </w:rPr>
        <w:t>64.71%</w:t>
      </w:r>
      <w:r>
        <w:rPr/>
        <w:t>。公司新增软件著作权、软件产品登记、科技成果登记共计</w:t>
      </w:r>
      <w:r>
        <w:rPr>
          <w:rFonts w:ascii="Times New Roman" w:hAnsi="Times New Roman" w:cs="Times New Roman" w:eastAsia="Times New Roman" w:hint="default"/>
        </w:rPr>
        <w:t>99</w:t>
      </w:r>
      <w:r>
        <w:rPr/>
        <w:t>项。</w:t>
      </w:r>
      <w:r>
        <w:rPr>
          <w:spacing w:val="-80"/>
        </w:rPr>
        <w:t> </w:t>
      </w:r>
      <w:r>
        <w:rPr/>
        <w:t>近三年公司研发投入金额及占营业收入的比例</w:t>
      </w:r>
    </w:p>
    <w:p>
      <w:pPr>
        <w:spacing w:line="240" w:lineRule="auto" w:before="11"/>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1015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711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1012</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52.13%</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38.66%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51.45%</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84,315,394.86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75,321,614.94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94,551,500.83</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16.04%</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15.44%</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18.62%</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44"/>
        <w:ind w:right="939"/>
        <w:jc w:val="left"/>
      </w:pPr>
      <w:r>
        <w:rPr/>
        <w:t>研发投入总额占营业收入的比重较上年发生显著变化的原因</w:t>
      </w:r>
    </w:p>
    <w:p>
      <w:pPr>
        <w:pStyle w:val="BodyText"/>
        <w:spacing w:line="240" w:lineRule="auto" w:before="125"/>
        <w:ind w:right="939"/>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适用√不适用</w:t>
      </w:r>
    </w:p>
    <w:p>
      <w:pPr>
        <w:spacing w:after="0" w:line="240" w:lineRule="auto"/>
        <w:jc w:val="left"/>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240" w:lineRule="auto" w:before="44"/>
        <w:ind w:right="939"/>
        <w:jc w:val="left"/>
      </w:pPr>
      <w:r>
        <w:rPr/>
        <w:t>研发投入资本化率大幅变动的原因及其合理性说明</w:t>
      </w:r>
    </w:p>
    <w:p>
      <w:pPr>
        <w:pStyle w:val="BodyText"/>
        <w:spacing w:line="240" w:lineRule="auto" w:before="125"/>
        <w:ind w:right="939"/>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适用√不适用</w:t>
      </w:r>
    </w:p>
    <w:p>
      <w:pPr>
        <w:spacing w:line="240" w:lineRule="auto" w:before="0"/>
        <w:rPr>
          <w:rFonts w:ascii="宋体" w:hAnsi="宋体" w:cs="宋体" w:eastAsia="宋体" w:hint="default"/>
          <w:sz w:val="18"/>
          <w:szCs w:val="18"/>
        </w:rPr>
      </w:pPr>
    </w:p>
    <w:p>
      <w:pPr>
        <w:pStyle w:val="Heading3"/>
        <w:spacing w:line="240" w:lineRule="auto" w:before="125"/>
        <w:ind w:right="939"/>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572,973,584.54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513,440,029.66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11.60%</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453,694,666.45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434,145,369.53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4.50%</w:t>
            </w:r>
            <w:r>
              <w:rPr>
                <w:rFonts w:ascii="Times New Roman"/>
                <w:sz w:val="18"/>
              </w:rPr>
            </w: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119,278,918.09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79,294,660.13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50.42%</w:t>
            </w:r>
            <w:r>
              <w:rPr>
                <w:rFonts w:ascii="Times New Roman"/>
                <w:sz w:val="18"/>
              </w:rPr>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335,723.12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2,147,000.00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-84.36%</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27,767,407.57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66,020,130.40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-57.94%</w:t>
            </w: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-27,431,684.45</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-63,873,130.40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57.05%</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6,574,320.00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102,306,494.98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33,385,428.53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206.44%</w:t>
            </w:r>
            <w:r>
              <w:rPr>
                <w:rFonts w:ascii="Times New Roman"/>
                <w:sz w:val="18"/>
              </w:rPr>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-102,306,494.98</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-26,811,108.53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-281.58%</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-9,735,301.87</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-10,032,655.65</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2.96%</w:t>
            </w:r>
            <w:r>
              <w:rPr>
                <w:rFonts w:ascii="Times New Roman"/>
                <w:sz w:val="18"/>
              </w:rPr>
            </w:r>
          </w:p>
        </w:tc>
      </w:tr>
    </w:tbl>
    <w:p>
      <w:pPr>
        <w:pStyle w:val="BodyText"/>
        <w:spacing w:line="240" w:lineRule="auto" w:before="45"/>
        <w:ind w:right="939"/>
        <w:jc w:val="left"/>
      </w:pPr>
      <w:r>
        <w:rPr/>
        <w:t>相关数据同比发生重大变动的主要影响因素说明</w:t>
      </w:r>
    </w:p>
    <w:p>
      <w:pPr>
        <w:pStyle w:val="BodyText"/>
        <w:spacing w:line="240" w:lineRule="auto" w:before="139"/>
        <w:ind w:right="939"/>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96"/>
        <w:ind w:right="939"/>
        <w:jc w:val="left"/>
      </w:pPr>
      <w:r>
        <w:rPr/>
        <w:t>公司经营活动产生的现金流量净额</w:t>
      </w:r>
      <w:r>
        <w:rPr>
          <w:spacing w:val="-42"/>
        </w:rPr>
        <w:t> </w:t>
      </w:r>
      <w:r>
        <w:rPr>
          <w:rFonts w:ascii="Times New Roman" w:hAnsi="Times New Roman" w:cs="Times New Roman" w:eastAsia="Times New Roman" w:hint="default"/>
        </w:rPr>
        <w:t>2019 </w:t>
      </w:r>
      <w:r>
        <w:rPr/>
        <w:t>年较</w:t>
      </w:r>
      <w:r>
        <w:rPr>
          <w:spacing w:val="-45"/>
        </w:rPr>
        <w:t> </w:t>
      </w:r>
      <w:r>
        <w:rPr>
          <w:rFonts w:ascii="Times New Roman" w:hAnsi="Times New Roman" w:cs="Times New Roman" w:eastAsia="Times New Roman" w:hint="default"/>
        </w:rPr>
        <w:t>2018 </w:t>
      </w:r>
      <w:r>
        <w:rPr/>
        <w:t>年增长了</w:t>
      </w:r>
      <w:r>
        <w:rPr>
          <w:spacing w:val="-44"/>
        </w:rPr>
        <w:t> </w:t>
      </w:r>
      <w:r>
        <w:rPr>
          <w:rFonts w:ascii="Times New Roman" w:hAnsi="Times New Roman" w:cs="Times New Roman" w:eastAsia="Times New Roman" w:hint="default"/>
        </w:rPr>
        <w:t>50.42%</w:t>
      </w:r>
      <w:r>
        <w:rPr/>
        <w:t>，主要是由于报告期收到销售回款增加所致。</w:t>
      </w:r>
    </w:p>
    <w:p>
      <w:pPr>
        <w:pStyle w:val="BodyText"/>
        <w:spacing w:line="240" w:lineRule="auto" w:before="111"/>
        <w:ind w:right="939"/>
        <w:jc w:val="left"/>
      </w:pPr>
      <w:r>
        <w:rPr/>
        <w:t>公司投资活动产生的现金流量净额</w:t>
      </w:r>
      <w:r>
        <w:rPr>
          <w:spacing w:val="-42"/>
        </w:rPr>
        <w:t> </w:t>
      </w:r>
      <w:r>
        <w:rPr>
          <w:rFonts w:ascii="Times New Roman" w:hAnsi="Times New Roman" w:cs="Times New Roman" w:eastAsia="Times New Roman" w:hint="default"/>
        </w:rPr>
        <w:t>2019 </w:t>
      </w:r>
      <w:r>
        <w:rPr/>
        <w:t>年较</w:t>
      </w:r>
      <w:r>
        <w:rPr>
          <w:spacing w:val="-45"/>
        </w:rPr>
        <w:t> </w:t>
      </w:r>
      <w:r>
        <w:rPr>
          <w:rFonts w:ascii="Times New Roman" w:hAnsi="Times New Roman" w:cs="Times New Roman" w:eastAsia="Times New Roman" w:hint="default"/>
        </w:rPr>
        <w:t>2018 </w:t>
      </w:r>
      <w:r>
        <w:rPr/>
        <w:t>年增长了</w:t>
      </w:r>
      <w:r>
        <w:rPr>
          <w:spacing w:val="-44"/>
        </w:rPr>
        <w:t> </w:t>
      </w:r>
      <w:r>
        <w:rPr>
          <w:rFonts w:ascii="Times New Roman" w:hAnsi="Times New Roman" w:cs="Times New Roman" w:eastAsia="Times New Roman" w:hint="default"/>
        </w:rPr>
        <w:t>57.05%</w:t>
      </w:r>
      <w:r>
        <w:rPr/>
        <w:t>，主要是由于上年同期对外投资较多所致。</w:t>
      </w:r>
    </w:p>
    <w:p>
      <w:pPr>
        <w:pStyle w:val="BodyText"/>
        <w:spacing w:line="240" w:lineRule="auto" w:before="96"/>
        <w:ind w:right="939"/>
        <w:jc w:val="left"/>
      </w:pPr>
      <w:r>
        <w:rPr/>
        <w:t>公司筹资活动产生的现金流量净额</w:t>
      </w:r>
      <w:r>
        <w:rPr>
          <w:spacing w:val="-42"/>
        </w:rPr>
        <w:t> </w:t>
      </w:r>
      <w:r>
        <w:rPr>
          <w:rFonts w:ascii="Times New Roman" w:hAnsi="Times New Roman" w:cs="Times New Roman" w:eastAsia="Times New Roman" w:hint="default"/>
        </w:rPr>
        <w:t>2019 </w:t>
      </w:r>
      <w:r>
        <w:rPr/>
        <w:t>年较</w:t>
      </w:r>
      <w:r>
        <w:rPr>
          <w:spacing w:val="-45"/>
        </w:rPr>
        <w:t> </w:t>
      </w:r>
      <w:r>
        <w:rPr>
          <w:rFonts w:ascii="Times New Roman" w:hAnsi="Times New Roman" w:cs="Times New Roman" w:eastAsia="Times New Roman" w:hint="default"/>
        </w:rPr>
        <w:t>2018 </w:t>
      </w:r>
      <w:r>
        <w:rPr/>
        <w:t>年减少了</w:t>
      </w:r>
      <w:r>
        <w:rPr>
          <w:spacing w:val="-44"/>
        </w:rPr>
        <w:t> </w:t>
      </w:r>
      <w:r>
        <w:rPr>
          <w:rFonts w:ascii="Times New Roman" w:hAnsi="Times New Roman" w:cs="Times New Roman" w:eastAsia="Times New Roman" w:hint="default"/>
        </w:rPr>
        <w:t>281.58%</w:t>
      </w:r>
      <w:r>
        <w:rPr/>
        <w:t>，主要是由于报告期回购限制性股票所致。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240" w:lineRule="auto"/>
        <w:ind w:right="939"/>
        <w:jc w:val="left"/>
      </w:pPr>
      <w:r>
        <w:rPr/>
        <w:t>报告期内公司经营活动产生的现金净流量与本年度净利润存在重大差异的原因说明</w:t>
      </w:r>
    </w:p>
    <w:p>
      <w:pPr>
        <w:pStyle w:val="BodyText"/>
        <w:spacing w:line="240" w:lineRule="auto" w:before="124"/>
        <w:ind w:right="939"/>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适用√不适用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三、非主营业务情况" w:id="40"/>
      <w:bookmarkEnd w:id="40"/>
      <w:r>
        <w:rPr>
          <w:b w:val="0"/>
          <w:bCs w:val="0"/>
        </w:rPr>
      </w:r>
      <w:r>
        <w:rPr/>
        <w:t>三、非主营业务情况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适用√不适用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9"/>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2238"/>
        <w:gridCol w:w="2253"/>
        <w:gridCol w:w="796"/>
        <w:gridCol w:w="2929"/>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157" w:hRule="exact"/>
        </w:trPr>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420" w:right="89"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435"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6" w:type="dxa"/>
            <w:vMerge w:val="restart"/>
            <w:tcBorders>
              <w:top w:val="single" w:sz="6" w:space="0" w:color="000000"/>
              <w:left w:val="single" w:sz="6" w:space="0" w:color="000000"/>
              <w:right w:val="single" w:sz="6" w:space="0" w:color="000000"/>
            </w:tcBorders>
            <w:shd w:val="clear" w:color="auto" w:fill="D2D2D2"/>
          </w:tcPr>
          <w:p>
            <w:pPr/>
          </w:p>
        </w:tc>
        <w:tc>
          <w:tcPr>
            <w:tcW w:w="2929" w:type="dxa"/>
            <w:vMerge w:val="restart"/>
            <w:tcBorders>
              <w:top w:val="single" w:sz="6" w:space="0" w:color="000000"/>
              <w:left w:val="single" w:sz="6" w:space="0" w:color="000000"/>
              <w:right w:val="single" w:sz="6" w:space="0" w:color="000000"/>
            </w:tcBorders>
            <w:shd w:val="clear" w:color="auto" w:fill="D2D2D2"/>
          </w:tcPr>
          <w:p>
            <w:pPr/>
          </w:p>
        </w:tc>
      </w:tr>
      <w:tr>
        <w:trPr>
          <w:trHeight w:val="390" w:hRule="exact"/>
        </w:trPr>
        <w:tc>
          <w:tcPr>
            <w:tcW w:w="1367" w:type="dxa"/>
            <w:vMerge/>
            <w:tcBorders>
              <w:left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172"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526,922,052.5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44.01%</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535,723,015.95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44.66%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-0.66%</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应收帐款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175,895,620.7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14.69%</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193,508,351.03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16.13%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-1.44%</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5,983,550.99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5,852,198.13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0.49%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48,393,395.82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4.04%</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48,095,753.10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4.01%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302,285,456.4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25.24%</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285,952,429.70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23.84%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1.40%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19,379,842.84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1.62%</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30,887,754.50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2.58%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-0.96%</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0"/>
              <w:jc w:val="left"/>
              <w:rPr>
                <w:rFonts w:ascii="宋体" w:hAnsi="宋体" w:cs="宋体" w:eastAsia="宋体" w:hint="default"/>
                <w:sz w:val="18"/>
                <w:szCs w:val="18"/>
              </w:rPr>
            </w:pPr>
            <w:r>
              <w:rPr>
                <w:rFonts w:ascii="宋体" w:hAnsi="宋体" w:cs="宋体" w:eastAsia="宋体" w:hint="default"/>
                <w:spacing w:val="10"/>
                <w:sz w:val="18"/>
                <w:szCs w:val="18"/>
              </w:rPr>
              <w:t>其他权益工具投</w:t>
            </w:r>
            <w:r>
              <w:rPr>
                <w:rFonts w:ascii="宋体" w:hAnsi="宋体" w:cs="宋体" w:eastAsia="宋体" w:hint="default"/>
                <w:sz w:val="18"/>
                <w:szCs w:val="18"/>
              </w:rPr>
              <w:t> 资</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54,841,508.99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4.58%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48,896,306.76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4.08%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31,748,992.45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2.65%</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29,172,094.30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before="35"/>
        <w:ind w:right="939"/>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right="939"/>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968"/>
        <w:gridCol w:w="1029"/>
        <w:gridCol w:w="1059"/>
        <w:gridCol w:w="1198"/>
        <w:gridCol w:w="927"/>
        <w:gridCol w:w="1202"/>
        <w:gridCol w:w="1055"/>
        <w:gridCol w:w="920"/>
        <w:gridCol w:w="1216"/>
      </w:tblGrid>
      <w:tr>
        <w:trPr>
          <w:trHeight w:val="157" w:hRule="exact"/>
        </w:trPr>
        <w:tc>
          <w:tcPr>
            <w:tcW w:w="968" w:type="dxa"/>
            <w:vMerge w:val="restart"/>
            <w:tcBorders>
              <w:top w:val="single" w:sz="6" w:space="0" w:color="000000"/>
              <w:left w:val="single" w:sz="6" w:space="0" w:color="000000"/>
              <w:right w:val="single" w:sz="6" w:space="0" w:color="000000"/>
            </w:tcBorders>
            <w:shd w:val="clear" w:color="auto" w:fill="D2D2D2"/>
          </w:tcPr>
          <w:p>
            <w:pPr/>
          </w:p>
        </w:tc>
        <w:tc>
          <w:tcPr>
            <w:tcW w:w="1029" w:type="dxa"/>
            <w:vMerge w:val="restart"/>
            <w:tcBorders>
              <w:top w:val="single" w:sz="6" w:space="0" w:color="000000"/>
              <w:left w:val="single" w:sz="6" w:space="0" w:color="000000"/>
              <w:right w:val="single" w:sz="6" w:space="0" w:color="000000"/>
            </w:tcBorders>
            <w:shd w:val="clear" w:color="auto" w:fill="D2D2D2"/>
          </w:tcPr>
          <w:p>
            <w:pPr/>
          </w:p>
        </w:tc>
        <w:tc>
          <w:tcPr>
            <w:tcW w:w="1059"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8"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44" w:right="5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7"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055" w:type="dxa"/>
            <w:tcBorders>
              <w:top w:val="single" w:sz="6" w:space="0" w:color="000000"/>
              <w:left w:val="single" w:sz="6" w:space="0" w:color="000000"/>
              <w:bottom w:val="nil" w:sz="6" w:space="0" w:color="auto"/>
              <w:right w:val="single" w:sz="6" w:space="0" w:color="000000"/>
            </w:tcBorders>
            <w:shd w:val="clear" w:color="auto" w:fill="D2D2D2"/>
          </w:tcPr>
          <w:p>
            <w:pPr/>
          </w:p>
        </w:tc>
        <w:tc>
          <w:tcPr>
            <w:tcW w:w="920" w:type="dxa"/>
            <w:vMerge w:val="restart"/>
            <w:tcBorders>
              <w:top w:val="single" w:sz="6" w:space="0" w:color="000000"/>
              <w:left w:val="single" w:sz="6" w:space="0" w:color="000000"/>
              <w:right w:val="single" w:sz="6" w:space="0" w:color="000000"/>
            </w:tcBorders>
            <w:shd w:val="clear" w:color="auto" w:fill="D2D2D2"/>
          </w:tcPr>
          <w:p>
            <w:pPr/>
          </w:p>
        </w:tc>
        <w:tc>
          <w:tcPr>
            <w:tcW w:w="1216" w:type="dxa"/>
            <w:vMerge w:val="restart"/>
            <w:tcBorders>
              <w:top w:val="single" w:sz="6" w:space="0" w:color="000000"/>
              <w:left w:val="single" w:sz="6" w:space="0" w:color="000000"/>
              <w:right w:val="single" w:sz="6" w:space="0" w:color="000000"/>
            </w:tcBorders>
            <w:shd w:val="clear" w:color="auto" w:fill="D2D2D2"/>
          </w:tcPr>
          <w:p>
            <w:pPr/>
          </w:p>
        </w:tc>
      </w:tr>
      <w:tr>
        <w:trPr>
          <w:trHeight w:val="150" w:hRule="exact"/>
        </w:trPr>
        <w:tc>
          <w:tcPr>
            <w:tcW w:w="968" w:type="dxa"/>
            <w:vMerge/>
            <w:tcBorders>
              <w:left w:val="single" w:sz="6" w:space="0" w:color="000000"/>
              <w:bottom w:val="nil" w:sz="6" w:space="0" w:color="auto"/>
              <w:right w:val="single" w:sz="6" w:space="0" w:color="000000"/>
            </w:tcBorders>
            <w:shd w:val="clear" w:color="auto" w:fill="D2D2D2"/>
          </w:tcPr>
          <w:p>
            <w:pPr/>
          </w:p>
        </w:tc>
        <w:tc>
          <w:tcPr>
            <w:tcW w:w="1029" w:type="dxa"/>
            <w:vMerge/>
            <w:tcBorders>
              <w:left w:val="single" w:sz="6" w:space="0" w:color="000000"/>
              <w:bottom w:val="nil" w:sz="6" w:space="0" w:color="auto"/>
              <w:right w:val="single" w:sz="6" w:space="0" w:color="000000"/>
            </w:tcBorders>
            <w:shd w:val="clear" w:color="auto" w:fill="D2D2D2"/>
          </w:tcPr>
          <w:p>
            <w:pPr/>
          </w:p>
        </w:tc>
        <w:tc>
          <w:tcPr>
            <w:tcW w:w="1059"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67" w:right="74"/>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8" w:type="dxa"/>
            <w:vMerge/>
            <w:tcBorders>
              <w:left w:val="single" w:sz="6" w:space="0" w:color="000000"/>
              <w:right w:val="single" w:sz="6" w:space="0" w:color="000000"/>
            </w:tcBorders>
            <w:shd w:val="clear" w:color="auto" w:fill="D2D2D2"/>
          </w:tcPr>
          <w:p>
            <w:pPr/>
          </w:p>
        </w:tc>
        <w:tc>
          <w:tcPr>
            <w:tcW w:w="927"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83" w:right="96"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2" w:type="dxa"/>
            <w:vMerge/>
            <w:tcBorders>
              <w:left w:val="single" w:sz="6" w:space="0" w:color="000000"/>
              <w:bottom w:val="nil" w:sz="6" w:space="0" w:color="auto"/>
              <w:right w:val="single" w:sz="6" w:space="0" w:color="000000"/>
            </w:tcBorders>
            <w:shd w:val="clear" w:color="auto" w:fill="D2D2D2"/>
          </w:tcPr>
          <w:p>
            <w:pPr/>
          </w:p>
        </w:tc>
        <w:tc>
          <w:tcPr>
            <w:tcW w:w="105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427" w:right="70" w:hanging="361"/>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6" w:space="0" w:color="000000"/>
              <w:bottom w:val="nil" w:sz="6" w:space="0" w:color="auto"/>
              <w:right w:val="single" w:sz="6" w:space="0" w:color="000000"/>
            </w:tcBorders>
            <w:shd w:val="clear" w:color="auto" w:fill="D2D2D2"/>
          </w:tcPr>
          <w:p>
            <w:pPr/>
          </w:p>
        </w:tc>
        <w:tc>
          <w:tcPr>
            <w:tcW w:w="1216" w:type="dxa"/>
            <w:vMerge/>
            <w:tcBorders>
              <w:left w:val="single" w:sz="6" w:space="0" w:color="000000"/>
              <w:bottom w:val="nil" w:sz="6" w:space="0" w:color="auto"/>
              <w:right w:val="single" w:sz="6" w:space="0" w:color="000000"/>
            </w:tcBorders>
            <w:shd w:val="clear" w:color="auto" w:fill="D2D2D2"/>
          </w:tcPr>
          <w:p>
            <w:pPr/>
          </w:p>
        </w:tc>
      </w:tr>
      <w:tr>
        <w:trPr>
          <w:trHeight w:val="405" w:hRule="exact"/>
        </w:trPr>
        <w:tc>
          <w:tcPr>
            <w:tcW w:w="96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298"/>
              <w:jc w:val="right"/>
              <w:rPr>
                <w:rFonts w:ascii="宋体" w:hAnsi="宋体" w:cs="宋体" w:eastAsia="宋体" w:hint="default"/>
                <w:sz w:val="18"/>
                <w:szCs w:val="18"/>
              </w:rPr>
            </w:pPr>
            <w:r>
              <w:rPr>
                <w:rFonts w:ascii="宋体" w:hAnsi="宋体" w:cs="宋体" w:eastAsia="宋体" w:hint="default"/>
                <w:sz w:val="18"/>
                <w:szCs w:val="18"/>
              </w:rPr>
              <w:t>项目</w:t>
            </w:r>
          </w:p>
        </w:tc>
        <w:tc>
          <w:tcPr>
            <w:tcW w:w="102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9" w:type="dxa"/>
            <w:vMerge/>
            <w:tcBorders>
              <w:left w:val="single" w:sz="6" w:space="0" w:color="000000"/>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927" w:type="dxa"/>
            <w:vMerge/>
            <w:tcBorders>
              <w:left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5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55" w:type="dxa"/>
            <w:vMerge/>
            <w:tcBorders>
              <w:left w:val="single" w:sz="6" w:space="0" w:color="000000"/>
              <w:right w:val="single" w:sz="6" w:space="0" w:color="000000"/>
            </w:tcBorders>
            <w:shd w:val="clear" w:color="auto" w:fill="D2D2D2"/>
          </w:tcPr>
          <w:p>
            <w:pPr/>
          </w:p>
        </w:tc>
        <w:tc>
          <w:tcPr>
            <w:tcW w:w="92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9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0" w:hRule="exact"/>
        </w:trPr>
        <w:tc>
          <w:tcPr>
            <w:tcW w:w="968" w:type="dxa"/>
            <w:vMerge w:val="restart"/>
            <w:tcBorders>
              <w:top w:val="nil" w:sz="6" w:space="0" w:color="auto"/>
              <w:left w:val="single" w:sz="6" w:space="0" w:color="000000"/>
              <w:right w:val="single" w:sz="6" w:space="0" w:color="000000"/>
            </w:tcBorders>
            <w:shd w:val="clear" w:color="auto" w:fill="D2D2D2"/>
          </w:tcPr>
          <w:p>
            <w:pPr/>
          </w:p>
        </w:tc>
        <w:tc>
          <w:tcPr>
            <w:tcW w:w="1029" w:type="dxa"/>
            <w:vMerge w:val="restart"/>
            <w:tcBorders>
              <w:top w:val="nil" w:sz="6" w:space="0" w:color="auto"/>
              <w:left w:val="single" w:sz="6" w:space="0" w:color="000000"/>
              <w:right w:val="single" w:sz="6" w:space="0" w:color="000000"/>
            </w:tcBorders>
            <w:shd w:val="clear" w:color="auto" w:fill="D2D2D2"/>
          </w:tcPr>
          <w:p>
            <w:pPr/>
          </w:p>
        </w:tc>
        <w:tc>
          <w:tcPr>
            <w:tcW w:w="1059" w:type="dxa"/>
            <w:vMerge/>
            <w:tcBorders>
              <w:left w:val="single" w:sz="6" w:space="0" w:color="000000"/>
              <w:bottom w:val="nil" w:sz="6" w:space="0" w:color="auto"/>
              <w:right w:val="single" w:sz="6" w:space="0" w:color="000000"/>
            </w:tcBorders>
            <w:shd w:val="clear" w:color="auto" w:fill="D2D2D2"/>
          </w:tcPr>
          <w:p>
            <w:pPr/>
          </w:p>
        </w:tc>
        <w:tc>
          <w:tcPr>
            <w:tcW w:w="1198" w:type="dxa"/>
            <w:vMerge/>
            <w:tcBorders>
              <w:left w:val="single" w:sz="6" w:space="0" w:color="000000"/>
              <w:right w:val="single" w:sz="6" w:space="0" w:color="000000"/>
            </w:tcBorders>
            <w:shd w:val="clear" w:color="auto" w:fill="D2D2D2"/>
          </w:tcPr>
          <w:p>
            <w:pPr/>
          </w:p>
        </w:tc>
        <w:tc>
          <w:tcPr>
            <w:tcW w:w="927"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
        </w:tc>
        <w:tc>
          <w:tcPr>
            <w:tcW w:w="1055" w:type="dxa"/>
            <w:vMerge/>
            <w:tcBorders>
              <w:left w:val="single" w:sz="6" w:space="0" w:color="000000"/>
              <w:bottom w:val="nil" w:sz="6" w:space="0" w:color="auto"/>
              <w:right w:val="single" w:sz="6" w:space="0" w:color="000000"/>
            </w:tcBorders>
            <w:shd w:val="clear" w:color="auto" w:fill="D2D2D2"/>
          </w:tcPr>
          <w:p>
            <w:pPr/>
          </w:p>
        </w:tc>
        <w:tc>
          <w:tcPr>
            <w:tcW w:w="920" w:type="dxa"/>
            <w:vMerge w:val="restart"/>
            <w:tcBorders>
              <w:top w:val="nil" w:sz="6" w:space="0" w:color="auto"/>
              <w:left w:val="single" w:sz="6" w:space="0" w:color="000000"/>
              <w:right w:val="single" w:sz="6" w:space="0" w:color="000000"/>
            </w:tcBorders>
            <w:shd w:val="clear" w:color="auto" w:fill="D2D2D2"/>
          </w:tcPr>
          <w:p>
            <w:pPr/>
          </w:p>
        </w:tc>
        <w:tc>
          <w:tcPr>
            <w:tcW w:w="1216" w:type="dxa"/>
            <w:vMerge w:val="restart"/>
            <w:tcBorders>
              <w:top w:val="nil" w:sz="6" w:space="0" w:color="auto"/>
              <w:left w:val="single" w:sz="6" w:space="0" w:color="000000"/>
              <w:right w:val="single" w:sz="6" w:space="0" w:color="000000"/>
            </w:tcBorders>
            <w:shd w:val="clear" w:color="auto" w:fill="D2D2D2"/>
          </w:tcPr>
          <w:p>
            <w:pPr/>
          </w:p>
        </w:tc>
      </w:tr>
      <w:tr>
        <w:trPr>
          <w:trHeight w:val="166" w:hRule="exact"/>
        </w:trPr>
        <w:tc>
          <w:tcPr>
            <w:tcW w:w="968" w:type="dxa"/>
            <w:vMerge/>
            <w:tcBorders>
              <w:left w:val="single" w:sz="6" w:space="0" w:color="000000"/>
              <w:bottom w:val="single" w:sz="6" w:space="0" w:color="000000"/>
              <w:right w:val="single" w:sz="6" w:space="0" w:color="000000"/>
            </w:tcBorders>
            <w:shd w:val="clear" w:color="auto" w:fill="D2D2D2"/>
          </w:tcPr>
          <w:p>
            <w:pPr/>
          </w:p>
        </w:tc>
        <w:tc>
          <w:tcPr>
            <w:tcW w:w="1029" w:type="dxa"/>
            <w:vMerge/>
            <w:tcBorders>
              <w:left w:val="single" w:sz="6" w:space="0" w:color="000000"/>
              <w:bottom w:val="single" w:sz="6" w:space="0" w:color="000000"/>
              <w:right w:val="single" w:sz="6" w:space="0" w:color="000000"/>
            </w:tcBorders>
            <w:shd w:val="clear" w:color="auto" w:fill="D2D2D2"/>
          </w:tcPr>
          <w:p>
            <w:pPr/>
          </w:p>
        </w:tc>
        <w:tc>
          <w:tcPr>
            <w:tcW w:w="1059"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8" w:type="dxa"/>
            <w:vMerge/>
            <w:tcBorders>
              <w:left w:val="single" w:sz="6" w:space="0" w:color="000000"/>
              <w:bottom w:val="single" w:sz="6" w:space="0" w:color="000000"/>
              <w:right w:val="single" w:sz="6" w:space="0" w:color="000000"/>
            </w:tcBorders>
            <w:shd w:val="clear" w:color="auto" w:fill="D2D2D2"/>
          </w:tcPr>
          <w:p>
            <w:pPr/>
          </w:p>
        </w:tc>
        <w:tc>
          <w:tcPr>
            <w:tcW w:w="92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055" w:type="dxa"/>
            <w:tcBorders>
              <w:top w:val="nil" w:sz="6" w:space="0" w:color="auto"/>
              <w:left w:val="single" w:sz="6" w:space="0" w:color="000000"/>
              <w:bottom w:val="single" w:sz="6" w:space="0" w:color="000000"/>
              <w:right w:val="single" w:sz="6" w:space="0" w:color="000000"/>
            </w:tcBorders>
            <w:shd w:val="clear" w:color="auto" w:fill="D2D2D2"/>
          </w:tcPr>
          <w:p>
            <w:pPr/>
          </w:p>
        </w:tc>
        <w:tc>
          <w:tcPr>
            <w:tcW w:w="920"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398" w:hRule="exact"/>
        </w:trPr>
        <w:tc>
          <w:tcPr>
            <w:tcW w:w="9574"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7"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21" w:hRule="exact"/>
        </w:trPr>
        <w:tc>
          <w:tcPr>
            <w:tcW w:w="9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 工具投资</w:t>
            </w:r>
          </w:p>
        </w:tc>
        <w:tc>
          <w:tcPr>
            <w:tcW w:w="102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48,896,306.7</w:t>
            </w:r>
          </w:p>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5,945,202.23</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-33,738,056.01</w:t>
            </w:r>
          </w:p>
        </w:tc>
        <w:tc>
          <w:tcPr>
            <w:tcW w:w="927"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54,841,508.99</w:t>
            </w:r>
          </w:p>
        </w:tc>
      </w:tr>
      <w:tr>
        <w:trPr>
          <w:trHeight w:val="157" w:hRule="exact"/>
        </w:trPr>
        <w:tc>
          <w:tcPr>
            <w:tcW w:w="968" w:type="dxa"/>
            <w:tcBorders>
              <w:top w:val="single" w:sz="6" w:space="0" w:color="000000"/>
              <w:left w:val="single" w:sz="6" w:space="0" w:color="000000"/>
              <w:bottom w:val="nil" w:sz="6" w:space="0" w:color="auto"/>
              <w:right w:val="single" w:sz="6" w:space="0" w:color="000000"/>
            </w:tcBorders>
            <w:shd w:val="clear" w:color="auto" w:fill="D2D2D2"/>
          </w:tcPr>
          <w:p>
            <w:pPr/>
          </w:p>
        </w:tc>
        <w:tc>
          <w:tcPr>
            <w:tcW w:w="1029" w:type="dxa"/>
            <w:vMerge w:val="restart"/>
            <w:tcBorders>
              <w:top w:val="single" w:sz="6" w:space="0" w:color="000000"/>
              <w:left w:val="single" w:sz="12" w:space="0" w:color="D2D2D2"/>
              <w:right w:val="single" w:sz="6" w:space="0" w:color="000000"/>
            </w:tcBorders>
          </w:tcPr>
          <w:p>
            <w:pPr>
              <w:pStyle w:val="TableParagraph"/>
              <w:spacing w:line="240" w:lineRule="auto" w:before="87"/>
              <w:ind w:right="22"/>
              <w:jc w:val="right"/>
              <w:rPr>
                <w:rFonts w:ascii="Times New Roman" w:hAnsi="Times New Roman" w:cs="Times New Roman" w:eastAsia="Times New Roman" w:hint="default"/>
                <w:sz w:val="18"/>
                <w:szCs w:val="18"/>
              </w:rPr>
            </w:pPr>
            <w:r>
              <w:rPr>
                <w:rFonts w:ascii="Times New Roman"/>
                <w:sz w:val="18"/>
              </w:rPr>
              <w:t>48,896,306.7</w:t>
            </w:r>
          </w:p>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z w:val="18"/>
              </w:rPr>
              <w:t>6</w:t>
            </w:r>
          </w:p>
        </w:tc>
        <w:tc>
          <w:tcPr>
            <w:tcW w:w="1059"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5,945,202.23</w:t>
            </w:r>
          </w:p>
        </w:tc>
        <w:tc>
          <w:tcPr>
            <w:tcW w:w="119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-33,738,056.01</w:t>
            </w:r>
          </w:p>
        </w:tc>
        <w:tc>
          <w:tcPr>
            <w:tcW w:w="927" w:type="dxa"/>
            <w:vMerge w:val="restart"/>
            <w:tcBorders>
              <w:top w:val="single" w:sz="6" w:space="0" w:color="000000"/>
              <w:left w:val="single" w:sz="6" w:space="0" w:color="000000"/>
              <w:right w:val="single" w:sz="6" w:space="0" w:color="000000"/>
            </w:tcBorders>
          </w:tcPr>
          <w:p>
            <w:pPr/>
          </w:p>
        </w:tc>
        <w:tc>
          <w:tcPr>
            <w:tcW w:w="1202" w:type="dxa"/>
            <w:vMerge w:val="restart"/>
            <w:tcBorders>
              <w:top w:val="single" w:sz="6" w:space="0" w:color="000000"/>
              <w:left w:val="single" w:sz="6" w:space="0" w:color="000000"/>
              <w:right w:val="single" w:sz="6" w:space="0" w:color="000000"/>
            </w:tcBorders>
          </w:tcPr>
          <w:p>
            <w:pPr/>
          </w:p>
        </w:tc>
        <w:tc>
          <w:tcPr>
            <w:tcW w:w="1055" w:type="dxa"/>
            <w:vMerge w:val="restart"/>
            <w:tcBorders>
              <w:top w:val="single" w:sz="6" w:space="0" w:color="000000"/>
              <w:left w:val="single" w:sz="6" w:space="0" w:color="000000"/>
              <w:right w:val="single" w:sz="6" w:space="0" w:color="000000"/>
            </w:tcBorders>
          </w:tcPr>
          <w:p>
            <w:pPr/>
          </w:p>
        </w:tc>
        <w:tc>
          <w:tcPr>
            <w:tcW w:w="920" w:type="dxa"/>
            <w:vMerge w:val="restart"/>
            <w:tcBorders>
              <w:top w:val="single" w:sz="6" w:space="0" w:color="000000"/>
              <w:left w:val="single" w:sz="6" w:space="0" w:color="000000"/>
              <w:right w:val="single" w:sz="6" w:space="0" w:color="000000"/>
            </w:tcBorders>
          </w:tcPr>
          <w:p>
            <w:pPr/>
          </w:p>
        </w:tc>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54,841,508.99</w:t>
            </w:r>
          </w:p>
        </w:tc>
      </w:tr>
      <w:tr>
        <w:trPr>
          <w:trHeight w:val="390" w:hRule="exact"/>
        </w:trPr>
        <w:tc>
          <w:tcPr>
            <w:tcW w:w="96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223"/>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029" w:type="dxa"/>
            <w:vMerge/>
            <w:tcBorders>
              <w:left w:val="single" w:sz="12" w:space="0" w:color="D2D2D2"/>
              <w:right w:val="single" w:sz="6" w:space="0" w:color="000000"/>
            </w:tcBorders>
          </w:tcPr>
          <w:p>
            <w:pPr/>
          </w:p>
        </w:tc>
        <w:tc>
          <w:tcPr>
            <w:tcW w:w="1059" w:type="dxa"/>
            <w:vMerge/>
            <w:tcBorders>
              <w:left w:val="single" w:sz="6" w:space="0" w:color="000000"/>
              <w:right w:val="single" w:sz="6" w:space="0" w:color="000000"/>
            </w:tcBorders>
          </w:tcPr>
          <w:p>
            <w:pPr/>
          </w:p>
        </w:tc>
        <w:tc>
          <w:tcPr>
            <w:tcW w:w="1198" w:type="dxa"/>
            <w:vMerge/>
            <w:tcBorders>
              <w:left w:val="single" w:sz="6" w:space="0" w:color="000000"/>
              <w:right w:val="single" w:sz="6" w:space="0" w:color="000000"/>
            </w:tcBorders>
          </w:tcPr>
          <w:p>
            <w:pPr/>
          </w:p>
        </w:tc>
        <w:tc>
          <w:tcPr>
            <w:tcW w:w="927"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055" w:type="dxa"/>
            <w:vMerge/>
            <w:tcBorders>
              <w:left w:val="single" w:sz="6" w:space="0" w:color="000000"/>
              <w:right w:val="single" w:sz="6" w:space="0" w:color="000000"/>
            </w:tcBorders>
          </w:tcPr>
          <w:p>
            <w:pPr/>
          </w:p>
        </w:tc>
        <w:tc>
          <w:tcPr>
            <w:tcW w:w="920" w:type="dxa"/>
            <w:vMerge/>
            <w:tcBorders>
              <w:left w:val="single" w:sz="6" w:space="0" w:color="000000"/>
              <w:right w:val="single" w:sz="6" w:space="0" w:color="000000"/>
            </w:tcBorders>
          </w:tcPr>
          <w:p>
            <w:pPr/>
          </w:p>
        </w:tc>
        <w:tc>
          <w:tcPr>
            <w:tcW w:w="1216" w:type="dxa"/>
            <w:vMerge/>
            <w:tcBorders>
              <w:left w:val="single" w:sz="6" w:space="0" w:color="000000"/>
              <w:right w:val="single" w:sz="6" w:space="0" w:color="000000"/>
            </w:tcBorders>
          </w:tcPr>
          <w:p>
            <w:pPr/>
          </w:p>
        </w:tc>
      </w:tr>
      <w:tr>
        <w:trPr>
          <w:trHeight w:val="158" w:hRule="exact"/>
        </w:trPr>
        <w:tc>
          <w:tcPr>
            <w:tcW w:w="968" w:type="dxa"/>
            <w:tcBorders>
              <w:top w:val="nil" w:sz="6" w:space="0" w:color="auto"/>
              <w:left w:val="single" w:sz="6" w:space="0" w:color="000000"/>
              <w:bottom w:val="single" w:sz="6" w:space="0" w:color="000000"/>
              <w:right w:val="single" w:sz="6" w:space="0" w:color="000000"/>
            </w:tcBorders>
            <w:shd w:val="clear" w:color="auto" w:fill="D2D2D2"/>
          </w:tcPr>
          <w:p>
            <w:pPr/>
          </w:p>
        </w:tc>
        <w:tc>
          <w:tcPr>
            <w:tcW w:w="1029" w:type="dxa"/>
            <w:vMerge/>
            <w:tcBorders>
              <w:left w:val="single" w:sz="12" w:space="0" w:color="D2D2D2"/>
              <w:bottom w:val="single" w:sz="6" w:space="0" w:color="000000"/>
              <w:right w:val="single" w:sz="6" w:space="0" w:color="000000"/>
            </w:tcBorders>
          </w:tcPr>
          <w:p>
            <w:pPr/>
          </w:p>
        </w:tc>
        <w:tc>
          <w:tcPr>
            <w:tcW w:w="1059" w:type="dxa"/>
            <w:vMerge/>
            <w:tcBorders>
              <w:left w:val="single" w:sz="6" w:space="0" w:color="000000"/>
              <w:bottom w:val="single" w:sz="6" w:space="0" w:color="000000"/>
              <w:right w:val="single" w:sz="6" w:space="0" w:color="000000"/>
            </w:tcBorders>
          </w:tcPr>
          <w:p>
            <w:pPr/>
          </w:p>
        </w:tc>
        <w:tc>
          <w:tcPr>
            <w:tcW w:w="1198" w:type="dxa"/>
            <w:vMerge/>
            <w:tcBorders>
              <w:left w:val="single" w:sz="6" w:space="0" w:color="000000"/>
              <w:bottom w:val="single" w:sz="6" w:space="0" w:color="000000"/>
              <w:right w:val="single" w:sz="6" w:space="0" w:color="000000"/>
            </w:tcBorders>
          </w:tcPr>
          <w:p>
            <w:pPr/>
          </w:p>
        </w:tc>
        <w:tc>
          <w:tcPr>
            <w:tcW w:w="927"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055"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6" w:space="0" w:color="000000"/>
            </w:tcBorders>
          </w:tcPr>
          <w:p>
            <w:pPr/>
          </w:p>
        </w:tc>
        <w:tc>
          <w:tcPr>
            <w:tcW w:w="1216" w:type="dxa"/>
            <w:vMerge/>
            <w:tcBorders>
              <w:left w:val="single" w:sz="6" w:space="0" w:color="000000"/>
              <w:bottom w:val="single" w:sz="6" w:space="0" w:color="000000"/>
              <w:right w:val="single" w:sz="6" w:space="0" w:color="000000"/>
            </w:tcBorders>
          </w:tcPr>
          <w:p>
            <w:pPr/>
          </w:p>
        </w:tc>
      </w:tr>
    </w:tbl>
    <w:p>
      <w:pPr>
        <w:pStyle w:val="BodyText"/>
        <w:spacing w:line="240" w:lineRule="auto" w:before="44"/>
        <w:ind w:right="939"/>
        <w:jc w:val="left"/>
      </w:pPr>
      <w:r>
        <w:rPr/>
        <w:t>报告期内公司主要资产计量属性是否发生重大变化</w:t>
      </w:r>
    </w:p>
    <w:p>
      <w:pPr>
        <w:pStyle w:val="BodyText"/>
        <w:spacing w:line="333" w:lineRule="auto" w:before="125"/>
        <w:ind w:right="3729"/>
        <w:jc w:val="left"/>
      </w:pPr>
      <w:r>
        <w:rPr/>
        <w:t>√ 是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否 报告期内公司主要资产计量属性发生重大变化的原因说明及对其经营成果和财务状况影响</w:t>
      </w:r>
    </w:p>
    <w:p>
      <w:pPr>
        <w:pStyle w:val="BodyText"/>
        <w:spacing w:line="321" w:lineRule="auto" w:before="39"/>
        <w:ind w:right="939" w:firstLine="360"/>
        <w:jc w:val="left"/>
      </w:pPr>
      <w:r>
        <w:rPr>
          <w:spacing w:val="-2"/>
        </w:rPr>
        <w:t>本公司的非上市权益工具投资是本公司出于战略目的而计划长期持有的投资，因此本公司在新金融工具准则首次执行日</w:t>
      </w:r>
      <w:r>
        <w:rPr/>
        <w:t> 将其指定为以公允价值计量且其变动计入其他综合收益的金融资产。</w:t>
      </w:r>
    </w:p>
    <w:p>
      <w:pPr>
        <w:spacing w:after="0" w:line="321" w:lineRule="auto"/>
        <w:jc w:val="left"/>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240" w:lineRule="auto" w:before="44"/>
        <w:ind w:left="501" w:right="939"/>
        <w:jc w:val="left"/>
      </w:pPr>
      <w:r>
        <w:rPr/>
        <w:t>影响其他综合收益的金额为</w:t>
      </w:r>
      <w:r>
        <w:rPr>
          <w:spacing w:val="-44"/>
        </w:rPr>
        <w:t> </w:t>
      </w:r>
      <w:r>
        <w:rPr>
          <w:rFonts w:ascii="Times New Roman" w:hAnsi="Times New Roman" w:cs="Times New Roman" w:eastAsia="Times New Roman" w:hint="default"/>
        </w:rPr>
        <w:t>5,053,421.90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501" w:right="939"/>
        <w:jc w:val="left"/>
      </w:pPr>
      <w:r>
        <w:rPr/>
        <w:t>因抵押、质押或冻结等对使用有限制，以及放在境外且资金汇回受到限制的货币资金明细如下：</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59"/>
              <w:jc w:val="right"/>
              <w:rPr>
                <w:rFonts w:ascii="宋体" w:hAnsi="宋体" w:cs="宋体" w:eastAsia="宋体" w:hint="default"/>
                <w:sz w:val="18"/>
                <w:szCs w:val="18"/>
              </w:rPr>
            </w:pPr>
            <w:r>
              <w:rPr>
                <w:rFonts w:ascii="宋体"/>
                <w:sz w:val="18"/>
              </w:rPr>
              <w:t>873,899.00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59"/>
              <w:jc w:val="right"/>
              <w:rPr>
                <w:rFonts w:ascii="宋体" w:hAnsi="宋体" w:cs="宋体" w:eastAsia="宋体" w:hint="default"/>
                <w:sz w:val="18"/>
                <w:szCs w:val="18"/>
              </w:rPr>
            </w:pPr>
            <w:r>
              <w:rPr>
                <w:rFonts w:ascii="宋体"/>
                <w:sz w:val="18"/>
              </w:rPr>
              <w:t>2,092,600.00</w:t>
            </w:r>
          </w:p>
        </w:tc>
      </w:tr>
      <w:tr>
        <w:trPr>
          <w:trHeight w:val="31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59"/>
              <w:jc w:val="right"/>
              <w:rPr>
                <w:rFonts w:ascii="宋体" w:hAnsi="宋体" w:cs="宋体" w:eastAsia="宋体" w:hint="default"/>
                <w:sz w:val="18"/>
                <w:szCs w:val="18"/>
              </w:rPr>
            </w:pPr>
            <w:r>
              <w:rPr>
                <w:rFonts w:ascii="宋体"/>
                <w:sz w:val="18"/>
              </w:rPr>
              <w:t>873,899.00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59"/>
              <w:jc w:val="right"/>
              <w:rPr>
                <w:rFonts w:ascii="宋体" w:hAnsi="宋体" w:cs="宋体" w:eastAsia="宋体" w:hint="default"/>
                <w:sz w:val="18"/>
                <w:szCs w:val="18"/>
              </w:rPr>
            </w:pPr>
            <w:r>
              <w:rPr>
                <w:rFonts w:ascii="宋体"/>
                <w:sz w:val="18"/>
              </w:rPr>
              <w:t>2,092,600.00</w:t>
            </w:r>
          </w:p>
        </w:tc>
      </w:tr>
    </w:tbl>
    <w:p>
      <w:pPr>
        <w:spacing w:line="240" w:lineRule="auto" w:before="12"/>
        <w:rPr>
          <w:rFonts w:ascii="宋体" w:hAnsi="宋体" w:cs="宋体" w:eastAsia="宋体" w:hint="default"/>
          <w:sz w:val="17"/>
          <w:szCs w:val="17"/>
        </w:rPr>
      </w:pPr>
    </w:p>
    <w:p>
      <w:pPr>
        <w:pStyle w:val="Heading2"/>
        <w:spacing w:line="240" w:lineRule="auto" w:before="26"/>
        <w:ind w:right="939"/>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66"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7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17" w:right="0"/>
              <w:jc w:val="left"/>
              <w:rPr>
                <w:rFonts w:ascii="Times New Roman" w:hAnsi="Times New Roman" w:cs="Times New Roman" w:eastAsia="Times New Roman" w:hint="default"/>
                <w:sz w:val="18"/>
                <w:szCs w:val="18"/>
              </w:rPr>
            </w:pPr>
            <w:r>
              <w:rPr>
                <w:rFonts w:ascii="Times New Roman"/>
                <w:sz w:val="18"/>
              </w:rPr>
              <w:t>27,767,407.57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66,020,130.40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-57.94%</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适用√不适用</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适用√不适用</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right="939"/>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82"/>
        <w:gridCol w:w="902"/>
        <w:gridCol w:w="1096"/>
        <w:gridCol w:w="1171"/>
        <w:gridCol w:w="1202"/>
        <w:gridCol w:w="961"/>
        <w:gridCol w:w="946"/>
        <w:gridCol w:w="961"/>
        <w:gridCol w:w="961"/>
      </w:tblGrid>
      <w:tr>
        <w:trPr>
          <w:trHeight w:val="1036"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1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9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70" w:right="75"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9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4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44" w:hanging="361"/>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29" w:hanging="181"/>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75" w:right="15"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0"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0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89"/>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88,579,565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5,945,202.23</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-33,738,056.01</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2,140,000.0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54,841,508.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06"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88,579,565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5,945,202.23</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-33,738,056.01</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2,140,000.0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54,841,508.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5、募集资金承诺项目情况" w:id="50"/>
      <w:bookmarkEnd w:id="50"/>
      <w:r>
        <w:rPr>
          <w:b w:val="0"/>
          <w:bCs w:val="0"/>
        </w:rPr>
      </w:r>
      <w:r>
        <w:rPr>
          <w:rFonts w:ascii="Times New Roman" w:hAnsi="Times New Roman" w:cs="Times New Roman" w:eastAsia="Times New Roman" w:hint="default"/>
        </w:rPr>
        <w:t>5</w:t>
      </w:r>
      <w:r>
        <w:rPr/>
        <w:t>、募集资金承诺项目情况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t>√ 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3"/>
        <w:spacing w:line="240" w:lineRule="auto" w:before="35"/>
        <w:ind w:right="939"/>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871"/>
        <w:gridCol w:w="871"/>
        <w:gridCol w:w="871"/>
        <w:gridCol w:w="871"/>
        <w:gridCol w:w="871"/>
        <w:gridCol w:w="871"/>
        <w:gridCol w:w="871"/>
        <w:gridCol w:w="871"/>
        <w:gridCol w:w="871"/>
        <w:gridCol w:w="872"/>
        <w:gridCol w:w="871"/>
      </w:tblGrid>
      <w:tr>
        <w:trPr>
          <w:trHeight w:val="133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40" w:right="75"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0" w:right="7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0" w:right="75"/>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0" w:right="75"/>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2"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14" w:right="119"/>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42,747.05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863.03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42,513.61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233.44</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19"/>
              <w:jc w:val="both"/>
              <w:rPr>
                <w:rFonts w:ascii="宋体" w:hAnsi="宋体" w:cs="宋体" w:eastAsia="宋体" w:hint="default"/>
                <w:sz w:val="18"/>
                <w:szCs w:val="18"/>
              </w:rPr>
            </w:pPr>
            <w:r>
              <w:rPr>
                <w:rFonts w:ascii="宋体" w:hAnsi="宋体" w:cs="宋体" w:eastAsia="宋体" w:hint="default"/>
                <w:sz w:val="18"/>
                <w:szCs w:val="18"/>
              </w:rPr>
              <w:t>尚未使用 的募集资 金存放于 募集资金 专户</w:t>
            </w: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42,747.05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863.03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42,513.61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233.44</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5"/>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21" w:hRule="exact"/>
        </w:trPr>
        <w:tc>
          <w:tcPr>
            <w:tcW w:w="958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经中国证券监督管理委员会“证监许可【</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840 </w:t>
            </w:r>
            <w:r>
              <w:rPr>
                <w:rFonts w:ascii="宋体" w:hAnsi="宋体" w:cs="宋体" w:eastAsia="宋体" w:hint="default"/>
                <w:spacing w:val="-4"/>
                <w:sz w:val="18"/>
                <w:szCs w:val="18"/>
              </w:rPr>
              <w:t>号文”核准，公司首次向社会公众公开发行人民币普通股（</w:t>
            </w: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）股</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2,500</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万股，每股发行价格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18.76 </w:t>
            </w:r>
            <w:r>
              <w:rPr>
                <w:rFonts w:ascii="宋体" w:hAnsi="宋体" w:cs="宋体" w:eastAsia="宋体" w:hint="default"/>
                <w:sz w:val="18"/>
                <w:szCs w:val="18"/>
              </w:rPr>
              <w:t>元，扣除发行费用后公司实际募集资金净额为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42,747.05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w:t>
            </w:r>
          </w:p>
          <w:p>
            <w:pPr>
              <w:pStyle w:val="TableParagraph"/>
              <w:spacing w:line="276" w:lineRule="auto" w:before="66"/>
              <w:ind w:left="15" w:right="48"/>
              <w:jc w:val="left"/>
              <w:rPr>
                <w:rFonts w:ascii="宋体" w:hAnsi="宋体" w:cs="宋体" w:eastAsia="宋体" w:hint="default"/>
                <w:sz w:val="18"/>
                <w:szCs w:val="18"/>
              </w:rPr>
            </w:pPr>
            <w:r>
              <w:rPr>
                <w:rFonts w:ascii="宋体" w:hAnsi="宋体" w:cs="宋体" w:eastAsia="宋体" w:hint="default"/>
                <w:sz w:val="18"/>
                <w:szCs w:val="18"/>
              </w:rPr>
              <w:t>募投项目已累计投入募集资金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42,513.61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万元，募集资金余额为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233.44</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万元（不考虑银行手续费和利息）。募集资金实际投</w:t>
            </w:r>
            <w:r>
              <w:rPr>
                <w:rFonts w:ascii="宋体" w:hAnsi="宋体" w:cs="宋体" w:eastAsia="宋体" w:hint="default"/>
                <w:sz w:val="18"/>
                <w:szCs w:val="18"/>
              </w:rPr>
              <w:t> 资项目与首发招股说明书承诺一致，不存在变更募集资金使用用途的情况。</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21"/>
        <w:gridCol w:w="721"/>
        <w:gridCol w:w="720"/>
        <w:gridCol w:w="721"/>
        <w:gridCol w:w="721"/>
        <w:gridCol w:w="721"/>
        <w:gridCol w:w="736"/>
        <w:gridCol w:w="720"/>
        <w:gridCol w:w="721"/>
        <w:gridCol w:w="721"/>
        <w:gridCol w:w="721"/>
      </w:tblGrid>
      <w:tr>
        <w:trPr>
          <w:trHeight w:val="165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21" w:lineRule="auto"/>
              <w:ind w:left="345" w:right="105" w:hanging="271"/>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21" w:lineRule="auto"/>
              <w:ind w:left="45" w:right="58" w:firstLine="30"/>
              <w:jc w:val="left"/>
              <w:rPr>
                <w:rFonts w:ascii="宋体" w:hAnsi="宋体" w:cs="宋体" w:eastAsia="宋体" w:hint="default"/>
                <w:sz w:val="18"/>
                <w:szCs w:val="18"/>
              </w:rPr>
            </w:pPr>
            <w:r>
              <w:rPr>
                <w:rFonts w:ascii="宋体" w:hAnsi="宋体" w:cs="宋体" w:eastAsia="宋体" w:hint="default"/>
                <w:sz w:val="18"/>
                <w:szCs w:val="18"/>
              </w:rPr>
              <w:t>是否已 变更项</w:t>
            </w:r>
          </w:p>
          <w:p>
            <w:pPr>
              <w:pStyle w:val="TableParagraph"/>
              <w:spacing w:line="288" w:lineRule="auto" w:before="33"/>
              <w:ind w:left="45" w:right="58"/>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90" w:right="75"/>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89" w:right="7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90" w:right="7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21" w:lineRule="auto"/>
              <w:ind w:left="90"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28" w:lineRule="auto"/>
              <w:ind w:left="75" w:right="58"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26" w:lineRule="exact"/>
              <w:ind w:left="30"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90" w:right="90"/>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75" w:right="8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88"/>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75" w:right="90"/>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8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3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银行软件技术服务 交付中心建设项目</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13,272.5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13,272.5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863.03</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13,039.1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98.24%</w:t>
            </w:r>
          </w:p>
        </w:tc>
        <w:tc>
          <w:tcPr>
            <w:tcW w:w="73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5,417.56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5,417.56</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5,417.56</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新一代银行核心业 务系统建设项目</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6,823.09</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6,823.09</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6,823.09</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165"/>
              <w:jc w:val="left"/>
              <w:rPr>
                <w:rFonts w:ascii="宋体" w:hAnsi="宋体" w:cs="宋体" w:eastAsia="宋体" w:hint="default"/>
                <w:sz w:val="18"/>
                <w:szCs w:val="18"/>
              </w:rPr>
            </w:pPr>
            <w:r>
              <w:rPr>
                <w:rFonts w:ascii="宋体" w:hAnsi="宋体" w:cs="宋体" w:eastAsia="宋体" w:hint="default"/>
                <w:sz w:val="18"/>
                <w:szCs w:val="18"/>
              </w:rPr>
              <w:t>普惠金融云服务中 心建设项目</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11,714.0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11,714.0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11,714.0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714"/>
        <w:gridCol w:w="912"/>
        <w:gridCol w:w="725"/>
        <w:gridCol w:w="721"/>
        <w:gridCol w:w="720"/>
        <w:gridCol w:w="721"/>
        <w:gridCol w:w="721"/>
        <w:gridCol w:w="721"/>
        <w:gridCol w:w="736"/>
        <w:gridCol w:w="720"/>
        <w:gridCol w:w="721"/>
        <w:gridCol w:w="721"/>
        <w:gridCol w:w="721"/>
      </w:tblGrid>
      <w:tr>
        <w:trPr>
          <w:trHeight w:val="720" w:hRule="exact"/>
        </w:trPr>
        <w:tc>
          <w:tcPr>
            <w:tcW w:w="1626"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7" w:right="161"/>
              <w:jc w:val="left"/>
              <w:rPr>
                <w:rFonts w:ascii="宋体" w:hAnsi="宋体" w:cs="宋体" w:eastAsia="宋体" w:hint="default"/>
                <w:sz w:val="18"/>
                <w:szCs w:val="18"/>
              </w:rPr>
            </w:pPr>
            <w:r>
              <w:rPr>
                <w:rFonts w:ascii="宋体" w:hAnsi="宋体" w:cs="宋体" w:eastAsia="宋体" w:hint="default"/>
                <w:sz w:val="18"/>
                <w:szCs w:val="18"/>
              </w:rPr>
              <w:t>银行移动应用平台 建设项目</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5,519.85</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5,519.85</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5,519.85</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8" w:hRule="exact"/>
        </w:trPr>
        <w:tc>
          <w:tcPr>
            <w:tcW w:w="162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w:t>
            </w:r>
          </w:p>
        </w:tc>
        <w:tc>
          <w:tcPr>
            <w:tcW w:w="721"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72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863.03</w:t>
            </w:r>
          </w:p>
        </w:tc>
        <w:tc>
          <w:tcPr>
            <w:tcW w:w="721" w:type="dxa"/>
            <w:vMerge w:val="restart"/>
            <w:tcBorders>
              <w:top w:val="single" w:sz="6" w:space="0" w:color="000000"/>
              <w:left w:val="single" w:sz="6" w:space="0" w:color="000000"/>
              <w:right w:val="single" w:sz="12" w:space="0" w:color="D2D2D2"/>
            </w:tcBorders>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sz w:val="18"/>
              </w:rPr>
              <w:t>42,513.6</w:t>
            </w:r>
          </w:p>
          <w:p>
            <w:pPr>
              <w:pStyle w:val="TableParagraph"/>
              <w:spacing w:line="240" w:lineRule="auto" w:before="108"/>
              <w:ind w:right="5"/>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6" w:space="0" w:color="000000"/>
              <w:left w:val="single" w:sz="6" w:space="0" w:color="000000"/>
              <w:bottom w:val="nil" w:sz="6" w:space="0" w:color="auto"/>
              <w:right w:val="single" w:sz="6" w:space="0" w:color="000000"/>
            </w:tcBorders>
            <w:shd w:val="clear" w:color="auto" w:fill="D2D2D2"/>
          </w:tcPr>
          <w:p>
            <w:pPr/>
          </w:p>
        </w:tc>
        <w:tc>
          <w:tcPr>
            <w:tcW w:w="736" w:type="dxa"/>
            <w:tcBorders>
              <w:top w:val="single" w:sz="6" w:space="0" w:color="000000"/>
              <w:left w:val="single" w:sz="6" w:space="0" w:color="000000"/>
              <w:bottom w:val="nil" w:sz="6" w:space="0" w:color="auto"/>
              <w:right w:val="single" w:sz="6" w:space="0" w:color="000000"/>
            </w:tcBorders>
            <w:shd w:val="clear" w:color="auto" w:fill="D2D2D2"/>
          </w:tcPr>
          <w:p>
            <w:pPr/>
          </w:p>
        </w:tc>
        <w:tc>
          <w:tcPr>
            <w:tcW w:w="720" w:type="dxa"/>
            <w:vMerge w:val="restart"/>
            <w:tcBorders>
              <w:top w:val="single" w:sz="6" w:space="0" w:color="000000"/>
              <w:left w:val="single" w:sz="12" w:space="0" w:color="D2D2D2"/>
              <w:right w:val="single" w:sz="6" w:space="0" w:color="000000"/>
            </w:tcBorders>
          </w:tcPr>
          <w:p>
            <w:pPr/>
          </w:p>
        </w:tc>
        <w:tc>
          <w:tcPr>
            <w:tcW w:w="721" w:type="dxa"/>
            <w:vMerge w:val="restart"/>
            <w:tcBorders>
              <w:top w:val="single" w:sz="6" w:space="0" w:color="000000"/>
              <w:left w:val="single" w:sz="6" w:space="0" w:color="000000"/>
              <w:right w:val="single" w:sz="6" w:space="0" w:color="000000"/>
            </w:tcBorders>
          </w:tcPr>
          <w:p>
            <w:pP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1626" w:type="dxa"/>
            <w:gridSpan w:val="2"/>
            <w:vMerge/>
            <w:tcBorders>
              <w:left w:val="single" w:sz="6" w:space="0" w:color="000000"/>
              <w:right w:val="single" w:sz="6" w:space="0" w:color="000000"/>
            </w:tcBorders>
            <w:shd w:val="clear" w:color="auto" w:fill="D2D2D2"/>
          </w:tcPr>
          <w:p>
            <w:pPr/>
          </w:p>
        </w:tc>
        <w:tc>
          <w:tcPr>
            <w:tcW w:w="725"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721" w:type="dxa"/>
            <w:vMerge/>
            <w:tcBorders>
              <w:left w:val="single" w:sz="6" w:space="0" w:color="000000"/>
              <w:right w:val="single" w:sz="6" w:space="0" w:color="000000"/>
            </w:tcBorders>
          </w:tcPr>
          <w:p>
            <w:pPr/>
          </w:p>
        </w:tc>
        <w:tc>
          <w:tcPr>
            <w:tcW w:w="721" w:type="dxa"/>
            <w:vMerge/>
            <w:tcBorders>
              <w:left w:val="single" w:sz="6" w:space="0" w:color="000000"/>
              <w:right w:val="single" w:sz="12" w:space="0" w:color="D2D2D2"/>
            </w:tcBorders>
          </w:tcPr>
          <w:p>
            <w:pPr/>
          </w:p>
        </w:tc>
        <w:tc>
          <w:tcPr>
            <w:tcW w:w="72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2" w:space="0" w:color="D2D2D2"/>
              <w:right w:val="single" w:sz="6" w:space="0" w:color="000000"/>
            </w:tcBorders>
          </w:tcPr>
          <w:p>
            <w:pPr/>
          </w:p>
        </w:tc>
        <w:tc>
          <w:tcPr>
            <w:tcW w:w="721" w:type="dxa"/>
            <w:vMerge/>
            <w:tcBorders>
              <w:left w:val="single" w:sz="6" w:space="0" w:color="000000"/>
              <w:right w:val="single" w:sz="6" w:space="0" w:color="000000"/>
            </w:tcBorders>
          </w:tcPr>
          <w:p>
            <w:pPr/>
          </w:p>
        </w:tc>
        <w:tc>
          <w:tcPr>
            <w:tcW w:w="721"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r>
      <w:tr>
        <w:trPr>
          <w:trHeight w:val="165" w:hRule="exact"/>
        </w:trPr>
        <w:tc>
          <w:tcPr>
            <w:tcW w:w="1626" w:type="dxa"/>
            <w:gridSpan w:val="2"/>
            <w:vMerge/>
            <w:tcBorders>
              <w:left w:val="single" w:sz="6" w:space="0" w:color="000000"/>
              <w:bottom w:val="single" w:sz="6" w:space="0" w:color="000000"/>
              <w:right w:val="single" w:sz="6" w:space="0" w:color="000000"/>
            </w:tcBorders>
            <w:shd w:val="clear" w:color="auto" w:fill="D2D2D2"/>
          </w:tcPr>
          <w:p>
            <w:pPr/>
          </w:p>
        </w:tc>
        <w:tc>
          <w:tcPr>
            <w:tcW w:w="72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721" w:type="dxa"/>
            <w:vMerge/>
            <w:tcBorders>
              <w:left w:val="single" w:sz="6" w:space="0" w:color="000000"/>
              <w:bottom w:val="single" w:sz="6" w:space="0" w:color="000000"/>
              <w:right w:val="single" w:sz="6" w:space="0" w:color="000000"/>
            </w:tcBorders>
          </w:tcPr>
          <w:p>
            <w:pPr/>
          </w:p>
        </w:tc>
        <w:tc>
          <w:tcPr>
            <w:tcW w:w="721" w:type="dxa"/>
            <w:vMerge/>
            <w:tcBorders>
              <w:left w:val="single" w:sz="6" w:space="0" w:color="000000"/>
              <w:bottom w:val="single" w:sz="6" w:space="0" w:color="000000"/>
              <w:right w:val="single" w:sz="12" w:space="0" w:color="D2D2D2"/>
            </w:tcBorders>
          </w:tcPr>
          <w:p>
            <w:pPr/>
          </w:p>
        </w:tc>
        <w:tc>
          <w:tcPr>
            <w:tcW w:w="721" w:type="dxa"/>
            <w:tcBorders>
              <w:top w:val="nil" w:sz="6" w:space="0" w:color="auto"/>
              <w:left w:val="single" w:sz="6" w:space="0" w:color="000000"/>
              <w:bottom w:val="single" w:sz="6" w:space="0" w:color="000000"/>
              <w:right w:val="single" w:sz="6" w:space="0" w:color="000000"/>
            </w:tcBorders>
            <w:shd w:val="clear" w:color="auto" w:fill="D2D2D2"/>
          </w:tcPr>
          <w:p>
            <w:pPr/>
          </w:p>
        </w:tc>
        <w:tc>
          <w:tcPr>
            <w:tcW w:w="736" w:type="dxa"/>
            <w:tcBorders>
              <w:top w:val="nil" w:sz="6" w:space="0" w:color="auto"/>
              <w:left w:val="single" w:sz="6" w:space="0" w:color="000000"/>
              <w:bottom w:val="single" w:sz="6" w:space="0" w:color="000000"/>
              <w:right w:val="single" w:sz="6" w:space="0" w:color="000000"/>
            </w:tcBorders>
            <w:shd w:val="clear" w:color="auto" w:fill="D2D2D2"/>
          </w:tcPr>
          <w:p>
            <w:pPr/>
          </w:p>
        </w:tc>
        <w:tc>
          <w:tcPr>
            <w:tcW w:w="720" w:type="dxa"/>
            <w:vMerge/>
            <w:tcBorders>
              <w:left w:val="single" w:sz="12" w:space="0" w:color="D2D2D2"/>
              <w:bottom w:val="single" w:sz="6" w:space="0" w:color="000000"/>
              <w:right w:val="single" w:sz="6" w:space="0" w:color="000000"/>
            </w:tcBorders>
          </w:tcPr>
          <w:p>
            <w:pPr/>
          </w:p>
        </w:tc>
        <w:tc>
          <w:tcPr>
            <w:tcW w:w="721" w:type="dxa"/>
            <w:vMerge/>
            <w:tcBorders>
              <w:left w:val="single" w:sz="6" w:space="0" w:color="000000"/>
              <w:bottom w:val="single" w:sz="6" w:space="0" w:color="000000"/>
              <w:right w:val="single" w:sz="6" w:space="0" w:color="000000"/>
            </w:tcBorders>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r>
      <w:tr>
        <w:trPr>
          <w:trHeight w:val="398" w:hRule="exact"/>
        </w:trPr>
        <w:tc>
          <w:tcPr>
            <w:tcW w:w="71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861"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5" w:hRule="exact"/>
        </w:trPr>
        <w:tc>
          <w:tcPr>
            <w:tcW w:w="16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863.03</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42,513.6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w:t>
            </w:r>
          </w:p>
        </w:tc>
      </w:tr>
      <w:tr>
        <w:trPr>
          <w:trHeight w:val="1036" w:hRule="exact"/>
        </w:trPr>
        <w:tc>
          <w:tcPr>
            <w:tcW w:w="1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7"/>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49"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06" w:hRule="exact"/>
        </w:trPr>
        <w:tc>
          <w:tcPr>
            <w:tcW w:w="1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61"/>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49"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6" w:hRule="exact"/>
        </w:trPr>
        <w:tc>
          <w:tcPr>
            <w:tcW w:w="1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7" w:right="26"/>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49"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95" w:hRule="exact"/>
        </w:trPr>
        <w:tc>
          <w:tcPr>
            <w:tcW w:w="1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74"/>
              <w:ind w:left="7" w:right="161"/>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49"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16" w:hRule="exact"/>
        </w:trPr>
        <w:tc>
          <w:tcPr>
            <w:tcW w:w="1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321" w:lineRule="auto"/>
              <w:ind w:left="7" w:right="161"/>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49"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162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7" w:right="161"/>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49"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1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1" w:hRule="exact"/>
        </w:trPr>
        <w:tc>
          <w:tcPr>
            <w:tcW w:w="1626" w:type="dxa"/>
            <w:gridSpan w:val="2"/>
            <w:vMerge/>
            <w:tcBorders>
              <w:left w:val="single" w:sz="6" w:space="0" w:color="000000"/>
              <w:bottom w:val="single" w:sz="6" w:space="0" w:color="000000"/>
              <w:right w:val="single" w:sz="6" w:space="0" w:color="000000"/>
            </w:tcBorders>
            <w:shd w:val="clear" w:color="auto" w:fill="D2D2D2"/>
          </w:tcPr>
          <w:p>
            <w:pPr/>
          </w:p>
        </w:tc>
        <w:tc>
          <w:tcPr>
            <w:tcW w:w="7949" w:type="dxa"/>
            <w:gridSpan w:val="11"/>
            <w:tcBorders>
              <w:top w:val="single" w:sz="6" w:space="0" w:color="000000"/>
              <w:left w:val="single" w:sz="12" w:space="0" w:color="000000"/>
              <w:bottom w:val="single" w:sz="6" w:space="0" w:color="000000"/>
              <w:right w:val="single" w:sz="6" w:space="0" w:color="000000"/>
            </w:tcBorders>
          </w:tcPr>
          <w:p>
            <w:pPr>
              <w:pStyle w:val="TableParagraph"/>
              <w:spacing w:line="304" w:lineRule="auto" w:before="44"/>
              <w:ind w:left="11" w:right="-8"/>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日第二届董事会第四次会议决议和广东正中珠江会计师事务所（特殊普通合伙） 出具的广会专字</w:t>
            </w:r>
            <w:r>
              <w:rPr>
                <w:rFonts w:ascii="Times New Roman" w:hAnsi="Times New Roman" w:cs="Times New Roman" w:eastAsia="Times New Roman" w:hint="default"/>
                <w:sz w:val="18"/>
                <w:szCs w:val="18"/>
              </w:rPr>
              <w:t>[2015]G13800020379 </w:t>
            </w:r>
            <w:r>
              <w:rPr>
                <w:rFonts w:ascii="宋体" w:hAnsi="宋体" w:cs="宋体" w:eastAsia="宋体" w:hint="default"/>
                <w:spacing w:val="-4"/>
                <w:sz w:val="18"/>
                <w:szCs w:val="18"/>
              </w:rPr>
              <w:t>号《以自筹资金预先投入募集资金投资项目的鉴证报告》，公司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以募集资金人民币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52,755,099.50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元置换先期投入募集资金投资项目的自筹资金。</w:t>
            </w:r>
          </w:p>
        </w:tc>
      </w:tr>
      <w:tr>
        <w:trPr>
          <w:trHeight w:val="1020" w:hRule="exact"/>
        </w:trPr>
        <w:tc>
          <w:tcPr>
            <w:tcW w:w="1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61"/>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49"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36" w:hRule="exact"/>
        </w:trPr>
        <w:tc>
          <w:tcPr>
            <w:tcW w:w="1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61"/>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49"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6" w:hRule="exact"/>
        </w:trPr>
        <w:tc>
          <w:tcPr>
            <w:tcW w:w="1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61"/>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49"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尚未使用的募集资金存放于募集资金专用账户</w:t>
            </w:r>
          </w:p>
        </w:tc>
      </w:tr>
      <w:tr>
        <w:trPr>
          <w:trHeight w:val="1021" w:hRule="exact"/>
        </w:trPr>
        <w:tc>
          <w:tcPr>
            <w:tcW w:w="162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61"/>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49"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11"/>
        <w:rPr>
          <w:rFonts w:ascii="Times New Roman" w:hAnsi="Times New Roman" w:cs="Times New Roman" w:eastAsia="Times New Roman" w:hint="default"/>
          <w:sz w:val="23"/>
          <w:szCs w:val="23"/>
        </w:rPr>
      </w:pPr>
    </w:p>
    <w:p>
      <w:pPr>
        <w:pStyle w:val="Heading3"/>
        <w:spacing w:line="240" w:lineRule="auto" w:before="35"/>
        <w:ind w:right="939"/>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7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公司报告期不存在募集资金变更项目情况。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939"/>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宋体" w:hAnsi="宋体" w:cs="宋体" w:eastAsia="宋体" w:hint="default"/>
          <w:b/>
          <w:bCs/>
          <w:sz w:val="25"/>
          <w:szCs w:val="25"/>
        </w:rPr>
      </w:pPr>
    </w:p>
    <w:p>
      <w:pPr>
        <w:pStyle w:val="BodyText"/>
        <w:spacing w:line="333"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line="240" w:lineRule="auto" w:before="4"/>
        <w:rPr>
          <w:rFonts w:ascii="宋体" w:hAnsi="宋体" w:cs="宋体" w:eastAsia="宋体" w:hint="default"/>
          <w:sz w:val="23"/>
          <w:szCs w:val="23"/>
        </w:rPr>
      </w:pPr>
    </w:p>
    <w:p>
      <w:pPr>
        <w:pStyle w:val="Heading3"/>
        <w:spacing w:line="240" w:lineRule="auto"/>
        <w:ind w:right="939"/>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939"/>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6"/>
          <w:szCs w:val="26"/>
        </w:rPr>
      </w:pPr>
    </w:p>
    <w:p>
      <w:pPr>
        <w:pStyle w:val="BodyText"/>
        <w:spacing w:line="333" w:lineRule="auto"/>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公司报告期内无应当披露的重要控股参股公司信息。</w:t>
      </w:r>
    </w:p>
    <w:p>
      <w:pPr>
        <w:spacing w:line="240" w:lineRule="auto" w:before="8"/>
        <w:rPr>
          <w:rFonts w:ascii="宋体" w:hAnsi="宋体" w:cs="宋体" w:eastAsia="宋体" w:hint="default"/>
          <w:sz w:val="20"/>
          <w:szCs w:val="20"/>
        </w:rPr>
      </w:pPr>
    </w:p>
    <w:p>
      <w:pPr>
        <w:pStyle w:val="Heading2"/>
        <w:spacing w:line="240" w:lineRule="auto"/>
        <w:ind w:right="939"/>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
        <w:rPr>
          <w:rFonts w:ascii="宋体" w:hAnsi="宋体" w:cs="宋体" w:eastAsia="宋体" w:hint="default"/>
          <w:b/>
          <w:bCs/>
          <w:sz w:val="26"/>
          <w:szCs w:val="26"/>
        </w:rPr>
      </w:pPr>
    </w:p>
    <w:p>
      <w:pPr>
        <w:pStyle w:val="BodyText"/>
        <w:spacing w:line="304" w:lineRule="auto"/>
        <w:ind w:right="1106" w:firstLine="360"/>
        <w:jc w:val="both"/>
      </w:pPr>
      <w:r>
        <w:rPr/>
        <w:t>全球金融机构正进入全新的发展时期，银行业从</w:t>
      </w:r>
      <w:r>
        <w:rPr>
          <w:spacing w:val="-41"/>
        </w:rPr>
        <w:t> </w:t>
      </w:r>
      <w:r>
        <w:rPr>
          <w:rFonts w:ascii="Times New Roman" w:hAnsi="Times New Roman" w:cs="Times New Roman" w:eastAsia="Times New Roman" w:hint="default"/>
        </w:rPr>
        <w:t>3.0 </w:t>
      </w:r>
      <w:r>
        <w:rPr/>
        <w:t>时代迈向以体验式银行服务为核心的智能银行</w:t>
      </w:r>
      <w:r>
        <w:rPr>
          <w:spacing w:val="-41"/>
        </w:rPr>
        <w:t> </w:t>
      </w:r>
      <w:r>
        <w:rPr>
          <w:rFonts w:ascii="Times New Roman" w:hAnsi="Times New Roman" w:cs="Times New Roman" w:eastAsia="Times New Roman" w:hint="default"/>
        </w:rPr>
        <w:t>4.0 </w:t>
      </w:r>
      <w:r>
        <w:rPr/>
        <w:t>时代，传统架构 </w:t>
      </w:r>
      <w:r>
        <w:rPr>
          <w:spacing w:val="-2"/>
        </w:rPr>
        <w:t>面临挑战、快速响应能力受限、业务连续性诉求不断提高及运营模式升级。金融服务将嵌入到人们生产生活的各个方面，并</w:t>
      </w:r>
      <w:r>
        <w:rPr>
          <w:spacing w:val="-42"/>
        </w:rPr>
        <w:t> </w:t>
      </w:r>
      <w:r>
        <w:rPr>
          <w:spacing w:val="-42"/>
        </w:rPr>
      </w:r>
      <w:r>
        <w:rPr/>
        <w:t>朝着智能化方向演进。金融科技行业面临巨大的挑战，但也迎来前所未有的发展机遇。</w:t>
      </w:r>
    </w:p>
    <w:p>
      <w:pPr>
        <w:pStyle w:val="BodyText"/>
        <w:spacing w:line="319" w:lineRule="auto" w:before="61"/>
        <w:ind w:right="1105" w:firstLine="360"/>
        <w:jc w:val="both"/>
      </w:pPr>
      <w:r>
        <w:rPr>
          <w:spacing w:val="-2"/>
        </w:rPr>
        <w:t>公司将把握金融科技的发展趋势，在继续坚持做好传统核心业务的同时，坚持积极投入分布式、区块链、跨境支付、云</w:t>
      </w:r>
      <w:r>
        <w:rPr/>
        <w:t> </w:t>
      </w:r>
      <w:r>
        <w:rPr>
          <w:spacing w:val="-2"/>
        </w:rPr>
        <w:t>计算，人工智能等科技在金融领域应用的创新研发与合作。公司将继续积极推动技术领先的金融级分布式架构</w:t>
      </w:r>
      <w:r>
        <w:rPr/>
        <w:t> </w:t>
      </w:r>
      <w:r>
        <w:rPr>
          <w:rFonts w:ascii="Times New Roman" w:hAnsi="Times New Roman" w:cs="Times New Roman" w:eastAsia="Times New Roman" w:hint="default"/>
          <w:spacing w:val="-2"/>
        </w:rPr>
        <w:t>PU</w:t>
      </w:r>
      <w:r>
        <w:rPr>
          <w:spacing w:val="-2"/>
        </w:rPr>
        <w:t>（</w:t>
      </w:r>
      <w:r>
        <w:rPr>
          <w:rFonts w:ascii="Times New Roman" w:hAnsi="Times New Roman" w:cs="Times New Roman" w:eastAsia="Times New Roman" w:hint="default"/>
          <w:spacing w:val="-2"/>
        </w:rPr>
        <w:t>Platform</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rFonts w:ascii="Times New Roman" w:hAnsi="Times New Roman" w:cs="Times New Roman" w:eastAsia="Times New Roman" w:hint="default"/>
        </w:rPr>
        <w:t>Universe</w:t>
      </w:r>
      <w:r>
        <w:rPr/>
        <w:t>）以及基于分布式架构微服务平台产品的持续落地，为包括银行在内的金融机构提供分布式最佳数字化解决方案与</w:t>
      </w:r>
    </w:p>
    <w:p>
      <w:pPr>
        <w:pStyle w:val="BodyText"/>
        <w:spacing w:line="273" w:lineRule="auto"/>
        <w:ind w:right="1107"/>
        <w:jc w:val="left"/>
      </w:pPr>
      <w:r>
        <w:rPr/>
        <w:t>交付运维；公司将继续积极推动区块链技术创新应用的持续落地；继续积极探索区块链</w:t>
      </w:r>
      <w:r>
        <w:rPr>
          <w:rFonts w:ascii="Times New Roman" w:hAnsi="Times New Roman" w:cs="Times New Roman" w:eastAsia="Times New Roman" w:hint="default"/>
        </w:rPr>
        <w:t>+</w:t>
      </w:r>
      <w:r>
        <w:rPr/>
        <w:t>人才服务创新业务模式；继续坚持</w:t>
      </w:r>
      <w:r>
        <w:rPr>
          <w:spacing w:val="-80"/>
        </w:rPr>
        <w:t> </w:t>
      </w:r>
      <w:r>
        <w:rPr>
          <w:spacing w:val="-2"/>
        </w:rPr>
        <w:t>境内外业务协同发展，深耕港澳市场，拓展东南亚等国际市场，实现业务增长。充分发挥公司面向未来银行的技术能力、全</w:t>
      </w:r>
    </w:p>
    <w:p>
      <w:pPr>
        <w:pStyle w:val="BodyText"/>
        <w:spacing w:line="302" w:lineRule="auto" w:before="70"/>
        <w:ind w:right="939"/>
        <w:jc w:val="left"/>
      </w:pPr>
      <w:r>
        <w:rPr/>
        <w:t>方位解决方案与顾问咨询能力、全球服务能力优势，依托规模化的金融</w:t>
      </w:r>
      <w:r>
        <w:rPr>
          <w:rFonts w:ascii="Times New Roman" w:hAnsi="Times New Roman" w:cs="Times New Roman" w:eastAsia="Times New Roman" w:hint="default"/>
        </w:rPr>
        <w:t>+</w:t>
      </w:r>
      <w:r>
        <w:rPr/>
        <w:t>科技的复合型人才团队，逐步实现产品</w:t>
      </w:r>
      <w:r>
        <w:rPr>
          <w:rFonts w:ascii="Times New Roman" w:hAnsi="Times New Roman" w:cs="Times New Roman" w:eastAsia="Times New Roman" w:hint="default"/>
        </w:rPr>
        <w:t>+</w:t>
      </w:r>
      <w:r>
        <w:rPr/>
        <w:t>服务、平</w:t>
      </w:r>
      <w:r>
        <w:rPr>
          <w:spacing w:val="-18"/>
        </w:rPr>
        <w:t> </w:t>
      </w:r>
      <w:r>
        <w:rPr/>
        <w:t>台</w:t>
      </w:r>
      <w:r>
        <w:rPr>
          <w:rFonts w:ascii="Times New Roman" w:hAnsi="Times New Roman" w:cs="Times New Roman" w:eastAsia="Times New Roman" w:hint="default"/>
        </w:rPr>
        <w:t>+</w:t>
      </w:r>
      <w:r>
        <w:rPr/>
        <w:t>服务的业务升级。促进公司业务发展。</w:t>
      </w:r>
    </w:p>
    <w:p>
      <w:pPr>
        <w:pStyle w:val="BodyText"/>
        <w:spacing w:line="321" w:lineRule="auto" w:before="29"/>
        <w:ind w:right="1135" w:firstLine="360"/>
        <w:jc w:val="both"/>
      </w:pPr>
      <w:r>
        <w:rPr>
          <w:spacing w:val="-2"/>
        </w:rPr>
        <w:t>展望未来，公司将坚持以人为本，技术引领，做好主营业务；围绕创新驱动，谋求业务持续升级转型；将坚持全球化布</w:t>
      </w:r>
      <w:r>
        <w:rPr/>
        <w:t> 局与创新驱动战略，为客户提供更简单、更敏捷、更安全的产品与解决方案，成为海内外金融机构不可或缺的合作伙伴。</w:t>
      </w:r>
    </w:p>
    <w:p>
      <w:pPr>
        <w:spacing w:after="0" w:line="321" w:lineRule="auto"/>
        <w:jc w:val="both"/>
        <w:sectPr>
          <w:pgSz w:w="11910" w:h="16850"/>
          <w:pgMar w:header="866" w:footer="981" w:top="1120" w:bottom="1180" w:left="1000" w:right="0"/>
        </w:sectPr>
      </w:pPr>
    </w:p>
    <w:p>
      <w:pPr>
        <w:spacing w:line="240" w:lineRule="auto" w:before="3"/>
        <w:rPr>
          <w:rFonts w:ascii="宋体" w:hAnsi="宋体" w:cs="宋体" w:eastAsia="宋体" w:hint="default"/>
          <w:sz w:val="20"/>
          <w:szCs w:val="20"/>
        </w:rPr>
      </w:pPr>
    </w:p>
    <w:p>
      <w:pPr>
        <w:pStyle w:val="Heading2"/>
        <w:spacing w:line="240" w:lineRule="auto" w:before="26"/>
        <w:ind w:right="939"/>
        <w:jc w:val="left"/>
        <w:rPr>
          <w:b w:val="0"/>
          <w:bCs w:val="0"/>
        </w:rPr>
      </w:pPr>
      <w:bookmarkStart w:name="十、接待调研、沟通、采访等活动登记表" w:id="60"/>
      <w:bookmarkEnd w:id="60"/>
      <w:r>
        <w:rPr>
          <w:b w:val="0"/>
          <w:bCs w:val="0"/>
        </w:rPr>
      </w:r>
      <w:r>
        <w:rPr/>
        <w:t>十、接待调研、沟通、采访等活动登记表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9"/>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公司报告期内未发生接待调研、沟通、采访等活动。</w:t>
      </w:r>
    </w:p>
    <w:p>
      <w:pPr>
        <w:spacing w:after="0" w:line="319"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right="3388"/>
        <w:jc w:val="center"/>
        <w:rPr>
          <w:b w:val="0"/>
          <w:bCs w:val="0"/>
        </w:rPr>
      </w:pPr>
      <w:bookmarkStart w:name="第五节 重要事项" w:id="62"/>
      <w:bookmarkEnd w:id="62"/>
      <w:r>
        <w:rPr>
          <w:b w:val="0"/>
          <w:bCs w:val="0"/>
        </w:rPr>
      </w:r>
      <w:bookmarkStart w:name="_bookmark4" w:id="63"/>
      <w:bookmarkEnd w:id="63"/>
      <w:r>
        <w:rPr>
          <w:b w:val="0"/>
          <w:bCs w:val="0"/>
        </w:rPr>
      </w:r>
      <w:r>
        <w:rPr>
          <w:spacing w:val="4"/>
        </w:rPr>
        <w:t>第五节</w:t>
      </w:r>
      <w:r>
        <w:rPr>
          <w:spacing w:val="44"/>
        </w:rPr>
        <w:t> </w:t>
      </w:r>
      <w:r>
        <w:rPr>
          <w:spacing w:val="6"/>
        </w:rPr>
        <w:t>重要事项</w:t>
      </w:r>
      <w:r>
        <w:rPr>
          <w:b w:val="0"/>
          <w:bCs w:val="0"/>
          <w:spacing w:val="6"/>
        </w:rPr>
      </w:r>
    </w:p>
    <w:p>
      <w:pPr>
        <w:spacing w:line="240" w:lineRule="auto" w:before="4"/>
        <w:rPr>
          <w:rFonts w:ascii="宋体" w:hAnsi="宋体" w:cs="宋体" w:eastAsia="宋体" w:hint="default"/>
          <w:b/>
          <w:bCs/>
          <w:sz w:val="38"/>
          <w:szCs w:val="38"/>
        </w:rPr>
      </w:pPr>
    </w:p>
    <w:p>
      <w:pPr>
        <w:pStyle w:val="Heading2"/>
        <w:spacing w:line="240" w:lineRule="auto"/>
        <w:ind w:right="939"/>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t>报告期内普通股利润分配政策，特别是现金分红政策的制定、执行或调整情况</w:t>
      </w:r>
    </w:p>
    <w:p>
      <w:pPr>
        <w:pStyle w:val="BodyText"/>
        <w:spacing w:line="240" w:lineRule="auto" w:before="125"/>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92" w:lineRule="auto" w:before="111"/>
        <w:ind w:right="1103" w:firstLine="300"/>
        <w:jc w:val="both"/>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日召开第三届董事会第十二次会议以及于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日召开年度股东大会审议通过了《关于审议</w:t>
      </w:r>
      <w:r>
        <w:rPr/>
        <w:t> </w:t>
      </w:r>
      <w:r>
        <w:rPr>
          <w:rFonts w:ascii="Times New Roman" w:hAnsi="Times New Roman" w:cs="Times New Roman" w:eastAsia="Times New Roman" w:hint="default"/>
        </w:rPr>
        <w:t>2018</w:t>
      </w:r>
      <w:r>
        <w:rPr/>
        <w:t>年度利润分配的议案》，以公司总股本</w:t>
      </w:r>
      <w:r>
        <w:rPr>
          <w:rFonts w:ascii="Times New Roman" w:hAnsi="Times New Roman" w:cs="Times New Roman" w:eastAsia="Times New Roman" w:hint="default"/>
        </w:rPr>
        <w:t>19,422.086</w:t>
      </w:r>
      <w:r>
        <w:rPr/>
        <w:t>万股为基数，拟向全体股东分配共计现金人民币</w:t>
      </w:r>
      <w:r>
        <w:rPr>
          <w:rFonts w:ascii="Times New Roman" w:hAnsi="Times New Roman" w:cs="Times New Roman" w:eastAsia="Times New Roman" w:hint="default"/>
        </w:rPr>
        <w:t>29,133,129.30</w:t>
      </w:r>
      <w:r>
        <w:rPr/>
        <w:t>元，即</w:t>
      </w:r>
      <w:r>
        <w:rPr>
          <w:spacing w:val="-39"/>
        </w:rPr>
        <w:t> </w:t>
      </w:r>
      <w:r>
        <w:rPr>
          <w:spacing w:val="-1"/>
        </w:rPr>
        <w:t>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1.50</w:t>
      </w:r>
      <w:r>
        <w:rPr>
          <w:spacing w:val="-1"/>
        </w:rPr>
        <w:t>元人民币（含税）。不送红股，剩余未分配利润结转入下一年度。（以上净利润额、可分配利润额</w:t>
      </w:r>
      <w:r>
        <w:rPr>
          <w:spacing w:val="-47"/>
        </w:rPr>
        <w:t> </w:t>
      </w:r>
      <w:r>
        <w:rPr>
          <w:spacing w:val="-47"/>
        </w:rPr>
      </w:r>
      <w:r>
        <w:rPr/>
        <w:t>以及利润分配后剩余未分配利润额以最终经审计数据为准。）</w:t>
      </w:r>
      <w:r>
        <w:rPr>
          <w:spacing w:val="5"/>
        </w:rPr>
        <w:t> </w:t>
      </w:r>
      <w:r>
        <w:rPr/>
        <w:t>董事会审议利润分配预案后至权益分派实施公告确定的股权</w:t>
      </w:r>
    </w:p>
    <w:p>
      <w:pPr>
        <w:pStyle w:val="BodyText"/>
        <w:spacing w:line="302" w:lineRule="auto" w:before="55"/>
        <w:ind w:right="939"/>
        <w:jc w:val="left"/>
      </w:pPr>
      <w:r>
        <w:rPr>
          <w:spacing w:val="-2"/>
        </w:rPr>
        <w:t>登记日前公司股本发生变动的，将按照分配总额不变的原则对分配比例进行调整。根据</w:t>
      </w:r>
      <w:r>
        <w:rPr>
          <w:rFonts w:ascii="Times New Roman" w:hAnsi="Times New Roman" w:cs="Times New Roman" w:eastAsia="Times New Roman" w:hint="default"/>
          <w:spacing w:val="-2"/>
        </w:rPr>
        <w:t>2018</w:t>
      </w:r>
      <w:r>
        <w:rPr>
          <w:spacing w:val="-2"/>
        </w:rPr>
        <w:t>年度股东大会决议，该利润分配</w:t>
      </w:r>
      <w:r>
        <w:rPr>
          <w:spacing w:val="-64"/>
        </w:rPr>
        <w:t> </w:t>
      </w:r>
      <w:r>
        <w:rPr>
          <w:spacing w:val="-64"/>
        </w:rPr>
      </w:r>
      <w:r>
        <w:rPr/>
        <w:t>方案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日已实施完毕。</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23"/>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3"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4"/>
        <w:ind w:right="939"/>
        <w:jc w:val="left"/>
      </w:pPr>
      <w:r>
        <w:rPr/>
        <w:t>公司报告期利润分配预案及资本公积金转增股本预案与公司章程和分红管理办法等的相关规定一致</w:t>
      </w:r>
    </w:p>
    <w:p>
      <w:pPr>
        <w:pStyle w:val="BodyText"/>
        <w:spacing w:line="331" w:lineRule="auto" w:before="125"/>
        <w:ind w:right="73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 本年度利润分配及资本公积金转增股本情况</w:t>
      </w:r>
    </w:p>
    <w:p>
      <w:pPr>
        <w:spacing w:line="240" w:lineRule="auto" w:before="3"/>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710"/>
        <w:gridCol w:w="5865"/>
      </w:tblGrid>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188,968,261</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28,345,239.15</w:t>
            </w:r>
          </w:p>
        </w:tc>
      </w:tr>
      <w:tr>
        <w:trPr>
          <w:trHeight w:val="406" w:hRule="exact"/>
        </w:trPr>
        <w:tc>
          <w:tcPr>
            <w:tcW w:w="371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45"/>
              <w:ind w:left="7" w:right="-56"/>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28,345,239.15</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366,402,740.11</w:t>
            </w:r>
          </w:p>
        </w:tc>
      </w:tr>
      <w:tr>
        <w:trPr>
          <w:trHeight w:val="7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86"/>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2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44"/>
        <w:ind w:left="0" w:right="1134"/>
        <w:jc w:val="right"/>
      </w:pPr>
      <w:r>
        <w:rPr/>
        <w:pict>
          <v:shape style="position:absolute;margin-left:56.325001pt;margin-top:-36.808258pt;width:480.25pt;height:165.9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2"/>
                  </w:tblGrid>
                  <w:tr>
                    <w:trPr>
                      <w:trHeight w:val="405" w:hRule="exact"/>
                    </w:trPr>
                    <w:tc>
                      <w:tcPr>
                        <w:tcW w:w="95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83"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897" w:hRule="exact"/>
                    </w:trPr>
                    <w:tc>
                      <w:tcPr>
                        <w:tcW w:w="9582"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45"/>
                          <w:ind w:left="15" w:right="9" w:firstLine="360"/>
                          <w:jc w:val="left"/>
                          <w:rPr>
                            <w:rFonts w:ascii="宋体" w:hAnsi="宋体" w:cs="宋体" w:eastAsia="宋体" w:hint="default"/>
                            <w:sz w:val="18"/>
                            <w:szCs w:val="18"/>
                          </w:rPr>
                        </w:pPr>
                        <w:r>
                          <w:rPr>
                            <w:rFonts w:ascii="宋体" w:hAnsi="宋体" w:cs="宋体" w:eastAsia="宋体" w:hint="default"/>
                            <w:spacing w:val="-1"/>
                            <w:sz w:val="18"/>
                            <w:szCs w:val="18"/>
                          </w:rPr>
                          <w:t>经华兴会计师事务所（特殊普通合伙）审计，截止</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日的未分配利润总计</w:t>
                        </w:r>
                        <w:r>
                          <w:rPr>
                            <w:rFonts w:ascii="Times New Roman" w:hAnsi="Times New Roman" w:cs="Times New Roman" w:eastAsia="Times New Roman" w:hint="default"/>
                            <w:spacing w:val="-1"/>
                            <w:sz w:val="18"/>
                            <w:szCs w:val="18"/>
                          </w:rPr>
                          <w:t>366,402,740.11</w:t>
                        </w:r>
                        <w:r>
                          <w:rPr>
                            <w:rFonts w:ascii="宋体" w:hAnsi="宋体" w:cs="宋体" w:eastAsia="宋体" w:hint="default"/>
                            <w:spacing w:val="-1"/>
                            <w:sz w:val="18"/>
                            <w:szCs w:val="18"/>
                          </w:rPr>
                          <w:t>元，报告期末资本</w:t>
                        </w:r>
                        <w:r>
                          <w:rPr>
                            <w:rFonts w:ascii="宋体" w:hAnsi="宋体" w:cs="宋体" w:eastAsia="宋体" w:hint="default"/>
                            <w:sz w:val="18"/>
                            <w:szCs w:val="18"/>
                          </w:rPr>
                          <w:t> </w:t>
                        </w:r>
                        <w:r>
                          <w:rPr>
                            <w:rFonts w:ascii="宋体" w:hAnsi="宋体" w:cs="宋体" w:eastAsia="宋体" w:hint="default"/>
                            <w:spacing w:val="-3"/>
                            <w:sz w:val="18"/>
                            <w:szCs w:val="18"/>
                          </w:rPr>
                          <w:t>公积</w:t>
                        </w:r>
                        <w:r>
                          <w:rPr>
                            <w:rFonts w:ascii="Times New Roman" w:hAnsi="Times New Roman" w:cs="Times New Roman" w:eastAsia="Times New Roman" w:hint="default"/>
                            <w:spacing w:val="-3"/>
                            <w:sz w:val="18"/>
                            <w:szCs w:val="18"/>
                          </w:rPr>
                          <w:t>536,524,182.26</w:t>
                        </w:r>
                        <w:r>
                          <w:rPr>
                            <w:rFonts w:ascii="宋体" w:hAnsi="宋体" w:cs="宋体" w:eastAsia="宋体" w:hint="default"/>
                            <w:spacing w:val="-3"/>
                            <w:sz w:val="18"/>
                            <w:szCs w:val="18"/>
                          </w:rPr>
                          <w:t>元，根据公司实际状况和未来可持续协调发展的需求，并根据中国证监会鼓励企业现金分红的指导意见</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在符合利润分配原则、保证公司正常经营和长远发展的前提下，更好地兼顾股东的即期利益和长远利益，根据《公司法》</w:t>
                        </w:r>
                      </w:p>
                      <w:p>
                        <w:pPr>
                          <w:pStyle w:val="TableParagraph"/>
                          <w:spacing w:line="297" w:lineRule="auto" w:before="53"/>
                          <w:ind w:left="15" w:right="15"/>
                          <w:jc w:val="left"/>
                          <w:rPr>
                            <w:rFonts w:ascii="宋体" w:hAnsi="宋体" w:cs="宋体" w:eastAsia="宋体" w:hint="default"/>
                            <w:sz w:val="18"/>
                            <w:szCs w:val="18"/>
                          </w:rPr>
                        </w:pPr>
                        <w:r>
                          <w:rPr>
                            <w:rFonts w:ascii="宋体" w:hAnsi="宋体" w:cs="宋体" w:eastAsia="宋体" w:hint="default"/>
                            <w:spacing w:val="10"/>
                            <w:sz w:val="18"/>
                            <w:szCs w:val="18"/>
                          </w:rPr>
                          <w:t>及《公司章程》的相关规定，现拟定如下利润分配及资本公积金转增股本预案：</w:t>
                        </w:r>
                        <w:r>
                          <w:rPr>
                            <w:rFonts w:ascii="宋体" w:hAnsi="宋体" w:cs="宋体" w:eastAsia="宋体" w:hint="default"/>
                            <w:spacing w:val="-55"/>
                            <w:sz w:val="18"/>
                            <w:szCs w:val="18"/>
                          </w:rPr>
                          <w:t> </w:t>
                        </w:r>
                        <w:r>
                          <w:rPr>
                            <w:rFonts w:ascii="宋体" w:hAnsi="宋体" w:cs="宋体" w:eastAsia="宋体" w:hint="default"/>
                            <w:spacing w:val="6"/>
                            <w:sz w:val="18"/>
                            <w:szCs w:val="18"/>
                          </w:rPr>
                          <w:t>以截止</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31</w:t>
                        </w:r>
                        <w:r>
                          <w:rPr>
                            <w:rFonts w:ascii="宋体" w:hAnsi="宋体" w:cs="宋体" w:eastAsia="宋体" w:hint="default"/>
                            <w:spacing w:val="6"/>
                            <w:sz w:val="18"/>
                            <w:szCs w:val="18"/>
                          </w:rPr>
                          <w:t>日公司总股本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188,968,261</w:t>
                        </w:r>
                        <w:r>
                          <w:rPr>
                            <w:rFonts w:ascii="宋体" w:hAnsi="宋体" w:cs="宋体" w:eastAsia="宋体" w:hint="default"/>
                            <w:sz w:val="18"/>
                            <w:szCs w:val="18"/>
                          </w:rPr>
                          <w:t>股为基数，拟向全体股东分配共计现金人民币</w:t>
                        </w:r>
                        <w:r>
                          <w:rPr>
                            <w:rFonts w:ascii="Times New Roman" w:hAnsi="Times New Roman" w:cs="Times New Roman" w:eastAsia="Times New Roman" w:hint="default"/>
                            <w:sz w:val="18"/>
                            <w:szCs w:val="18"/>
                          </w:rPr>
                          <w:t>28,345,239.15</w:t>
                        </w:r>
                        <w:r>
                          <w:rPr>
                            <w:rFonts w:ascii="宋体" w:hAnsi="宋体" w:cs="宋体" w:eastAsia="宋体" w:hint="default"/>
                            <w:sz w:val="18"/>
                            <w:szCs w:val="18"/>
                          </w:rPr>
                          <w:t>元，即每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w:t>
                        </w:r>
                        <w:r>
                          <w:rPr>
                            <w:rFonts w:ascii="Times New Roman" w:hAnsi="Times New Roman" w:cs="Times New Roman" w:eastAsia="Times New Roman" w:hint="default"/>
                            <w:sz w:val="18"/>
                            <w:szCs w:val="18"/>
                          </w:rPr>
                          <w:t>1.50</w:t>
                        </w:r>
                        <w:r>
                          <w:rPr>
                            <w:rFonts w:ascii="宋体" w:hAnsi="宋体" w:cs="宋体" w:eastAsia="宋体" w:hint="default"/>
                            <w:sz w:val="18"/>
                            <w:szCs w:val="18"/>
                          </w:rPr>
                          <w:t>元人民币（含税） </w:t>
                        </w:r>
                        <w:r>
                          <w:rPr>
                            <w:rFonts w:ascii="宋体" w:hAnsi="宋体" w:cs="宋体" w:eastAsia="宋体" w:hint="default"/>
                            <w:spacing w:val="14"/>
                            <w:sz w:val="18"/>
                            <w:szCs w:val="18"/>
                          </w:rPr>
                          <w:t>同时拟以股本溢价形成的资本公积金向全体股东每</w:t>
                        </w:r>
                        <w:r>
                          <w:rPr>
                            <w:rFonts w:ascii="宋体" w:hAnsi="宋体" w:cs="宋体" w:eastAsia="宋体" w:hint="default"/>
                            <w:spacing w:val="-60"/>
                            <w:sz w:val="18"/>
                            <w:szCs w:val="18"/>
                          </w:rPr>
                          <w:t> </w:t>
                        </w:r>
                        <w:r>
                          <w:rPr>
                            <w:rFonts w:ascii="Times New Roman" w:hAnsi="Times New Roman" w:cs="Times New Roman" w:eastAsia="Times New Roman" w:hint="default"/>
                            <w:spacing w:val="10"/>
                            <w:sz w:val="18"/>
                            <w:szCs w:val="18"/>
                          </w:rPr>
                          <w:t>10</w:t>
                        </w:r>
                        <w:r>
                          <w:rPr>
                            <w:rFonts w:ascii="宋体" w:hAnsi="宋体" w:cs="宋体" w:eastAsia="宋体" w:hint="default"/>
                            <w:spacing w:val="10"/>
                            <w:sz w:val="18"/>
                            <w:szCs w:val="18"/>
                          </w:rPr>
                          <w:t>股转增</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股，共计转增</w:t>
                        </w:r>
                        <w:r>
                          <w:rPr>
                            <w:rFonts w:ascii="Times New Roman" w:hAnsi="Times New Roman" w:cs="Times New Roman" w:eastAsia="Times New Roman" w:hint="default"/>
                            <w:spacing w:val="10"/>
                            <w:sz w:val="18"/>
                            <w:szCs w:val="18"/>
                          </w:rPr>
                          <w:t>9,448.4131</w:t>
                        </w:r>
                        <w:r>
                          <w:rPr>
                            <w:rFonts w:ascii="宋体" w:hAnsi="宋体" w:cs="宋体" w:eastAsia="宋体" w:hint="default"/>
                            <w:spacing w:val="10"/>
                            <w:sz w:val="18"/>
                            <w:szCs w:val="18"/>
                          </w:rPr>
                          <w:t>万股，转增后公司总股本为</w:t>
                        </w:r>
                        <w:r>
                          <w:rPr>
                            <w:rFonts w:ascii="宋体" w:hAnsi="宋体" w:cs="宋体" w:eastAsia="宋体" w:hint="default"/>
                            <w:spacing w:val="-72"/>
                            <w:sz w:val="18"/>
                            <w:szCs w:val="18"/>
                          </w:rPr>
                          <w:t> </w:t>
                        </w:r>
                        <w:r>
                          <w:rPr>
                            <w:rFonts w:ascii="Times New Roman" w:hAnsi="Times New Roman" w:cs="Times New Roman" w:eastAsia="Times New Roman" w:hint="default"/>
                            <w:spacing w:val="-1"/>
                            <w:sz w:val="18"/>
                            <w:szCs w:val="18"/>
                          </w:rPr>
                          <w:t>28,345.2392</w:t>
                        </w:r>
                        <w:r>
                          <w:rPr>
                            <w:rFonts w:ascii="宋体" w:hAnsi="宋体" w:cs="宋体" w:eastAsia="宋体" w:hint="default"/>
                            <w:spacing w:val="-1"/>
                            <w:sz w:val="18"/>
                            <w:szCs w:val="18"/>
                          </w:rPr>
                          <w:t>万股。本次利润分配不送红股，剩余未分配利润结转入下一年度。董事会审议利润分配预案后至权分派实施公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告确定的股权登记日前公司股本发生变动的，将按照分配总额不变的原则对分配比例进行调整。该利润分配方案尚需提交</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年度股东大会审议。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44"/>
        <w:ind w:left="0" w:right="11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309" w:lineRule="auto" w:before="44"/>
        <w:ind w:right="1119"/>
        <w:jc w:val="left"/>
      </w:pPr>
      <w:r>
        <w:rPr/>
        <w:t>公司近</w:t>
      </w:r>
      <w:r>
        <w:rPr>
          <w:spacing w:val="-45"/>
        </w:rPr>
        <w:t> </w:t>
      </w:r>
      <w:r>
        <w:rPr>
          <w:rFonts w:ascii="Times New Roman" w:hAnsi="Times New Roman" w:cs="Times New Roman" w:eastAsia="Times New Roman" w:hint="default"/>
        </w:rPr>
        <w:t>3 </w:t>
      </w:r>
      <w:r>
        <w:rPr>
          <w:spacing w:val="-3"/>
        </w:rPr>
        <w:t>年（包括本报告期）的普通股股利分配方案（预案）、资本公积金转增股本方案（预案）情况</w:t>
      </w:r>
      <w:r>
        <w:rPr>
          <w:spacing w:val="-59"/>
        </w:rPr>
        <w:t> </w:t>
      </w:r>
      <w:r>
        <w:rPr>
          <w:spacing w:val="-59"/>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10,816.155</w:t>
      </w:r>
      <w:r>
        <w:rPr/>
        <w:t>万股为基数，拟向全体股东分配共计现金人民币</w:t>
      </w:r>
      <w:r>
        <w:rPr>
          <w:rFonts w:ascii="Times New Roman" w:hAnsi="Times New Roman" w:cs="Times New Roman" w:eastAsia="Times New Roman" w:hint="default"/>
        </w:rPr>
        <w:t>27,040,387.50</w:t>
      </w:r>
      <w:r>
        <w:rPr/>
        <w:t>元，</w:t>
      </w:r>
      <w:r>
        <w:rPr>
          <w:spacing w:val="-40"/>
        </w:rPr>
        <w:t> </w:t>
      </w:r>
      <w:r>
        <w:rPr/>
        <w:t>即每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2.50</w:t>
      </w:r>
      <w:r>
        <w:rPr/>
        <w:t>元人民币（含税）；同时拟以股本溢价形成的资本公积金向全体股东每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spacing w:val="-40"/>
        </w:rPr>
        <w:t> </w:t>
      </w:r>
      <w:r>
        <w:rPr>
          <w:rFonts w:ascii="Times New Roman" w:hAnsi="Times New Roman" w:cs="Times New Roman" w:eastAsia="Times New Roman" w:hint="default"/>
        </w:rPr>
        <w:t>8,652.9240</w:t>
      </w:r>
      <w:r>
        <w:rPr/>
        <w:t>万股，转增后公司总股本为</w:t>
      </w:r>
      <w:r>
        <w:rPr>
          <w:rFonts w:ascii="Times New Roman" w:hAnsi="Times New Roman" w:cs="Times New Roman" w:eastAsia="Times New Roman" w:hint="default"/>
        </w:rPr>
        <w:t>19,469.0790</w:t>
      </w:r>
      <w:r>
        <w:rPr/>
        <w:t>万股。本次利润分配不送红股，剩余未分配利润结转入下一年度。董事会</w:t>
      </w:r>
    </w:p>
    <w:p>
      <w:pPr>
        <w:pStyle w:val="BodyText"/>
        <w:spacing w:line="304" w:lineRule="auto" w:before="8"/>
        <w:ind w:right="939"/>
        <w:jc w:val="left"/>
      </w:pPr>
      <w:r>
        <w:rPr/>
        <w:t>审议利润分配预案后至权益分派实施公告确定的股权登记日前公司股本发生变动的，将按照</w:t>
      </w:r>
      <w:r>
        <w:rPr>
          <w:rFonts w:ascii="Times New Roman" w:hAnsi="Times New Roman" w:cs="Times New Roman" w:eastAsia="Times New Roman" w:hint="default"/>
        </w:rPr>
        <w:t>“</w:t>
      </w:r>
      <w:r>
        <w:rPr/>
        <w:t>现金分红总额、转增股本总额</w:t>
      </w:r>
      <w:r>
        <w:rPr>
          <w:spacing w:val="-72"/>
        </w:rPr>
        <w:t> </w:t>
      </w:r>
      <w:r>
        <w:rPr/>
        <w:t>固定不变</w:t>
      </w:r>
      <w:r>
        <w:rPr>
          <w:rFonts w:ascii="Times New Roman" w:hAnsi="Times New Roman" w:cs="Times New Roman" w:eastAsia="Times New Roman" w:hint="default"/>
        </w:rPr>
        <w:t>”</w:t>
      </w:r>
      <w:r>
        <w:rPr/>
        <w:t>的原则对分配比例进行调整。根据</w:t>
      </w:r>
      <w:r>
        <w:rPr>
          <w:rFonts w:ascii="Times New Roman" w:hAnsi="Times New Roman" w:cs="Times New Roman" w:eastAsia="Times New Roman" w:hint="default"/>
        </w:rPr>
        <w:t>2017</w:t>
      </w:r>
      <w:r>
        <w:rPr/>
        <w:t>年度股东大会决议，该利润分配方案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日已实施完毕。</w:t>
      </w:r>
    </w:p>
    <w:p>
      <w:pPr>
        <w:pStyle w:val="BodyText"/>
        <w:spacing w:line="290" w:lineRule="auto" w:before="57"/>
        <w:ind w:right="1103"/>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年度以截止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194,220,862</w:t>
      </w:r>
      <w:r>
        <w:rPr>
          <w:spacing w:val="-1"/>
        </w:rPr>
        <w:t>股为基数，拟向全体股东分配共计现金人民币</w:t>
      </w:r>
      <w:r>
        <w:rPr>
          <w:rFonts w:ascii="Times New Roman" w:hAnsi="Times New Roman" w:cs="Times New Roman" w:eastAsia="Times New Roman" w:hint="default"/>
          <w:spacing w:val="-1"/>
        </w:rPr>
        <w:t>29,133,129.30</w:t>
      </w:r>
      <w:r>
        <w:rPr>
          <w:spacing w:val="-1"/>
        </w:rPr>
        <w:t>元，即</w:t>
      </w:r>
      <w:r>
        <w:rPr>
          <w:spacing w:val="-55"/>
        </w:rPr>
        <w:t> </w:t>
      </w:r>
      <w:r>
        <w:rPr>
          <w:spacing w:val="-55"/>
        </w:rPr>
      </w:r>
      <w:r>
        <w:rPr>
          <w:spacing w:val="-1"/>
        </w:rPr>
        <w:t>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1.50</w:t>
      </w:r>
      <w:r>
        <w:rPr>
          <w:spacing w:val="-1"/>
        </w:rPr>
        <w:t>元人民币（含税）。本次利润分配不送红股，剩余未分配利润结转入下一年度。董事会审议利润分</w:t>
      </w:r>
      <w:r>
        <w:rPr>
          <w:spacing w:val="-47"/>
        </w:rPr>
        <w:t> </w:t>
      </w:r>
      <w:r>
        <w:rPr>
          <w:spacing w:val="-47"/>
        </w:rPr>
      </w:r>
      <w:r>
        <w:rPr>
          <w:spacing w:val="-2"/>
        </w:rPr>
        <w:t>配预案后至权分派实施公告确定的股权登记日前公司股本发生变动的，将按照分配总额不变的原则对分配比例进行调整。根</w:t>
      </w:r>
    </w:p>
    <w:p>
      <w:pPr>
        <w:pStyle w:val="BodyText"/>
        <w:spacing w:line="319" w:lineRule="auto" w:before="57"/>
        <w:ind w:right="939"/>
        <w:jc w:val="left"/>
      </w:pPr>
      <w:r>
        <w:rPr/>
        <w:t>据</w:t>
      </w:r>
      <w:r>
        <w:rPr>
          <w:rFonts w:ascii="Times New Roman" w:hAnsi="Times New Roman" w:cs="Times New Roman" w:eastAsia="Times New Roman" w:hint="default"/>
        </w:rPr>
        <w:t>2018</w:t>
      </w:r>
      <w:r>
        <w:rPr/>
        <w:t>年度股东大会决议，该利润分配方案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日已实施完毕。</w:t>
      </w:r>
      <w:r>
        <w:rPr>
          <w:spacing w:val="-87"/>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年度以截止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188,968,261</w:t>
      </w:r>
      <w:r>
        <w:rPr/>
        <w:t>股为基数，拟向全体股东分配共计现金人民币</w:t>
      </w:r>
      <w:r>
        <w:rPr>
          <w:rFonts w:ascii="Times New Roman" w:hAnsi="Times New Roman" w:cs="Times New Roman" w:eastAsia="Times New Roman" w:hint="default"/>
        </w:rPr>
        <w:t>28,345,239.15</w:t>
      </w:r>
      <w:r>
        <w:rPr/>
        <w:t>元，</w:t>
      </w:r>
      <w:r>
        <w:rPr>
          <w:spacing w:val="-40"/>
        </w:rPr>
        <w:t> </w:t>
      </w:r>
      <w:r>
        <w:rPr/>
        <w:t>即每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1.50</w:t>
      </w:r>
      <w:r>
        <w:rPr/>
        <w:t>元人民币（含税）；同时拟以股本溢价形成的资本公积金向全体股东每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p>
    <w:p>
      <w:pPr>
        <w:pStyle w:val="BodyText"/>
        <w:spacing w:line="312" w:lineRule="auto"/>
        <w:ind w:right="1121"/>
        <w:jc w:val="both"/>
      </w:pPr>
      <w:r>
        <w:rPr>
          <w:rFonts w:ascii="Times New Roman" w:hAnsi="Times New Roman" w:cs="Times New Roman" w:eastAsia="Times New Roman" w:hint="default"/>
        </w:rPr>
        <w:t>9,448.4131</w:t>
      </w:r>
      <w:r>
        <w:rPr/>
        <w:t>万股，转增后公司总股本为</w:t>
      </w:r>
      <w:r>
        <w:rPr>
          <w:rFonts w:ascii="Times New Roman" w:hAnsi="Times New Roman" w:cs="Times New Roman" w:eastAsia="Times New Roman" w:hint="default"/>
        </w:rPr>
        <w:t>28,345.2392</w:t>
      </w:r>
      <w:r>
        <w:rPr/>
        <w:t>万股。本次利润分配不送红股，剩余未分配利润结转入下一年度。董事会</w:t>
      </w:r>
      <w:r>
        <w:rPr>
          <w:spacing w:val="-86"/>
        </w:rPr>
        <w:t> </w:t>
      </w:r>
      <w:r>
        <w:rPr>
          <w:spacing w:val="-2"/>
        </w:rPr>
        <w:t>审议利润分配预案后至权分派实施公告确定的股权登记日前公司股本发生变动的，将按照分配总额不变的原则对分配比例进</w:t>
      </w:r>
      <w:r>
        <w:rPr>
          <w:spacing w:val="-58"/>
        </w:rPr>
        <w:t> </w:t>
      </w:r>
      <w:r>
        <w:rPr>
          <w:spacing w:val="-58"/>
        </w:rPr>
      </w:r>
      <w:r>
        <w:rPr/>
        <w:t>行调整。该利润分配方案尚需提交公司</w:t>
      </w:r>
      <w:r>
        <w:rPr>
          <w:rFonts w:ascii="Times New Roman" w:hAnsi="Times New Roman" w:cs="Times New Roman" w:eastAsia="Times New Roman" w:hint="default"/>
        </w:rPr>
        <w:t>2019</w:t>
      </w:r>
      <w:r>
        <w:rPr/>
        <w:t>年度股东大会审议。</w:t>
      </w:r>
    </w:p>
    <w:p>
      <w:pPr>
        <w:pStyle w:val="BodyText"/>
        <w:spacing w:line="240" w:lineRule="auto" w:before="21"/>
        <w:ind w:right="939"/>
        <w:jc w:val="left"/>
      </w:pPr>
      <w:r>
        <w:rPr/>
        <w:t>公司近三年（包括本报告期）普通股现金分红情况表</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17"/>
        <w:gridCol w:w="1179"/>
      </w:tblGrid>
      <w:tr>
        <w:trPr>
          <w:trHeight w:val="158"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87"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17" w:type="dxa"/>
            <w:vMerge w:val="restart"/>
            <w:tcBorders>
              <w:top w:val="single" w:sz="6" w:space="0" w:color="000000"/>
              <w:left w:val="single" w:sz="6" w:space="0" w:color="000000"/>
              <w:right w:val="single" w:sz="6" w:space="0" w:color="000000"/>
            </w:tcBorders>
            <w:shd w:val="clear" w:color="auto" w:fill="D2D2D2"/>
          </w:tcPr>
          <w:p>
            <w:pPr/>
          </w:p>
        </w:tc>
        <w:tc>
          <w:tcPr>
            <w:tcW w:w="117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64"/>
              <w:ind w:left="45" w:right="36"/>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1"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60"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1" w:type="dxa"/>
            <w:vMerge/>
            <w:tcBorders>
              <w:left w:val="single" w:sz="6" w:space="0" w:color="000000"/>
              <w:right w:val="single" w:sz="6" w:space="0" w:color="000000"/>
            </w:tcBorders>
            <w:shd w:val="clear" w:color="auto" w:fill="D2D2D2"/>
          </w:tcPr>
          <w:p>
            <w:pPr/>
          </w:p>
        </w:tc>
        <w:tc>
          <w:tcPr>
            <w:tcW w:w="1186"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45" w:right="44"/>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60" w:right="44"/>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65"/>
              <w:ind w:left="45" w:right="59"/>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07" w:lineRule="auto" w:before="79"/>
              <w:ind w:left="420" w:right="149"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9" w:type="dxa"/>
            <w:vMerge/>
            <w:tcBorders>
              <w:left w:val="single" w:sz="6" w:space="0" w:color="000000"/>
              <w:right w:val="single" w:sz="6" w:space="0" w:color="000000"/>
            </w:tcBorders>
            <w:shd w:val="clear" w:color="auto" w:fill="D2D2D2"/>
          </w:tcPr>
          <w:p>
            <w:pPr/>
          </w:p>
        </w:tc>
      </w:tr>
      <w:tr>
        <w:trPr>
          <w:trHeight w:val="706" w:hRule="exact"/>
        </w:trPr>
        <w:tc>
          <w:tcPr>
            <w:tcW w:w="1202" w:type="dxa"/>
            <w:vMerge/>
            <w:tcBorders>
              <w:left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bottom w:val="nil" w:sz="6" w:space="0" w:color="auto"/>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73"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17" w:type="dxa"/>
            <w:vMerge/>
            <w:tcBorders>
              <w:left w:val="single" w:sz="6" w:space="0" w:color="000000"/>
              <w:bottom w:val="single" w:sz="6" w:space="0" w:color="000000"/>
              <w:right w:val="single" w:sz="6" w:space="0" w:color="000000"/>
            </w:tcBorders>
            <w:shd w:val="clear" w:color="auto" w:fill="D2D2D2"/>
          </w:tcPr>
          <w:p>
            <w:pPr/>
          </w:p>
        </w:tc>
        <w:tc>
          <w:tcPr>
            <w:tcW w:w="1179"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28,345,239.15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96,238,638.56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29.45%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28,345,239.15</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sz w:val="18"/>
              </w:rPr>
              <w:t>29.45%</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29,133,129.30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68,804,381.94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42.34%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29,133,129.30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42.34%</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27,040,387.50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88,163,361.56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27,040,387.50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30.67%</w:t>
            </w:r>
          </w:p>
        </w:tc>
      </w:tr>
    </w:tbl>
    <w:p>
      <w:pPr>
        <w:pStyle w:val="BodyText"/>
        <w:spacing w:line="319" w:lineRule="auto" w:before="60"/>
        <w:ind w:right="3549"/>
        <w:jc w:val="left"/>
      </w:pPr>
      <w:r>
        <w:rPr>
          <w:rFonts w:ascii="Times New Roman" w:hAnsi="Times New Roman" w:cs="Times New Roman" w:eastAsia="Times New Roman" w:hint="default"/>
        </w:rPr>
        <w:t>2</w:t>
      </w:r>
      <w:r>
        <w:rPr/>
        <w:t>、现金分红总额（含其他方式）</w:t>
      </w:r>
      <w:r>
        <w:rPr>
          <w:rFonts w:ascii="Times New Roman" w:hAnsi="Times New Roman" w:cs="Times New Roman" w:eastAsia="Times New Roman" w:hint="default"/>
        </w:rPr>
        <w:t>=</w:t>
      </w:r>
      <w:r>
        <w:rPr/>
        <w:t>现金分红金额</w:t>
      </w:r>
      <w:r>
        <w:rPr>
          <w:rFonts w:ascii="Times New Roman" w:hAnsi="Times New Roman" w:cs="Times New Roman" w:eastAsia="Times New Roman" w:hint="default"/>
        </w:rPr>
        <w:t>+</w:t>
      </w:r>
      <w:r>
        <w:rPr/>
        <w:t>以其他方式现金分红的金额。</w:t>
      </w:r>
      <w:r>
        <w:rPr>
          <w:spacing w:val="-80"/>
        </w:rPr>
        <w:t> </w:t>
      </w:r>
      <w:r>
        <w:rPr/>
        <w:t>公司报告期内盈利且母公司可供普通股股东分配利润为正但未提出普通股现金红利分配预案</w:t>
      </w:r>
    </w:p>
    <w:p>
      <w:pPr>
        <w:pStyle w:val="BodyText"/>
        <w:spacing w:line="240" w:lineRule="auto" w:before="65"/>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3"/>
        <w:rPr>
          <w:rFonts w:ascii="宋体" w:hAnsi="宋体" w:cs="宋体" w:eastAsia="宋体" w:hint="default"/>
          <w:sz w:val="20"/>
          <w:szCs w:val="20"/>
        </w:rPr>
      </w:pPr>
    </w:p>
    <w:p>
      <w:pPr>
        <w:pStyle w:val="Heading2"/>
        <w:spacing w:line="240" w:lineRule="auto" w:before="26"/>
        <w:ind w:right="939"/>
        <w:jc w:val="left"/>
        <w:rPr>
          <w:b w:val="0"/>
          <w:bCs w:val="0"/>
        </w:rPr>
      </w:pPr>
      <w:bookmarkStart w:name="二、承诺事项履行情况" w:id="65"/>
      <w:bookmarkEnd w:id="65"/>
      <w:r>
        <w:rPr>
          <w:b w:val="0"/>
          <w:bCs w:val="0"/>
        </w:rPr>
      </w:r>
      <w:r>
        <w:rPr/>
        <w:t>二、承诺事项履行情况</w:t>
      </w:r>
      <w:r>
        <w:rPr>
          <w:b w:val="0"/>
          <w:bCs w:val="0"/>
        </w:rPr>
      </w:r>
    </w:p>
    <w:p>
      <w:pPr>
        <w:spacing w:line="240" w:lineRule="auto" w:before="7"/>
        <w:rPr>
          <w:rFonts w:ascii="宋体" w:hAnsi="宋体" w:cs="宋体" w:eastAsia="宋体" w:hint="default"/>
          <w:b/>
          <w:bCs/>
          <w:sz w:val="24"/>
          <w:szCs w:val="24"/>
        </w:rPr>
      </w:pPr>
    </w:p>
    <w:p>
      <w:pPr>
        <w:pStyle w:val="Heading3"/>
        <w:spacing w:line="247" w:lineRule="auto"/>
        <w:ind w:right="939"/>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53"/>
        </w:rPr>
        <w:t> </w:t>
      </w:r>
      <w:r>
        <w:rPr>
          <w:spacing w:val="-53"/>
        </w:rPr>
      </w:r>
      <w:r>
        <w:rPr/>
        <w:t>尚未履行完毕的承诺事项</w:t>
      </w:r>
      <w:r>
        <w:rPr>
          <w:b w:val="0"/>
          <w:bCs w:val="0"/>
        </w:rPr>
      </w:r>
    </w:p>
    <w:p>
      <w:pPr>
        <w:spacing w:line="240" w:lineRule="auto" w:before="3"/>
        <w:rPr>
          <w:rFonts w:ascii="宋体" w:hAnsi="宋体" w:cs="宋体" w:eastAsia="宋体" w:hint="default"/>
          <w:b/>
          <w:bCs/>
          <w:sz w:val="28"/>
          <w:szCs w:val="28"/>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40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21"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6"/>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7" w:type="dxa"/>
            <w:tcBorders>
              <w:top w:val="single" w:sz="6" w:space="0" w:color="000000"/>
              <w:left w:val="single" w:sz="12"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7" w:type="dxa"/>
            <w:tcBorders>
              <w:top w:val="single" w:sz="6" w:space="0" w:color="000000"/>
              <w:left w:val="single" w:sz="12"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10359"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9" w:lineRule="auto"/>
              <w:ind w:left="30" w:right="1"/>
              <w:jc w:val="left"/>
              <w:rPr>
                <w:rFonts w:ascii="宋体" w:hAnsi="宋体" w:cs="宋体" w:eastAsia="宋体" w:hint="default"/>
                <w:sz w:val="18"/>
                <w:szCs w:val="18"/>
              </w:rPr>
            </w:pPr>
            <w:r>
              <w:rPr>
                <w:rFonts w:ascii="宋体" w:hAnsi="宋体" w:cs="宋体" w:eastAsia="宋体" w:hint="default"/>
                <w:spacing w:val="-3"/>
                <w:sz w:val="18"/>
                <w:szCs w:val="18"/>
              </w:rPr>
              <w:t>周志群、邓修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生、李琳、林 隆奋、胡行 军、王勇、郑 登元、黄永 雄、罗川</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29" w:right="1"/>
              <w:jc w:val="left"/>
              <w:rPr>
                <w:rFonts w:ascii="宋体" w:hAnsi="宋体" w:cs="宋体" w:eastAsia="宋体" w:hint="default"/>
                <w:sz w:val="18"/>
                <w:szCs w:val="18"/>
              </w:rPr>
            </w:pPr>
            <w:r>
              <w:rPr>
                <w:rFonts w:ascii="宋体" w:hAnsi="宋体" w:cs="宋体" w:eastAsia="宋体" w:hint="default"/>
                <w:sz w:val="18"/>
                <w:szCs w:val="18"/>
              </w:rPr>
              <w:t>担任发行人 董事、监事、 高级管理人 员的间接股 </w:t>
            </w:r>
            <w:r>
              <w:rPr>
                <w:rFonts w:ascii="宋体" w:hAnsi="宋体" w:cs="宋体" w:eastAsia="宋体" w:hint="default"/>
                <w:spacing w:val="-3"/>
                <w:sz w:val="18"/>
                <w:szCs w:val="18"/>
              </w:rPr>
              <w:t>东周志群、邓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修生、李琳、 </w:t>
            </w:r>
            <w:r>
              <w:rPr>
                <w:rFonts w:ascii="宋体" w:hAnsi="宋体" w:cs="宋体" w:eastAsia="宋体" w:hint="default"/>
                <w:spacing w:val="-3"/>
                <w:sz w:val="18"/>
                <w:szCs w:val="18"/>
              </w:rPr>
              <w:t>林隆奋、胡行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军、王勇、郑 </w:t>
            </w:r>
            <w:r>
              <w:rPr>
                <w:rFonts w:ascii="宋体" w:hAnsi="宋体" w:cs="宋体" w:eastAsia="宋体" w:hint="default"/>
                <w:spacing w:val="-3"/>
                <w:sz w:val="18"/>
                <w:szCs w:val="18"/>
              </w:rPr>
              <w:t>登元、黄永雄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及罗川承诺： 在其任职期 间每年通过 </w:t>
            </w:r>
            <w:r>
              <w:rPr>
                <w:rFonts w:ascii="宋体" w:hAnsi="宋体" w:cs="宋体" w:eastAsia="宋体" w:hint="default"/>
                <w:spacing w:val="-3"/>
                <w:sz w:val="18"/>
                <w:szCs w:val="18"/>
              </w:rPr>
              <w:t>集中竞价、大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宗交易、协议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转让等方式 转让的股份 不超过其所 持有公司股 份总数的百 分之二十五； 离职后半年 </w:t>
            </w:r>
            <w:r>
              <w:rPr>
                <w:rFonts w:ascii="宋体" w:hAnsi="宋体" w:cs="宋体" w:eastAsia="宋体" w:hint="default"/>
                <w:spacing w:val="-3"/>
                <w:sz w:val="18"/>
                <w:szCs w:val="18"/>
              </w:rPr>
              <w:t>内，不转让其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所持有的公 </w:t>
            </w:r>
            <w:r>
              <w:rPr>
                <w:rFonts w:ascii="宋体" w:hAnsi="宋体" w:cs="宋体" w:eastAsia="宋体" w:hint="default"/>
                <w:spacing w:val="-3"/>
                <w:sz w:val="18"/>
                <w:szCs w:val="18"/>
              </w:rPr>
              <w:t>司股份；其在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首次公开发 行股票上市 之日起六个 月内申报离 </w:t>
            </w:r>
            <w:r>
              <w:rPr>
                <w:rFonts w:ascii="宋体" w:hAnsi="宋体" w:cs="宋体" w:eastAsia="宋体" w:hint="default"/>
                <w:spacing w:val="-3"/>
                <w:sz w:val="18"/>
                <w:szCs w:val="18"/>
              </w:rPr>
              <w:t>职的，自申报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离职之日起 十八个月内 不转让其直 接持有的公</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798"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29" w:right="1"/>
              <w:jc w:val="left"/>
              <w:rPr>
                <w:rFonts w:ascii="宋体" w:hAnsi="宋体" w:cs="宋体" w:eastAsia="宋体" w:hint="default"/>
                <w:sz w:val="18"/>
                <w:szCs w:val="18"/>
              </w:rPr>
            </w:pPr>
            <w:r>
              <w:rPr>
                <w:rFonts w:ascii="宋体" w:hAnsi="宋体" w:cs="宋体" w:eastAsia="宋体" w:hint="default"/>
                <w:spacing w:val="-3"/>
                <w:sz w:val="18"/>
                <w:szCs w:val="18"/>
              </w:rPr>
              <w:t>司股份；在首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次公开发行 股票上市之 日起第七个 月至第十二 个月之间申 </w:t>
            </w:r>
            <w:r>
              <w:rPr>
                <w:rFonts w:ascii="宋体" w:hAnsi="宋体" w:cs="宋体" w:eastAsia="宋体" w:hint="default"/>
                <w:spacing w:val="-3"/>
                <w:sz w:val="18"/>
                <w:szCs w:val="18"/>
              </w:rPr>
              <w:t>报离职的，自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申报离职之 日起十二个 月内不转让 其直接持有 的公司股份。</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10044"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4" w:lineRule="auto"/>
              <w:ind w:left="30" w:right="179"/>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29"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本次募集 资金投资项 目所需资金</w:t>
            </w:r>
          </w:p>
          <w:p>
            <w:pPr>
              <w:pStyle w:val="TableParagraph"/>
              <w:spacing w:line="316" w:lineRule="auto" w:before="36"/>
              <w:ind w:left="29" w:right="1"/>
              <w:jc w:val="left"/>
              <w:rPr>
                <w:rFonts w:ascii="宋体" w:hAnsi="宋体" w:cs="宋体" w:eastAsia="宋体" w:hint="default"/>
                <w:sz w:val="18"/>
                <w:szCs w:val="18"/>
              </w:rPr>
            </w:pPr>
            <w:r>
              <w:rPr>
                <w:rFonts w:ascii="宋体" w:hAnsi="宋体" w:cs="宋体" w:eastAsia="宋体" w:hint="default"/>
                <w:sz w:val="18"/>
                <w:szCs w:val="18"/>
              </w:rPr>
              <w:t>拟全部由本 次公开发行 股票的募集 资金投入解 </w:t>
            </w:r>
            <w:r>
              <w:rPr>
                <w:rFonts w:ascii="宋体" w:hAnsi="宋体" w:cs="宋体" w:eastAsia="宋体" w:hint="default"/>
                <w:spacing w:val="-3"/>
                <w:sz w:val="18"/>
                <w:szCs w:val="18"/>
              </w:rPr>
              <w:t>决。本次股票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发行募集资 </w:t>
            </w:r>
            <w:r>
              <w:rPr>
                <w:rFonts w:ascii="宋体" w:hAnsi="宋体" w:cs="宋体" w:eastAsia="宋体" w:hint="default"/>
                <w:spacing w:val="-3"/>
                <w:sz w:val="18"/>
                <w:szCs w:val="18"/>
              </w:rPr>
              <w:t>金到位后，公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司将采用专 </w:t>
            </w:r>
            <w:r>
              <w:rPr>
                <w:rFonts w:ascii="宋体" w:hAnsi="宋体" w:cs="宋体" w:eastAsia="宋体" w:hint="default"/>
                <w:spacing w:val="-3"/>
                <w:sz w:val="18"/>
                <w:szCs w:val="18"/>
              </w:rPr>
              <w:t>款专用、专户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存储的方式 来管理募集 </w:t>
            </w:r>
            <w:r>
              <w:rPr>
                <w:rFonts w:ascii="宋体" w:hAnsi="宋体" w:cs="宋体" w:eastAsia="宋体" w:hint="default"/>
                <w:spacing w:val="-3"/>
                <w:sz w:val="18"/>
                <w:szCs w:val="18"/>
              </w:rPr>
              <w:t>资金，按以上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排列顺序及 项目投资计 划投入资金。 若本次发行 实际募集资 金不能满足 上述全部项 目投资需要， 资金缺口通 过公司自筹 资金或银行 </w:t>
            </w:r>
            <w:r>
              <w:rPr>
                <w:rFonts w:ascii="宋体" w:hAnsi="宋体" w:cs="宋体" w:eastAsia="宋体" w:hint="default"/>
                <w:spacing w:val="-3"/>
                <w:sz w:val="18"/>
                <w:szCs w:val="18"/>
              </w:rPr>
              <w:t>贷款解决；如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果本次发行 及上市募集 资金到位时 间与资金需 求的时间要</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5"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2552"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left="29" w:right="1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求不一致，公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司可根据实 际情况以自 有资金或银 行借款先行 </w:t>
            </w:r>
            <w:r>
              <w:rPr>
                <w:rFonts w:ascii="宋体" w:hAnsi="宋体" w:cs="宋体" w:eastAsia="宋体" w:hint="default"/>
                <w:spacing w:val="-3"/>
                <w:sz w:val="18"/>
                <w:szCs w:val="18"/>
              </w:rPr>
              <w:t>投入，待募集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资金到位后 予以置换。</w:t>
            </w:r>
            <w:r>
              <w:rPr>
                <w:rFonts w:ascii="Times New Roman" w:hAnsi="Times New Roman" w:cs="Times New Roman" w:eastAsia="Times New Roman" w:hint="default"/>
                <w:sz w:val="18"/>
                <w:szCs w:val="18"/>
              </w:rPr>
              <w:t>"</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11290"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21" w:lineRule="auto"/>
              <w:ind w:left="30" w:right="179"/>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5"/>
              <w:ind w:left="29"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公司实施积 极的利润分 </w:t>
            </w:r>
            <w:r>
              <w:rPr>
                <w:rFonts w:ascii="宋体" w:hAnsi="宋体" w:cs="宋体" w:eastAsia="宋体" w:hint="default"/>
                <w:spacing w:val="-3"/>
                <w:sz w:val="18"/>
                <w:szCs w:val="18"/>
              </w:rPr>
              <w:t>配政策，重视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对股东的合 理投资回报 并兼顾公司</w:t>
            </w:r>
          </w:p>
          <w:p>
            <w:pPr>
              <w:pStyle w:val="TableParagraph"/>
              <w:spacing w:line="319" w:lineRule="auto" w:before="26"/>
              <w:ind w:left="29" w:right="14"/>
              <w:jc w:val="left"/>
              <w:rPr>
                <w:rFonts w:ascii="宋体" w:hAnsi="宋体" w:cs="宋体" w:eastAsia="宋体" w:hint="default"/>
                <w:sz w:val="18"/>
                <w:szCs w:val="18"/>
              </w:rPr>
            </w:pPr>
            <w:r>
              <w:rPr>
                <w:rFonts w:ascii="宋体" w:hAnsi="宋体" w:cs="宋体" w:eastAsia="宋体" w:hint="default"/>
                <w:sz w:val="18"/>
                <w:szCs w:val="18"/>
              </w:rPr>
              <w:t>的可持续发 </w:t>
            </w:r>
            <w:r>
              <w:rPr>
                <w:rFonts w:ascii="宋体" w:hAnsi="宋体" w:cs="宋体" w:eastAsia="宋体" w:hint="default"/>
                <w:spacing w:val="-3"/>
                <w:sz w:val="18"/>
                <w:szCs w:val="18"/>
              </w:rPr>
              <w:t>展，利润分配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政策保持连 续性和稳定 </w:t>
            </w:r>
            <w:r>
              <w:rPr>
                <w:rFonts w:ascii="宋体" w:hAnsi="宋体" w:cs="宋体" w:eastAsia="宋体" w:hint="default"/>
                <w:spacing w:val="-3"/>
                <w:sz w:val="18"/>
                <w:szCs w:val="18"/>
              </w:rPr>
              <w:t>性，健全现金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分红制度。</w:t>
            </w:r>
          </w:p>
          <w:p>
            <w:pPr>
              <w:pStyle w:val="TableParagraph"/>
              <w:spacing w:line="297" w:lineRule="auto" w:before="35"/>
              <w:ind w:left="29"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）公司可 以采取现金、 股票或者现</w:t>
            </w:r>
          </w:p>
          <w:p>
            <w:pPr>
              <w:pStyle w:val="TableParagraph"/>
              <w:spacing w:line="316" w:lineRule="auto" w:before="37"/>
              <w:ind w:left="29" w:right="0"/>
              <w:jc w:val="left"/>
              <w:rPr>
                <w:rFonts w:ascii="宋体" w:hAnsi="宋体" w:cs="宋体" w:eastAsia="宋体" w:hint="default"/>
                <w:sz w:val="18"/>
                <w:szCs w:val="18"/>
              </w:rPr>
            </w:pPr>
            <w:r>
              <w:rPr>
                <w:rFonts w:ascii="宋体" w:hAnsi="宋体" w:cs="宋体" w:eastAsia="宋体" w:hint="default"/>
                <w:sz w:val="18"/>
                <w:szCs w:val="18"/>
              </w:rPr>
              <w:t>金与股票相 结合的方式 </w:t>
            </w:r>
            <w:r>
              <w:rPr>
                <w:rFonts w:ascii="宋体" w:hAnsi="宋体" w:cs="宋体" w:eastAsia="宋体" w:hint="default"/>
                <w:spacing w:val="-3"/>
                <w:sz w:val="18"/>
                <w:szCs w:val="18"/>
              </w:rPr>
              <w:t>分配股利，并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优先采用现 金分红的方 式分配利润。 公司每年度 至少进行一 次利润分配， 公司董事会 可以根据公 司的盈利及 资金需求状 况提议公司 进行中期股</w:t>
            </w:r>
          </w:p>
          <w:p>
            <w:pPr>
              <w:pStyle w:val="TableParagraph"/>
              <w:spacing w:line="312" w:lineRule="auto" w:before="37"/>
              <w:ind w:left="29" w:right="0"/>
              <w:jc w:val="left"/>
              <w:rPr>
                <w:rFonts w:ascii="宋体" w:hAnsi="宋体" w:cs="宋体" w:eastAsia="宋体" w:hint="default"/>
                <w:sz w:val="18"/>
                <w:szCs w:val="18"/>
              </w:rPr>
            </w:pPr>
            <w:r>
              <w:rPr>
                <w:rFonts w:ascii="宋体" w:hAnsi="宋体" w:cs="宋体" w:eastAsia="宋体" w:hint="default"/>
                <w:spacing w:val="-13"/>
                <w:sz w:val="18"/>
                <w:szCs w:val="18"/>
              </w:rPr>
              <w:t>利分配；（</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公司研究论 证股利分配 政策及利润 分配方案应 当充分考虑</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pacing w:val="-3"/>
                <w:sz w:val="18"/>
                <w:szCs w:val="18"/>
              </w:rPr>
              <w:t>独立董事、监</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事和中小股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东的意见。</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）在满足</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本章程规定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的现金分红</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条件的情况</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下，公司应积</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极实施以现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金方式分配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股利。公司在</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当年盈利、累</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计未分配利</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润为正且公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司现金流可</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以满足公司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正常经营和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持续发展的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情况下，如无</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重大投资计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划或重大现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金支出等事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项发生，公司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应当采取现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金方式分配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股利，且每年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分配的利润</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应不低于当</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年实现的可</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分配利润的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w:t>
            </w:r>
            <w:r>
              <w:rPr>
                <w:rFonts w:ascii="宋体" w:hAnsi="宋体" w:cs="宋体" w:eastAsia="宋体" w:hint="default"/>
                <w:spacing w:val="-90"/>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4</w:t>
            </w:r>
            <w:r>
              <w:rPr>
                <w:rFonts w:ascii="宋体" w:hAnsi="宋体" w:cs="宋体" w:eastAsia="宋体" w:hint="default"/>
                <w:w w:val="99"/>
                <w:sz w:val="18"/>
                <w:szCs w:val="18"/>
              </w:rPr>
              <w:t>）在</w:t>
            </w:r>
            <w:r>
              <w:rPr>
                <w:rFonts w:ascii="宋体" w:hAnsi="宋体" w:cs="宋体" w:eastAsia="宋体" w:hint="default"/>
                <w:sz w:val="18"/>
                <w:szCs w:val="18"/>
              </w:rPr>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保证公司股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本规模和股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权结构合理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的前提下，基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于回报投资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者和分享企</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业价值的考</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虑，从公司成</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长性、每股净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资产的摊薄、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公司股价与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公司股本规</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模的匹配性</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等真实合理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因素出发，当</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公司股票估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值处于合理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范围内，公司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可以在满足</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现金股利分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配条件的同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时，制订股票</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股利分配方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董事会应在</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定期报告中</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披露利润分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配方案</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9" w:right="0"/>
              <w:jc w:val="left"/>
              <w:rPr>
                <w:rFonts w:ascii="宋体" w:hAnsi="宋体" w:cs="宋体" w:eastAsia="宋体" w:hint="default"/>
                <w:sz w:val="18"/>
                <w:szCs w:val="18"/>
              </w:rPr>
            </w:pPr>
            <w:r>
              <w:rPr>
                <w:rFonts w:ascii="宋体" w:hAnsi="宋体" w:cs="宋体" w:eastAsia="宋体" w:hint="default"/>
                <w:sz w:val="18"/>
                <w:szCs w:val="18"/>
              </w:rPr>
              <w:t>公司的利润</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分配政策不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得随意变更，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以保持其持</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续性和稳定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）股东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违规占用公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司资金情况</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的，公司应当</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扣减该股东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所分配的现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金红利，以偿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还其占用的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2014 ~</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年股东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6"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9" w:right="0"/>
              <w:jc w:val="left"/>
              <w:rPr>
                <w:rFonts w:ascii="宋体" w:hAnsi="宋体" w:cs="宋体" w:eastAsia="宋体" w:hint="default"/>
                <w:sz w:val="18"/>
                <w:szCs w:val="18"/>
              </w:rPr>
            </w:pPr>
            <w:r>
              <w:rPr>
                <w:rFonts w:ascii="宋体" w:hAnsi="宋体" w:cs="宋体" w:eastAsia="宋体" w:hint="default"/>
                <w:sz w:val="18"/>
                <w:szCs w:val="18"/>
              </w:rPr>
              <w:t>分红回报计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划：公司在当</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年盈利、累计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为正且公司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现金流可以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满足公司正</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常经营和持</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续发展的情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况下，如无重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大投资计划</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或重大现金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支出等事项</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911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left="29" w:right="14"/>
              <w:jc w:val="left"/>
              <w:rPr>
                <w:rFonts w:ascii="宋体" w:hAnsi="宋体" w:cs="宋体" w:eastAsia="宋体" w:hint="default"/>
                <w:sz w:val="18"/>
                <w:szCs w:val="18"/>
              </w:rPr>
            </w:pPr>
            <w:r>
              <w:rPr>
                <w:rFonts w:ascii="宋体" w:hAnsi="宋体" w:cs="宋体" w:eastAsia="宋体" w:hint="default"/>
                <w:spacing w:val="-3"/>
                <w:sz w:val="18"/>
                <w:szCs w:val="18"/>
              </w:rPr>
              <w:t>发生，公司应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当采取现金 方式分配股 </w:t>
            </w:r>
            <w:r>
              <w:rPr>
                <w:rFonts w:ascii="宋体" w:hAnsi="宋体" w:cs="宋体" w:eastAsia="宋体" w:hint="default"/>
                <w:spacing w:val="-3"/>
                <w:sz w:val="18"/>
                <w:szCs w:val="18"/>
              </w:rPr>
              <w:t>利，且每年以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现金方式分 配的利润应 不低于当年 实现的可分 配利润的 </w:t>
            </w:r>
            <w:r>
              <w:rPr>
                <w:rFonts w:ascii="Times New Roman" w:hAnsi="Times New Roman" w:cs="Times New Roman" w:eastAsia="Times New Roman" w:hint="default"/>
                <w:sz w:val="18"/>
                <w:szCs w:val="18"/>
              </w:rPr>
              <w:t>20%</w:t>
            </w:r>
            <w:r>
              <w:rPr>
                <w:rFonts w:ascii="宋体" w:hAnsi="宋体" w:cs="宋体" w:eastAsia="宋体" w:hint="default"/>
                <w:sz w:val="18"/>
                <w:szCs w:val="18"/>
              </w:rPr>
              <w:t>。在确保</w:t>
            </w:r>
          </w:p>
          <w:p>
            <w:pPr>
              <w:pStyle w:val="TableParagraph"/>
              <w:spacing w:line="221" w:lineRule="exact"/>
              <w:ind w:left="29" w:right="0"/>
              <w:jc w:val="left"/>
              <w:rPr>
                <w:rFonts w:ascii="宋体" w:hAnsi="宋体" w:cs="宋体" w:eastAsia="宋体" w:hint="default"/>
                <w:sz w:val="18"/>
                <w:szCs w:val="18"/>
              </w:rPr>
            </w:pPr>
            <w:r>
              <w:rPr>
                <w:rFonts w:ascii="宋体" w:hAnsi="宋体" w:cs="宋体" w:eastAsia="宋体" w:hint="default"/>
                <w:sz w:val="18"/>
                <w:szCs w:val="18"/>
              </w:rPr>
              <w:t>足额现金股</w:t>
            </w:r>
          </w:p>
          <w:p>
            <w:pPr>
              <w:pStyle w:val="TableParagraph"/>
              <w:spacing w:line="319" w:lineRule="auto" w:before="65"/>
              <w:ind w:left="29" w:right="14"/>
              <w:jc w:val="left"/>
              <w:rPr>
                <w:rFonts w:ascii="宋体" w:hAnsi="宋体" w:cs="宋体" w:eastAsia="宋体" w:hint="default"/>
                <w:sz w:val="18"/>
                <w:szCs w:val="18"/>
              </w:rPr>
            </w:pPr>
            <w:r>
              <w:rPr>
                <w:rFonts w:ascii="宋体" w:hAnsi="宋体" w:cs="宋体" w:eastAsia="宋体" w:hint="default"/>
                <w:sz w:val="18"/>
                <w:szCs w:val="18"/>
              </w:rPr>
              <w:t>利分配的前 </w:t>
            </w:r>
            <w:r>
              <w:rPr>
                <w:rFonts w:ascii="宋体" w:hAnsi="宋体" w:cs="宋体" w:eastAsia="宋体" w:hint="default"/>
                <w:spacing w:val="-3"/>
                <w:sz w:val="18"/>
                <w:szCs w:val="18"/>
              </w:rPr>
              <w:t>提下，公司可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以另行增加 股票股利分 配和公积金 转增股本等 </w:t>
            </w:r>
            <w:r>
              <w:rPr>
                <w:rFonts w:ascii="宋体" w:hAnsi="宋体" w:cs="宋体" w:eastAsia="宋体" w:hint="default"/>
                <w:spacing w:val="-3"/>
                <w:sz w:val="18"/>
                <w:szCs w:val="18"/>
              </w:rPr>
              <w:t>方式。关于公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司利润分配 政策及股东 未来分红回 报规划的具 </w:t>
            </w:r>
            <w:r>
              <w:rPr>
                <w:rFonts w:ascii="宋体" w:hAnsi="宋体" w:cs="宋体" w:eastAsia="宋体" w:hint="default"/>
                <w:spacing w:val="-3"/>
                <w:sz w:val="18"/>
                <w:szCs w:val="18"/>
              </w:rPr>
              <w:t>体内容，请详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细参阅本招 股说明书第</w:t>
            </w:r>
          </w:p>
          <w:p>
            <w:pPr>
              <w:pStyle w:val="TableParagraph"/>
              <w:spacing w:line="273" w:lineRule="auto" w:before="35"/>
              <w:ind w:left="29" w:right="103"/>
              <w:jc w:val="left"/>
              <w:rPr>
                <w:rFonts w:ascii="宋体" w:hAnsi="宋体" w:cs="宋体" w:eastAsia="宋体" w:hint="default"/>
                <w:sz w:val="18"/>
                <w:szCs w:val="18"/>
              </w:rPr>
            </w:pPr>
            <w:r>
              <w:rPr>
                <w:rFonts w:ascii="宋体" w:hAnsi="宋体" w:cs="宋体" w:eastAsia="宋体" w:hint="default"/>
                <w:sz w:val="18"/>
                <w:szCs w:val="18"/>
              </w:rPr>
              <w:t>九节</w:t>
            </w:r>
            <w:r>
              <w:rPr>
                <w:rFonts w:ascii="Times New Roman" w:hAnsi="Times New Roman" w:cs="Times New Roman" w:eastAsia="Times New Roman" w:hint="default"/>
                <w:sz w:val="18"/>
                <w:szCs w:val="18"/>
              </w:rPr>
              <w:t>"</w:t>
            </w:r>
            <w:r>
              <w:rPr>
                <w:rFonts w:ascii="宋体" w:hAnsi="宋体" w:cs="宋体" w:eastAsia="宋体" w:hint="default"/>
                <w:sz w:val="18"/>
                <w:szCs w:val="18"/>
              </w:rPr>
              <w:t>财务会 计信息与管</w:t>
            </w:r>
          </w:p>
          <w:p>
            <w:pPr>
              <w:pStyle w:val="TableParagraph"/>
              <w:spacing w:line="302" w:lineRule="auto" w:before="70"/>
              <w:ind w:left="29"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理层分析</w:t>
            </w:r>
            <w:r>
              <w:rPr>
                <w:rFonts w:ascii="Times New Roman" w:hAnsi="Times New Roman" w:cs="Times New Roman" w:eastAsia="Times New Roman" w:hint="default"/>
                <w:sz w:val="18"/>
                <w:szCs w:val="18"/>
              </w:rPr>
              <w:t>"</w:t>
            </w:r>
            <w:r>
              <w:rPr>
                <w:rFonts w:ascii="宋体" w:hAnsi="宋体" w:cs="宋体" w:eastAsia="宋体" w:hint="default"/>
                <w:sz w:val="18"/>
                <w:szCs w:val="18"/>
              </w:rPr>
              <w:t>的 相关内容。</w:t>
            </w:r>
            <w:r>
              <w:rPr>
                <w:rFonts w:ascii="Times New Roman" w:hAnsi="Times New Roman" w:cs="Times New Roman" w:eastAsia="Times New Roman" w:hint="default"/>
                <w:sz w:val="18"/>
                <w:szCs w:val="18"/>
              </w:rPr>
              <w:t>"</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4729"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90" w:lineRule="auto"/>
              <w:ind w:left="30" w:right="134"/>
              <w:jc w:val="both"/>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益群集团 控股有限公</w:t>
            </w:r>
          </w:p>
          <w:p>
            <w:pPr>
              <w:pStyle w:val="TableParagraph"/>
              <w:spacing w:line="290" w:lineRule="auto" w:before="57"/>
              <w:ind w:left="30" w:right="134"/>
              <w:jc w:val="both"/>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益威集团 控股有限公</w:t>
            </w:r>
          </w:p>
          <w:p>
            <w:pPr>
              <w:pStyle w:val="TableParagraph"/>
              <w:spacing w:line="276" w:lineRule="auto" w:before="56"/>
              <w:ind w:left="30" w:right="134"/>
              <w:jc w:val="both"/>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益志集团 控股有限公</w:t>
            </w:r>
          </w:p>
          <w:p>
            <w:pPr>
              <w:pStyle w:val="TableParagraph"/>
              <w:spacing w:line="304" w:lineRule="auto" w:before="67"/>
              <w:ind w:left="30" w:right="134"/>
              <w:jc w:val="both"/>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精诚资讯 股份有限公 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29"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、实际控制 人的承诺为 避免实际控 制人未来可 能与公司发 生同业竞争， 公司的实际 控制人周志 群先生和邓</w:t>
            </w:r>
          </w:p>
          <w:p>
            <w:pPr>
              <w:pStyle w:val="TableParagraph"/>
              <w:spacing w:line="336" w:lineRule="auto" w:before="24"/>
              <w:ind w:left="29" w:right="135"/>
              <w:jc w:val="left"/>
              <w:rPr>
                <w:rFonts w:ascii="Times New Roman" w:hAnsi="Times New Roman" w:cs="Times New Roman" w:eastAsia="Times New Roman" w:hint="default"/>
                <w:sz w:val="18"/>
                <w:szCs w:val="18"/>
              </w:rPr>
            </w:pPr>
            <w:r>
              <w:rPr>
                <w:rFonts w:ascii="宋体" w:hAnsi="宋体" w:cs="宋体" w:eastAsia="宋体" w:hint="default"/>
                <w:sz w:val="18"/>
                <w:szCs w:val="18"/>
              </w:rPr>
              <w:t>修生先生已 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p>
            <w:pPr>
              <w:pStyle w:val="TableParagraph"/>
              <w:spacing w:line="321" w:lineRule="auto" w:before="36"/>
              <w:ind w:left="29" w:right="14"/>
              <w:jc w:val="left"/>
              <w:rPr>
                <w:rFonts w:ascii="宋体" w:hAnsi="宋体" w:cs="宋体" w:eastAsia="宋体" w:hint="default"/>
                <w:sz w:val="18"/>
                <w:szCs w:val="18"/>
              </w:rPr>
            </w:pPr>
            <w:r>
              <w:rPr>
                <w:rFonts w:ascii="宋体" w:hAnsi="宋体" w:cs="宋体" w:eastAsia="宋体" w:hint="default"/>
                <w:sz w:val="18"/>
                <w:szCs w:val="18"/>
              </w:rPr>
              <w:t>向公司出具 </w:t>
            </w:r>
            <w:r>
              <w:rPr>
                <w:rFonts w:ascii="宋体" w:hAnsi="宋体" w:cs="宋体" w:eastAsia="宋体" w:hint="default"/>
                <w:spacing w:val="-3"/>
                <w:sz w:val="18"/>
                <w:szCs w:val="18"/>
              </w:rPr>
              <w:t>了《避免同业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竞争的承诺</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5"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right="59"/>
              <w:jc w:val="center"/>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，承诺内</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容如下：本人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依照中国法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律法规被确</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认为四方精</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创实际控制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人及关联方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期间，将不会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在中国境内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或境外以任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何方式（包括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但不限于单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独经营、通过</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合资经营或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拥有另一公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司或企业的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股权及其它</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权益）直接或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间接从事或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参与任何与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四方精创构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成竞争的任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何业务或活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动，不以任何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方式从事或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参与生产任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何与四方精</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创相同、相似</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或可能取代</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四方精创的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业务活动；本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人如从任何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第三方获得</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的商业机会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与四方精创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经营的业务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有竞争或可</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能有竞争，则</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本公司将立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即通知四方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精创，并将该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商业机会让</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予四方精创；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本人承诺不</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r>
        <w:rPr/>
        <w:pict>
          <v:shape style="position:absolute;margin-left:305.630005pt;margin-top:72.824997pt;width:61.6pt;height:686.85pt;mso-position-horizontal-relative:page;mso-position-vertical-relative:page;z-index:-1163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7"/>
                    <w:ind w:left="0" w:right="0"/>
                    <w:jc w:val="left"/>
                  </w:pPr>
                  <w:r>
                    <w:rPr/>
                    <w:t>、</w:t>
                  </w:r>
                </w:p>
              </w:txbxContent>
            </v:textbox>
            <w10:wrap type="none"/>
          </v:shape>
        </w:pict>
      </w: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利用任何方</w:t>
            </w:r>
          </w:p>
        </w:tc>
        <w:tc>
          <w:tcPr>
            <w:tcW w:w="1126" w:type="dxa"/>
            <w:vMerge w:val="restart"/>
            <w:tcBorders>
              <w:top w:val="single" w:sz="6" w:space="0" w:color="000000"/>
              <w:left w:val="single" w:sz="6" w:space="0" w:color="000000"/>
              <w:right w:val="single" w:sz="6" w:space="0" w:color="000000"/>
            </w:tcBorders>
          </w:tcPr>
          <w:p>
            <w:pPr>
              <w:pStyle w:val="TableParagraph"/>
              <w:spacing w:line="1373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55pt;height:686.85pt;mso-position-horizontal-relative:char;mso-position-vertical-relative:line" coordorigin="0,0" coordsize="1111,13737">
                  <v:group style="position:absolute;left:0;top:0;width:1111;height:13737" coordorigin="0,0" coordsize="1111,13737">
                    <v:shape style="position:absolute;left:0;top:0;width:1111;height:13737" coordorigin="0,0" coordsize="1111,13737" path="m0,13737l1111,13737,1111,0,0,0,0,13737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50"/>
              <w:jc w:val="center"/>
              <w:rPr>
                <w:rFonts w:ascii="宋体" w:hAnsi="宋体" w:cs="宋体" w:eastAsia="宋体" w:hint="default"/>
                <w:sz w:val="18"/>
                <w:szCs w:val="18"/>
              </w:rPr>
            </w:pPr>
            <w:r>
              <w:rPr>
                <w:rFonts w:ascii="宋体" w:hAnsi="宋体" w:cs="宋体" w:eastAsia="宋体" w:hint="default"/>
                <w:sz w:val="18"/>
                <w:szCs w:val="18"/>
              </w:rPr>
              <w:t>式从事影响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或可能影响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四方精创经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营、发展的业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73"/>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务或活动。</w:t>
            </w:r>
            <w:r>
              <w:rPr>
                <w:rFonts w:ascii="Times New Roman" w:hAnsi="Times New Roman" w:cs="Times New Roman" w:eastAsia="Times New Roman" w:hint="default"/>
                <w:spacing w:val="-3"/>
                <w:sz w:val="18"/>
                <w:szCs w:val="18"/>
              </w:rPr>
              <w:t>2</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13" w:right="0"/>
              <w:jc w:val="center"/>
              <w:rPr>
                <w:rFonts w:ascii="宋体" w:hAnsi="宋体" w:cs="宋体" w:eastAsia="宋体" w:hint="default"/>
                <w:sz w:val="18"/>
                <w:szCs w:val="18"/>
              </w:rPr>
            </w:pPr>
            <w:r>
              <w:rPr>
                <w:rFonts w:ascii="宋体" w:hAnsi="宋体" w:cs="宋体" w:eastAsia="宋体" w:hint="default"/>
                <w:spacing w:val="-3"/>
                <w:sz w:val="18"/>
                <w:szCs w:val="18"/>
              </w:rPr>
              <w:t>益群控股、益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威控股和益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志控股的承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诺为避免控</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股股东未来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可能与公司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发生同业竞</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争，公司的控</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股股东益群</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控股和实际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控制人之一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邓修生先生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控制的益威</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控股以及益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志控股已分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别于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6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日向公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pacing w:val="-3"/>
                <w:sz w:val="18"/>
                <w:szCs w:val="18"/>
              </w:rPr>
              <w:t>司出具了《避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免同业竞争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59"/>
              <w:jc w:val="center"/>
              <w:rPr>
                <w:rFonts w:ascii="宋体" w:hAnsi="宋体" w:cs="宋体" w:eastAsia="宋体" w:hint="default"/>
                <w:sz w:val="18"/>
                <w:szCs w:val="18"/>
              </w:rPr>
            </w:pPr>
            <w:r>
              <w:rPr>
                <w:rFonts w:ascii="宋体" w:hAnsi="宋体" w:cs="宋体" w:eastAsia="宋体" w:hint="default"/>
                <w:sz w:val="18"/>
                <w:szCs w:val="18"/>
              </w:rPr>
              <w:t>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承诺内容如</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下：本公司依</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照中国法律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法规被确认</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为四方精创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关联方期间，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将不会在中</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国境内或境</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外以任何方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式（包括但不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限于单独经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营、通过合资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经营或拥有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另一公司或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企业的股权</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及其它权益）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r>
        <w:rPr/>
        <w:pict>
          <v:shape style="position:absolute;margin-left:305.630005pt;margin-top:72.824997pt;width:61.6pt;height:686.85pt;mso-position-horizontal-relative:page;mso-position-vertical-relative:page;z-index:-1163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6" w:type="dxa"/>
            <w:vMerge w:val="restart"/>
            <w:tcBorders>
              <w:top w:val="single" w:sz="6" w:space="0" w:color="000000"/>
              <w:left w:val="single" w:sz="6" w:space="0" w:color="000000"/>
              <w:right w:val="single" w:sz="6" w:space="0" w:color="000000"/>
            </w:tcBorders>
          </w:tcPr>
          <w:p>
            <w:pPr>
              <w:pStyle w:val="TableParagraph"/>
              <w:spacing w:line="1373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55pt;height:686.85pt;mso-position-horizontal-relative:char;mso-position-vertical-relative:line" coordorigin="0,0" coordsize="1111,13737">
                  <v:group style="position:absolute;left:0;top:0;width:1111;height:13737" coordorigin="0,0" coordsize="1111,13737">
                    <v:shape style="position:absolute;left:0;top:0;width:1111;height:13737" coordorigin="0,0" coordsize="1111,13737" path="m0,13737l1111,13737,1111,0,0,0,0,13737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任何与四方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精创构成竞</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争的任何业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务或活动，不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生产任何与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四方精创相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同、相似或可</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能取代四方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精创的业务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活动；本公司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如从任何第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三方获得的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商业机会与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四方精创经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营的业务有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有竞争，则本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公司将立即</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通知四方精</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创，并将该商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业机会让予</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四方精创；本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公司承诺不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利用任何方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式从事影响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或可能影响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四方精创经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营、发展的业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务或活动。</w:t>
            </w:r>
            <w:r>
              <w:rPr>
                <w:rFonts w:ascii="Times New Roman" w:hAnsi="Times New Roman" w:cs="Times New Roman" w:eastAsia="Times New Roman" w:hint="default"/>
                <w:spacing w:val="-3"/>
                <w:sz w:val="18"/>
                <w:szCs w:val="18"/>
              </w:rPr>
              <w:t>3</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精诚资讯的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承诺为避免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公司其他主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要股东未来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可能与公司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发生同业竞</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争，公司股东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56"/>
              <w:ind w:left="29" w:right="0"/>
              <w:jc w:val="left"/>
              <w:rPr>
                <w:rFonts w:ascii="Times New Roman" w:hAnsi="Times New Roman" w:cs="Times New Roman" w:eastAsia="Times New Roman" w:hint="default"/>
                <w:sz w:val="18"/>
                <w:szCs w:val="18"/>
              </w:rPr>
            </w:pPr>
            <w:r>
              <w:rPr>
                <w:rFonts w:ascii="Times New Roman"/>
                <w:sz w:val="18"/>
              </w:rPr>
              <w:t>Systex</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Solutions</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的控</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9" w:right="0"/>
              <w:jc w:val="left"/>
              <w:rPr>
                <w:rFonts w:ascii="宋体" w:hAnsi="宋体" w:cs="宋体" w:eastAsia="宋体" w:hint="default"/>
                <w:sz w:val="18"/>
                <w:szCs w:val="18"/>
              </w:rPr>
            </w:pPr>
            <w:r>
              <w:rPr>
                <w:rFonts w:ascii="宋体" w:hAnsi="宋体" w:cs="宋体" w:eastAsia="宋体" w:hint="default"/>
                <w:sz w:val="18"/>
                <w:szCs w:val="18"/>
              </w:rPr>
              <w:t>股股东精诚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资讯已于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7"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r>
        <w:rPr/>
        <w:pict>
          <v:shape style="position:absolute;margin-left:278.602997pt;margin-top:72.824997pt;width:88.6pt;height:686.85pt;mso-position-horizontal-relative:page;mso-position-vertical-relative:page;z-index:-1163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7"/>
                    <w:ind w:left="0" w:right="0"/>
                    <w:jc w:val="left"/>
                  </w:pPr>
                  <w:r>
                    <w:rPr/>
                    <w:t>本公司、</w:t>
                  </w:r>
                </w:p>
              </w:txbxContent>
            </v:textbox>
            <w10:wrap type="none"/>
          </v:shape>
        </w:pict>
      </w: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日向公司出</w:t>
            </w:r>
          </w:p>
        </w:tc>
        <w:tc>
          <w:tcPr>
            <w:tcW w:w="1126" w:type="dxa"/>
            <w:vMerge w:val="restart"/>
            <w:tcBorders>
              <w:top w:val="single" w:sz="6" w:space="0" w:color="000000"/>
              <w:left w:val="single" w:sz="6" w:space="0" w:color="000000"/>
              <w:right w:val="single" w:sz="6" w:space="0" w:color="000000"/>
            </w:tcBorders>
          </w:tcPr>
          <w:p>
            <w:pPr>
              <w:pStyle w:val="TableParagraph"/>
              <w:spacing w:line="1373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55pt;height:686.85pt;mso-position-horizontal-relative:char;mso-position-vertical-relative:line" coordorigin="0,0" coordsize="1111,13737">
                  <v:group style="position:absolute;left:0;top:0;width:1111;height:13737" coordorigin="0,0" coordsize="1111,13737">
                    <v:shape style="position:absolute;left:0;top:0;width:1111;height:13737" coordorigin="0,0" coordsize="1111,13737" path="m0,13737l1111,13737,1111,0,0,0,0,13737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具了《避免同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0"/>
                <w:sz w:val="18"/>
                <w:szCs w:val="18"/>
              </w:rPr>
              <w:t>》</w:t>
            </w:r>
            <w:r>
              <w:rPr>
                <w:rFonts w:ascii="宋体" w:hAnsi="宋体" w:cs="宋体" w:eastAsia="宋体" w:hint="default"/>
                <w:sz w:val="18"/>
                <w:szCs w:val="18"/>
              </w:rPr>
              <w:t>，承诺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内容如下：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9" w:right="0"/>
              <w:jc w:val="left"/>
              <w:rPr>
                <w:rFonts w:ascii="宋体" w:hAnsi="宋体" w:cs="宋体" w:eastAsia="宋体" w:hint="default"/>
                <w:sz w:val="18"/>
                <w:szCs w:val="18"/>
              </w:rPr>
            </w:pPr>
            <w:r>
              <w:rPr>
                <w:rFonts w:ascii="宋体" w:hAnsi="宋体" w:cs="宋体" w:eastAsia="宋体" w:hint="default"/>
                <w:sz w:val="18"/>
                <w:szCs w:val="18"/>
              </w:rPr>
              <w:t>本公司投资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的全资或控</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股企业及本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公司可控制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的其它企业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（以下合称</w:t>
            </w:r>
            <w:r>
              <w:rPr>
                <w:rFonts w:ascii="Times New Roman" w:hAnsi="Times New Roman" w:cs="Times New Roman" w:eastAsia="Times New Roman"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29" w:right="0"/>
              <w:jc w:val="left"/>
              <w:rPr>
                <w:rFonts w:ascii="宋体" w:hAnsi="宋体" w:cs="宋体" w:eastAsia="宋体" w:hint="default"/>
                <w:sz w:val="18"/>
                <w:szCs w:val="18"/>
              </w:rPr>
            </w:pPr>
            <w:r>
              <w:rPr>
                <w:rFonts w:ascii="宋体" w:hAnsi="宋体" w:cs="宋体" w:eastAsia="宋体" w:hint="default"/>
                <w:sz w:val="18"/>
                <w:szCs w:val="18"/>
              </w:rPr>
              <w:t>精诚集</w:t>
            </w:r>
            <w:r>
              <w:rPr>
                <w:rFonts w:ascii="宋体" w:hAnsi="宋体" w:cs="宋体" w:eastAsia="宋体" w:hint="default"/>
                <w:spacing w:val="1"/>
                <w:sz w:val="18"/>
                <w:szCs w:val="18"/>
              </w:rPr>
              <w:t>团</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0"/>
                <w:sz w:val="18"/>
                <w:szCs w:val="18"/>
              </w:rPr>
              <w:t>）在</w:t>
            </w:r>
            <w:r>
              <w:rPr>
                <w:rFonts w:ascii="宋体" w:hAnsi="宋体" w:cs="宋体" w:eastAsia="宋体" w:hint="default"/>
                <w:sz w:val="18"/>
                <w:szCs w:val="18"/>
              </w:rPr>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全球范围内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（除台湾地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区外）不从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事、亦不通过</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独资经营或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以取得控制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权之合资经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营、拥有在其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它公司或企</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业的股票或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权益的形式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从事定制化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软件开发（含</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相应的应用</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维护）业务，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该等业务包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银行信息系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统（包括银行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核心业务系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统、银行其他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业务系统、银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行渠道类系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统、银行管理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类系统等）相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关的一切软</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件开发服务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及由此产生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的软件产品</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销售以及其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它定制化软</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28" w:right="0"/>
              <w:jc w:val="center"/>
              <w:rPr>
                <w:rFonts w:ascii="宋体" w:hAnsi="宋体" w:cs="宋体" w:eastAsia="宋体" w:hint="default"/>
                <w:sz w:val="18"/>
                <w:szCs w:val="18"/>
              </w:rPr>
            </w:pPr>
            <w:r>
              <w:rPr>
                <w:rFonts w:ascii="宋体" w:hAnsi="宋体" w:cs="宋体" w:eastAsia="宋体" w:hint="default"/>
                <w:sz w:val="18"/>
                <w:szCs w:val="18"/>
              </w:rPr>
              <w:t>件开发业务。</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自本承诺函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签署之日起，</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精诚集团在</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中华人民共</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和国大陆地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区、香港特别</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行政区以及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澳门特别行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政区不从事、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亦不通过独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8"/>
              <w:jc w:val="center"/>
              <w:rPr>
                <w:rFonts w:ascii="宋体" w:hAnsi="宋体" w:cs="宋体" w:eastAsia="宋体" w:hint="default"/>
                <w:sz w:val="18"/>
                <w:szCs w:val="18"/>
              </w:rPr>
            </w:pPr>
            <w:r>
              <w:rPr>
                <w:rFonts w:ascii="宋体" w:hAnsi="宋体" w:cs="宋体" w:eastAsia="宋体" w:hint="default"/>
                <w:sz w:val="18"/>
                <w:szCs w:val="18"/>
              </w:rPr>
              <w:t>资经营或以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取得控制权</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之合资经营、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拥有在其它</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公司或企业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的股票或权</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益的形式从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事金融业之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信息系统集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成业务（含相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应的应用维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59"/>
              <w:jc w:val="center"/>
              <w:rPr>
                <w:rFonts w:ascii="宋体" w:hAnsi="宋体" w:cs="宋体" w:eastAsia="宋体" w:hint="default"/>
                <w:sz w:val="18"/>
                <w:szCs w:val="18"/>
              </w:rPr>
            </w:pPr>
            <w:r>
              <w:rPr>
                <w:rFonts w:ascii="宋体" w:hAnsi="宋体" w:cs="宋体" w:eastAsia="宋体" w:hint="default"/>
                <w:sz w:val="18"/>
                <w:szCs w:val="18"/>
              </w:rPr>
              <w:t>护</w:t>
            </w:r>
            <w:r>
              <w:rPr>
                <w:rFonts w:ascii="宋体" w:hAnsi="宋体" w:cs="宋体" w:eastAsia="宋体" w:hint="default"/>
                <w:spacing w:val="-90"/>
                <w:sz w:val="18"/>
                <w:szCs w:val="18"/>
              </w:rPr>
              <w:t>）</w:t>
            </w:r>
            <w:r>
              <w:rPr>
                <w:rFonts w:ascii="宋体" w:hAnsi="宋体" w:cs="宋体" w:eastAsia="宋体" w:hint="default"/>
                <w:sz w:val="18"/>
                <w:szCs w:val="18"/>
              </w:rPr>
              <w:t>。如台湾</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注册企业或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其在其他地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区之子公司、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分公司或其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他分支机构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所发生之相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关业务，以该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业务之实际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发生地确定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是否属于上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述避免同业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竞争之范围。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6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）精诚集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149"/>
              <w:jc w:val="center"/>
              <w:rPr>
                <w:rFonts w:ascii="宋体" w:hAnsi="宋体" w:cs="宋体" w:eastAsia="宋体" w:hint="default"/>
                <w:sz w:val="18"/>
                <w:szCs w:val="18"/>
              </w:rPr>
            </w:pPr>
            <w:r>
              <w:rPr>
                <w:rFonts w:ascii="宋体" w:hAnsi="宋体" w:cs="宋体" w:eastAsia="宋体" w:hint="default"/>
                <w:sz w:val="18"/>
                <w:szCs w:val="18"/>
              </w:rPr>
              <w:t>团目前并无</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计划且承诺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未来不会通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过增持四方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精创股份等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方式成为四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方精创的实</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际控制人。</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15"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right="6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）如果精</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149"/>
              <w:jc w:val="center"/>
              <w:rPr>
                <w:rFonts w:ascii="宋体" w:hAnsi="宋体" w:cs="宋体" w:eastAsia="宋体" w:hint="default"/>
                <w:sz w:val="18"/>
                <w:szCs w:val="18"/>
              </w:rPr>
            </w:pPr>
            <w:r>
              <w:rPr>
                <w:rFonts w:ascii="宋体" w:hAnsi="宋体" w:cs="宋体" w:eastAsia="宋体" w:hint="default"/>
                <w:sz w:val="18"/>
                <w:szCs w:val="18"/>
              </w:rPr>
              <w:t>诚集团有违</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反本承诺函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的业务或活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动，则本公司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将赔偿四方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8" w:right="0"/>
              <w:jc w:val="center"/>
              <w:rPr>
                <w:rFonts w:ascii="宋体" w:hAnsi="宋体" w:cs="宋体" w:eastAsia="宋体" w:hint="default"/>
                <w:sz w:val="18"/>
                <w:szCs w:val="18"/>
              </w:rPr>
            </w:pPr>
            <w:r>
              <w:rPr>
                <w:rFonts w:ascii="宋体" w:hAnsi="宋体" w:cs="宋体" w:eastAsia="宋体" w:hint="default"/>
                <w:sz w:val="18"/>
                <w:szCs w:val="18"/>
              </w:rPr>
              <w:t>精创之损失，</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赔偿范围以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如下两者较</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4" w:right="0"/>
              <w:jc w:val="center"/>
              <w:rPr>
                <w:rFonts w:ascii="宋体" w:hAnsi="宋体" w:cs="宋体" w:eastAsia="宋体" w:hint="default"/>
                <w:sz w:val="18"/>
                <w:szCs w:val="18"/>
              </w:rPr>
            </w:pPr>
            <w:r>
              <w:rPr>
                <w:rFonts w:ascii="宋体" w:hAnsi="宋体" w:cs="宋体" w:eastAsia="宋体" w:hint="default"/>
                <w:spacing w:val="-3"/>
                <w:sz w:val="18"/>
                <w:szCs w:val="18"/>
              </w:rPr>
              <w:t>高者为准：①</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精诚集团因</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该等同业竞</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争行为而获</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得的利益；或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②四方精创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因精诚集团</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50"/>
              <w:jc w:val="center"/>
              <w:rPr>
                <w:rFonts w:ascii="宋体" w:hAnsi="宋体" w:cs="宋体" w:eastAsia="宋体" w:hint="default"/>
                <w:sz w:val="18"/>
                <w:szCs w:val="18"/>
              </w:rPr>
            </w:pPr>
            <w:r>
              <w:rPr>
                <w:rFonts w:ascii="宋体" w:hAnsi="宋体" w:cs="宋体" w:eastAsia="宋体" w:hint="default"/>
                <w:sz w:val="18"/>
                <w:szCs w:val="18"/>
              </w:rPr>
              <w:t>违反承诺函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之行为而受</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到的损失，该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等损失包括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预期利益的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损失。规范和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减少关联交</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易的承诺公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司实际控制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人周志群、邓</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修生，以及主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要股东益群</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控股、益威控</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14" w:right="0"/>
              <w:jc w:val="center"/>
              <w:rPr>
                <w:rFonts w:ascii="宋体" w:hAnsi="宋体" w:cs="宋体" w:eastAsia="宋体" w:hint="default"/>
                <w:sz w:val="18"/>
                <w:szCs w:val="18"/>
              </w:rPr>
            </w:pPr>
            <w:r>
              <w:rPr>
                <w:rFonts w:ascii="宋体" w:hAnsi="宋体" w:cs="宋体" w:eastAsia="宋体" w:hint="default"/>
                <w:sz w:val="18"/>
                <w:szCs w:val="18"/>
              </w:rPr>
              <w:t>股承诺</w:t>
            </w:r>
            <w:r>
              <w:rPr>
                <w:rFonts w:ascii="宋体" w:hAnsi="宋体" w:cs="宋体" w:eastAsia="宋体" w:hint="default"/>
                <w:spacing w:val="-90"/>
                <w:sz w:val="18"/>
                <w:szCs w:val="18"/>
              </w:rPr>
              <w:t>：</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不利</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98"/>
              <w:jc w:val="center"/>
              <w:rPr>
                <w:rFonts w:ascii="Times New Roman" w:hAnsi="Times New Roman" w:cs="Times New Roman" w:eastAsia="Times New Roman" w:hint="default"/>
                <w:sz w:val="18"/>
                <w:szCs w:val="18"/>
              </w:rPr>
            </w:pPr>
            <w:r>
              <w:rPr>
                <w:rFonts w:ascii="宋体" w:hAnsi="宋体" w:cs="宋体" w:eastAsia="宋体" w:hint="default"/>
                <w:sz w:val="18"/>
                <w:szCs w:val="18"/>
              </w:rPr>
              <w:t>用控股股东</w:t>
            </w:r>
            <w:r>
              <w:rPr>
                <w:rFonts w:ascii="Times New Roman" w:hAnsi="Times New Roman" w:cs="Times New Roman" w:eastAsia="Times New Roman"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6"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149"/>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地位促使发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行人股东大</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会或董事会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做出侵犯其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他中小股东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合法权益的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决议；在与发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行人发生关</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联交易时，将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按照公平合</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理和正常的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商业交易条</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8797"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29" w:right="1"/>
              <w:jc w:val="left"/>
              <w:rPr>
                <w:rFonts w:ascii="宋体" w:hAnsi="宋体" w:cs="宋体" w:eastAsia="宋体" w:hint="default"/>
                <w:sz w:val="18"/>
                <w:szCs w:val="18"/>
              </w:rPr>
            </w:pPr>
            <w:r>
              <w:rPr>
                <w:rFonts w:ascii="宋体" w:hAnsi="宋体" w:cs="宋体" w:eastAsia="宋体" w:hint="default"/>
                <w:spacing w:val="-3"/>
                <w:sz w:val="18"/>
                <w:szCs w:val="18"/>
              </w:rPr>
              <w:t>件进行，将不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会要求或接 受发行人给 予比在任何 一项市场公 平交易中第 三者更优惠 </w:t>
            </w:r>
            <w:r>
              <w:rPr>
                <w:rFonts w:ascii="宋体" w:hAnsi="宋体" w:cs="宋体" w:eastAsia="宋体" w:hint="default"/>
                <w:spacing w:val="-3"/>
                <w:sz w:val="18"/>
                <w:szCs w:val="18"/>
              </w:rPr>
              <w:t>的条件，并善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意、严格地履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行与发行人 签订的各种 关联交易协 </w:t>
            </w:r>
            <w:r>
              <w:rPr>
                <w:rFonts w:ascii="宋体" w:hAnsi="宋体" w:cs="宋体" w:eastAsia="宋体" w:hint="default"/>
                <w:spacing w:val="-3"/>
                <w:sz w:val="18"/>
                <w:szCs w:val="18"/>
              </w:rPr>
              <w:t>议，不会向发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行人谋求任 何超出上述 规定以外的 利益或收益。 若违反上述 </w:t>
            </w:r>
            <w:r>
              <w:rPr>
                <w:rFonts w:ascii="宋体" w:hAnsi="宋体" w:cs="宋体" w:eastAsia="宋体" w:hint="default"/>
                <w:spacing w:val="-3"/>
                <w:sz w:val="18"/>
                <w:szCs w:val="18"/>
              </w:rPr>
              <w:t>承诺，本公司</w:t>
            </w:r>
          </w:p>
          <w:p>
            <w:pPr>
              <w:pStyle w:val="TableParagraph"/>
              <w:spacing w:line="312" w:lineRule="auto" w:before="37"/>
              <w:ind w:left="29"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本人将承担 相应的法律 </w:t>
            </w:r>
            <w:r>
              <w:rPr>
                <w:rFonts w:ascii="宋体" w:hAnsi="宋体" w:cs="宋体" w:eastAsia="宋体" w:hint="default"/>
                <w:spacing w:val="-3"/>
                <w:sz w:val="18"/>
                <w:szCs w:val="18"/>
              </w:rPr>
              <w:t>责任，包括但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不限于由此 给发行人及 其他中小股</w:t>
            </w:r>
          </w:p>
          <w:p>
            <w:pPr>
              <w:pStyle w:val="TableParagraph"/>
              <w:spacing w:line="321" w:lineRule="auto" w:before="26"/>
              <w:ind w:left="29" w:right="104"/>
              <w:jc w:val="both"/>
              <w:rPr>
                <w:rFonts w:ascii="Times New Roman" w:hAnsi="Times New Roman" w:cs="Times New Roman" w:eastAsia="Times New Roman" w:hint="default"/>
                <w:sz w:val="18"/>
                <w:szCs w:val="18"/>
              </w:rPr>
            </w:pPr>
            <w:r>
              <w:rPr>
                <w:rFonts w:ascii="宋体" w:hAnsi="宋体" w:cs="宋体" w:eastAsia="宋体" w:hint="default"/>
                <w:sz w:val="18"/>
                <w:szCs w:val="18"/>
              </w:rPr>
              <w:t>东造成的全 部损失承担 赔偿责任。</w:t>
            </w:r>
            <w:r>
              <w:rPr>
                <w:rFonts w:ascii="Times New Roman" w:hAnsi="Times New Roman" w:cs="Times New Roman" w:eastAsia="Times New Roman" w:hint="default"/>
                <w:sz w:val="18"/>
                <w:szCs w:val="18"/>
              </w:rPr>
              <w:t>"</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504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21" w:lineRule="auto"/>
              <w:ind w:left="30" w:right="179"/>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29"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填补被摊薄 即期回报的 措施及承诺 国务院办公</w:t>
            </w:r>
          </w:p>
          <w:p>
            <w:pPr>
              <w:pStyle w:val="TableParagraph"/>
              <w:spacing w:line="240" w:lineRule="auto" w:before="46"/>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厅于 </w:t>
            </w:r>
            <w:r>
              <w:rPr>
                <w:rFonts w:ascii="Times New Roman" w:hAnsi="Times New Roman" w:cs="Times New Roman" w:eastAsia="Times New Roman" w:hint="default"/>
                <w:sz w:val="18"/>
                <w:szCs w:val="18"/>
              </w:rPr>
              <w:t>2013</w:t>
            </w:r>
          </w:p>
          <w:p>
            <w:pPr>
              <w:pStyle w:val="TableParagraph"/>
              <w:spacing w:line="312" w:lineRule="auto" w:before="66"/>
              <w:ind w:left="29" w:right="14"/>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pacing w:val="-3"/>
                <w:sz w:val="18"/>
                <w:szCs w:val="18"/>
              </w:rPr>
              <w:t>日发布了《国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务院办公厅 关于进一步 加强资本市 场中小投资</w:t>
            </w:r>
          </w:p>
          <w:p>
            <w:pPr>
              <w:pStyle w:val="TableParagraph"/>
              <w:spacing w:line="314" w:lineRule="auto" w:before="26"/>
              <w:ind w:left="29" w:right="0"/>
              <w:jc w:val="left"/>
              <w:rPr>
                <w:rFonts w:ascii="宋体" w:hAnsi="宋体" w:cs="宋体" w:eastAsia="宋体" w:hint="default"/>
                <w:sz w:val="18"/>
                <w:szCs w:val="18"/>
              </w:rPr>
            </w:pPr>
            <w:r>
              <w:rPr>
                <w:rFonts w:ascii="宋体" w:hAnsi="宋体" w:cs="宋体" w:eastAsia="宋体" w:hint="default"/>
                <w:sz w:val="18"/>
                <w:szCs w:val="18"/>
              </w:rPr>
              <w:t>者合法权益 保护工作的 </w:t>
            </w:r>
            <w:r>
              <w:rPr>
                <w:rFonts w:ascii="宋体" w:hAnsi="宋体" w:cs="宋体" w:eastAsia="宋体" w:hint="default"/>
                <w:spacing w:val="-15"/>
                <w:sz w:val="18"/>
                <w:szCs w:val="18"/>
              </w:rPr>
              <w:t>意见》（国办</w:t>
            </w:r>
            <w:r>
              <w:rPr>
                <w:rFonts w:ascii="宋体" w:hAnsi="宋体" w:cs="宋体" w:eastAsia="宋体" w:hint="default"/>
                <w:sz w:val="18"/>
                <w:szCs w:val="18"/>
              </w:rPr>
              <w:t> </w:t>
            </w:r>
            <w:r>
              <w:rPr>
                <w:rFonts w:ascii="宋体" w:hAnsi="宋体" w:cs="宋体" w:eastAsia="宋体" w:hint="default"/>
                <w:spacing w:val="-9"/>
                <w:sz w:val="18"/>
                <w:szCs w:val="18"/>
              </w:rPr>
              <w:t>发【</w:t>
            </w:r>
            <w:r>
              <w:rPr>
                <w:rFonts w:ascii="Times New Roman" w:hAnsi="Times New Roman" w:cs="Times New Roman" w:eastAsia="Times New Roman" w:hint="default"/>
                <w:spacing w:val="-9"/>
                <w:sz w:val="18"/>
                <w:szCs w:val="18"/>
              </w:rPr>
              <w:t>2013</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110</w:t>
            </w:r>
            <w:r>
              <w:rPr>
                <w:rFonts w:ascii="Times New Roman" w:hAnsi="Times New Roman" w:cs="Times New Roman" w:eastAsia="Times New Roman" w:hint="default"/>
                <w:sz w:val="18"/>
                <w:szCs w:val="18"/>
              </w:rPr>
              <w:t> </w:t>
            </w:r>
            <w:r>
              <w:rPr>
                <w:rFonts w:ascii="宋体" w:hAnsi="宋体" w:cs="宋体" w:eastAsia="宋体" w:hint="default"/>
                <w:sz w:val="18"/>
                <w:szCs w:val="18"/>
              </w:rPr>
              <w:t>号）并提出，</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r>
        <w:rPr/>
        <w:pict>
          <v:shape style="position:absolute;margin-left:296.630005pt;margin-top:72.824997pt;width:70.6pt;height:686.85pt;mso-position-horizontal-relative:page;mso-position-vertical-relative:page;z-index:-1163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left="0" w:right="0"/>
                    <w:jc w:val="left"/>
                  </w:pPr>
                  <w:r>
                    <w:rPr/>
                    <w:t>年，</w:t>
                  </w:r>
                </w:p>
              </w:txbxContent>
            </v:textbox>
            <w10:wrap type="none"/>
          </v:shape>
        </w:pict>
      </w:r>
      <w:r>
        <w:rPr/>
        <w:pict>
          <v:group style="position:absolute;margin-left:311.649994pt;margin-top:72.824997pt;width:55.55pt;height:686.85pt;mso-position-horizontal-relative:page;mso-position-vertical-relative:page;z-index:-1163824" coordorigin="6233,1456" coordsize="1111,13737">
            <v:shape style="position:absolute;left:6233;top:1456;width:1111;height:13737" coordorigin="6233,1456" coordsize="1111,13737" path="m6233,15193l7344,15193,7344,1456,6233,1456,6233,15193xe" filled="true" fillcolor="#ffffff" stroked="false">
              <v:path arrowok="t"/>
              <v:fill type="solid"/>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15"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公司首次公</w:t>
            </w:r>
          </w:p>
        </w:tc>
        <w:tc>
          <w:tcPr>
            <w:tcW w:w="1126" w:type="dxa"/>
            <w:tcBorders>
              <w:top w:val="single" w:sz="6" w:space="0" w:color="000000"/>
              <w:left w:val="single" w:sz="6" w:space="0" w:color="000000"/>
              <w:bottom w:val="nil" w:sz="6" w:space="0" w:color="auto"/>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9"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上市公司再</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融资或者并</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购重组摊薄</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即期回报的，</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应当承诺并</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兑现填补回</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报的具体措</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施</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2014</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公司实现归</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股东的净利</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 </w:t>
            </w:r>
            <w:r>
              <w:rPr>
                <w:rFonts w:ascii="Times New Roman" w:hAnsi="Times New Roman" w:cs="Times New Roman" w:eastAsia="Times New Roman" w:hint="default"/>
                <w:sz w:val="18"/>
                <w:szCs w:val="18"/>
              </w:rPr>
              <w:t>8,428.38</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pacing w:val="-3"/>
                <w:sz w:val="18"/>
                <w:szCs w:val="18"/>
              </w:rPr>
              <w:t>万元，每股收</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益为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元</w:t>
            </w: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9" w:right="0"/>
              <w:jc w:val="left"/>
              <w:rPr>
                <w:rFonts w:ascii="宋体" w:hAnsi="宋体" w:cs="宋体" w:eastAsia="宋体" w:hint="default"/>
                <w:sz w:val="18"/>
                <w:szCs w:val="18"/>
              </w:rPr>
            </w:pPr>
            <w:r>
              <w:rPr>
                <w:rFonts w:ascii="宋体" w:hAnsi="宋体" w:cs="宋体" w:eastAsia="宋体" w:hint="default"/>
                <w:sz w:val="18"/>
                <w:szCs w:val="18"/>
              </w:rPr>
              <w:t>加权平均净</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资产收益率</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27.85</w:t>
            </w:r>
            <w:r>
              <w:rPr>
                <w:rFonts w:ascii="Times New Roman" w:hAnsi="Times New Roman" w:cs="Times New Roman" w:eastAsia="Times New Roman" w:hint="default"/>
                <w:spacing w:val="1"/>
                <w:sz w:val="18"/>
                <w:szCs w:val="18"/>
              </w:rPr>
              <w:t>%</w:t>
            </w:r>
            <w:r>
              <w:rPr>
                <w:rFonts w:ascii="宋体" w:hAnsi="宋体" w:cs="宋体" w:eastAsia="宋体" w:hint="default"/>
                <w:spacing w:val="-75"/>
                <w:sz w:val="18"/>
                <w:szCs w:val="18"/>
              </w:rPr>
              <w:t>。本</w:t>
            </w:r>
            <w:r>
              <w:rPr>
                <w:rFonts w:ascii="宋体" w:hAnsi="宋体" w:cs="宋体" w:eastAsia="宋体" w:hint="default"/>
                <w:sz w:val="18"/>
                <w:szCs w:val="18"/>
              </w:rPr>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次发行前公</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司总股本为</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 </w:t>
            </w:r>
            <w:r>
              <w:rPr>
                <w:rFonts w:ascii="宋体" w:hAnsi="宋体" w:cs="宋体" w:eastAsia="宋体" w:hint="default"/>
                <w:sz w:val="18"/>
                <w:szCs w:val="18"/>
              </w:rPr>
              <w:t>万股，</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本次发行完</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成后，公司总</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股本和归属</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母公司股东</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将有较大幅</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度的增加。虽</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然本公司的</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募集资金项</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目将用于公</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司主营业务</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发展并进行</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严格论证，但</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募集资金投</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资项目建设</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需要一定周</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期，在公司股</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本和净资产</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均增加的情</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况下，短期</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内，公司的每</w:t>
            </w:r>
          </w:p>
        </w:tc>
        <w:tc>
          <w:tcPr>
            <w:tcW w:w="1126" w:type="dxa"/>
            <w:tcBorders>
              <w:top w:val="nil" w:sz="6" w:space="0" w:color="auto"/>
              <w:left w:val="single" w:sz="6" w:space="0" w:color="000000"/>
              <w:bottom w:val="nil" w:sz="6" w:space="0" w:color="auto"/>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股收益和加</w:t>
            </w:r>
          </w:p>
        </w:tc>
        <w:tc>
          <w:tcPr>
            <w:tcW w:w="1126" w:type="dxa"/>
            <w:tcBorders>
              <w:top w:val="nil" w:sz="6" w:space="0" w:color="auto"/>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权平均净资</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产收益率等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指标将出现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一定幅度的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下降。针对上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述情况，本公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司对填补回</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报提出若干</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措施并承诺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90"/>
                <w:sz w:val="18"/>
                <w:szCs w:val="18"/>
              </w:rPr>
              <w:t>：</w:t>
            </w:r>
            <w:r>
              <w:rPr>
                <w:rFonts w:ascii="宋体" w:hAnsi="宋体" w:cs="宋体" w:eastAsia="宋体" w:hint="default"/>
                <w:sz w:val="18"/>
                <w:szCs w:val="18"/>
              </w:rPr>
              <w:t>（一）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提升核心竞</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争力，增强公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司可持续盈</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利能力</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、凭</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借公司在业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内多年积累</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的项目经验、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服务信誉、国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际化视野等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方面的优势，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坚持高端化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发展，以大型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商业银行的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大型机业务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为主要市场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发展方向，进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一步凝聚高</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层次人才，拓</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系统综</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合服务能力，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通过与客户</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之间的全面</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合作，构造客</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户聚集效应。</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、强化专业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化发展原则，</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继续巩固和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深化公司在</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银行核心业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务系统服务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方面的专业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化能力，加大</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研发投入和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技术储备，进</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一步扩大核</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心领域的业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务规模，提升</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市场占有率。</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、坚持国际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市场与国内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市场互动发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展原则，完善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国际市场布</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局，进一步提</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升全球服务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交付能力，大</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力拓展国内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市场，充分抓</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住中国产业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升级背景下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系统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服务大发展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的市场机遇。</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（二）加快募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投项目投资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进度，争取早</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日实现项目</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预期效益本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次募集资金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银行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9" w:right="0"/>
              <w:jc w:val="left"/>
              <w:rPr>
                <w:rFonts w:ascii="宋体" w:hAnsi="宋体" w:cs="宋体" w:eastAsia="宋体" w:hint="default"/>
                <w:sz w:val="18"/>
                <w:szCs w:val="18"/>
              </w:rPr>
            </w:pPr>
            <w:r>
              <w:rPr>
                <w:rFonts w:ascii="宋体" w:hAnsi="宋体" w:cs="宋体" w:eastAsia="宋体" w:hint="default"/>
                <w:sz w:val="18"/>
                <w:szCs w:val="18"/>
              </w:rPr>
              <w:t>软件技术服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务交付中心</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研发中心建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6"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9" w:right="0"/>
              <w:jc w:val="left"/>
              <w:rPr>
                <w:rFonts w:ascii="宋体" w:hAnsi="宋体" w:cs="宋体" w:eastAsia="宋体" w:hint="default"/>
                <w:sz w:val="18"/>
                <w:szCs w:val="18"/>
              </w:rPr>
            </w:pPr>
            <w:r>
              <w:rPr>
                <w:rFonts w:ascii="宋体" w:hAnsi="宋体" w:cs="宋体" w:eastAsia="宋体" w:hint="default"/>
                <w:sz w:val="18"/>
                <w:szCs w:val="18"/>
              </w:rPr>
              <w:t>一代银行核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心业务系统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普惠金融云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服务中心建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行移动应用</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平台建设项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等都是围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绕公司主营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业务而进行，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有利于大幅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提升公司软</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r>
        <w:rPr/>
        <w:pict>
          <v:shape style="position:absolute;margin-left:287.583008pt;margin-top:72.824997pt;width:79.650pt;height:686.85pt;mso-position-horizontal-relative:page;mso-position-vertical-relative:page;z-index:-1163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pStyle w:val="BodyText"/>
                    <w:spacing w:line="240" w:lineRule="auto"/>
                    <w:ind w:left="0" w:right="0"/>
                    <w:jc w:val="left"/>
                  </w:pPr>
                  <w:r>
                    <w:rPr/>
                    <w:t>（三）</w:t>
                  </w:r>
                </w:p>
              </w:txbxContent>
            </v:textbox>
            <w10:wrap type="none"/>
          </v:shape>
        </w:pict>
      </w: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件测试能力</w:t>
            </w:r>
          </w:p>
        </w:tc>
        <w:tc>
          <w:tcPr>
            <w:tcW w:w="1126" w:type="dxa"/>
            <w:vMerge w:val="restart"/>
            <w:tcBorders>
              <w:top w:val="single" w:sz="6" w:space="0" w:color="000000"/>
              <w:left w:val="single" w:sz="6" w:space="0" w:color="000000"/>
              <w:right w:val="single" w:sz="6" w:space="0" w:color="000000"/>
            </w:tcBorders>
          </w:tcPr>
          <w:p>
            <w:pPr>
              <w:pStyle w:val="TableParagraph"/>
              <w:spacing w:line="1373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55pt;height:686.85pt;mso-position-horizontal-relative:char;mso-position-vertical-relative:line" coordorigin="0,0" coordsize="1111,13737">
                  <v:group style="position:absolute;left:0;top:0;width:1111;height:13737" coordorigin="0,0" coordsize="1111,13737">
                    <v:shape style="position:absolute;left:0;top:0;width:1111;height:13737" coordorigin="0,0" coordsize="1111,13737" path="m0,13737l1111,13737,1111,0,0,0,0,13737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和交付质量、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有利于提升</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公司的基础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研发体系、提</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升向小型金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融机构提供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普惠金融云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服务解决方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案的能力，加</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大公司前瞻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性投入，持续</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对银行移动</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应用业务进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行研究。公司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将加快上述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募投项目的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投资进度，争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取早日实现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项目的预期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效益，尽快提</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升公司的盈</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利能力。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提高资金使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用效率，保证</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公司经营规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模的扩大公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司将提高募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集资金的使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用效率，以保</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证公司经营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规模的扩大，</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并为公司持</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续健康发展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及业务链延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伸提供资金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支持</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优化投资回</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报机制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29"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4"/>
                <w:sz w:val="18"/>
                <w:szCs w:val="18"/>
              </w:rPr>
              <w:t>月，公司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9" w:right="0"/>
              <w:jc w:val="left"/>
              <w:rPr>
                <w:rFonts w:ascii="宋体" w:hAnsi="宋体" w:cs="宋体" w:eastAsia="宋体" w:hint="default"/>
                <w:sz w:val="18"/>
                <w:szCs w:val="18"/>
              </w:rPr>
            </w:pPr>
            <w:r>
              <w:rPr>
                <w:rFonts w:ascii="宋体" w:hAnsi="宋体" w:cs="宋体" w:eastAsia="宋体" w:hint="default"/>
                <w:sz w:val="18"/>
                <w:szCs w:val="18"/>
              </w:rPr>
              <w:t>次临时股东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大会审议通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过了《关于深</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1004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29" w:right="179"/>
              <w:jc w:val="both"/>
              <w:rPr>
                <w:rFonts w:ascii="宋体" w:hAnsi="宋体" w:cs="宋体" w:eastAsia="宋体" w:hint="default"/>
                <w:sz w:val="18"/>
                <w:szCs w:val="18"/>
              </w:rPr>
            </w:pPr>
            <w:r>
              <w:rPr>
                <w:rFonts w:ascii="宋体" w:hAnsi="宋体" w:cs="宋体" w:eastAsia="宋体" w:hint="default"/>
                <w:sz w:val="18"/>
                <w:szCs w:val="18"/>
              </w:rPr>
              <w:t>圳四方精创 资讯股份有 限公司首次 公开发行人 民币普通股</w:t>
            </w:r>
          </w:p>
          <w:p>
            <w:pPr>
              <w:pStyle w:val="TableParagraph"/>
              <w:spacing w:line="297" w:lineRule="auto" w:before="37"/>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 后分红回报 规划的议</w:t>
            </w:r>
          </w:p>
          <w:p>
            <w:pPr>
              <w:pStyle w:val="TableParagraph"/>
              <w:spacing w:line="309" w:lineRule="auto" w:before="51"/>
              <w:ind w:left="29" w:right="14"/>
              <w:jc w:val="left"/>
              <w:rPr>
                <w:rFonts w:ascii="宋体" w:hAnsi="宋体" w:cs="宋体" w:eastAsia="宋体" w:hint="default"/>
                <w:sz w:val="18"/>
                <w:szCs w:val="18"/>
              </w:rPr>
            </w:pPr>
            <w:r>
              <w:rPr>
                <w:rFonts w:ascii="宋体" w:hAnsi="宋体" w:cs="宋体" w:eastAsia="宋体" w:hint="default"/>
                <w:spacing w:val="-13"/>
                <w:sz w:val="18"/>
                <w:szCs w:val="18"/>
              </w:rPr>
              <w:t>案》；</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26"/>
                <w:sz w:val="18"/>
                <w:szCs w:val="18"/>
              </w:rPr>
              <w:t>月，根据《上</w:t>
            </w:r>
            <w:r>
              <w:rPr>
                <w:rFonts w:ascii="宋体" w:hAnsi="宋体" w:cs="宋体" w:eastAsia="宋体" w:hint="default"/>
                <w:sz w:val="18"/>
                <w:szCs w:val="18"/>
              </w:rPr>
              <w:t> 市公司监管 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上市公司现 </w:t>
            </w:r>
            <w:r>
              <w:rPr>
                <w:rFonts w:ascii="宋体" w:hAnsi="宋体" w:cs="宋体" w:eastAsia="宋体" w:hint="default"/>
                <w:spacing w:val="-3"/>
                <w:sz w:val="18"/>
                <w:szCs w:val="18"/>
              </w:rPr>
              <w:t>金分红》等相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关规定，公司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对股东分配 回报规划进 </w:t>
            </w:r>
            <w:r>
              <w:rPr>
                <w:rFonts w:ascii="宋体" w:hAnsi="宋体" w:cs="宋体" w:eastAsia="宋体" w:hint="default"/>
                <w:spacing w:val="-3"/>
                <w:sz w:val="18"/>
                <w:szCs w:val="18"/>
              </w:rPr>
              <w:t>行调整。公司</w:t>
            </w:r>
          </w:p>
          <w:p>
            <w:pPr>
              <w:pStyle w:val="TableParagraph"/>
              <w:spacing w:line="304" w:lineRule="auto" w:before="43"/>
              <w:ind w:left="29"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 东大会审议 通过相关调 </w:t>
            </w:r>
            <w:r>
              <w:rPr>
                <w:rFonts w:ascii="宋体" w:hAnsi="宋体" w:cs="宋体" w:eastAsia="宋体" w:hint="default"/>
                <w:spacing w:val="-3"/>
                <w:sz w:val="18"/>
                <w:szCs w:val="18"/>
              </w:rPr>
              <w:t>整，并制定了</w:t>
            </w:r>
          </w:p>
          <w:p>
            <w:pPr>
              <w:pStyle w:val="TableParagraph"/>
              <w:spacing w:line="240" w:lineRule="auto" w:before="88"/>
              <w:ind w:left="29" w:right="0"/>
              <w:jc w:val="left"/>
              <w:rPr>
                <w:rFonts w:ascii="Times New Roman" w:hAnsi="Times New Roman" w:cs="Times New Roman" w:eastAsia="Times New Roman" w:hint="default"/>
                <w:sz w:val="18"/>
                <w:szCs w:val="18"/>
              </w:rPr>
            </w:pPr>
            <w:r>
              <w:rPr>
                <w:rFonts w:ascii="Times New Roman"/>
                <w:sz w:val="18"/>
              </w:rPr>
              <w:t>2014 ~</w:t>
            </w:r>
            <w:r>
              <w:rPr>
                <w:rFonts w:ascii="Times New Roman"/>
                <w:spacing w:val="-7"/>
                <w:sz w:val="18"/>
              </w:rPr>
              <w:t> </w:t>
            </w:r>
            <w:r>
              <w:rPr>
                <w:rFonts w:ascii="Times New Roman"/>
                <w:sz w:val="18"/>
              </w:rPr>
              <w:t>2016</w:t>
            </w:r>
          </w:p>
          <w:p>
            <w:pPr>
              <w:pStyle w:val="TableParagraph"/>
              <w:spacing w:line="319" w:lineRule="auto" w:before="51"/>
              <w:ind w:left="29"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年股东分红 </w:t>
            </w:r>
            <w:r>
              <w:rPr>
                <w:rFonts w:ascii="宋体" w:hAnsi="宋体" w:cs="宋体" w:eastAsia="宋体" w:hint="default"/>
                <w:spacing w:val="-3"/>
                <w:sz w:val="18"/>
                <w:szCs w:val="18"/>
              </w:rPr>
              <w:t>回报计划。公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司将优先采 用现金分红 的方式分配 </w:t>
            </w:r>
            <w:r>
              <w:rPr>
                <w:rFonts w:ascii="宋体" w:hAnsi="宋体" w:cs="宋体" w:eastAsia="宋体" w:hint="default"/>
                <w:spacing w:val="-3"/>
                <w:sz w:val="18"/>
                <w:szCs w:val="18"/>
              </w:rPr>
              <w:t>利润，注重对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投资者尤其 是中小股东 回报。</w:t>
            </w:r>
            <w:r>
              <w:rPr>
                <w:rFonts w:ascii="Times New Roman" w:hAnsi="Times New Roman" w:cs="Times New Roman" w:eastAsia="Times New Roman" w:hint="default"/>
                <w:sz w:val="18"/>
                <w:szCs w:val="18"/>
              </w:rPr>
              <w:t>"</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3799"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02" w:lineRule="auto"/>
              <w:ind w:left="30" w:right="88"/>
              <w:jc w:val="left"/>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李琳</w:t>
            </w:r>
            <w:r>
              <w:rPr>
                <w:rFonts w:ascii="Times New Roman" w:hAnsi="Times New Roman" w:cs="Times New Roman" w:eastAsia="Times New Roman" w:hint="default"/>
                <w:sz w:val="18"/>
                <w:szCs w:val="18"/>
              </w:rPr>
              <w:t>;</w:t>
            </w:r>
            <w:r>
              <w:rPr>
                <w:rFonts w:ascii="宋体" w:hAnsi="宋体" w:cs="宋体" w:eastAsia="宋体" w:hint="default"/>
                <w:sz w:val="18"/>
                <w:szCs w:val="18"/>
              </w:rPr>
              <w:t>林隆 奋</w:t>
            </w:r>
            <w:r>
              <w:rPr>
                <w:rFonts w:ascii="Times New Roman" w:hAnsi="Times New Roman" w:cs="Times New Roman" w:eastAsia="Times New Roman" w:hint="default"/>
                <w:sz w:val="18"/>
                <w:szCs w:val="18"/>
              </w:rPr>
              <w:t>;</w:t>
            </w:r>
            <w:r>
              <w:rPr>
                <w:rFonts w:ascii="宋体" w:hAnsi="宋体" w:cs="宋体" w:eastAsia="宋体" w:hint="default"/>
                <w:sz w:val="18"/>
                <w:szCs w:val="18"/>
              </w:rPr>
              <w:t>顾嘉勇</w:t>
            </w:r>
            <w:r>
              <w:rPr>
                <w:rFonts w:ascii="Times New Roman" w:hAnsi="Times New Roman" w:cs="Times New Roman" w:eastAsia="Times New Roman" w:hint="default"/>
                <w:sz w:val="18"/>
                <w:szCs w:val="18"/>
              </w:rPr>
              <w:t>;</w:t>
            </w:r>
            <w:r>
              <w:rPr>
                <w:rFonts w:ascii="宋体" w:hAnsi="宋体" w:cs="宋体" w:eastAsia="宋体" w:hint="default"/>
                <w:sz w:val="18"/>
                <w:szCs w:val="18"/>
              </w:rPr>
              <w:t>何 敏</w:t>
            </w:r>
            <w:r>
              <w:rPr>
                <w:rFonts w:ascii="Times New Roman" w:hAnsi="Times New Roman" w:cs="Times New Roman" w:eastAsia="Times New Roman" w:hint="default"/>
                <w:sz w:val="18"/>
                <w:szCs w:val="18"/>
              </w:rPr>
              <w:t>;</w:t>
            </w:r>
            <w:r>
              <w:rPr>
                <w:rFonts w:ascii="宋体" w:hAnsi="宋体" w:cs="宋体" w:eastAsia="宋体" w:hint="default"/>
                <w:sz w:val="18"/>
                <w:szCs w:val="18"/>
              </w:rPr>
              <w:t>张力</w:t>
            </w:r>
            <w:r>
              <w:rPr>
                <w:rFonts w:ascii="Times New Roman" w:hAnsi="Times New Roman" w:cs="Times New Roman" w:eastAsia="Times New Roman" w:hint="default"/>
                <w:sz w:val="18"/>
                <w:szCs w:val="18"/>
              </w:rPr>
              <w:t>;</w:t>
            </w:r>
            <w:r>
              <w:rPr>
                <w:rFonts w:ascii="宋体" w:hAnsi="宋体" w:cs="宋体" w:eastAsia="宋体" w:hint="default"/>
                <w:sz w:val="18"/>
                <w:szCs w:val="18"/>
              </w:rPr>
              <w:t>胡行 军</w:t>
            </w:r>
            <w:r>
              <w:rPr>
                <w:rFonts w:ascii="Times New Roman" w:hAnsi="Times New Roman" w:cs="Times New Roman" w:eastAsia="Times New Roman" w:hint="default"/>
                <w:sz w:val="18"/>
                <w:szCs w:val="18"/>
              </w:rPr>
              <w:t>;</w:t>
            </w:r>
            <w:r>
              <w:rPr>
                <w:rFonts w:ascii="宋体" w:hAnsi="宋体" w:cs="宋体" w:eastAsia="宋体" w:hint="default"/>
                <w:sz w:val="18"/>
                <w:szCs w:val="18"/>
              </w:rPr>
              <w:t>郑登元</w:t>
            </w:r>
            <w:r>
              <w:rPr>
                <w:rFonts w:ascii="Times New Roman" w:hAnsi="Times New Roman" w:cs="Times New Roman" w:eastAsia="Times New Roman" w:hint="default"/>
                <w:sz w:val="18"/>
                <w:szCs w:val="18"/>
              </w:rPr>
              <w:t>;</w:t>
            </w:r>
            <w:r>
              <w:rPr>
                <w:rFonts w:ascii="宋体" w:hAnsi="宋体" w:cs="宋体" w:eastAsia="宋体" w:hint="default"/>
                <w:sz w:val="18"/>
                <w:szCs w:val="18"/>
              </w:rPr>
              <w:t>王 勇</w:t>
            </w:r>
            <w:r>
              <w:rPr>
                <w:rFonts w:ascii="Times New Roman" w:hAnsi="Times New Roman" w:cs="Times New Roman" w:eastAsia="Times New Roman" w:hint="default"/>
                <w:sz w:val="18"/>
                <w:szCs w:val="18"/>
              </w:rPr>
              <w:t>;</w:t>
            </w:r>
            <w:r>
              <w:rPr>
                <w:rFonts w:ascii="宋体" w:hAnsi="宋体" w:cs="宋体" w:eastAsia="宋体" w:hint="default"/>
                <w:sz w:val="18"/>
                <w:szCs w:val="18"/>
              </w:rPr>
              <w:t>黄永雄</w:t>
            </w:r>
            <w:r>
              <w:rPr>
                <w:rFonts w:ascii="Times New Roman" w:hAnsi="Times New Roman" w:cs="Times New Roman" w:eastAsia="Times New Roman" w:hint="default"/>
                <w:sz w:val="18"/>
                <w:szCs w:val="18"/>
              </w:rPr>
              <w:t>;</w:t>
            </w:r>
            <w:r>
              <w:rPr>
                <w:rFonts w:ascii="宋体" w:hAnsi="宋体" w:cs="宋体" w:eastAsia="宋体" w:hint="default"/>
                <w:sz w:val="18"/>
                <w:szCs w:val="18"/>
              </w:rPr>
              <w:t>罗 川</w:t>
            </w:r>
            <w:r>
              <w:rPr>
                <w:rFonts w:ascii="Times New Roman" w:hAnsi="Times New Roman" w:cs="Times New Roman" w:eastAsia="Times New Roman" w:hint="default"/>
                <w:sz w:val="18"/>
                <w:szCs w:val="18"/>
              </w:rPr>
              <w:t>;</w:t>
            </w:r>
            <w:r>
              <w:rPr>
                <w:rFonts w:ascii="宋体" w:hAnsi="宋体" w:cs="宋体" w:eastAsia="宋体" w:hint="default"/>
                <w:sz w:val="18"/>
                <w:szCs w:val="18"/>
              </w:rPr>
              <w:t>深圳四方 精创资讯股 份有限公司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29"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关于承诺履 行的约束措 施（一）发行</w:t>
            </w:r>
          </w:p>
          <w:p>
            <w:pPr>
              <w:pStyle w:val="TableParagraph"/>
              <w:spacing w:line="316" w:lineRule="auto" w:before="36"/>
              <w:ind w:left="29" w:right="14"/>
              <w:jc w:val="left"/>
              <w:rPr>
                <w:rFonts w:ascii="宋体" w:hAnsi="宋体" w:cs="宋体" w:eastAsia="宋体" w:hint="default"/>
                <w:sz w:val="18"/>
                <w:szCs w:val="18"/>
              </w:rPr>
            </w:pPr>
            <w:r>
              <w:rPr>
                <w:rFonts w:ascii="宋体" w:hAnsi="宋体" w:cs="宋体" w:eastAsia="宋体" w:hint="default"/>
                <w:sz w:val="18"/>
                <w:szCs w:val="18"/>
              </w:rPr>
              <w:t>人将严格履 行本公司就 首次公开发 行股票并上 市所作出的 所有公开承 </w:t>
            </w:r>
            <w:r>
              <w:rPr>
                <w:rFonts w:ascii="宋体" w:hAnsi="宋体" w:cs="宋体" w:eastAsia="宋体" w:hint="default"/>
                <w:spacing w:val="-3"/>
                <w:sz w:val="18"/>
                <w:szCs w:val="18"/>
              </w:rPr>
              <w:t>诺事项，积极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接受社会监 </w:t>
            </w:r>
            <w:r>
              <w:rPr>
                <w:rFonts w:ascii="宋体" w:hAnsi="宋体" w:cs="宋体" w:eastAsia="宋体" w:hint="default"/>
                <w:spacing w:val="-3"/>
                <w:sz w:val="18"/>
                <w:szCs w:val="18"/>
              </w:rPr>
              <w:t>督。如未能履</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3" w:right="0"/>
              <w:jc w:val="center"/>
              <w:rPr>
                <w:rFonts w:ascii="宋体" w:hAnsi="宋体" w:cs="宋体" w:eastAsia="宋体" w:hint="default"/>
                <w:sz w:val="18"/>
                <w:szCs w:val="18"/>
              </w:rPr>
            </w:pPr>
            <w:r>
              <w:rPr>
                <w:rFonts w:ascii="宋体" w:hAnsi="宋体" w:cs="宋体" w:eastAsia="宋体" w:hint="default"/>
                <w:spacing w:val="-3"/>
                <w:sz w:val="18"/>
                <w:szCs w:val="18"/>
              </w:rPr>
              <w:t>行、确已无法</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履行或无法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按期履行其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在招股说明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书中所作出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的相关承诺，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其将采取如</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58"/>
              <w:jc w:val="center"/>
              <w:rPr>
                <w:rFonts w:ascii="宋体" w:hAnsi="宋体" w:cs="宋体" w:eastAsia="宋体" w:hint="default"/>
                <w:sz w:val="18"/>
                <w:szCs w:val="18"/>
              </w:rPr>
            </w:pPr>
            <w:r>
              <w:rPr>
                <w:rFonts w:ascii="宋体" w:hAnsi="宋体" w:cs="宋体" w:eastAsia="宋体" w:hint="default"/>
                <w:sz w:val="18"/>
                <w:szCs w:val="18"/>
              </w:rPr>
              <w:t>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如非因不可</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抗力原因导</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致未能履行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公开承诺事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项的，需提出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新的承诺（相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关承诺需按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公司章程的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规定履行相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关审批程序）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并接受如下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约束措施，直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至新的承诺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履行完毕或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相应补救措</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施实施完毕：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6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149"/>
              <w:jc w:val="center"/>
              <w:rPr>
                <w:rFonts w:ascii="宋体" w:hAnsi="宋体" w:cs="宋体" w:eastAsia="宋体" w:hint="default"/>
                <w:sz w:val="18"/>
                <w:szCs w:val="18"/>
              </w:rPr>
            </w:pPr>
            <w:r>
              <w:rPr>
                <w:rFonts w:ascii="宋体" w:hAnsi="宋体" w:cs="宋体" w:eastAsia="宋体" w:hint="default"/>
                <w:sz w:val="18"/>
                <w:szCs w:val="18"/>
              </w:rPr>
              <w:t>大会及中国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证监会指定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的披露媒体</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上公开说明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未履行的原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因、具体情况</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和相关约束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性措施并向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股东和社会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公众投资者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center"/>
              <w:rPr>
                <w:rFonts w:ascii="宋体" w:hAnsi="宋体" w:cs="宋体" w:eastAsia="宋体" w:hint="default"/>
                <w:sz w:val="18"/>
                <w:szCs w:val="18"/>
              </w:rPr>
            </w:pPr>
            <w:r>
              <w:rPr>
                <w:rFonts w:ascii="宋体" w:hAnsi="宋体" w:cs="宋体" w:eastAsia="宋体" w:hint="default"/>
                <w:sz w:val="18"/>
                <w:szCs w:val="18"/>
              </w:rPr>
              <w:t>道歉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得进行公开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再融资</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对公司该等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未履行承诺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的行为负有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个人责任的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董事、监事、</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员调减或停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发薪酬或津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）不得</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批准未履行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承诺的董事、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监事、高级管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理人员的主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动离职申请，</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但可以进行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职务变更；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6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）给投资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149"/>
              <w:jc w:val="center"/>
              <w:rPr>
                <w:rFonts w:ascii="宋体" w:hAnsi="宋体" w:cs="宋体" w:eastAsia="宋体" w:hint="default"/>
                <w:sz w:val="18"/>
                <w:szCs w:val="18"/>
              </w:rPr>
            </w:pPr>
            <w:r>
              <w:rPr>
                <w:rFonts w:ascii="宋体" w:hAnsi="宋体" w:cs="宋体" w:eastAsia="宋体" w:hint="default"/>
                <w:sz w:val="18"/>
                <w:szCs w:val="18"/>
              </w:rPr>
              <w:t>者造成损失</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的，本公司将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向投资者依</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法承担赔偿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60"/>
              <w:jc w:val="center"/>
              <w:rPr>
                <w:rFonts w:ascii="宋体" w:hAnsi="宋体" w:cs="宋体" w:eastAsia="宋体" w:hint="default"/>
                <w:sz w:val="18"/>
                <w:szCs w:val="18"/>
              </w:rPr>
            </w:pPr>
            <w:r>
              <w:rPr>
                <w:rFonts w:ascii="宋体" w:hAnsi="宋体" w:cs="宋体" w:eastAsia="宋体" w:hint="default"/>
                <w:sz w:val="18"/>
                <w:szCs w:val="18"/>
              </w:rPr>
              <w:t>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、如</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因不可抗力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原因导致未</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能履行公开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承诺事项的，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需提出新的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承诺（相关承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诺需按法律、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法规、公司章</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程的规定履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行相关审批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程序）并接受</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如下约束措</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施，直至新的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承诺履行完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毕或相应补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救措施实施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完毕</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股东大会及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指定的披露</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媒体上公开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说明未履行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的原因、具体</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情况和相关</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约束性措施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并向股东和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社会公众投</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10"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资者道歉；</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6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究将投资者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利益损失降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低到最小的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处理方案，并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提交股东大</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会审议，尽可</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能地保护本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公司投资者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59"/>
              <w:jc w:val="center"/>
              <w:rPr>
                <w:rFonts w:ascii="宋体" w:hAnsi="宋体" w:cs="宋体" w:eastAsia="宋体" w:hint="default"/>
                <w:sz w:val="18"/>
                <w:szCs w:val="18"/>
              </w:rPr>
            </w:pPr>
            <w:r>
              <w:rPr>
                <w:rFonts w:ascii="宋体" w:hAnsi="宋体" w:cs="宋体" w:eastAsia="宋体" w:hint="default"/>
                <w:sz w:val="18"/>
                <w:szCs w:val="18"/>
              </w:rPr>
              <w:t>利益</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周志群、邓修</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生，董事李</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琳、林隆奋，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监事胡行军、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王勇、郑登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元，及高级管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理人员罗川、</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黄永雄如未</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能履行、确已</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无法履行或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无法按期履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行其在招股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说明书中所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作出的相关</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承诺，其将采</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取如下措施：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、如本人非</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因不可抗力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原因导致未</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能履行公开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承诺事项的，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需提出新的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承诺并接受</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如下约束措</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施，直至新的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承诺履行完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毕或相应补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救措施实施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完毕</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149"/>
              <w:jc w:val="center"/>
              <w:rPr>
                <w:rFonts w:ascii="宋体" w:hAnsi="宋体" w:cs="宋体" w:eastAsia="宋体" w:hint="default"/>
                <w:sz w:val="18"/>
                <w:szCs w:val="18"/>
              </w:rPr>
            </w:pPr>
            <w:r>
              <w:rPr>
                <w:rFonts w:ascii="宋体" w:hAnsi="宋体" w:cs="宋体" w:eastAsia="宋体" w:hint="default"/>
                <w:sz w:val="18"/>
                <w:szCs w:val="18"/>
              </w:rPr>
              <w:t>股东大会及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指定的披露</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媒体上公开</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说明未履行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的原因、具体</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情况和相关</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约束性措施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并向股东和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社会公众投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资者道歉；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6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让公司股份。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因继承、被强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制执行、上市</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公司重组、为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履行保护投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资者利益承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诺等必须转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股的情形除</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）暂不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150"/>
              <w:jc w:val="center"/>
              <w:rPr>
                <w:rFonts w:ascii="宋体" w:hAnsi="宋体" w:cs="宋体" w:eastAsia="宋体" w:hint="default"/>
                <w:sz w:val="18"/>
                <w:szCs w:val="18"/>
              </w:rPr>
            </w:pPr>
            <w:r>
              <w:rPr>
                <w:rFonts w:ascii="宋体" w:hAnsi="宋体" w:cs="宋体" w:eastAsia="宋体" w:hint="default"/>
                <w:sz w:val="18"/>
                <w:szCs w:val="18"/>
              </w:rPr>
              <w:t>领取公司分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配利润中归</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属于个人的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center"/>
              <w:rPr>
                <w:rFonts w:ascii="宋体" w:hAnsi="宋体" w:cs="宋体" w:eastAsia="宋体" w:hint="default"/>
                <w:sz w:val="18"/>
                <w:szCs w:val="18"/>
              </w:rPr>
            </w:pPr>
            <w:r>
              <w:rPr>
                <w:rFonts w:ascii="宋体" w:hAnsi="宋体" w:cs="宋体" w:eastAsia="宋体" w:hint="default"/>
                <w:sz w:val="18"/>
                <w:szCs w:val="18"/>
              </w:rPr>
              <w:t>部分</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）可</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以职务变更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但不得主动</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要求离职；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6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）主动申</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149"/>
              <w:jc w:val="center"/>
              <w:rPr>
                <w:rFonts w:ascii="宋体" w:hAnsi="宋体" w:cs="宋体" w:eastAsia="宋体" w:hint="default"/>
                <w:sz w:val="18"/>
                <w:szCs w:val="18"/>
              </w:rPr>
            </w:pPr>
            <w:r>
              <w:rPr>
                <w:rFonts w:ascii="宋体" w:hAnsi="宋体" w:cs="宋体" w:eastAsia="宋体" w:hint="default"/>
                <w:sz w:val="18"/>
                <w:szCs w:val="18"/>
              </w:rPr>
              <w:t>请调减或停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发薪酬或津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）如果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因未履行相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关承诺事项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而获得收益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的，所获收益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归公司所有，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并在获得收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益的五个工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作日内将所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获收益支付</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给公司指定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）未</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履行上述承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诺及招股说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明书的其他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承诺事项，给</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r>
        <w:rPr/>
        <w:pict>
          <v:shape style="position:absolute;margin-left:287.583008pt;margin-top:72.824997pt;width:79.650pt;height:686.85pt;mso-position-horizontal-relative:page;mso-position-vertical-relative:page;z-index:-1163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left="0" w:right="0"/>
                    <w:jc w:val="left"/>
                  </w:pPr>
                  <w:r>
                    <w:rPr/>
                    <w:t>（三）</w:t>
                  </w:r>
                </w:p>
              </w:txbxContent>
            </v:textbox>
            <w10:wrap type="none"/>
          </v:shape>
        </w:pict>
      </w: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投资者造成</w:t>
            </w:r>
          </w:p>
        </w:tc>
        <w:tc>
          <w:tcPr>
            <w:tcW w:w="1126" w:type="dxa"/>
            <w:vMerge w:val="restart"/>
            <w:tcBorders>
              <w:top w:val="single" w:sz="6" w:space="0" w:color="000000"/>
              <w:left w:val="single" w:sz="6" w:space="0" w:color="000000"/>
              <w:right w:val="single" w:sz="6" w:space="0" w:color="000000"/>
            </w:tcBorders>
          </w:tcPr>
          <w:p>
            <w:pPr>
              <w:pStyle w:val="TableParagraph"/>
              <w:spacing w:line="1373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55pt;height:686.85pt;mso-position-horizontal-relative:char;mso-position-vertical-relative:line" coordorigin="0,0" coordsize="1111,13737">
                  <v:group style="position:absolute;left:0;top:0;width:1111;height:13737" coordorigin="0,0" coordsize="1111,13737">
                    <v:shape style="position:absolute;left:0;top:0;width:1111;height:13737" coordorigin="0,0" coordsize="1111,13737" path="m0,13737l1111,13737,1111,0,0,0,0,13737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pacing w:val="-3"/>
                <w:sz w:val="18"/>
                <w:szCs w:val="18"/>
              </w:rPr>
              <w:t>损失的，依法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司未履行上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述承诺及招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股说明书的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其他承诺事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项，给投资者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造成损失的，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将依法承担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连带赔偿责</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2</w:t>
            </w:r>
            <w:r>
              <w:rPr>
                <w:rFonts w:ascii="宋体" w:hAnsi="宋体" w:cs="宋体" w:eastAsia="宋体" w:hint="default"/>
                <w:sz w:val="18"/>
                <w:szCs w:val="18"/>
              </w:rPr>
              <w:t>、如本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人因不可抗</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力原因导致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未能履行公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开承诺事项</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的，需提出新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的承诺并接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受如下约束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措施，直至新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的承诺履行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完毕或相应</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补救措施实</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施完毕</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及中国证监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会指定的披</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露媒体上公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行的原因、具</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体情况和相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关约束性措</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施并向股东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和社会公众</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投资者道歉；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究将投资者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利益损失降</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低到最小的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pacing w:val="-3"/>
                <w:sz w:val="18"/>
                <w:szCs w:val="18"/>
              </w:rPr>
              <w:t>处理方案，尽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9" w:right="0"/>
              <w:jc w:val="left"/>
              <w:rPr>
                <w:rFonts w:ascii="宋体" w:hAnsi="宋体" w:cs="宋体" w:eastAsia="宋体" w:hint="default"/>
                <w:sz w:val="18"/>
                <w:szCs w:val="18"/>
              </w:rPr>
            </w:pPr>
            <w:r>
              <w:rPr>
                <w:rFonts w:ascii="宋体" w:hAnsi="宋体" w:cs="宋体" w:eastAsia="宋体" w:hint="default"/>
                <w:sz w:val="18"/>
                <w:szCs w:val="18"/>
              </w:rPr>
              <w:t>可能地保护</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本公司投资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29" w:right="0"/>
              <w:jc w:val="left"/>
              <w:rPr>
                <w:rFonts w:ascii="宋体" w:hAnsi="宋体" w:cs="宋体" w:eastAsia="宋体" w:hint="default"/>
                <w:sz w:val="18"/>
                <w:szCs w:val="18"/>
              </w:rPr>
            </w:pPr>
            <w:r>
              <w:rPr>
                <w:rFonts w:ascii="宋体" w:hAnsi="宋体" w:cs="宋体" w:eastAsia="宋体" w:hint="default"/>
                <w:sz w:val="18"/>
                <w:szCs w:val="18"/>
              </w:rPr>
              <w:t>者利益。</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r>
        <w:rPr/>
        <w:pict>
          <v:shape style="position:absolute;margin-left:305.630005pt;margin-top:72.824997pt;width:61.6pt;height:686.85pt;mso-position-horizontal-relative:page;mso-position-vertical-relative:page;z-index:-11636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独立董事顾</w:t>
            </w:r>
          </w:p>
        </w:tc>
        <w:tc>
          <w:tcPr>
            <w:tcW w:w="1126" w:type="dxa"/>
            <w:vMerge w:val="restart"/>
            <w:tcBorders>
              <w:top w:val="single" w:sz="6" w:space="0" w:color="000000"/>
              <w:left w:val="single" w:sz="6" w:space="0" w:color="000000"/>
              <w:right w:val="single" w:sz="6" w:space="0" w:color="000000"/>
            </w:tcBorders>
          </w:tcPr>
          <w:p>
            <w:pPr>
              <w:pStyle w:val="TableParagraph"/>
              <w:spacing w:line="1373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55pt;height:686.85pt;mso-position-horizontal-relative:char;mso-position-vertical-relative:line" coordorigin="0,0" coordsize="1111,13737">
                  <v:group style="position:absolute;left:0;top:0;width:1111;height:13737" coordorigin="0,0" coordsize="1111,13737">
                    <v:shape style="position:absolute;left:0;top:0;width:1111;height:13737" coordorigin="0,0" coordsize="1111,13737" path="m0,13737l1111,13737,1111,0,0,0,0,13737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8" w:right="0"/>
              <w:jc w:val="center"/>
              <w:rPr>
                <w:rFonts w:ascii="宋体" w:hAnsi="宋体" w:cs="宋体" w:eastAsia="宋体" w:hint="default"/>
                <w:sz w:val="18"/>
                <w:szCs w:val="18"/>
              </w:rPr>
            </w:pPr>
            <w:r>
              <w:rPr>
                <w:rFonts w:ascii="宋体" w:hAnsi="宋体" w:cs="宋体" w:eastAsia="宋体" w:hint="default"/>
                <w:sz w:val="18"/>
                <w:szCs w:val="18"/>
              </w:rPr>
              <w:t>嘉勇、何敏、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张力如未能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履行、确已无</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法履行或无</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法按期履行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其在招股说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明书中所作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出的相关承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诺，其将采取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73"/>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如下措施：</w:t>
            </w:r>
            <w:r>
              <w:rPr>
                <w:rFonts w:ascii="Times New Roman" w:hAnsi="Times New Roman" w:cs="Times New Roman" w:eastAsia="Times New Roman" w:hint="default"/>
                <w:spacing w:val="-3"/>
                <w:sz w:val="18"/>
                <w:szCs w:val="18"/>
              </w:rPr>
              <w:t>1</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6"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149"/>
              <w:jc w:val="center"/>
              <w:rPr>
                <w:rFonts w:ascii="宋体" w:hAnsi="宋体" w:cs="宋体" w:eastAsia="宋体" w:hint="default"/>
                <w:sz w:val="18"/>
                <w:szCs w:val="18"/>
              </w:rPr>
            </w:pPr>
            <w:r>
              <w:rPr>
                <w:rFonts w:ascii="宋体" w:hAnsi="宋体" w:cs="宋体" w:eastAsia="宋体" w:hint="default"/>
                <w:sz w:val="18"/>
                <w:szCs w:val="18"/>
              </w:rPr>
              <w:t>如本人非因</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不可抗力原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因导致未能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履行公开承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诺事项的，需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提出新的承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诺并接受如</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下约束措施，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直至新的承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诺履行完毕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或相应补救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措施实施完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东大会及中</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8"/>
              <w:jc w:val="center"/>
              <w:rPr>
                <w:rFonts w:ascii="宋体" w:hAnsi="宋体" w:cs="宋体" w:eastAsia="宋体" w:hint="default"/>
                <w:sz w:val="18"/>
                <w:szCs w:val="18"/>
              </w:rPr>
            </w:pPr>
            <w:r>
              <w:rPr>
                <w:rFonts w:ascii="宋体" w:hAnsi="宋体" w:cs="宋体" w:eastAsia="宋体" w:hint="default"/>
                <w:sz w:val="18"/>
                <w:szCs w:val="18"/>
              </w:rPr>
              <w:t>国证监会指</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定的披露媒</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体上公开说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明未履行的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原因、具体情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况和相关约</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束性措施并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向股东和社</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者道歉</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可以职务变</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更但不得主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动要求离职；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6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）主动申</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请调减或停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发薪酬或津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9" w:right="0"/>
              <w:jc w:val="center"/>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）如果</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因未履行相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关承诺事项</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而获得收益</w:t>
            </w:r>
          </w:p>
        </w:tc>
        <w:tc>
          <w:tcPr>
            <w:tcW w:w="1126" w:type="dxa"/>
            <w:vMerge w:val="restart"/>
            <w:tcBorders>
              <w:top w:val="single" w:sz="6" w:space="0" w:color="000000"/>
              <w:left w:val="single" w:sz="6" w:space="0" w:color="000000"/>
              <w:right w:val="single" w:sz="6" w:space="0" w:color="000000"/>
            </w:tcBorders>
          </w:tcPr>
          <w:p>
            <w:pP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的，所获收益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归公司所有，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并在获得收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益的五个工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作日内将所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获收益支付</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给公司指定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149"/>
              <w:jc w:val="center"/>
              <w:rPr>
                <w:rFonts w:ascii="宋体" w:hAnsi="宋体" w:cs="宋体" w:eastAsia="宋体" w:hint="default"/>
                <w:sz w:val="18"/>
                <w:szCs w:val="18"/>
              </w:rPr>
            </w:pPr>
            <w:r>
              <w:rPr>
                <w:rFonts w:ascii="宋体" w:hAnsi="宋体" w:cs="宋体" w:eastAsia="宋体" w:hint="default"/>
                <w:sz w:val="18"/>
                <w:szCs w:val="18"/>
              </w:rPr>
              <w:t>人未履行上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述承诺及招</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股说明书的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其他承诺事</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项，给投资者</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造成损失的，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依法赔偿投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资者损失；</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6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）公司未</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149"/>
              <w:jc w:val="center"/>
              <w:rPr>
                <w:rFonts w:ascii="宋体" w:hAnsi="宋体" w:cs="宋体" w:eastAsia="宋体" w:hint="default"/>
                <w:sz w:val="18"/>
                <w:szCs w:val="18"/>
              </w:rPr>
            </w:pPr>
            <w:r>
              <w:rPr>
                <w:rFonts w:ascii="宋体" w:hAnsi="宋体" w:cs="宋体" w:eastAsia="宋体" w:hint="default"/>
                <w:sz w:val="18"/>
                <w:szCs w:val="18"/>
              </w:rPr>
              <w:t>履行上述承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诺及招股说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明书的其他</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承诺事项，给</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投资者造成</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损失的，本人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依法承担连</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带赔偿责任。</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、如本人因</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149"/>
              <w:jc w:val="center"/>
              <w:rPr>
                <w:rFonts w:ascii="宋体" w:hAnsi="宋体" w:cs="宋体" w:eastAsia="宋体" w:hint="default"/>
                <w:sz w:val="18"/>
                <w:szCs w:val="18"/>
              </w:rPr>
            </w:pPr>
            <w:r>
              <w:rPr>
                <w:rFonts w:ascii="宋体" w:hAnsi="宋体" w:cs="宋体" w:eastAsia="宋体" w:hint="default"/>
                <w:sz w:val="18"/>
                <w:szCs w:val="18"/>
              </w:rPr>
              <w:t>不可抗力原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因导致未能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50"/>
              <w:jc w:val="center"/>
              <w:rPr>
                <w:rFonts w:ascii="宋体" w:hAnsi="宋体" w:cs="宋体" w:eastAsia="宋体" w:hint="default"/>
                <w:sz w:val="18"/>
                <w:szCs w:val="18"/>
              </w:rPr>
            </w:pPr>
            <w:r>
              <w:rPr>
                <w:rFonts w:ascii="宋体" w:hAnsi="宋体" w:cs="宋体" w:eastAsia="宋体" w:hint="default"/>
                <w:sz w:val="18"/>
                <w:szCs w:val="18"/>
              </w:rPr>
              <w:t>履行公开承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诺事项的，需</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提出新的承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诺并接受如</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28" w:right="0"/>
              <w:jc w:val="center"/>
              <w:rPr>
                <w:rFonts w:ascii="宋体" w:hAnsi="宋体" w:cs="宋体" w:eastAsia="宋体" w:hint="default"/>
                <w:sz w:val="18"/>
                <w:szCs w:val="18"/>
              </w:rPr>
            </w:pPr>
            <w:r>
              <w:rPr>
                <w:rFonts w:ascii="宋体" w:hAnsi="宋体" w:cs="宋体" w:eastAsia="宋体" w:hint="default"/>
                <w:sz w:val="18"/>
                <w:szCs w:val="18"/>
              </w:rPr>
              <w:t>下约束措施，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直至新的承</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诺履行完毕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或相应补救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措施实施完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东大会及中</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国证监会指</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定的披露媒</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体上公开说</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明未履行的</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r>
        <w:rPr/>
        <w:pict>
          <v:shape style="position:absolute;margin-left:305.630005pt;margin-top:72.824997pt;width:61.6pt;height:686.85pt;mso-position-horizontal-relative:page;mso-position-vertical-relative:page;z-index:-11636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30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vMerge w:val="restart"/>
            <w:tcBorders>
              <w:top w:val="single" w:sz="6" w:space="0" w:color="000000"/>
              <w:left w:val="single" w:sz="6" w:space="0" w:color="000000"/>
              <w:right w:val="single" w:sz="6" w:space="0" w:color="000000"/>
            </w:tcBorders>
          </w:tcPr>
          <w:p>
            <w:pPr/>
          </w:p>
        </w:tc>
        <w:tc>
          <w:tcPr>
            <w:tcW w:w="112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3" w:right="0"/>
              <w:jc w:val="center"/>
              <w:rPr>
                <w:rFonts w:ascii="宋体" w:hAnsi="宋体" w:cs="宋体" w:eastAsia="宋体" w:hint="default"/>
                <w:sz w:val="18"/>
                <w:szCs w:val="18"/>
              </w:rPr>
            </w:pPr>
            <w:r>
              <w:rPr>
                <w:rFonts w:ascii="宋体" w:hAnsi="宋体" w:cs="宋体" w:eastAsia="宋体" w:hint="default"/>
                <w:spacing w:val="-3"/>
                <w:sz w:val="18"/>
                <w:szCs w:val="18"/>
              </w:rPr>
              <w:t>原因、具体情</w:t>
            </w:r>
          </w:p>
        </w:tc>
        <w:tc>
          <w:tcPr>
            <w:tcW w:w="1126" w:type="dxa"/>
            <w:vMerge w:val="restart"/>
            <w:tcBorders>
              <w:top w:val="single" w:sz="6" w:space="0" w:color="000000"/>
              <w:left w:val="single" w:sz="6" w:space="0" w:color="000000"/>
              <w:right w:val="single" w:sz="6" w:space="0" w:color="000000"/>
            </w:tcBorders>
          </w:tcPr>
          <w:p>
            <w:pPr>
              <w:pStyle w:val="TableParagraph"/>
              <w:spacing w:line="1373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55pt;height:686.85pt;mso-position-horizontal-relative:char;mso-position-vertical-relative:line" coordorigin="0,0" coordsize="1111,13737">
                  <v:group style="position:absolute;left:0;top:0;width:1111;height:13737" coordorigin="0,0" coordsize="1111,13737">
                    <v:shape style="position:absolute;left:0;top:0;width:1111;height:13737" coordorigin="0,0" coordsize="1111,13737" path="m0,13737l1111,13737,1111,0,0,0,0,13737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况和相关约</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束性措施并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向股东和社</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会公众投资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者道歉</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149"/>
              <w:jc w:val="center"/>
              <w:rPr>
                <w:rFonts w:ascii="宋体" w:hAnsi="宋体" w:cs="宋体" w:eastAsia="宋体" w:hint="default"/>
                <w:sz w:val="18"/>
                <w:szCs w:val="18"/>
              </w:rPr>
            </w:pPr>
            <w:r>
              <w:rPr>
                <w:rFonts w:ascii="宋体" w:hAnsi="宋体" w:cs="宋体" w:eastAsia="宋体" w:hint="default"/>
                <w:sz w:val="18"/>
                <w:szCs w:val="18"/>
              </w:rPr>
              <w:t>尽快研究将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投资者利益</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损失降低到</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最小的处理</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方案，尽可能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地保护本公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司投资者利</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59"/>
              <w:jc w:val="center"/>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0"/>
                <w:sz w:val="18"/>
                <w:szCs w:val="18"/>
              </w:rPr>
              <w:t>。</w:t>
            </w:r>
            <w:r>
              <w:rPr>
                <w:rFonts w:ascii="宋体" w:hAnsi="宋体" w:cs="宋体" w:eastAsia="宋体" w:hint="default"/>
                <w:sz w:val="18"/>
                <w:szCs w:val="18"/>
              </w:rPr>
              <w:t>（四）公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司发行前持</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45"/>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149"/>
              <w:jc w:val="center"/>
              <w:rPr>
                <w:rFonts w:ascii="宋体" w:hAnsi="宋体" w:cs="宋体" w:eastAsia="宋体" w:hint="default"/>
                <w:sz w:val="18"/>
                <w:szCs w:val="18"/>
              </w:rPr>
            </w:pPr>
            <w:r>
              <w:rPr>
                <w:rFonts w:ascii="宋体" w:hAnsi="宋体" w:cs="宋体" w:eastAsia="宋体" w:hint="default"/>
                <w:sz w:val="18"/>
                <w:szCs w:val="18"/>
              </w:rPr>
              <w:t>东如未能履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行、确已无法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履行或无法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按期履行其</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所作出的减</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28" w:right="0"/>
              <w:jc w:val="center"/>
              <w:rPr>
                <w:rFonts w:ascii="宋体" w:hAnsi="宋体" w:cs="宋体" w:eastAsia="宋体" w:hint="default"/>
                <w:sz w:val="18"/>
                <w:szCs w:val="18"/>
              </w:rPr>
            </w:pPr>
            <w:r>
              <w:rPr>
                <w:rFonts w:ascii="宋体" w:hAnsi="宋体" w:cs="宋体" w:eastAsia="宋体" w:hint="default"/>
                <w:sz w:val="18"/>
                <w:szCs w:val="18"/>
              </w:rPr>
              <w:t>持意向承诺，</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其将采取如</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58"/>
              <w:jc w:val="center"/>
              <w:rPr>
                <w:rFonts w:ascii="宋体" w:hAnsi="宋体" w:cs="宋体" w:eastAsia="宋体" w:hint="default"/>
                <w:sz w:val="18"/>
                <w:szCs w:val="18"/>
              </w:rPr>
            </w:pPr>
            <w:r>
              <w:rPr>
                <w:rFonts w:ascii="宋体" w:hAnsi="宋体" w:cs="宋体" w:eastAsia="宋体" w:hint="default"/>
                <w:sz w:val="18"/>
                <w:szCs w:val="18"/>
              </w:rPr>
              <w:t>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及中国证监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会指定的披</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露媒体上公</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开说明未履</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行承诺的原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3" w:right="0"/>
              <w:jc w:val="center"/>
              <w:rPr>
                <w:rFonts w:ascii="宋体" w:hAnsi="宋体" w:cs="宋体" w:eastAsia="宋体" w:hint="default"/>
                <w:sz w:val="18"/>
                <w:szCs w:val="18"/>
              </w:rPr>
            </w:pPr>
            <w:r>
              <w:rPr>
                <w:rFonts w:ascii="宋体" w:hAnsi="宋体" w:cs="宋体" w:eastAsia="宋体" w:hint="default"/>
                <w:spacing w:val="-3"/>
                <w:sz w:val="18"/>
                <w:szCs w:val="18"/>
              </w:rPr>
              <w:t>因、具体情况</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149"/>
              <w:jc w:val="center"/>
              <w:rPr>
                <w:rFonts w:ascii="宋体" w:hAnsi="宋体" w:cs="宋体" w:eastAsia="宋体" w:hint="default"/>
                <w:sz w:val="18"/>
                <w:szCs w:val="18"/>
              </w:rPr>
            </w:pPr>
            <w:r>
              <w:rPr>
                <w:rFonts w:ascii="宋体" w:hAnsi="宋体" w:cs="宋体" w:eastAsia="宋体" w:hint="default"/>
                <w:sz w:val="18"/>
                <w:szCs w:val="18"/>
              </w:rPr>
              <w:t>和相关约束</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性措施并向</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8"/>
              <w:jc w:val="center"/>
              <w:rPr>
                <w:rFonts w:ascii="宋体" w:hAnsi="宋体" w:cs="宋体" w:eastAsia="宋体" w:hint="default"/>
                <w:sz w:val="18"/>
                <w:szCs w:val="18"/>
              </w:rPr>
            </w:pPr>
            <w:r>
              <w:rPr>
                <w:rFonts w:ascii="宋体" w:hAnsi="宋体" w:cs="宋体" w:eastAsia="宋体" w:hint="default"/>
                <w:sz w:val="18"/>
                <w:szCs w:val="18"/>
              </w:rPr>
              <w:t>公司股东和</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社会公众投</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73"/>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资者道歉；</w:t>
            </w:r>
            <w:r>
              <w:rPr>
                <w:rFonts w:ascii="Times New Roman" w:hAnsi="Times New Roman" w:cs="Times New Roman" w:eastAsia="Times New Roman" w:hint="default"/>
                <w:spacing w:val="-3"/>
                <w:sz w:val="18"/>
                <w:szCs w:val="18"/>
              </w:rPr>
              <w:t>2</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149"/>
              <w:jc w:val="center"/>
              <w:rPr>
                <w:rFonts w:ascii="宋体" w:hAnsi="宋体" w:cs="宋体" w:eastAsia="宋体" w:hint="default"/>
                <w:sz w:val="18"/>
                <w:szCs w:val="18"/>
              </w:rPr>
            </w:pPr>
            <w:r>
              <w:rPr>
                <w:rFonts w:ascii="宋体" w:hAnsi="宋体" w:cs="宋体" w:eastAsia="宋体" w:hint="default"/>
                <w:sz w:val="18"/>
                <w:szCs w:val="18"/>
              </w:rPr>
              <w:t>转让相关股</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份所取得的</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3"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收益归公司</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20"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right="60"/>
              <w:jc w:val="center"/>
              <w:rPr>
                <w:rFonts w:ascii="宋体" w:hAnsi="宋体" w:cs="宋体" w:eastAsia="宋体" w:hint="default"/>
                <w:sz w:val="18"/>
                <w:szCs w:val="18"/>
              </w:rPr>
            </w:pPr>
            <w:r>
              <w:rPr>
                <w:rFonts w:ascii="宋体" w:hAnsi="宋体" w:cs="宋体" w:eastAsia="宋体" w:hint="default"/>
                <w:sz w:val="18"/>
                <w:szCs w:val="18"/>
              </w:rPr>
              <w:t>所有；</w:t>
            </w:r>
            <w:r>
              <w:rPr>
                <w:rFonts w:ascii="Times New Roman" w:hAnsi="Times New Roman" w:cs="Times New Roman" w:eastAsia="Times New Roman" w:hint="default"/>
                <w:sz w:val="18"/>
                <w:szCs w:val="18"/>
              </w:rPr>
              <w:t>3</w:t>
            </w:r>
            <w:r>
              <w:rPr>
                <w:rFonts w:ascii="宋体" w:hAnsi="宋体" w:cs="宋体" w:eastAsia="宋体" w:hint="default"/>
                <w:sz w:val="18"/>
                <w:szCs w:val="18"/>
              </w:rPr>
              <w:t>、如</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29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149"/>
              <w:jc w:val="center"/>
              <w:rPr>
                <w:rFonts w:ascii="宋体" w:hAnsi="宋体" w:cs="宋体" w:eastAsia="宋体" w:hint="default"/>
                <w:sz w:val="18"/>
                <w:szCs w:val="18"/>
              </w:rPr>
            </w:pPr>
            <w:r>
              <w:rPr>
                <w:rFonts w:ascii="宋体" w:hAnsi="宋体" w:cs="宋体" w:eastAsia="宋体" w:hint="default"/>
                <w:sz w:val="18"/>
                <w:szCs w:val="18"/>
              </w:rPr>
              <w:t>未履行减持</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08"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3" w:right="0"/>
              <w:jc w:val="center"/>
              <w:rPr>
                <w:rFonts w:ascii="宋体" w:hAnsi="宋体" w:cs="宋体" w:eastAsia="宋体" w:hint="default"/>
                <w:sz w:val="18"/>
                <w:szCs w:val="18"/>
              </w:rPr>
            </w:pPr>
            <w:r>
              <w:rPr>
                <w:rFonts w:ascii="宋体" w:hAnsi="宋体" w:cs="宋体" w:eastAsia="宋体" w:hint="default"/>
                <w:spacing w:val="-3"/>
                <w:sz w:val="18"/>
                <w:szCs w:val="18"/>
              </w:rPr>
              <w:t>意向，其持有</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15" w:hRule="exact"/>
        </w:trPr>
        <w:tc>
          <w:tcPr>
            <w:tcW w:w="2839" w:type="dxa"/>
            <w:vMerge/>
            <w:tcBorders>
              <w:left w:val="single" w:sz="6" w:space="0" w:color="000000"/>
              <w:right w:val="single" w:sz="6" w:space="0" w:color="000000"/>
            </w:tcBorders>
            <w:shd w:val="clear" w:color="auto" w:fill="D2D2D2"/>
          </w:tcPr>
          <w:p>
            <w:pPr/>
          </w:p>
        </w:tc>
        <w:tc>
          <w:tcPr>
            <w:tcW w:w="1127" w:type="dxa"/>
            <w:vMerge/>
            <w:tcBorders>
              <w:left w:val="single" w:sz="6" w:space="0" w:color="000000"/>
              <w:right w:val="single" w:sz="6" w:space="0" w:color="000000"/>
            </w:tcBorders>
          </w:tcPr>
          <w:p>
            <w:pPr/>
          </w:p>
        </w:tc>
        <w:tc>
          <w:tcPr>
            <w:tcW w:w="11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r>
      <w:tr>
        <w:trPr>
          <w:trHeight w:val="335"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vMerge/>
            <w:tcBorders>
              <w:left w:val="single" w:sz="6" w:space="0" w:color="000000"/>
              <w:bottom w:val="single" w:sz="6" w:space="0" w:color="000000"/>
              <w:right w:val="single" w:sz="6" w:space="0" w:color="000000"/>
            </w:tcBorders>
          </w:tcPr>
          <w:p>
            <w:pPr/>
          </w:p>
        </w:tc>
        <w:tc>
          <w:tcPr>
            <w:tcW w:w="11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149"/>
              <w:jc w:val="center"/>
              <w:rPr>
                <w:rFonts w:ascii="宋体" w:hAnsi="宋体" w:cs="宋体" w:eastAsia="宋体" w:hint="default"/>
                <w:sz w:val="18"/>
                <w:szCs w:val="18"/>
              </w:rPr>
            </w:pPr>
            <w:r>
              <w:rPr>
                <w:rFonts w:ascii="宋体" w:hAnsi="宋体" w:cs="宋体" w:eastAsia="宋体" w:hint="default"/>
                <w:sz w:val="18"/>
                <w:szCs w:val="18"/>
              </w:rPr>
              <w:t>自其未履行</w:t>
            </w:r>
          </w:p>
        </w:tc>
        <w:tc>
          <w:tcPr>
            <w:tcW w:w="112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1306"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29" w:right="0"/>
              <w:jc w:val="left"/>
              <w:rPr>
                <w:rFonts w:ascii="宋体" w:hAnsi="宋体" w:cs="宋体" w:eastAsia="宋体" w:hint="default"/>
                <w:sz w:val="18"/>
                <w:szCs w:val="18"/>
              </w:rPr>
            </w:pPr>
            <w:r>
              <w:rPr>
                <w:rFonts w:ascii="宋体" w:hAnsi="宋体" w:cs="宋体" w:eastAsia="宋体" w:hint="default"/>
                <w:sz w:val="18"/>
                <w:szCs w:val="18"/>
              </w:rPr>
              <w:t>上述减持意 向之日起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月内不得减</w:t>
            </w:r>
          </w:p>
          <w:p>
            <w:pPr>
              <w:pStyle w:val="TableParagraph"/>
              <w:spacing w:line="240" w:lineRule="auto" w:before="46"/>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Times New Roman" w:hAnsi="Times New Roman" w:cs="Times New Roman" w:eastAsia="Times New Roman" w:hint="default"/>
          <w:sz w:val="22"/>
          <w:szCs w:val="22"/>
        </w:rPr>
      </w:pPr>
    </w:p>
    <w:p>
      <w:pPr>
        <w:pStyle w:val="Heading3"/>
        <w:spacing w:line="286" w:lineRule="exact" w:before="51"/>
        <w:ind w:right="939"/>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3"/>
        </w:rPr>
        <w:t> </w:t>
      </w:r>
      <w:r>
        <w:rPr>
          <w:spacing w:val="-53"/>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三、控股股东及其关联方对上市公司的非经营性占用资金情况" w:id="68"/>
      <w:bookmarkEnd w:id="68"/>
      <w:r>
        <w:rPr>
          <w:b w:val="0"/>
          <w:bCs w:val="0"/>
        </w:rPr>
      </w:r>
      <w:r>
        <w:rPr/>
        <w:t>三、控股股东及其关联方对上市公司的非经营性占用资金情况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四、董事会对最近一期“非标准审计报告”相关情况的说明" w:id="69"/>
      <w:bookmarkEnd w:id="69"/>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939"/>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六、董事会关于报告期会计政策、会计估计变更或重大会计差错更正的说明" w:id="71"/>
      <w:bookmarkEnd w:id="71"/>
      <w:r>
        <w:rPr>
          <w:b w:val="0"/>
          <w:bCs w:val="0"/>
        </w:rPr>
      </w:r>
      <w:r>
        <w:rPr/>
        <w:t>六、董事会关于报告期会计政策、会计估计变更或重大会计差错更正的说明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111"/>
        <w:ind w:left="501" w:right="93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日，财政部修订发布《企业会计准则第</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号—收入》，根据财政部要求，在境内外同时上市的企业以及</w:t>
      </w:r>
    </w:p>
    <w:p>
      <w:pPr>
        <w:pStyle w:val="BodyText"/>
        <w:spacing w:line="240" w:lineRule="auto" w:before="51"/>
        <w:ind w:right="939"/>
        <w:jc w:val="left"/>
      </w:pPr>
      <w:r>
        <w:rPr/>
        <w:t>在境外上市并采用国际财务报告准则或企业会计准则编制财务报表的企业</w:t>
      </w:r>
      <w:r>
        <w:rPr>
          <w:spacing w:val="-90"/>
        </w:rPr>
        <w:t>，</w:t>
      </w:r>
      <w:r>
        <w:rPr/>
        <w:t>自</w:t>
      </w:r>
      <w:r>
        <w:rPr>
          <w:spacing w:val="-38"/>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1 </w:t>
      </w:r>
      <w:r>
        <w:rPr/>
        <w:t>日起施行</w:t>
      </w:r>
      <w:r>
        <w:rPr>
          <w:spacing w:val="-90"/>
        </w:rPr>
        <w:t>；</w:t>
      </w:r>
      <w:r>
        <w:rPr/>
        <w:t>其他境内上市企业，</w:t>
      </w:r>
    </w:p>
    <w:p>
      <w:pPr>
        <w:pStyle w:val="BodyText"/>
        <w:spacing w:line="240" w:lineRule="auto" w:before="66"/>
        <w:ind w:right="939"/>
        <w:jc w:val="left"/>
      </w:pPr>
      <w:r>
        <w:rPr/>
        <w:t>自</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日起施行；执行企业会计准则的非上市企业，自</w:t>
      </w:r>
      <w:r>
        <w:rPr>
          <w:spacing w:val="-44"/>
        </w:rPr>
        <w:t> </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日起施行；</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日，财政部修订</w:t>
      </w:r>
    </w:p>
    <w:p>
      <w:pPr>
        <w:pStyle w:val="BodyText"/>
        <w:spacing w:line="240" w:lineRule="auto" w:before="66"/>
        <w:ind w:right="939"/>
        <w:jc w:val="left"/>
      </w:pPr>
      <w:r>
        <w:rPr/>
        <w:t>印发了《关于修订印发</w:t>
      </w:r>
      <w:r>
        <w:rPr>
          <w:spacing w:val="-28"/>
        </w:rPr>
        <w:t> </w:t>
      </w:r>
      <w:r>
        <w:rPr>
          <w:rFonts w:ascii="宋体" w:hAnsi="宋体" w:cs="宋体" w:eastAsia="宋体" w:hint="default"/>
        </w:rPr>
        <w:t>2019</w:t>
      </w:r>
      <w:r>
        <w:rPr>
          <w:rFonts w:ascii="宋体" w:hAnsi="宋体" w:cs="宋体" w:eastAsia="宋体" w:hint="default"/>
          <w:spacing w:val="-30"/>
        </w:rPr>
        <w:t> </w:t>
      </w:r>
      <w:r>
        <w:rPr/>
        <w:t>年度一般企业财务报表格式的通知》（财会</w:t>
      </w:r>
      <w:r>
        <w:rPr>
          <w:rFonts w:ascii="Times New Roman" w:hAnsi="Times New Roman" w:cs="Times New Roman" w:eastAsia="Times New Roman" w:hint="default"/>
        </w:rPr>
        <w:t>[2019] </w:t>
      </w:r>
      <w:r>
        <w:rPr>
          <w:rFonts w:ascii="Times New Roman" w:hAnsi="Times New Roman" w:cs="Times New Roman" w:eastAsia="Times New Roman" w:hint="default"/>
          <w:spacing w:val="1"/>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号），对一般企业财务报表格式进行了修</w:t>
      </w:r>
    </w:p>
    <w:p>
      <w:pPr>
        <w:pStyle w:val="BodyText"/>
        <w:spacing w:line="240" w:lineRule="auto" w:before="66"/>
        <w:ind w:right="939"/>
        <w:jc w:val="left"/>
        <w:rPr>
          <w:rFonts w:ascii="Times New Roman" w:hAnsi="Times New Roman" w:cs="Times New Roman" w:eastAsia="Times New Roman" w:hint="default"/>
        </w:rPr>
      </w:pPr>
      <w:r>
        <w:rPr/>
        <w:t>订，适用于执行企业会计准则的非金融企业</w:t>
      </w:r>
      <w:r>
        <w:rPr>
          <w:spacing w:val="-41"/>
        </w:rPr>
        <w:t> </w:t>
      </w:r>
      <w:r>
        <w:rPr>
          <w:rFonts w:ascii="宋体" w:hAnsi="宋体" w:cs="宋体" w:eastAsia="宋体" w:hint="default"/>
        </w:rPr>
        <w:t>2019</w:t>
      </w:r>
      <w:r>
        <w:rPr>
          <w:rFonts w:ascii="宋体" w:hAnsi="宋体" w:cs="宋体" w:eastAsia="宋体" w:hint="default"/>
          <w:spacing w:val="-45"/>
        </w:rPr>
        <w:t> </w:t>
      </w:r>
      <w:r>
        <w:rPr/>
        <w:t>年度中期财务报表和年度财务报表及以后期间的财务报表；</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9</w:t>
      </w:r>
    </w:p>
    <w:p>
      <w:pPr>
        <w:pStyle w:val="BodyText"/>
        <w:spacing w:line="240" w:lineRule="auto" w:before="66"/>
        <w:ind w:right="939"/>
        <w:jc w:val="left"/>
      </w:pPr>
      <w:r>
        <w:rPr/>
        <w:t>日，财政部印发修订了《企业会计准则第</w:t>
      </w:r>
      <w:r>
        <w:rPr>
          <w:spacing w:val="-48"/>
        </w:rPr>
        <w:t> </w:t>
      </w:r>
      <w:r>
        <w:rPr>
          <w:rFonts w:ascii="宋体" w:hAnsi="宋体" w:cs="宋体" w:eastAsia="宋体" w:hint="default"/>
        </w:rPr>
        <w:t>7</w:t>
      </w:r>
      <w:r>
        <w:rPr>
          <w:rFonts w:ascii="宋体" w:hAnsi="宋体" w:cs="宋体" w:eastAsia="宋体" w:hint="default"/>
          <w:spacing w:val="-11"/>
        </w:rPr>
        <w:t> </w:t>
      </w:r>
      <w:r>
        <w:rPr/>
        <w:t>号——非货币性资产交换》（财会</w:t>
      </w:r>
      <w:r>
        <w:rPr>
          <w:rFonts w:ascii="宋体" w:hAnsi="宋体" w:cs="宋体" w:eastAsia="宋体" w:hint="default"/>
        </w:rPr>
        <w:t>[2019]8</w:t>
      </w:r>
      <w:r>
        <w:rPr>
          <w:rFonts w:ascii="宋体" w:hAnsi="宋体" w:cs="宋体" w:eastAsia="宋体" w:hint="default"/>
          <w:spacing w:val="-50"/>
        </w:rPr>
        <w:t> </w:t>
      </w:r>
      <w:r>
        <w:rPr>
          <w:spacing w:val="-5"/>
        </w:rPr>
        <w:t>号），并要求自</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1"/>
        </w:rPr>
        <w:t> </w:t>
      </w: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rPr>
        <w:t>10</w:t>
      </w:r>
      <w:r>
        <w:rPr>
          <w:rFonts w:ascii="宋体" w:hAnsi="宋体" w:cs="宋体" w:eastAsia="宋体" w:hint="default"/>
          <w:spacing w:val="-51"/>
        </w:rPr>
        <w:t> </w:t>
      </w:r>
      <w:r>
        <w:rPr/>
        <w:t>日起</w:t>
      </w:r>
    </w:p>
    <w:p>
      <w:pPr>
        <w:pStyle w:val="BodyText"/>
        <w:spacing w:line="240" w:lineRule="auto" w:before="51"/>
        <w:ind w:right="939"/>
        <w:jc w:val="left"/>
        <w:rPr>
          <w:rFonts w:ascii="宋体" w:hAnsi="宋体" w:cs="宋体" w:eastAsia="宋体" w:hint="default"/>
        </w:rPr>
      </w:pPr>
      <w:r>
        <w:rPr/>
        <w:t>施行；</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2"/>
        </w:rPr>
        <w:t> </w:t>
      </w:r>
      <w:r>
        <w:rPr>
          <w:rFonts w:ascii="宋体" w:hAnsi="宋体" w:cs="宋体" w:eastAsia="宋体" w:hint="default"/>
        </w:rPr>
        <w:t>5</w:t>
      </w:r>
      <w:r>
        <w:rPr>
          <w:rFonts w:ascii="宋体" w:hAnsi="宋体" w:cs="宋体" w:eastAsia="宋体" w:hint="default"/>
          <w:spacing w:val="-26"/>
        </w:rPr>
        <w:t> </w:t>
      </w:r>
      <w:r>
        <w:rPr/>
        <w:t>月</w:t>
      </w:r>
      <w:r>
        <w:rPr>
          <w:spacing w:val="-42"/>
        </w:rPr>
        <w:t> </w:t>
      </w:r>
      <w:r>
        <w:rPr>
          <w:rFonts w:ascii="宋体" w:hAnsi="宋体" w:cs="宋体" w:eastAsia="宋体" w:hint="default"/>
        </w:rPr>
        <w:t>16</w:t>
      </w:r>
      <w:r>
        <w:rPr>
          <w:rFonts w:ascii="宋体" w:hAnsi="宋体" w:cs="宋体" w:eastAsia="宋体" w:hint="default"/>
          <w:spacing w:val="-42"/>
        </w:rPr>
        <w:t> </w:t>
      </w:r>
      <w:r>
        <w:rPr/>
        <w:t>日，财政部印发修订了《企业会计准则第</w:t>
      </w:r>
      <w:r>
        <w:rPr>
          <w:spacing w:val="-41"/>
        </w:rPr>
        <w:t> </w:t>
      </w:r>
      <w:r>
        <w:rPr>
          <w:rFonts w:ascii="宋体" w:hAnsi="宋体" w:cs="宋体" w:eastAsia="宋体" w:hint="default"/>
        </w:rPr>
        <w:t>12</w:t>
      </w:r>
      <w:r>
        <w:rPr>
          <w:rFonts w:ascii="宋体" w:hAnsi="宋体" w:cs="宋体" w:eastAsia="宋体" w:hint="default"/>
          <w:spacing w:val="-42"/>
        </w:rPr>
        <w:t> </w:t>
      </w:r>
      <w:r>
        <w:rPr/>
        <w:t>号——债务重组》（财会</w:t>
      </w:r>
      <w:r>
        <w:rPr>
          <w:rFonts w:ascii="宋体" w:hAnsi="宋体" w:cs="宋体" w:eastAsia="宋体" w:hint="default"/>
        </w:rPr>
        <w:t>[2019]9</w:t>
      </w:r>
      <w:r>
        <w:rPr>
          <w:rFonts w:ascii="宋体" w:hAnsi="宋体" w:cs="宋体" w:eastAsia="宋体" w:hint="default"/>
          <w:spacing w:val="-41"/>
        </w:rPr>
        <w:t> </w:t>
      </w:r>
      <w:r>
        <w:rPr/>
        <w:t>号），并要求自</w:t>
      </w:r>
      <w:r>
        <w:rPr>
          <w:spacing w:val="-41"/>
        </w:rPr>
        <w:t> </w:t>
      </w:r>
      <w:r>
        <w:rPr>
          <w:rFonts w:ascii="宋体" w:hAnsi="宋体" w:cs="宋体" w:eastAsia="宋体" w:hint="default"/>
        </w:rPr>
        <w:t>2019</w:t>
      </w:r>
    </w:p>
    <w:p>
      <w:pPr>
        <w:pStyle w:val="BodyText"/>
        <w:spacing w:line="240" w:lineRule="auto" w:before="51"/>
        <w:ind w:right="939"/>
        <w:jc w:val="left"/>
      </w:pPr>
      <w:r>
        <w:rPr/>
        <w:t>年</w:t>
      </w:r>
      <w:r>
        <w:rPr>
          <w:spacing w:val="-45"/>
        </w:rPr>
        <w:t> </w:t>
      </w:r>
      <w:r>
        <w:rPr>
          <w:rFonts w:ascii="宋体" w:hAnsi="宋体" w:cs="宋体" w:eastAsia="宋体" w:hint="default"/>
        </w:rPr>
        <w:t>6</w:t>
      </w:r>
      <w:r>
        <w:rPr>
          <w:rFonts w:ascii="宋体" w:hAnsi="宋体" w:cs="宋体" w:eastAsia="宋体" w:hint="default"/>
          <w:spacing w:val="-45"/>
        </w:rPr>
        <w:t> </w:t>
      </w:r>
      <w:r>
        <w:rPr/>
        <w:t>月</w:t>
      </w:r>
      <w:r>
        <w:rPr>
          <w:spacing w:val="-45"/>
        </w:rPr>
        <w:t> </w:t>
      </w:r>
      <w:r>
        <w:rPr>
          <w:rFonts w:ascii="宋体" w:hAnsi="宋体" w:cs="宋体" w:eastAsia="宋体" w:hint="default"/>
        </w:rPr>
        <w:t>17</w:t>
      </w:r>
      <w:r>
        <w:rPr>
          <w:rFonts w:ascii="宋体" w:hAnsi="宋体" w:cs="宋体" w:eastAsia="宋体" w:hint="default"/>
          <w:spacing w:val="-45"/>
        </w:rPr>
        <w:t> </w:t>
      </w:r>
      <w:r>
        <w:rPr/>
        <w:t>日起施行；</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9</w:t>
      </w:r>
      <w:r>
        <w:rPr>
          <w:rFonts w:ascii="宋体" w:hAnsi="宋体" w:cs="宋体" w:eastAsia="宋体" w:hint="default"/>
          <w:spacing w:val="-45"/>
        </w:rPr>
        <w:t> </w:t>
      </w:r>
      <w:r>
        <w:rPr/>
        <w:t>月</w:t>
      </w:r>
      <w:r>
        <w:rPr>
          <w:spacing w:val="-45"/>
        </w:rPr>
        <w:t> </w:t>
      </w:r>
      <w:r>
        <w:rPr>
          <w:rFonts w:ascii="宋体" w:hAnsi="宋体" w:cs="宋体" w:eastAsia="宋体" w:hint="default"/>
        </w:rPr>
        <w:t>19</w:t>
      </w:r>
      <w:r>
        <w:rPr>
          <w:rFonts w:ascii="宋体" w:hAnsi="宋体" w:cs="宋体" w:eastAsia="宋体" w:hint="default"/>
          <w:spacing w:val="-45"/>
        </w:rPr>
        <w:t> </w:t>
      </w:r>
      <w:r>
        <w:rPr/>
        <w:t>日，财政部修订印发了《关于修订印发合并财务报表格式（</w:t>
      </w:r>
      <w:r>
        <w:rPr>
          <w:rFonts w:ascii="宋体" w:hAnsi="宋体" w:cs="宋体" w:eastAsia="宋体" w:hint="default"/>
        </w:rPr>
        <w:t>2019</w:t>
      </w:r>
      <w:r>
        <w:rPr>
          <w:rFonts w:ascii="宋体" w:hAnsi="宋体" w:cs="宋体" w:eastAsia="宋体" w:hint="default"/>
          <w:spacing w:val="-45"/>
        </w:rPr>
        <w:t> </w:t>
      </w:r>
      <w:r>
        <w:rPr/>
        <w:t>版）的通知》（财会</w:t>
      </w:r>
    </w:p>
    <w:p>
      <w:pPr>
        <w:pStyle w:val="BodyText"/>
        <w:spacing w:line="321" w:lineRule="auto" w:before="79"/>
        <w:ind w:right="1112"/>
        <w:jc w:val="left"/>
      </w:pPr>
      <w:r>
        <w:rPr>
          <w:rFonts w:ascii="宋体" w:hAnsi="宋体" w:cs="宋体" w:eastAsia="宋体" w:hint="default"/>
        </w:rPr>
        <w:t>[2019]16</w:t>
      </w:r>
      <w:r>
        <w:rPr>
          <w:rFonts w:ascii="宋体" w:hAnsi="宋体" w:cs="宋体" w:eastAsia="宋体" w:hint="default"/>
          <w:spacing w:val="-59"/>
        </w:rPr>
        <w:t> </w:t>
      </w:r>
      <w:r>
        <w:rPr/>
        <w:t>号），对合并财务报表格式进行了修订，适用于执行企业会计准则的企业</w:t>
      </w:r>
      <w:r>
        <w:rPr>
          <w:spacing w:val="-55"/>
        </w:rPr>
        <w:t> </w:t>
      </w:r>
      <w:r>
        <w:rPr>
          <w:rFonts w:ascii="宋体" w:hAnsi="宋体" w:cs="宋体" w:eastAsia="宋体" w:hint="default"/>
        </w:rPr>
        <w:t>2019</w:t>
      </w:r>
      <w:r>
        <w:rPr>
          <w:rFonts w:ascii="宋体" w:hAnsi="宋体" w:cs="宋体" w:eastAsia="宋体" w:hint="default"/>
          <w:spacing w:val="-59"/>
        </w:rPr>
        <w:t> </w:t>
      </w:r>
      <w:r>
        <w:rPr/>
        <w:t>年度合并财务报表及以后期间的合 并财务报表。</w:t>
      </w:r>
    </w:p>
    <w:p>
      <w:pPr>
        <w:pStyle w:val="BodyText"/>
        <w:spacing w:line="336" w:lineRule="auto" w:before="48"/>
        <w:ind w:right="1089" w:firstLine="300"/>
        <w:jc w:val="left"/>
      </w:pPr>
      <w:r>
        <w:rPr/>
        <w:t>根据上述会计准则的要求，公司需对会计政策相关内容进行相应调整。其他部分，仍按照财政部前期颁布的《企业会计 准则</w:t>
      </w:r>
      <w:r>
        <w:rPr>
          <w:rFonts w:ascii="Times New Roman" w:hAnsi="Times New Roman" w:cs="Times New Roman" w:eastAsia="Times New Roman" w:hint="default"/>
        </w:rPr>
        <w:t>——</w:t>
      </w:r>
      <w:r>
        <w:rPr/>
        <w:t>基本准则》和各项具体会计准则、企业会计准则应用指南、企业会计准则解释公告以及其他相关规定执行。</w:t>
      </w:r>
    </w:p>
    <w:p>
      <w:pPr>
        <w:spacing w:after="0" w:line="336" w:lineRule="auto"/>
        <w:jc w:val="left"/>
        <w:sectPr>
          <w:pgSz w:w="11910" w:h="16850"/>
          <w:pgMar w:header="866" w:footer="981" w:top="1120" w:bottom="1180" w:left="1000" w:right="0"/>
        </w:sectPr>
      </w:pPr>
    </w:p>
    <w:p>
      <w:pPr>
        <w:spacing w:line="240" w:lineRule="auto" w:before="1"/>
        <w:rPr>
          <w:rFonts w:ascii="宋体" w:hAnsi="宋体" w:cs="宋体" w:eastAsia="宋体" w:hint="default"/>
          <w:sz w:val="19"/>
          <w:szCs w:val="19"/>
        </w:rPr>
      </w:pPr>
    </w:p>
    <w:p>
      <w:pPr>
        <w:pStyle w:val="Heading2"/>
        <w:spacing w:line="240" w:lineRule="auto" w:before="26"/>
        <w:ind w:right="939"/>
        <w:jc w:val="left"/>
        <w:rPr>
          <w:b w:val="0"/>
          <w:bCs w:val="0"/>
        </w:rPr>
      </w:pPr>
      <w:bookmarkStart w:name="七、与上年度财务报告相比，合并报表范围发生变化的情况说明" w:id="72"/>
      <w:bookmarkEnd w:id="72"/>
      <w:r>
        <w:rPr>
          <w:b w:val="0"/>
          <w:bCs w:val="0"/>
        </w:rPr>
      </w:r>
      <w:r>
        <w:rPr/>
        <w:t>七、与上年度财务报告相比，合并报表范围发生变化的情况说明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
        <w:rPr>
          <w:rFonts w:ascii="宋体" w:hAnsi="宋体" w:cs="宋体" w:eastAsia="宋体" w:hint="default"/>
          <w:sz w:val="13"/>
          <w:szCs w:val="13"/>
        </w:rPr>
      </w:pPr>
    </w:p>
    <w:p>
      <w:pPr>
        <w:pStyle w:val="BodyText"/>
        <w:spacing w:line="304" w:lineRule="auto"/>
        <w:ind w:right="1089" w:firstLine="480"/>
        <w:jc w:val="left"/>
      </w:pPr>
      <w:r>
        <w:rPr/>
        <w:t>本公司报告期新增一家合并单位“四方精创（泰国）有限公司”，是由四方精创信息</w:t>
      </w:r>
      <w:r>
        <w:rPr>
          <w:rFonts w:ascii="宋体" w:hAnsi="宋体" w:cs="宋体" w:eastAsia="宋体" w:hint="default"/>
        </w:rPr>
        <w:t>(</w:t>
      </w:r>
      <w:r>
        <w:rPr/>
        <w:t>香港</w:t>
      </w:r>
      <w:r>
        <w:rPr>
          <w:rFonts w:ascii="宋体" w:hAnsi="宋体" w:cs="宋体" w:eastAsia="宋体" w:hint="default"/>
        </w:rPr>
        <w:t>)</w:t>
      </w:r>
      <w:r>
        <w:rPr/>
        <w:t>有限公司于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6</w:t>
      </w:r>
      <w:r>
        <w:rPr/>
        <w:t>日 设立，截止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日，认缴注册资本</w:t>
      </w:r>
      <w:r>
        <w:rPr>
          <w:rFonts w:ascii="宋体" w:hAnsi="宋体" w:cs="宋体" w:eastAsia="宋体" w:hint="default"/>
        </w:rPr>
        <w:t>400</w:t>
      </w:r>
      <w:r>
        <w:rPr/>
        <w:t>万泰铢，实缴注册资本为</w:t>
      </w:r>
      <w:r>
        <w:rPr>
          <w:rFonts w:ascii="宋体" w:hAnsi="宋体" w:cs="宋体" w:eastAsia="宋体" w:hint="default"/>
        </w:rPr>
        <w:t>0</w:t>
      </w:r>
      <w:r>
        <w:rPr/>
        <w:t>。</w:t>
      </w:r>
    </w:p>
    <w:p>
      <w:pPr>
        <w:spacing w:line="240" w:lineRule="auto" w:before="3"/>
        <w:rPr>
          <w:rFonts w:ascii="宋体" w:hAnsi="宋体" w:cs="宋体" w:eastAsia="宋体" w:hint="default"/>
          <w:sz w:val="22"/>
          <w:szCs w:val="22"/>
        </w:rPr>
      </w:pPr>
    </w:p>
    <w:p>
      <w:pPr>
        <w:pStyle w:val="Heading2"/>
        <w:spacing w:line="240" w:lineRule="auto"/>
        <w:ind w:right="939"/>
        <w:jc w:val="left"/>
        <w:rPr>
          <w:b w:val="0"/>
          <w:bCs w:val="0"/>
        </w:rPr>
      </w:pPr>
      <w:bookmarkStart w:name="八、聘任、解聘会计师事务所情况" w:id="73"/>
      <w:bookmarkEnd w:id="73"/>
      <w:r>
        <w:rPr>
          <w:b w:val="0"/>
          <w:bCs w:val="0"/>
        </w:rPr>
      </w:r>
      <w:r>
        <w:rPr/>
        <w:t>八、聘任、解聘会计师事务所情况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t>现聘任的会计事务所</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华兴会计师事务所（特殊普通合伙）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刘远帅、俞健业</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r>
    </w:tbl>
    <w:p>
      <w:pPr>
        <w:pStyle w:val="BodyText"/>
        <w:spacing w:line="240" w:lineRule="auto" w:before="45"/>
        <w:ind w:right="939"/>
        <w:jc w:val="left"/>
      </w:pPr>
      <w:r>
        <w:rPr/>
        <w:t>是否改聘会计师事务所</w:t>
      </w:r>
    </w:p>
    <w:p>
      <w:pPr>
        <w:pStyle w:val="BodyText"/>
        <w:spacing w:line="333" w:lineRule="auto" w:before="124"/>
        <w:ind w:right="8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是否在审计期间改聘会计师事务所</w:t>
      </w:r>
    </w:p>
    <w:p>
      <w:pPr>
        <w:pStyle w:val="BodyText"/>
        <w:spacing w:line="331" w:lineRule="auto" w:before="54"/>
        <w:ind w:right="78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更换会计师事务所是否履行审批程序</w:t>
      </w:r>
    </w:p>
    <w:p>
      <w:pPr>
        <w:pStyle w:val="BodyText"/>
        <w:spacing w:line="331" w:lineRule="auto" w:before="56"/>
        <w:ind w:right="80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聘任、解聘会计师事务所情况说明</w:t>
      </w:r>
    </w:p>
    <w:p>
      <w:pPr>
        <w:pStyle w:val="BodyText"/>
        <w:spacing w:line="319" w:lineRule="auto" w:before="131"/>
        <w:ind w:right="1102" w:firstLine="360"/>
        <w:jc w:val="both"/>
      </w:pPr>
      <w:r>
        <w:rPr>
          <w:spacing w:val="-2"/>
        </w:rPr>
        <w:t>鉴于广东正中珠江会计师事务所（特殊普通合伙）（以下简称“正中珠江”）已经连续多年为公司提供审计服务，为更</w:t>
      </w:r>
      <w:r>
        <w:rPr/>
        <w:t> </w:t>
      </w:r>
      <w:r>
        <w:rPr>
          <w:spacing w:val="-2"/>
        </w:rPr>
        <w:t>好地适应公司未来业务发展的需要，公司决定变更会计师事务所。经公司董事会审计委员会提议，公司拟聘任华兴会计师事</w:t>
      </w:r>
      <w:r>
        <w:rPr>
          <w:spacing w:val="-75"/>
        </w:rPr>
        <w:t> </w:t>
      </w:r>
      <w:r>
        <w:rPr>
          <w:spacing w:val="-75"/>
        </w:rPr>
      </w:r>
      <w:r>
        <w:rPr>
          <w:spacing w:val="-2"/>
        </w:rPr>
        <w:t>务所（特殊普通合伙）担任公司</w:t>
      </w:r>
      <w:r>
        <w:rPr>
          <w:rFonts w:ascii="宋体" w:hAnsi="宋体" w:cs="宋体" w:eastAsia="宋体" w:hint="default"/>
          <w:spacing w:val="-2"/>
        </w:rPr>
        <w:t>2019</w:t>
      </w:r>
      <w:r>
        <w:rPr>
          <w:spacing w:val="-2"/>
        </w:rPr>
        <w:t>年度审计服务机构，聘期为一年，并提请股东大会授权董事会根据公司实际业务情况和</w:t>
      </w:r>
      <w:r>
        <w:rPr>
          <w:spacing w:val="-36"/>
        </w:rPr>
        <w:t> </w:t>
      </w:r>
      <w:r>
        <w:rPr>
          <w:spacing w:val="-36"/>
        </w:rPr>
      </w:r>
      <w:r>
        <w:rPr>
          <w:spacing w:val="-2"/>
        </w:rPr>
        <w:t>市场情况等与审计机构协商确定相关事项。公司已就变更会计师事务所事项与正中珠江进行了事先沟通和协商。正中珠江在</w:t>
      </w:r>
      <w:r>
        <w:rPr>
          <w:spacing w:val="-72"/>
        </w:rPr>
        <w:t> </w:t>
      </w:r>
      <w:r>
        <w:rPr>
          <w:spacing w:val="-72"/>
        </w:rPr>
      </w:r>
      <w:r>
        <w:rPr>
          <w:spacing w:val="-2"/>
        </w:rPr>
        <w:t>担任公司审计机构期间严格执行中国注册会计师审计准则，勤勉尽职，切实履行了审计机构应尽的职责，从专业角度维护了</w:t>
      </w:r>
      <w:r>
        <w:rPr>
          <w:spacing w:val="-75"/>
        </w:rPr>
        <w:t> </w:t>
      </w:r>
      <w:r>
        <w:rPr>
          <w:spacing w:val="-75"/>
        </w:rPr>
      </w:r>
      <w:r>
        <w:rPr/>
        <w:t>公司及股东的合法权益。公司董事会对正中珠江多年来为公司的辛勤工作表示衷心的感谢。</w:t>
      </w:r>
    </w:p>
    <w:p>
      <w:pPr>
        <w:pStyle w:val="BodyText"/>
        <w:spacing w:line="240" w:lineRule="auto" w:before="50"/>
        <w:ind w:right="939"/>
        <w:jc w:val="left"/>
      </w:pPr>
      <w:r>
        <w:rPr/>
        <w:t>聘请内部控制审计会计师事务所、财务顾问或保荐人情况</w:t>
      </w:r>
    </w:p>
    <w:p>
      <w:pPr>
        <w:pStyle w:val="BodyText"/>
        <w:spacing w:line="240" w:lineRule="auto" w:before="139"/>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939"/>
        <w:jc w:val="left"/>
        <w:rPr>
          <w:b w:val="0"/>
          <w:bCs w:val="0"/>
        </w:rPr>
      </w:pPr>
      <w:bookmarkStart w:name="九、年度报告披露后面临暂停上市和终止上市情况" w:id="74"/>
      <w:bookmarkEnd w:id="74"/>
      <w:r>
        <w:rPr>
          <w:b w:val="0"/>
          <w:bCs w:val="0"/>
        </w:rPr>
      </w:r>
      <w:r>
        <w:rPr/>
        <w:t>九、年度报告披露后面临暂停上市和终止上市情况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十、破产重整相关事项" w:id="75"/>
      <w:bookmarkEnd w:id="75"/>
      <w:r>
        <w:rPr>
          <w:b w:val="0"/>
          <w:bCs w:val="0"/>
        </w:rPr>
      </w:r>
      <w:r>
        <w:rPr/>
        <w:t>十、破产重整相关事项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939"/>
        <w:jc w:val="left"/>
        <w:rPr>
          <w:b w:val="0"/>
          <w:bCs w:val="0"/>
        </w:rPr>
      </w:pPr>
      <w:bookmarkStart w:name="十一、重大诉讼、仲裁事项" w:id="76"/>
      <w:bookmarkEnd w:id="76"/>
      <w:r>
        <w:rPr>
          <w:b w:val="0"/>
          <w:bCs w:val="0"/>
        </w:rPr>
      </w:r>
      <w:r>
        <w:rPr/>
        <w:t>十一、重大诉讼、仲裁事项</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3"/>
        <w:rPr>
          <w:rFonts w:ascii="宋体" w:hAnsi="宋体" w:cs="宋体" w:eastAsia="宋体" w:hint="default"/>
          <w:sz w:val="20"/>
          <w:szCs w:val="20"/>
        </w:rPr>
      </w:pPr>
    </w:p>
    <w:p>
      <w:pPr>
        <w:pStyle w:val="Heading2"/>
        <w:spacing w:line="240" w:lineRule="auto" w:before="26"/>
        <w:ind w:right="939"/>
        <w:jc w:val="left"/>
        <w:rPr>
          <w:b w:val="0"/>
          <w:bCs w:val="0"/>
        </w:rPr>
      </w:pPr>
      <w:bookmarkStart w:name="十二、处罚及整改情况" w:id="77"/>
      <w:bookmarkEnd w:id="77"/>
      <w:r>
        <w:rPr>
          <w:b w:val="0"/>
          <w:bCs w:val="0"/>
        </w:rPr>
      </w:r>
      <w:r>
        <w:rPr/>
        <w:t>十二、处罚及整改情况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939"/>
        <w:jc w:val="left"/>
        <w:rPr>
          <w:b w:val="0"/>
          <w:bCs w:val="0"/>
        </w:rPr>
      </w:pPr>
      <w:bookmarkStart w:name="十三、公司及其控股股东、实际控制人的诚信状况" w:id="78"/>
      <w:bookmarkEnd w:id="78"/>
      <w:r>
        <w:rPr>
          <w:b w:val="0"/>
          <w:bCs w:val="0"/>
        </w:rPr>
      </w:r>
      <w:r>
        <w:rPr/>
        <w:t>十三、公司及其控股股东、实际控制人的诚信状况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939"/>
        <w:jc w:val="left"/>
        <w:rPr>
          <w:b w:val="0"/>
          <w:bCs w:val="0"/>
        </w:rPr>
      </w:pPr>
      <w:bookmarkStart w:name="十四、公司股权激励计划、员工持股计划或其他员工激励措施的实施情况" w:id="79"/>
      <w:bookmarkEnd w:id="79"/>
      <w:r>
        <w:rPr>
          <w:b w:val="0"/>
          <w:bCs w:val="0"/>
        </w:rPr>
      </w:r>
      <w:r>
        <w:rPr/>
        <w:t>十四、公司股权激励计划、员工持股计划或其他员工激励措施的实施情况</w:t>
      </w:r>
      <w:r>
        <w:rPr>
          <w:b w:val="0"/>
          <w:bCs w:val="0"/>
        </w:rPr>
      </w:r>
    </w:p>
    <w:p>
      <w:pPr>
        <w:spacing w:line="240" w:lineRule="auto" w:before="1"/>
        <w:rPr>
          <w:rFonts w:ascii="宋体" w:hAnsi="宋体" w:cs="宋体" w:eastAsia="宋体" w:hint="default"/>
          <w:b/>
          <w:bCs/>
          <w:sz w:val="26"/>
          <w:szCs w:val="26"/>
        </w:rPr>
      </w:pPr>
    </w:p>
    <w:p>
      <w:pPr>
        <w:pStyle w:val="BodyText"/>
        <w:spacing w:line="326"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日，完成了关于回购注销部分已授予但尚未解锁的限制性股票工作，并于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日在巨潮资讯网发布</w:t>
      </w:r>
      <w:r>
        <w:rPr>
          <w:spacing w:val="-84"/>
        </w:rPr>
        <w:t> </w:t>
      </w:r>
      <w:r>
        <w:rPr/>
        <w:t>了《关于部分限制性股票回购注销完成的公告》，回购注销的股份数量为</w:t>
      </w:r>
      <w:r>
        <w:rPr>
          <w:rFonts w:ascii="Times New Roman" w:hAnsi="Times New Roman" w:cs="Times New Roman" w:eastAsia="Times New Roman" w:hint="default"/>
        </w:rPr>
        <w:t>401,208</w:t>
      </w:r>
      <w:r>
        <w:rPr/>
        <w:t>股，占回购前公司总股本的</w:t>
      </w:r>
      <w:r>
        <w:rPr>
          <w:rFonts w:ascii="Times New Roman" w:hAnsi="Times New Roman" w:cs="Times New Roman" w:eastAsia="Times New Roman" w:hint="default"/>
        </w:rPr>
        <w:t>0.21%</w:t>
      </w:r>
      <w:r>
        <w:rPr/>
        <w:t>。</w:t>
      </w:r>
    </w:p>
    <w:p>
      <w:pPr>
        <w:pStyle w:val="BodyText"/>
        <w:spacing w:line="228" w:lineRule="exact"/>
        <w:ind w:right="93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日，公司召开第三届董事会第十二次会议和第三届监事会第七次会议，审议通过了《关于回购注销</w:t>
      </w:r>
      <w:r>
        <w:rPr>
          <w:rFonts w:ascii="Times New Roman" w:hAnsi="Times New Roman" w:cs="Times New Roman" w:eastAsia="Times New Roman" w:hint="default"/>
        </w:rPr>
        <w:t>2015</w:t>
      </w:r>
      <w:r>
        <w:rPr/>
        <w:t>年限</w:t>
      </w:r>
    </w:p>
    <w:p>
      <w:pPr>
        <w:pStyle w:val="BodyText"/>
        <w:spacing w:line="295" w:lineRule="auto" w:before="66"/>
        <w:ind w:right="1126"/>
        <w:jc w:val="both"/>
      </w:pPr>
      <w:r>
        <w:rPr>
          <w:spacing w:val="-2"/>
        </w:rPr>
        <w:t>制性股票激励计划部分限制性股票的议案》、《关于回购注销</w:t>
      </w:r>
      <w:r>
        <w:rPr>
          <w:rFonts w:ascii="Times New Roman" w:hAnsi="Times New Roman" w:cs="Times New Roman" w:eastAsia="Times New Roman" w:hint="default"/>
          <w:spacing w:val="-2"/>
        </w:rPr>
        <w:t>2016</w:t>
      </w:r>
      <w:r>
        <w:rPr>
          <w:spacing w:val="-2"/>
        </w:rPr>
        <w:t>年限制性股票激励计划部分限制性股票的议案》、和《关</w:t>
      </w:r>
      <w:r>
        <w:rPr>
          <w:spacing w:val="-63"/>
        </w:rPr>
        <w:t> </w:t>
      </w:r>
      <w:r>
        <w:rPr>
          <w:spacing w:val="-63"/>
        </w:rPr>
      </w:r>
      <w:r>
        <w:rPr>
          <w:spacing w:val="-2"/>
        </w:rPr>
        <w:t>于回购注销</w:t>
      </w:r>
      <w:r>
        <w:rPr>
          <w:rFonts w:ascii="Times New Roman" w:hAnsi="Times New Roman" w:cs="Times New Roman" w:eastAsia="Times New Roman" w:hint="default"/>
          <w:spacing w:val="-2"/>
        </w:rPr>
        <w:t>2017</w:t>
      </w:r>
      <w:r>
        <w:rPr>
          <w:spacing w:val="-2"/>
        </w:rPr>
        <w:t>年限制性股票激励计划部分限制性股票的议案》，监事会对不符合激励条件的激励对象名单及回购注销的限</w:t>
      </w:r>
      <w:r>
        <w:rPr>
          <w:spacing w:val="-68"/>
        </w:rPr>
        <w:t> </w:t>
      </w:r>
      <w:r>
        <w:rPr>
          <w:spacing w:val="-68"/>
        </w:rPr>
      </w:r>
      <w:r>
        <w:rPr/>
        <w:t>制性股票数量进行了审核，独立董事对此发表了同意的独立意见。</w:t>
      </w:r>
    </w:p>
    <w:p>
      <w:pPr>
        <w:pStyle w:val="BodyText"/>
        <w:spacing w:line="240" w:lineRule="auto" w:before="53"/>
        <w:ind w:right="93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日，完成了关于回购注销部分已授予但尚未解锁的限制性股票工作，并于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日巨潮资讯网发布了</w:t>
      </w:r>
    </w:p>
    <w:p>
      <w:pPr>
        <w:pStyle w:val="BodyText"/>
        <w:spacing w:line="240" w:lineRule="auto" w:before="51"/>
        <w:ind w:right="939"/>
        <w:jc w:val="left"/>
      </w:pPr>
      <w:r>
        <w:rPr/>
        <w:t>《关于部分限制性股票回购注销完成的公告》，回购注销的股份数量为</w:t>
      </w:r>
      <w:r>
        <w:rPr>
          <w:rFonts w:ascii="Times New Roman" w:hAnsi="Times New Roman" w:cs="Times New Roman" w:eastAsia="Times New Roman" w:hint="default"/>
        </w:rPr>
        <w:t>5,252,601</w:t>
      </w:r>
      <w:r>
        <w:rPr/>
        <w:t>股</w:t>
      </w:r>
      <w:r>
        <w:rPr>
          <w:rFonts w:ascii="Times New Roman" w:hAnsi="Times New Roman" w:cs="Times New Roman" w:eastAsia="Times New Roman" w:hint="default"/>
        </w:rPr>
        <w:t>,</w:t>
      </w:r>
      <w:r>
        <w:rPr/>
        <w:t>占回购前公司总股本的</w:t>
      </w:r>
      <w:r>
        <w:rPr>
          <w:rFonts w:ascii="Times New Roman" w:hAnsi="Times New Roman" w:cs="Times New Roman" w:eastAsia="Times New Roman" w:hint="default"/>
        </w:rPr>
        <w:t>2.70%</w:t>
      </w:r>
      <w:r>
        <w:rPr/>
        <w:t>。</w:t>
      </w:r>
    </w:p>
    <w:p>
      <w:pPr>
        <w:spacing w:line="240" w:lineRule="auto" w:before="13"/>
        <w:rPr>
          <w:rFonts w:ascii="宋体" w:hAnsi="宋体" w:cs="宋体" w:eastAsia="宋体"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5212"/>
        <w:gridCol w:w="1802"/>
        <w:gridCol w:w="2388"/>
      </w:tblGrid>
      <w:tr>
        <w:trPr>
          <w:trHeight w:val="345" w:hRule="exact"/>
        </w:trPr>
        <w:tc>
          <w:tcPr>
            <w:tcW w:w="5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35" w:hRule="exact"/>
        </w:trPr>
        <w:tc>
          <w:tcPr>
            <w:tcW w:w="5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关于部分限制性股票回购注销完成的公告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color w:val="6C6C6C"/>
                <w:sz w:val="18"/>
              </w:rPr>
            </w:r>
            <w:hyperlink r:id="rId10">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421" w:hRule="exact"/>
        </w:trPr>
        <w:tc>
          <w:tcPr>
            <w:tcW w:w="5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第三届董事会第十二次会议决议公告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6C6C6C"/>
                <w:sz w:val="18"/>
              </w:rPr>
            </w:r>
            <w:hyperlink r:id="rId10">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420" w:hRule="exact"/>
        </w:trPr>
        <w:tc>
          <w:tcPr>
            <w:tcW w:w="5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第三届监事会第七次会议决议公告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color w:val="6C6C6C"/>
                <w:sz w:val="18"/>
              </w:rPr>
            </w:r>
            <w:hyperlink r:id="rId10">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436" w:hRule="exact"/>
        </w:trPr>
        <w:tc>
          <w:tcPr>
            <w:tcW w:w="5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独立董事关于第三届董事会第十二次会议有关事项的独立意见</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color w:val="6C6C6C"/>
                <w:sz w:val="18"/>
              </w:rPr>
            </w:r>
            <w:hyperlink r:id="rId10">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420" w:hRule="exact"/>
        </w:trPr>
        <w:tc>
          <w:tcPr>
            <w:tcW w:w="5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关于回购注销部分限制性股票的减资公告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color w:val="6C6C6C"/>
                <w:sz w:val="18"/>
              </w:rPr>
            </w:r>
            <w:hyperlink r:id="rId10">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751" w:hRule="exact"/>
        </w:trPr>
        <w:tc>
          <w:tcPr>
            <w:tcW w:w="52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right="334"/>
              <w:jc w:val="left"/>
              <w:rPr>
                <w:rFonts w:ascii="宋体" w:hAnsi="宋体" w:cs="宋体" w:eastAsia="宋体" w:hint="default"/>
                <w:sz w:val="18"/>
                <w:szCs w:val="18"/>
              </w:rPr>
            </w:pPr>
            <w:r>
              <w:rPr>
                <w:rFonts w:ascii="宋体" w:hAnsi="宋体" w:cs="宋体" w:eastAsia="宋体" w:hint="default"/>
                <w:sz w:val="18"/>
                <w:szCs w:val="18"/>
              </w:rPr>
              <w:t>北京市金杜律师事务所关于公司回购注销部分已授予限制性股 票事项的法律意见书</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color w:val="6C6C6C"/>
                <w:sz w:val="18"/>
              </w:rPr>
            </w:r>
            <w:hyperlink r:id="rId10">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420" w:hRule="exact"/>
        </w:trPr>
        <w:tc>
          <w:tcPr>
            <w:tcW w:w="5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z w:val="18"/>
                <w:szCs w:val="18"/>
              </w:rPr>
              <w:t>关于部分限制性股票回购注销完成的公告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color w:val="6C6C6C"/>
                <w:sz w:val="18"/>
              </w:rPr>
            </w:r>
            <w:hyperlink r:id="rId10">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bl>
    <w:p>
      <w:pPr>
        <w:spacing w:line="240" w:lineRule="auto" w:before="12"/>
        <w:rPr>
          <w:rFonts w:ascii="宋体" w:hAnsi="宋体" w:cs="宋体" w:eastAsia="宋体" w:hint="default"/>
          <w:sz w:val="17"/>
          <w:szCs w:val="17"/>
        </w:rPr>
      </w:pPr>
    </w:p>
    <w:p>
      <w:pPr>
        <w:pStyle w:val="Heading2"/>
        <w:spacing w:line="240" w:lineRule="auto" w:before="26"/>
        <w:ind w:right="939"/>
        <w:jc w:val="left"/>
        <w:rPr>
          <w:b w:val="0"/>
          <w:bCs w:val="0"/>
        </w:rPr>
      </w:pPr>
      <w:bookmarkStart w:name="十五、重大关联交易" w:id="80"/>
      <w:bookmarkEnd w:id="80"/>
      <w:r>
        <w:rPr>
          <w:b w:val="0"/>
          <w:bCs w:val="0"/>
        </w:rPr>
      </w:r>
      <w:r>
        <w:rPr/>
        <w:t>十五、重大关联交易</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公司报告期未发生与日常经营相关的关联交易。</w:t>
      </w:r>
    </w:p>
    <w:p>
      <w:pPr>
        <w:spacing w:line="240" w:lineRule="auto" w:before="3"/>
        <w:rPr>
          <w:rFonts w:ascii="宋体" w:hAnsi="宋体" w:cs="宋体" w:eastAsia="宋体" w:hint="default"/>
          <w:sz w:val="25"/>
          <w:szCs w:val="25"/>
        </w:rPr>
      </w:pPr>
    </w:p>
    <w:p>
      <w:pPr>
        <w:pStyle w:val="Heading3"/>
        <w:spacing w:line="240" w:lineRule="auto"/>
        <w:ind w:right="939"/>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64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公司报告期未发生资产或股权收购、出售的关联交易。</w:t>
      </w:r>
    </w:p>
    <w:p>
      <w:pPr>
        <w:spacing w:after="0" w:line="331"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3"/>
        <w:spacing w:line="240" w:lineRule="auto" w:before="35"/>
        <w:ind w:right="939"/>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公司报告期未发生共同对外投资的关联交易。</w:t>
      </w:r>
    </w:p>
    <w:p>
      <w:pPr>
        <w:spacing w:line="240" w:lineRule="auto" w:before="3"/>
        <w:rPr>
          <w:rFonts w:ascii="宋体" w:hAnsi="宋体" w:cs="宋体" w:eastAsia="宋体" w:hint="default"/>
          <w:sz w:val="25"/>
          <w:szCs w:val="25"/>
        </w:rPr>
      </w:pPr>
    </w:p>
    <w:p>
      <w:pPr>
        <w:pStyle w:val="Heading3"/>
        <w:spacing w:line="240" w:lineRule="auto"/>
        <w:ind w:right="939"/>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公司报告期不存在关联债权债务往来。</w:t>
      </w:r>
    </w:p>
    <w:p>
      <w:pPr>
        <w:spacing w:line="240" w:lineRule="auto" w:before="6"/>
        <w:rPr>
          <w:rFonts w:ascii="宋体" w:hAnsi="宋体" w:cs="宋体" w:eastAsia="宋体" w:hint="default"/>
          <w:sz w:val="23"/>
          <w:szCs w:val="23"/>
        </w:rPr>
      </w:pPr>
    </w:p>
    <w:p>
      <w:pPr>
        <w:pStyle w:val="Heading3"/>
        <w:spacing w:line="240" w:lineRule="auto"/>
        <w:ind w:right="939"/>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公司报告期无其他重大关联交易。</w:t>
      </w:r>
    </w:p>
    <w:p>
      <w:pPr>
        <w:spacing w:line="240" w:lineRule="auto" w:before="10"/>
        <w:rPr>
          <w:rFonts w:ascii="宋体" w:hAnsi="宋体" w:cs="宋体" w:eastAsia="宋体" w:hint="default"/>
          <w:sz w:val="20"/>
          <w:szCs w:val="20"/>
        </w:rPr>
      </w:pPr>
    </w:p>
    <w:p>
      <w:pPr>
        <w:pStyle w:val="Heading2"/>
        <w:spacing w:line="240" w:lineRule="auto"/>
        <w:ind w:right="939"/>
        <w:jc w:val="left"/>
        <w:rPr>
          <w:b w:val="0"/>
          <w:bCs w:val="0"/>
        </w:rPr>
      </w:pPr>
      <w:bookmarkStart w:name="十六、重大合同及其履行情况" w:id="86"/>
      <w:bookmarkEnd w:id="86"/>
      <w:r>
        <w:rPr>
          <w:b w:val="0"/>
          <w:bCs w:val="0"/>
        </w:rPr>
      </w:r>
      <w:r>
        <w:rPr/>
        <w:t>十六、重大合同及其履行情况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9"/>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31"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公司报告期不存在托管情况。</w:t>
      </w:r>
    </w:p>
    <w:p>
      <w:pPr>
        <w:spacing w:line="240" w:lineRule="auto" w:before="6"/>
        <w:rPr>
          <w:rFonts w:ascii="宋体" w:hAnsi="宋体" w:cs="宋体" w:eastAsia="宋体" w:hint="default"/>
          <w:sz w:val="23"/>
          <w:szCs w:val="23"/>
        </w:rPr>
      </w:pPr>
    </w:p>
    <w:p>
      <w:pPr>
        <w:pStyle w:val="Heading3"/>
        <w:spacing w:line="240" w:lineRule="auto"/>
        <w:ind w:right="939"/>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宋体" w:hAnsi="宋体" w:cs="宋体" w:eastAsia="宋体" w:hint="default"/>
          <w:b/>
          <w:bCs/>
          <w:sz w:val="25"/>
          <w:szCs w:val="25"/>
        </w:rPr>
      </w:pPr>
    </w:p>
    <w:p>
      <w:pPr>
        <w:pStyle w:val="BodyText"/>
        <w:spacing w:line="333"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公司报告期不存在承包情况。</w:t>
      </w:r>
    </w:p>
    <w:p>
      <w:pPr>
        <w:spacing w:line="240" w:lineRule="auto" w:before="4"/>
        <w:rPr>
          <w:rFonts w:ascii="宋体" w:hAnsi="宋体" w:cs="宋体" w:eastAsia="宋体" w:hint="default"/>
          <w:sz w:val="23"/>
          <w:szCs w:val="23"/>
        </w:rPr>
      </w:pPr>
    </w:p>
    <w:p>
      <w:pPr>
        <w:pStyle w:val="Heading3"/>
        <w:spacing w:line="240" w:lineRule="auto"/>
        <w:ind w:right="939"/>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宋体" w:hAnsi="宋体" w:cs="宋体" w:eastAsia="宋体" w:hint="default"/>
          <w:b/>
          <w:bCs/>
          <w:sz w:val="25"/>
          <w:szCs w:val="25"/>
        </w:rPr>
      </w:pPr>
    </w:p>
    <w:p>
      <w:pPr>
        <w:pStyle w:val="BodyText"/>
        <w:spacing w:line="333"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公司报告期不存在租赁情况。</w:t>
      </w:r>
    </w:p>
    <w:p>
      <w:pPr>
        <w:spacing w:line="240" w:lineRule="auto" w:before="4"/>
        <w:rPr>
          <w:rFonts w:ascii="宋体" w:hAnsi="宋体" w:cs="宋体" w:eastAsia="宋体" w:hint="default"/>
          <w:sz w:val="23"/>
          <w:szCs w:val="23"/>
        </w:rPr>
      </w:pPr>
    </w:p>
    <w:p>
      <w:pPr>
        <w:pStyle w:val="Heading3"/>
        <w:spacing w:line="240" w:lineRule="auto"/>
        <w:ind w:right="939"/>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7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公司报告期不存在担保情况。</w:t>
      </w:r>
    </w:p>
    <w:p>
      <w:pPr>
        <w:spacing w:line="240" w:lineRule="auto" w:before="5"/>
        <w:rPr>
          <w:rFonts w:ascii="宋体" w:hAnsi="宋体" w:cs="宋体" w:eastAsia="宋体" w:hint="default"/>
          <w:sz w:val="25"/>
          <w:szCs w:val="25"/>
        </w:rPr>
      </w:pPr>
    </w:p>
    <w:p>
      <w:pPr>
        <w:pStyle w:val="Heading3"/>
        <w:spacing w:line="240" w:lineRule="auto"/>
        <w:ind w:right="939"/>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939"/>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240" w:lineRule="auto" w:before="44"/>
        <w:ind w:right="939"/>
        <w:jc w:val="left"/>
      </w:pPr>
      <w:r>
        <w:rPr/>
        <w:t>公司报告期不存在委托理财。</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公司报告期不存在委托贷款。</w:t>
      </w:r>
    </w:p>
    <w:p>
      <w:pPr>
        <w:spacing w:line="240" w:lineRule="auto" w:before="3"/>
        <w:rPr>
          <w:rFonts w:ascii="宋体" w:hAnsi="宋体" w:cs="宋体" w:eastAsia="宋体" w:hint="default"/>
          <w:sz w:val="25"/>
          <w:szCs w:val="25"/>
        </w:rPr>
      </w:pPr>
    </w:p>
    <w:p>
      <w:pPr>
        <w:pStyle w:val="Heading3"/>
        <w:spacing w:line="240" w:lineRule="auto"/>
        <w:ind w:right="939"/>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公司报告期不存在其他重大合同。</w:t>
      </w:r>
    </w:p>
    <w:p>
      <w:pPr>
        <w:spacing w:line="240" w:lineRule="auto" w:before="10"/>
        <w:rPr>
          <w:rFonts w:ascii="宋体" w:hAnsi="宋体" w:cs="宋体" w:eastAsia="宋体" w:hint="default"/>
          <w:sz w:val="22"/>
          <w:szCs w:val="22"/>
        </w:rPr>
      </w:pPr>
    </w:p>
    <w:p>
      <w:pPr>
        <w:pStyle w:val="Heading2"/>
        <w:spacing w:line="240" w:lineRule="auto"/>
        <w:ind w:right="939"/>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9"/>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25"/>
          <w:szCs w:val="25"/>
        </w:rPr>
      </w:pPr>
    </w:p>
    <w:p>
      <w:pPr>
        <w:pStyle w:val="BodyText"/>
        <w:spacing w:line="309" w:lineRule="auto"/>
        <w:ind w:right="1129" w:firstLine="360"/>
        <w:jc w:val="both"/>
      </w:pPr>
      <w:r>
        <w:rPr>
          <w:spacing w:val="-2"/>
        </w:rPr>
        <w:t>公司严格按《公司法》、《深圳证券交易所创业板股票上市规则》、《上市公司信息披露管理办法》等相关法律法规规</w:t>
      </w:r>
      <w:r>
        <w:rPr/>
        <w:t> </w:t>
      </w:r>
      <w:r>
        <w:rPr>
          <w:spacing w:val="-2"/>
        </w:rPr>
        <w:t>范要求，及时、准确、真实、完整的原则进行信息披露工作；通过实地调研、电话、电子邮箱、公司网站和投资者关系互动</w:t>
      </w:r>
      <w:r>
        <w:rPr>
          <w:spacing w:val="-75"/>
        </w:rPr>
        <w:t> </w:t>
      </w:r>
      <w:r>
        <w:rPr>
          <w:spacing w:val="-75"/>
        </w:rPr>
      </w:r>
      <w:r>
        <w:rPr/>
        <w:t>平台等多种方式与投资者进行沟通交流，提高了公司的透明度和诚信度</w:t>
      </w:r>
      <w:r>
        <w:rPr>
          <w:rFonts w:ascii="Times New Roman" w:hAnsi="Times New Roman" w:cs="Times New Roman" w:eastAsia="Times New Roman" w:hint="default"/>
        </w:rPr>
        <w:t>;</w:t>
      </w:r>
      <w:r>
        <w:rPr/>
        <w:t>公司十分重视对投资者的合理回报，上市后严格按</w:t>
      </w:r>
      <w:r>
        <w:rPr>
          <w:spacing w:val="-47"/>
        </w:rPr>
        <w:t> </w:t>
      </w:r>
      <w:r>
        <w:rPr>
          <w:spacing w:val="-47"/>
        </w:rPr>
      </w:r>
      <w:r>
        <w:rPr/>
        <w:t>照相关承诺及《公司章程》等相关法律法规的要求实施利润分配，每年均以派发现金股利的方式回馈股东。</w:t>
      </w:r>
    </w:p>
    <w:p>
      <w:pPr>
        <w:pStyle w:val="BodyText"/>
        <w:spacing w:line="321" w:lineRule="auto" w:before="72"/>
        <w:ind w:right="1136" w:firstLine="360"/>
        <w:jc w:val="both"/>
      </w:pPr>
      <w:r>
        <w:rPr>
          <w:spacing w:val="-2"/>
        </w:rPr>
        <w:t>公司始终将依法经营作为公司运行的基本原则，注重企业经济效益与社会效益的共同发展。公司严格遵守国家法律、法</w:t>
      </w:r>
      <w:r>
        <w:rPr/>
        <w:t> 规、政策的规定，始终依法经营，积极纳税，支持国家与地方的经济发展。</w:t>
      </w:r>
    </w:p>
    <w:p>
      <w:pPr>
        <w:spacing w:line="240" w:lineRule="auto" w:before="13"/>
        <w:rPr>
          <w:rFonts w:ascii="宋体" w:hAnsi="宋体" w:cs="宋体" w:eastAsia="宋体" w:hint="default"/>
          <w:sz w:val="23"/>
          <w:szCs w:val="23"/>
        </w:rPr>
      </w:pPr>
    </w:p>
    <w:p>
      <w:pPr>
        <w:pStyle w:val="Heading3"/>
        <w:spacing w:line="240" w:lineRule="auto"/>
        <w:ind w:right="939"/>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939"/>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54"/>
        <w:ind w:right="939"/>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4"/>
          <w:szCs w:val="24"/>
        </w:rPr>
      </w:pPr>
    </w:p>
    <w:p>
      <w:pPr>
        <w:pStyle w:val="BodyText"/>
        <w:spacing w:line="350" w:lineRule="auto"/>
        <w:ind w:right="5709"/>
        <w:jc w:val="left"/>
      </w:pPr>
      <w:r>
        <w:rPr/>
        <w:t>上市公司及其子公司是否属于环境保护部门公布的重点排污单位 不适用</w:t>
      </w:r>
    </w:p>
    <w:p>
      <w:pPr>
        <w:spacing w:line="240" w:lineRule="auto" w:before="11"/>
        <w:rPr>
          <w:rFonts w:ascii="宋体" w:hAnsi="宋体" w:cs="宋体" w:eastAsia="宋体" w:hint="default"/>
          <w:sz w:val="20"/>
          <w:szCs w:val="20"/>
        </w:rPr>
      </w:pPr>
    </w:p>
    <w:p>
      <w:pPr>
        <w:pStyle w:val="Heading2"/>
        <w:spacing w:line="240" w:lineRule="auto"/>
        <w:ind w:right="939"/>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1"/>
        <w:rPr>
          <w:rFonts w:ascii="宋体" w:hAnsi="宋体" w:cs="宋体" w:eastAsia="宋体" w:hint="default"/>
          <w:b/>
          <w:bCs/>
          <w:sz w:val="26"/>
          <w:szCs w:val="26"/>
        </w:rPr>
      </w:pPr>
    </w:p>
    <w:p>
      <w:pPr>
        <w:pStyle w:val="BodyText"/>
        <w:spacing w:line="331" w:lineRule="auto"/>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公司报告期不存在需要说明的其他重大事项。</w:t>
      </w:r>
    </w:p>
    <w:p>
      <w:pPr>
        <w:spacing w:line="240" w:lineRule="auto" w:before="10"/>
        <w:rPr>
          <w:rFonts w:ascii="宋体" w:hAnsi="宋体" w:cs="宋体" w:eastAsia="宋体" w:hint="default"/>
          <w:sz w:val="20"/>
          <w:szCs w:val="20"/>
        </w:rPr>
      </w:pPr>
    </w:p>
    <w:p>
      <w:pPr>
        <w:pStyle w:val="Heading2"/>
        <w:spacing w:line="240" w:lineRule="auto"/>
        <w:ind w:right="939"/>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1"/>
        <w:rPr>
          <w:rFonts w:ascii="宋体" w:hAnsi="宋体" w:cs="宋体" w:eastAsia="宋体" w:hint="default"/>
          <w:b/>
          <w:bCs/>
          <w:sz w:val="26"/>
          <w:szCs w:val="26"/>
        </w:rPr>
      </w:pPr>
    </w:p>
    <w:p>
      <w:pPr>
        <w:pStyle w:val="BodyText"/>
        <w:spacing w:line="333" w:lineRule="auto"/>
        <w:ind w:left="501" w:right="1209" w:hanging="361"/>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本公司报告期新增一家全资孙公司“四方精创（泰国）有限公司”，是由四方精创信息</w:t>
      </w:r>
      <w:r>
        <w:rPr>
          <w:rFonts w:ascii="宋体" w:hAnsi="宋体" w:cs="宋体" w:eastAsia="宋体" w:hint="default"/>
        </w:rPr>
        <w:t>(</w:t>
      </w:r>
      <w:r>
        <w:rPr/>
        <w:t>香港</w:t>
      </w:r>
      <w:r>
        <w:rPr>
          <w:rFonts w:ascii="宋体" w:hAnsi="宋体" w:cs="宋体" w:eastAsia="宋体" w:hint="default"/>
        </w:rPr>
        <w:t>)</w:t>
      </w:r>
      <w:r>
        <w:rPr/>
        <w:t>有限公司于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6</w:t>
      </w:r>
    </w:p>
    <w:p>
      <w:pPr>
        <w:pStyle w:val="BodyText"/>
        <w:spacing w:line="230" w:lineRule="exact"/>
        <w:ind w:right="939"/>
        <w:jc w:val="left"/>
      </w:pPr>
      <w:r>
        <w:rPr/>
        <w:t>日设立，伴随着国家“一带一路”的发展战略，公司有能力拓展东南亚市场等国际市场，布局未来业务发展。</w:t>
      </w:r>
    </w:p>
    <w:p>
      <w:pPr>
        <w:spacing w:after="0" w:line="230" w:lineRule="exact"/>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950" w:right="939"/>
        <w:jc w:val="left"/>
        <w:rPr>
          <w:b w:val="0"/>
          <w:bCs w:val="0"/>
        </w:rPr>
      </w:pPr>
      <w:bookmarkStart w:name="第六节 股份变动及股东情况" w:id="102"/>
      <w:bookmarkEnd w:id="102"/>
      <w:r>
        <w:rPr>
          <w:b w:val="0"/>
          <w:bCs w:val="0"/>
        </w:rPr>
      </w:r>
      <w:bookmarkStart w:name="_bookmark5" w:id="103"/>
      <w:bookmarkEnd w:id="103"/>
      <w:r>
        <w:rPr>
          <w:b w:val="0"/>
          <w:bCs w:val="0"/>
        </w:rPr>
      </w:r>
      <w:r>
        <w:rPr>
          <w:spacing w:val="4"/>
        </w:rPr>
        <w:t>第六节</w:t>
      </w:r>
      <w:r>
        <w:rPr>
          <w:spacing w:val="73"/>
        </w:rPr>
        <w:t> </w:t>
      </w:r>
      <w:r>
        <w:rPr>
          <w:spacing w:val="5"/>
        </w:rPr>
        <w:t>股份变动及股东情况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939"/>
        <w:jc w:val="left"/>
        <w:rPr>
          <w:b w:val="0"/>
          <w:bCs w:val="0"/>
        </w:rPr>
      </w:pPr>
      <w:bookmarkStart w:name="一、股份变动情况" w:id="104"/>
      <w:bookmarkEnd w:id="104"/>
      <w:r>
        <w:rPr>
          <w:b w:val="0"/>
          <w:bCs w:val="0"/>
        </w:rPr>
      </w:r>
      <w:r>
        <w:rPr/>
        <w:t>一、股份变动情况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939"/>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222"/>
        <w:gridCol w:w="819"/>
        <w:gridCol w:w="826"/>
        <w:gridCol w:w="826"/>
        <w:gridCol w:w="826"/>
        <w:gridCol w:w="826"/>
        <w:gridCol w:w="811"/>
        <w:gridCol w:w="826"/>
        <w:gridCol w:w="796"/>
        <w:gridCol w:w="796"/>
      </w:tblGrid>
      <w:tr>
        <w:trPr>
          <w:trHeight w:val="405"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9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222" w:type="dxa"/>
            <w:vMerge/>
            <w:tcBorders>
              <w:left w:val="single" w:sz="6" w:space="0" w:color="000000"/>
              <w:bottom w:val="nil" w:sz="6" w:space="0" w:color="auto"/>
              <w:right w:val="single" w:sz="6" w:space="0" w:color="000000"/>
            </w:tcBorders>
            <w:shd w:val="clear" w:color="auto" w:fill="D2D2D2"/>
          </w:tcPr>
          <w:p>
            <w:pPr/>
          </w:p>
        </w:tc>
        <w:tc>
          <w:tcPr>
            <w:tcW w:w="8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6" w:space="0" w:color="000000"/>
              <w:right w:val="single" w:sz="6" w:space="0" w:color="000000"/>
            </w:tcBorders>
            <w:shd w:val="clear" w:color="auto" w:fill="D2D2D2"/>
          </w:tcPr>
          <w:p>
            <w:pPr/>
          </w:p>
        </w:tc>
        <w:tc>
          <w:tcPr>
            <w:tcW w:w="81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2222" w:type="dxa"/>
            <w:vMerge/>
            <w:tcBorders>
              <w:left w:val="single" w:sz="6" w:space="0" w:color="000000"/>
              <w:bottom w:val="single" w:sz="6" w:space="0" w:color="000000"/>
              <w:right w:val="single" w:sz="6" w:space="0" w:color="000000"/>
            </w:tcBorders>
            <w:shd w:val="clear" w:color="auto" w:fill="D2D2D2"/>
          </w:tcPr>
          <w:p>
            <w:pPr/>
          </w:p>
        </w:tc>
        <w:tc>
          <w:tcPr>
            <w:tcW w:w="819"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8,380,049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4.31%</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-5,694,87</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-5,694,87</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2,685,177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1.42%</w:t>
            </w:r>
          </w:p>
        </w:tc>
      </w:tr>
      <w:tr>
        <w:trPr>
          <w:trHeight w:val="406"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19" w:type="dxa"/>
            <w:tcBorders>
              <w:top w:val="single" w:sz="6" w:space="0" w:color="000000"/>
              <w:left w:val="single" w:sz="12" w:space="0" w:color="D2D2D2"/>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19" w:type="dxa"/>
            <w:tcBorders>
              <w:top w:val="single" w:sz="6" w:space="0" w:color="000000"/>
              <w:left w:val="single" w:sz="12" w:space="0" w:color="D2D2D2"/>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5,975,021</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3.07%</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-3,903,71</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-3,903,71</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2,071,306</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1.10%</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19" w:type="dxa"/>
            <w:tcBorders>
              <w:top w:val="single" w:sz="6" w:space="0" w:color="000000"/>
              <w:left w:val="single" w:sz="12" w:space="0" w:color="D2D2D2"/>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5,975,021</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3.07%</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-3,903,71</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-3,903,71</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2,071,306</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1.10%</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3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2,405,028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1.24%</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-1,791,15</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-1,791,15</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613,871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0.33%</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19" w:type="dxa"/>
            <w:tcBorders>
              <w:top w:val="single" w:sz="6" w:space="0" w:color="000000"/>
              <w:left w:val="single" w:sz="12" w:space="0" w:color="D2D2D2"/>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2,405,028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1.24%</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-1,791,15</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-1,791,15</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613,871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0.33%</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3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186,242,0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21</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95.69%</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41,063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41,063</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186,283,0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98.58%</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186,242,0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95.69%</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41,063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41,063</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186,283,0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98.58%</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19" w:type="dxa"/>
            <w:tcBorders>
              <w:top w:val="single" w:sz="6" w:space="0" w:color="000000"/>
              <w:left w:val="single" w:sz="12" w:space="0" w:color="D2D2D2"/>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19" w:type="dxa"/>
            <w:tcBorders>
              <w:top w:val="single" w:sz="6" w:space="0" w:color="000000"/>
              <w:left w:val="single" w:sz="12" w:space="0" w:color="D2D2D2"/>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19" w:type="dxa"/>
            <w:tcBorders>
              <w:top w:val="single" w:sz="6" w:space="0" w:color="000000"/>
              <w:left w:val="single" w:sz="12" w:space="0" w:color="D2D2D2"/>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194,622,0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-5,653,80</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-5,653,80</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188,968,2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pStyle w:val="BodyText"/>
        <w:spacing w:line="240" w:lineRule="auto" w:before="45"/>
        <w:ind w:right="939"/>
        <w:jc w:val="left"/>
      </w:pPr>
      <w:r>
        <w:rPr/>
        <w:t>股份变动的原因</w:t>
      </w:r>
    </w:p>
    <w:p>
      <w:pPr>
        <w:pStyle w:val="BodyText"/>
        <w:spacing w:line="240" w:lineRule="auto" w:before="140"/>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939"/>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日完成了关于回购注销部分已授予但尚未解锁的限制性股票工作，回购注销的股份数量为</w:t>
      </w:r>
      <w:r>
        <w:rPr>
          <w:rFonts w:ascii="Times New Roman" w:hAnsi="Times New Roman" w:cs="Times New Roman" w:eastAsia="Times New Roman" w:hint="default"/>
        </w:rPr>
        <w:t>401,208</w:t>
      </w:r>
      <w:r>
        <w:rPr/>
        <w:t>股，</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pStyle w:val="BodyText"/>
        <w:spacing w:line="312" w:lineRule="auto" w:before="44"/>
        <w:ind w:right="939"/>
        <w:jc w:val="left"/>
      </w:pPr>
      <w:r>
        <w:rPr/>
        <w:t>占回购前公司总股本的</w:t>
      </w:r>
      <w:r>
        <w:rPr>
          <w:rFonts w:ascii="Times New Roman" w:hAnsi="Times New Roman" w:cs="Times New Roman" w:eastAsia="Times New Roman" w:hint="default"/>
        </w:rPr>
        <w:t>0.21%</w:t>
      </w:r>
      <w:r>
        <w:rPr/>
        <w:t>，其中：</w:t>
      </w:r>
      <w:r>
        <w:rPr>
          <w:rFonts w:ascii="Times New Roman" w:hAnsi="Times New Roman" w:cs="Times New Roman" w:eastAsia="Times New Roman" w:hint="default"/>
        </w:rPr>
        <w:t>2015</w:t>
      </w:r>
      <w:r>
        <w:rPr/>
        <w:t>年限制性股票激励计划回购注销数量</w:t>
      </w:r>
      <w:r>
        <w:rPr>
          <w:rFonts w:ascii="Times New Roman" w:hAnsi="Times New Roman" w:cs="Times New Roman" w:eastAsia="Times New Roman" w:hint="default"/>
        </w:rPr>
        <w:t>50,846</w:t>
      </w:r>
      <w:r>
        <w:rPr/>
        <w:t>股，回购价格为人民币</w:t>
      </w:r>
      <w:r>
        <w:rPr>
          <w:rFonts w:ascii="Times New Roman" w:hAnsi="Times New Roman" w:cs="Times New Roman" w:eastAsia="Times New Roman" w:hint="default"/>
        </w:rPr>
        <w:t>14.2126</w:t>
      </w:r>
      <w:r>
        <w:rPr/>
        <w:t>元</w:t>
      </w:r>
      <w:r>
        <w:rPr>
          <w:rFonts w:ascii="Times New Roman" w:hAnsi="Times New Roman" w:cs="Times New Roman" w:eastAsia="Times New Roman" w:hint="default"/>
        </w:rPr>
        <w:t>/</w:t>
      </w:r>
      <w:r>
        <w:rPr/>
        <w:t>股；</w:t>
      </w:r>
      <w:r>
        <w:rPr>
          <w:spacing w:val="-57"/>
        </w:rPr>
        <w:t> </w:t>
      </w:r>
      <w:r>
        <w:rPr>
          <w:rFonts w:ascii="Times New Roman" w:hAnsi="Times New Roman" w:cs="Times New Roman" w:eastAsia="Times New Roman" w:hint="default"/>
        </w:rPr>
        <w:t>2016</w:t>
      </w:r>
      <w:r>
        <w:rPr/>
        <w:t>年限制性股票激励计划回购注销数量</w:t>
      </w:r>
      <w:r>
        <w:rPr>
          <w:rFonts w:ascii="Times New Roman" w:hAnsi="Times New Roman" w:cs="Times New Roman" w:eastAsia="Times New Roman" w:hint="default"/>
        </w:rPr>
        <w:t>179,854</w:t>
      </w:r>
      <w:r>
        <w:rPr/>
        <w:t>股，回购价格为人民币</w:t>
      </w:r>
      <w:r>
        <w:rPr>
          <w:rFonts w:ascii="Times New Roman" w:hAnsi="Times New Roman" w:cs="Times New Roman" w:eastAsia="Times New Roman" w:hint="default"/>
        </w:rPr>
        <w:t>16.0510</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2017</w:t>
      </w:r>
      <w:r>
        <w:rPr/>
        <w:t>年限制性股票激励计划回购注销 </w:t>
      </w:r>
      <w:r>
        <w:rPr>
          <w:spacing w:val="-3"/>
        </w:rPr>
        <w:t>数量</w:t>
      </w:r>
      <w:r>
        <w:rPr>
          <w:rFonts w:ascii="Times New Roman" w:hAnsi="Times New Roman" w:cs="Times New Roman" w:eastAsia="Times New Roman" w:hint="default"/>
          <w:spacing w:val="-3"/>
        </w:rPr>
        <w:t>170,508</w:t>
      </w:r>
      <w:r>
        <w:rPr>
          <w:spacing w:val="-3"/>
        </w:rPr>
        <w:t>股，回购价格为人民币</w:t>
      </w:r>
      <w:r>
        <w:rPr>
          <w:rFonts w:ascii="Times New Roman" w:hAnsi="Times New Roman" w:cs="Times New Roman" w:eastAsia="Times New Roman" w:hint="default"/>
          <w:spacing w:val="-3"/>
        </w:rPr>
        <w:t>11.8077</w:t>
      </w:r>
      <w:r>
        <w:rPr>
          <w:spacing w:val="-3"/>
        </w:rPr>
        <w:t>元</w:t>
      </w:r>
      <w:r>
        <w:rPr>
          <w:rFonts w:ascii="Times New Roman" w:hAnsi="Times New Roman" w:cs="Times New Roman" w:eastAsia="Times New Roman" w:hint="default"/>
          <w:spacing w:val="-3"/>
        </w:rPr>
        <w:t>/</w:t>
      </w:r>
      <w:r>
        <w:rPr>
          <w:spacing w:val="-3"/>
        </w:rPr>
        <w:t>股，本次回购注销完成后，公司股份总数由</w:t>
      </w:r>
      <w:r>
        <w:rPr>
          <w:rFonts w:ascii="Times New Roman" w:hAnsi="Times New Roman" w:cs="Times New Roman" w:eastAsia="Times New Roman" w:hint="default"/>
          <w:spacing w:val="-3"/>
        </w:rPr>
        <w:t>194,622,070</w:t>
      </w:r>
      <w:r>
        <w:rPr>
          <w:spacing w:val="-3"/>
        </w:rPr>
        <w:t>股变更为</w:t>
      </w:r>
      <w:r>
        <w:rPr>
          <w:rFonts w:ascii="Times New Roman" w:hAnsi="Times New Roman" w:cs="Times New Roman" w:eastAsia="Times New Roman" w:hint="default"/>
          <w:spacing w:val="-3"/>
        </w:rPr>
        <w:t>194,220,862</w:t>
      </w:r>
      <w:r>
        <w:rPr>
          <w:spacing w:val="-3"/>
        </w:rPr>
        <w:t>股。</w:t>
      </w:r>
      <w:r>
        <w:rPr/>
        <w:t> </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日，公司召开第三届董事会第十二次会议和第三届监事会第七次会议，审议通过了《关于回购注销</w:t>
      </w:r>
      <w:r>
        <w:rPr>
          <w:rFonts w:ascii="Times New Roman" w:hAnsi="Times New Roman" w:cs="Times New Roman" w:eastAsia="Times New Roman" w:hint="default"/>
          <w:spacing w:val="-1"/>
        </w:rPr>
        <w:t>2015</w:t>
      </w:r>
      <w:r>
        <w:rPr>
          <w:spacing w:val="-1"/>
        </w:rPr>
        <w:t>年限</w:t>
      </w:r>
      <w:r>
        <w:rPr>
          <w:spacing w:val="-82"/>
        </w:rPr>
        <w:t> </w:t>
      </w:r>
      <w:r>
        <w:rPr>
          <w:spacing w:val="-2"/>
        </w:rPr>
        <w:t>制性股票激励计划部分限制性股票的议案》、《关于回购注销</w:t>
      </w:r>
      <w:r>
        <w:rPr>
          <w:rFonts w:ascii="Times New Roman" w:hAnsi="Times New Roman" w:cs="Times New Roman" w:eastAsia="Times New Roman" w:hint="default"/>
          <w:spacing w:val="-2"/>
        </w:rPr>
        <w:t>2016</w:t>
      </w:r>
      <w:r>
        <w:rPr>
          <w:spacing w:val="-2"/>
        </w:rPr>
        <w:t>年限制性股票激励计划部分限制性股票的议案》、和《关</w:t>
      </w:r>
    </w:p>
    <w:p>
      <w:pPr>
        <w:pStyle w:val="BodyText"/>
        <w:spacing w:line="307" w:lineRule="auto" w:before="6"/>
        <w:ind w:right="1119"/>
        <w:jc w:val="left"/>
      </w:pPr>
      <w:r>
        <w:rPr>
          <w:spacing w:val="-2"/>
        </w:rPr>
        <w:t>于回购注销</w:t>
      </w:r>
      <w:r>
        <w:rPr>
          <w:rFonts w:ascii="Times New Roman" w:hAnsi="Times New Roman" w:cs="Times New Roman" w:eastAsia="Times New Roman" w:hint="default"/>
          <w:spacing w:val="-2"/>
        </w:rPr>
        <w:t>2017</w:t>
      </w:r>
      <w:r>
        <w:rPr>
          <w:spacing w:val="-2"/>
        </w:rPr>
        <w:t>年限制性股票激励计划部分限制性股票的议案》，监事会对不符合激励条件的激励对象名单及回购注销的限</w:t>
      </w:r>
      <w:r>
        <w:rPr>
          <w:spacing w:val="-68"/>
        </w:rPr>
        <w:t> </w:t>
      </w:r>
      <w:r>
        <w:rPr>
          <w:spacing w:val="-68"/>
        </w:rPr>
      </w:r>
      <w:r>
        <w:rPr/>
        <w:t>制性股票数量进行了审核，独立董事对此发表了同意的独立意见。并于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日完成了关于回购注销部分已授予但尚</w:t>
      </w:r>
      <w:r>
        <w:rPr>
          <w:spacing w:val="-84"/>
        </w:rPr>
        <w:t> </w:t>
      </w:r>
      <w:r>
        <w:rPr/>
        <w:t>未解锁的限制性股票工作，回购注销的股份数量为</w:t>
      </w:r>
      <w:r>
        <w:rPr>
          <w:rFonts w:ascii="Times New Roman" w:hAnsi="Times New Roman" w:cs="Times New Roman" w:eastAsia="Times New Roman" w:hint="default"/>
        </w:rPr>
        <w:t>5,252,601</w:t>
      </w:r>
      <w:r>
        <w:rPr/>
        <w:t>股，公司总股本变更为由</w:t>
      </w:r>
      <w:r>
        <w:rPr>
          <w:rFonts w:ascii="Times New Roman" w:hAnsi="Times New Roman" w:cs="Times New Roman" w:eastAsia="Times New Roman" w:hint="default"/>
        </w:rPr>
        <w:t>194,220,862</w:t>
      </w:r>
      <w:r>
        <w:rPr/>
        <w:t>变更为</w:t>
      </w:r>
      <w:r>
        <w:rPr>
          <w:rFonts w:ascii="Times New Roman" w:hAnsi="Times New Roman" w:cs="Times New Roman" w:eastAsia="Times New Roman" w:hint="default"/>
        </w:rPr>
        <w:t>188,968,261</w:t>
      </w:r>
      <w:r>
        <w:rPr/>
        <w:t>股。</w:t>
      </w:r>
      <w:r>
        <w:rPr>
          <w:spacing w:val="-81"/>
        </w:rPr>
        <w:t> </w:t>
      </w:r>
      <w:r>
        <w:rPr/>
        <w:t>股份变动的批准情况</w:t>
      </w:r>
    </w:p>
    <w:p>
      <w:pPr>
        <w:pStyle w:val="BodyText"/>
        <w:spacing w:line="240" w:lineRule="auto" w:before="74"/>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97" w:lineRule="auto" w:before="111"/>
        <w:ind w:right="939"/>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日完成了关于回购注销部分已授予但尚未解锁的限制性股票工作，回购注销的股份数量为</w:t>
      </w:r>
      <w:r>
        <w:rPr>
          <w:rFonts w:ascii="Times New Roman" w:hAnsi="Times New Roman" w:cs="Times New Roman" w:eastAsia="Times New Roman" w:hint="default"/>
        </w:rPr>
        <w:t>401,208</w:t>
      </w:r>
      <w:r>
        <w:rPr/>
        <w:t>股，</w:t>
      </w:r>
      <w:r>
        <w:rPr>
          <w:spacing w:val="-40"/>
        </w:rPr>
        <w:t> </w:t>
      </w:r>
      <w:r>
        <w:rPr/>
        <w:t>占回购前公司总股本的</w:t>
      </w:r>
      <w:r>
        <w:rPr>
          <w:rFonts w:ascii="Times New Roman" w:hAnsi="Times New Roman" w:cs="Times New Roman" w:eastAsia="Times New Roman" w:hint="default"/>
        </w:rPr>
        <w:t>0.21%</w:t>
      </w:r>
      <w:r>
        <w:rPr/>
        <w:t>，其中：</w:t>
      </w:r>
      <w:r>
        <w:rPr>
          <w:rFonts w:ascii="Times New Roman" w:hAnsi="Times New Roman" w:cs="Times New Roman" w:eastAsia="Times New Roman" w:hint="default"/>
        </w:rPr>
        <w:t>2015</w:t>
      </w:r>
      <w:r>
        <w:rPr/>
        <w:t>年限制性股票激励计划回购注销数量</w:t>
      </w:r>
      <w:r>
        <w:rPr>
          <w:rFonts w:ascii="Times New Roman" w:hAnsi="Times New Roman" w:cs="Times New Roman" w:eastAsia="Times New Roman" w:hint="default"/>
        </w:rPr>
        <w:t>50,846</w:t>
      </w:r>
      <w:r>
        <w:rPr/>
        <w:t>股，回购价格为人民币</w:t>
      </w:r>
      <w:r>
        <w:rPr>
          <w:rFonts w:ascii="Times New Roman" w:hAnsi="Times New Roman" w:cs="Times New Roman" w:eastAsia="Times New Roman" w:hint="default"/>
        </w:rPr>
        <w:t>14.2126</w:t>
      </w:r>
      <w:r>
        <w:rPr/>
        <w:t>元</w:t>
      </w:r>
      <w:r>
        <w:rPr>
          <w:rFonts w:ascii="Times New Roman" w:hAnsi="Times New Roman" w:cs="Times New Roman" w:eastAsia="Times New Roman" w:hint="default"/>
        </w:rPr>
        <w:t>/</w:t>
      </w:r>
      <w:r>
        <w:rPr/>
        <w:t>股；</w:t>
      </w:r>
      <w:r>
        <w:rPr>
          <w:spacing w:val="-57"/>
        </w:rPr>
        <w:t> </w:t>
      </w:r>
      <w:r>
        <w:rPr>
          <w:rFonts w:ascii="Times New Roman" w:hAnsi="Times New Roman" w:cs="Times New Roman" w:eastAsia="Times New Roman" w:hint="default"/>
        </w:rPr>
        <w:t>2016</w:t>
      </w:r>
      <w:r>
        <w:rPr/>
        <w:t>年限制性股票激励计划回购注销数量</w:t>
      </w:r>
      <w:r>
        <w:rPr>
          <w:rFonts w:ascii="Times New Roman" w:hAnsi="Times New Roman" w:cs="Times New Roman" w:eastAsia="Times New Roman" w:hint="default"/>
        </w:rPr>
        <w:t>179,854</w:t>
      </w:r>
      <w:r>
        <w:rPr/>
        <w:t>股，回购价格为人民币</w:t>
      </w:r>
      <w:r>
        <w:rPr>
          <w:rFonts w:ascii="Times New Roman" w:hAnsi="Times New Roman" w:cs="Times New Roman" w:eastAsia="Times New Roman" w:hint="default"/>
        </w:rPr>
        <w:t>16.0510</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2017</w:t>
      </w:r>
      <w:r>
        <w:rPr/>
        <w:t>年限制性股票激励计划回购注销 </w:t>
      </w:r>
      <w:r>
        <w:rPr>
          <w:spacing w:val="-3"/>
        </w:rPr>
        <w:t>数量</w:t>
      </w:r>
      <w:r>
        <w:rPr>
          <w:rFonts w:ascii="Times New Roman" w:hAnsi="Times New Roman" w:cs="Times New Roman" w:eastAsia="Times New Roman" w:hint="default"/>
          <w:spacing w:val="-3"/>
        </w:rPr>
        <w:t>170,508</w:t>
      </w:r>
      <w:r>
        <w:rPr>
          <w:spacing w:val="-3"/>
        </w:rPr>
        <w:t>股，回购价格为人民币</w:t>
      </w:r>
      <w:r>
        <w:rPr>
          <w:rFonts w:ascii="Times New Roman" w:hAnsi="Times New Roman" w:cs="Times New Roman" w:eastAsia="Times New Roman" w:hint="default"/>
          <w:spacing w:val="-3"/>
        </w:rPr>
        <w:t>11.8077</w:t>
      </w:r>
      <w:r>
        <w:rPr>
          <w:spacing w:val="-3"/>
        </w:rPr>
        <w:t>元</w:t>
      </w:r>
      <w:r>
        <w:rPr>
          <w:rFonts w:ascii="Times New Roman" w:hAnsi="Times New Roman" w:cs="Times New Roman" w:eastAsia="Times New Roman" w:hint="default"/>
          <w:spacing w:val="-3"/>
        </w:rPr>
        <w:t>/</w:t>
      </w:r>
      <w:r>
        <w:rPr>
          <w:spacing w:val="-3"/>
        </w:rPr>
        <w:t>股，本次回购注销完成后，公司股份总数由</w:t>
      </w:r>
      <w:r>
        <w:rPr>
          <w:rFonts w:ascii="Times New Roman" w:hAnsi="Times New Roman" w:cs="Times New Roman" w:eastAsia="Times New Roman" w:hint="default"/>
          <w:spacing w:val="-3"/>
        </w:rPr>
        <w:t>194,622,070</w:t>
      </w:r>
      <w:r>
        <w:rPr>
          <w:spacing w:val="-3"/>
        </w:rPr>
        <w:t>股变更为</w:t>
      </w:r>
      <w:r>
        <w:rPr>
          <w:rFonts w:ascii="Times New Roman" w:hAnsi="Times New Roman" w:cs="Times New Roman" w:eastAsia="Times New Roman" w:hint="default"/>
          <w:spacing w:val="-3"/>
        </w:rPr>
        <w:t>194,220,862</w:t>
      </w:r>
      <w:r>
        <w:rPr>
          <w:spacing w:val="-3"/>
        </w:rPr>
        <w:t>股。</w:t>
      </w:r>
    </w:p>
    <w:p>
      <w:pPr>
        <w:pStyle w:val="BodyText"/>
        <w:spacing w:line="304" w:lineRule="auto" w:before="63"/>
        <w:ind w:right="1089"/>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日，公司召开第三届董事会第十二次会议和第三届监事会第七次会议，审议通过了《关于回购注销</w:t>
      </w:r>
      <w:r>
        <w:rPr>
          <w:rFonts w:ascii="Times New Roman" w:hAnsi="Times New Roman" w:cs="Times New Roman" w:eastAsia="Times New Roman" w:hint="default"/>
          <w:spacing w:val="-1"/>
        </w:rPr>
        <w:t>2015</w:t>
      </w:r>
      <w:r>
        <w:rPr>
          <w:spacing w:val="-1"/>
        </w:rPr>
        <w:t>年限</w:t>
      </w:r>
      <w:r>
        <w:rPr>
          <w:spacing w:val="-82"/>
        </w:rPr>
        <w:t> </w:t>
      </w:r>
      <w:r>
        <w:rPr>
          <w:spacing w:val="-2"/>
        </w:rPr>
        <w:t>制性股票激励计划部分限制性股票的议案》、《关于回购注销</w:t>
      </w:r>
      <w:r>
        <w:rPr>
          <w:rFonts w:ascii="Times New Roman" w:hAnsi="Times New Roman" w:cs="Times New Roman" w:eastAsia="Times New Roman" w:hint="default"/>
          <w:spacing w:val="-2"/>
        </w:rPr>
        <w:t>2016</w:t>
      </w:r>
      <w:r>
        <w:rPr>
          <w:spacing w:val="-2"/>
        </w:rPr>
        <w:t>年限制性股票激励计划部分限制性股票的议案》、和《关</w:t>
      </w:r>
      <w:r>
        <w:rPr>
          <w:spacing w:val="-63"/>
        </w:rPr>
        <w:t> </w:t>
      </w:r>
      <w:r>
        <w:rPr>
          <w:spacing w:val="-63"/>
        </w:rPr>
      </w:r>
      <w:r>
        <w:rPr>
          <w:spacing w:val="-2"/>
        </w:rPr>
        <w:t>于回购注销</w:t>
      </w:r>
      <w:r>
        <w:rPr>
          <w:rFonts w:ascii="Times New Roman" w:hAnsi="Times New Roman" w:cs="Times New Roman" w:eastAsia="Times New Roman" w:hint="default"/>
          <w:spacing w:val="-2"/>
        </w:rPr>
        <w:t>2017</w:t>
      </w:r>
      <w:r>
        <w:rPr>
          <w:spacing w:val="-2"/>
        </w:rPr>
        <w:t>年限制性股票激励计划部分限制性股票的议案》，监事会对不符合激励条件的激励对象名单及回购注销的限</w:t>
      </w:r>
      <w:r>
        <w:rPr>
          <w:spacing w:val="-59"/>
        </w:rPr>
        <w:t> </w:t>
      </w:r>
      <w:r>
        <w:rPr>
          <w:spacing w:val="-59"/>
        </w:rPr>
      </w:r>
      <w:r>
        <w:rPr/>
        <w:t>制性股票数量进行了审核，独立董事对此发表了同意的独立意见。并于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日完成了关于回购注销部分已授予但尚</w:t>
      </w:r>
      <w:r>
        <w:rPr>
          <w:spacing w:val="-84"/>
        </w:rPr>
        <w:t> </w:t>
      </w:r>
      <w:r>
        <w:rPr/>
        <w:t>未解锁的限制性股票工作，回购注销的股份数量为</w:t>
      </w:r>
      <w:r>
        <w:rPr>
          <w:rFonts w:ascii="Times New Roman" w:hAnsi="Times New Roman" w:cs="Times New Roman" w:eastAsia="Times New Roman" w:hint="default"/>
        </w:rPr>
        <w:t>5,252,601</w:t>
      </w:r>
      <w:r>
        <w:rPr/>
        <w:t>股，公司总股本变更为由</w:t>
      </w:r>
      <w:r>
        <w:rPr>
          <w:rFonts w:ascii="Times New Roman" w:hAnsi="Times New Roman" w:cs="Times New Roman" w:eastAsia="Times New Roman" w:hint="default"/>
        </w:rPr>
        <w:t>194,220,862</w:t>
      </w:r>
      <w:r>
        <w:rPr/>
        <w:t>变更为</w:t>
      </w:r>
      <w:r>
        <w:rPr>
          <w:rFonts w:ascii="Times New Roman" w:hAnsi="Times New Roman" w:cs="Times New Roman" w:eastAsia="Times New Roman" w:hint="default"/>
        </w:rPr>
        <w:t>188,968,261</w:t>
      </w:r>
      <w:r>
        <w:rPr/>
        <w:t>股。</w:t>
      </w:r>
      <w:r>
        <w:rPr>
          <w:spacing w:val="-80"/>
        </w:rPr>
        <w:t> </w:t>
      </w:r>
      <w:r>
        <w:rPr/>
        <w:t>股份变动的过户情况</w:t>
      </w:r>
    </w:p>
    <w:p>
      <w:pPr>
        <w:pStyle w:val="BodyText"/>
        <w:spacing w:line="312" w:lineRule="auto" w:before="91"/>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日完成了关于回购注销部分已授予但尚未解锁的限制性股票工作，回购注销的股份数量为</w:t>
      </w:r>
      <w:r>
        <w:rPr>
          <w:rFonts w:ascii="Times New Roman" w:hAnsi="Times New Roman" w:cs="Times New Roman" w:eastAsia="Times New Roman" w:hint="default"/>
        </w:rPr>
        <w:t>401,208</w:t>
      </w:r>
      <w:r>
        <w:rPr/>
        <w:t>股，</w:t>
      </w:r>
      <w:r>
        <w:rPr>
          <w:spacing w:val="-40"/>
        </w:rPr>
        <w:t> </w:t>
      </w:r>
      <w:r>
        <w:rPr/>
        <w:t>占回购前公司总股本的</w:t>
      </w:r>
      <w:r>
        <w:rPr>
          <w:rFonts w:ascii="Times New Roman" w:hAnsi="Times New Roman" w:cs="Times New Roman" w:eastAsia="Times New Roman" w:hint="default"/>
        </w:rPr>
        <w:t>0.21%</w:t>
      </w:r>
      <w:r>
        <w:rPr/>
        <w:t>，其中：</w:t>
      </w:r>
      <w:r>
        <w:rPr>
          <w:rFonts w:ascii="Times New Roman" w:hAnsi="Times New Roman" w:cs="Times New Roman" w:eastAsia="Times New Roman" w:hint="default"/>
        </w:rPr>
        <w:t>2015</w:t>
      </w:r>
      <w:r>
        <w:rPr/>
        <w:t>年限制性股票激励计划回购注销数量</w:t>
      </w:r>
      <w:r>
        <w:rPr>
          <w:rFonts w:ascii="Times New Roman" w:hAnsi="Times New Roman" w:cs="Times New Roman" w:eastAsia="Times New Roman" w:hint="default"/>
        </w:rPr>
        <w:t>50,846</w:t>
      </w:r>
      <w:r>
        <w:rPr/>
        <w:t>股，回购价格为人民币</w:t>
      </w:r>
      <w:r>
        <w:rPr>
          <w:rFonts w:ascii="Times New Roman" w:hAnsi="Times New Roman" w:cs="Times New Roman" w:eastAsia="Times New Roman" w:hint="default"/>
        </w:rPr>
        <w:t>14.2126</w:t>
      </w:r>
      <w:r>
        <w:rPr/>
        <w:t>元</w:t>
      </w:r>
      <w:r>
        <w:rPr>
          <w:rFonts w:ascii="Times New Roman" w:hAnsi="Times New Roman" w:cs="Times New Roman" w:eastAsia="Times New Roman" w:hint="default"/>
        </w:rPr>
        <w:t>/</w:t>
      </w:r>
      <w:r>
        <w:rPr/>
        <w:t>股；</w:t>
      </w:r>
      <w:r>
        <w:rPr>
          <w:spacing w:val="-57"/>
        </w:rPr>
        <w:t> </w:t>
      </w:r>
      <w:r>
        <w:rPr>
          <w:rFonts w:ascii="Times New Roman" w:hAnsi="Times New Roman" w:cs="Times New Roman" w:eastAsia="Times New Roman" w:hint="default"/>
        </w:rPr>
        <w:t>2016</w:t>
      </w:r>
      <w:r>
        <w:rPr/>
        <w:t>年限制性股票激励计划回购注销数量</w:t>
      </w:r>
      <w:r>
        <w:rPr>
          <w:rFonts w:ascii="Times New Roman" w:hAnsi="Times New Roman" w:cs="Times New Roman" w:eastAsia="Times New Roman" w:hint="default"/>
        </w:rPr>
        <w:t>179,854</w:t>
      </w:r>
      <w:r>
        <w:rPr/>
        <w:t>股，回购价格为人民币</w:t>
      </w:r>
      <w:r>
        <w:rPr>
          <w:rFonts w:ascii="Times New Roman" w:hAnsi="Times New Roman" w:cs="Times New Roman" w:eastAsia="Times New Roman" w:hint="default"/>
        </w:rPr>
        <w:t>16.0510</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2017</w:t>
      </w:r>
      <w:r>
        <w:rPr/>
        <w:t>年限制性股票激励计划回购注销 </w:t>
      </w:r>
      <w:r>
        <w:rPr>
          <w:spacing w:val="-3"/>
        </w:rPr>
        <w:t>数量</w:t>
      </w:r>
      <w:r>
        <w:rPr>
          <w:rFonts w:ascii="Times New Roman" w:hAnsi="Times New Roman" w:cs="Times New Roman" w:eastAsia="Times New Roman" w:hint="default"/>
          <w:spacing w:val="-3"/>
        </w:rPr>
        <w:t>170,508</w:t>
      </w:r>
      <w:r>
        <w:rPr>
          <w:spacing w:val="-3"/>
        </w:rPr>
        <w:t>股，回购价格为人民币</w:t>
      </w:r>
      <w:r>
        <w:rPr>
          <w:rFonts w:ascii="Times New Roman" w:hAnsi="Times New Roman" w:cs="Times New Roman" w:eastAsia="Times New Roman" w:hint="default"/>
          <w:spacing w:val="-3"/>
        </w:rPr>
        <w:t>11.8077</w:t>
      </w:r>
      <w:r>
        <w:rPr>
          <w:spacing w:val="-3"/>
        </w:rPr>
        <w:t>元</w:t>
      </w:r>
      <w:r>
        <w:rPr>
          <w:rFonts w:ascii="Times New Roman" w:hAnsi="Times New Roman" w:cs="Times New Roman" w:eastAsia="Times New Roman" w:hint="default"/>
          <w:spacing w:val="-3"/>
        </w:rPr>
        <w:t>/</w:t>
      </w:r>
      <w:r>
        <w:rPr>
          <w:spacing w:val="-3"/>
        </w:rPr>
        <w:t>股，本次回购注销完成后，公司股份总数由</w:t>
      </w:r>
      <w:r>
        <w:rPr>
          <w:rFonts w:ascii="Times New Roman" w:hAnsi="Times New Roman" w:cs="Times New Roman" w:eastAsia="Times New Roman" w:hint="default"/>
          <w:spacing w:val="-3"/>
        </w:rPr>
        <w:t>194,622,070</w:t>
      </w:r>
      <w:r>
        <w:rPr>
          <w:spacing w:val="-3"/>
        </w:rPr>
        <w:t>股变更为</w:t>
      </w:r>
      <w:r>
        <w:rPr>
          <w:rFonts w:ascii="Times New Roman" w:hAnsi="Times New Roman" w:cs="Times New Roman" w:eastAsia="Times New Roman" w:hint="default"/>
          <w:spacing w:val="-3"/>
        </w:rPr>
        <w:t>194,220,862</w:t>
      </w:r>
      <w:r>
        <w:rPr>
          <w:spacing w:val="-3"/>
        </w:rPr>
        <w:t>股。</w:t>
      </w:r>
      <w:r>
        <w:rPr/>
        <w:t> </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日，公司召开第三届董事会第十二次会议和第三届监事会第七次会议，审议通过了《关于回购注销</w:t>
      </w:r>
      <w:r>
        <w:rPr>
          <w:rFonts w:ascii="Times New Roman" w:hAnsi="Times New Roman" w:cs="Times New Roman" w:eastAsia="Times New Roman" w:hint="default"/>
          <w:spacing w:val="-1"/>
        </w:rPr>
        <w:t>2015</w:t>
      </w:r>
      <w:r>
        <w:rPr>
          <w:spacing w:val="-1"/>
        </w:rPr>
        <w:t>年限</w:t>
      </w:r>
      <w:r>
        <w:rPr>
          <w:spacing w:val="-82"/>
        </w:rPr>
        <w:t> </w:t>
      </w:r>
      <w:r>
        <w:rPr>
          <w:spacing w:val="-2"/>
        </w:rPr>
        <w:t>制性股票激励计划部分限制性股票的议案》、《关于回购注销</w:t>
      </w:r>
      <w:r>
        <w:rPr>
          <w:rFonts w:ascii="Times New Roman" w:hAnsi="Times New Roman" w:cs="Times New Roman" w:eastAsia="Times New Roman" w:hint="default"/>
          <w:spacing w:val="-2"/>
        </w:rPr>
        <w:t>2016</w:t>
      </w:r>
      <w:r>
        <w:rPr>
          <w:spacing w:val="-2"/>
        </w:rPr>
        <w:t>年限制性股票激励计划部分限制性股票的议案》、和《关</w:t>
      </w:r>
      <w:r>
        <w:rPr>
          <w:spacing w:val="-63"/>
        </w:rPr>
        <w:t> </w:t>
      </w:r>
      <w:r>
        <w:rPr>
          <w:spacing w:val="-63"/>
        </w:rPr>
      </w:r>
      <w:r>
        <w:rPr>
          <w:spacing w:val="-2"/>
        </w:rPr>
        <w:t>于回购注销</w:t>
      </w:r>
      <w:r>
        <w:rPr>
          <w:rFonts w:ascii="Times New Roman" w:hAnsi="Times New Roman" w:cs="Times New Roman" w:eastAsia="Times New Roman" w:hint="default"/>
          <w:spacing w:val="-2"/>
        </w:rPr>
        <w:t>2017</w:t>
      </w:r>
      <w:r>
        <w:rPr>
          <w:spacing w:val="-2"/>
        </w:rPr>
        <w:t>年限制性股票激励计划部分限制性股票的议案》，监事会对不符合激励条件的激励对象名单及回购注销的限</w:t>
      </w:r>
    </w:p>
    <w:p>
      <w:pPr>
        <w:pStyle w:val="BodyText"/>
        <w:spacing w:line="319" w:lineRule="auto"/>
        <w:ind w:right="1119"/>
        <w:jc w:val="left"/>
      </w:pPr>
      <w:r>
        <w:rPr/>
        <w:t>制性股票数量进行了审核，独立董事对此发表了同意的独立意见。并于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日完成了关于回购注销部分已授予但尚</w:t>
      </w:r>
      <w:r>
        <w:rPr>
          <w:spacing w:val="-84"/>
        </w:rPr>
        <w:t> </w:t>
      </w:r>
      <w:r>
        <w:rPr/>
        <w:t>未解锁的限制性股票工作，回购注销的股份数量为</w:t>
      </w:r>
      <w:r>
        <w:rPr>
          <w:rFonts w:ascii="Times New Roman" w:hAnsi="Times New Roman" w:cs="Times New Roman" w:eastAsia="Times New Roman" w:hint="default"/>
        </w:rPr>
        <w:t>5,252,601</w:t>
      </w:r>
      <w:r>
        <w:rPr/>
        <w:t>股，公司总股本变更为由</w:t>
      </w:r>
      <w:r>
        <w:rPr>
          <w:rFonts w:ascii="Times New Roman" w:hAnsi="Times New Roman" w:cs="Times New Roman" w:eastAsia="Times New Roman" w:hint="default"/>
        </w:rPr>
        <w:t>194,220,862</w:t>
      </w:r>
      <w:r>
        <w:rPr/>
        <w:t>变更为</w:t>
      </w:r>
      <w:r>
        <w:rPr>
          <w:rFonts w:ascii="Times New Roman" w:hAnsi="Times New Roman" w:cs="Times New Roman" w:eastAsia="Times New Roman" w:hint="default"/>
        </w:rPr>
        <w:t>188,968,261</w:t>
      </w:r>
      <w:r>
        <w:rPr/>
        <w:t>股。</w:t>
      </w:r>
      <w:r>
        <w:rPr>
          <w:spacing w:val="-80"/>
        </w:rPr>
        <w:t> </w:t>
      </w:r>
      <w:r>
        <w:rPr/>
        <w:t>股份回购的实施进展情况</w:t>
      </w:r>
    </w:p>
    <w:p>
      <w:pPr>
        <w:pStyle w:val="BodyText"/>
        <w:spacing w:line="319" w:lineRule="auto" w:before="65"/>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公司回购注销部分已授予但尚未解锁的限制性股票已经过董事会、股东大会批准，并在中国证券登记结算有限责任公司深圳</w:t>
      </w:r>
      <w:r>
        <w:rPr>
          <w:spacing w:val="-68"/>
        </w:rPr>
        <w:t> </w:t>
      </w:r>
      <w:r>
        <w:rPr>
          <w:spacing w:val="-68"/>
        </w:rPr>
      </w:r>
      <w:r>
        <w:rPr/>
        <w:t>分公司完成了股权登记手续，同时工商变更登记手续已完成。详细信息参照公司在巨潮资讯网上的相关公告。</w:t>
      </w:r>
    </w:p>
    <w:p>
      <w:pPr>
        <w:pStyle w:val="BodyText"/>
        <w:spacing w:line="240" w:lineRule="auto" w:before="65"/>
        <w:ind w:right="939"/>
        <w:jc w:val="left"/>
      </w:pPr>
      <w:r>
        <w:rPr/>
        <w:t>采用集中竞价方式减持回购股份的实施进展情况</w:t>
      </w:r>
    </w:p>
    <w:p>
      <w:pPr>
        <w:pStyle w:val="BodyText"/>
        <w:spacing w:line="333" w:lineRule="auto" w:before="124"/>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股份变动对最近一年和最近一期基本每股收益和稀释每股收益、归属于公司普通股股东的每股净资产等财务指标的影响</w:t>
      </w:r>
    </w:p>
    <w:p>
      <w:pPr>
        <w:pStyle w:val="BodyText"/>
        <w:spacing w:line="333" w:lineRule="auto" w:before="54"/>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公司认为必要或证券监管机构要求披露的其他内容</w:t>
      </w:r>
    </w:p>
    <w:p>
      <w:pPr>
        <w:pStyle w:val="BodyText"/>
        <w:spacing w:line="240" w:lineRule="auto" w:before="55"/>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3"/>
        <w:spacing w:line="240" w:lineRule="auto" w:before="35"/>
        <w:ind w:right="939"/>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单位：股</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02"/>
        <w:gridCol w:w="1502"/>
        <w:gridCol w:w="1487"/>
        <w:gridCol w:w="1487"/>
        <w:gridCol w:w="1487"/>
        <w:gridCol w:w="1202"/>
        <w:gridCol w:w="1216"/>
      </w:tblGrid>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30" w:right="119"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31" w:right="119"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10" w:right="59" w:hanging="451"/>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0"/>
              <w:ind w:left="15" w:right="45"/>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年首期限 制性股票激励 对象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124 </w:t>
            </w:r>
            <w:r>
              <w:rPr>
                <w:rFonts w:ascii="宋体" w:hAnsi="宋体" w:cs="宋体" w:eastAsia="宋体" w:hint="default"/>
                <w:sz w:val="18"/>
                <w:szCs w:val="18"/>
              </w:rPr>
              <w:t>名</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2,704,502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已完结</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15" w:right="45"/>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年预留限 制性股票激励 对象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名</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387,109</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 w:right="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已完结</w:t>
            </w: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年首期限 制性股票激励</w:t>
            </w:r>
          </w:p>
          <w:p>
            <w:pPr>
              <w:pStyle w:val="TableParagraph"/>
              <w:spacing w:line="240" w:lineRule="auto" w:before="67"/>
              <w:ind w:left="15" w:right="0"/>
              <w:jc w:val="left"/>
              <w:rPr>
                <w:rFonts w:ascii="宋体" w:hAnsi="宋体" w:cs="宋体" w:eastAsia="宋体" w:hint="default"/>
                <w:sz w:val="18"/>
                <w:szCs w:val="18"/>
              </w:rPr>
            </w:pPr>
            <w:r>
              <w:rPr>
                <w:rFonts w:ascii="宋体" w:hAnsi="宋体" w:cs="宋体" w:eastAsia="宋体" w:hint="default"/>
                <w:sz w:val="18"/>
                <w:szCs w:val="18"/>
              </w:rPr>
              <w:t>对象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120 </w:t>
            </w:r>
            <w:r>
              <w:rPr>
                <w:rFonts w:ascii="宋体" w:hAnsi="宋体" w:cs="宋体" w:eastAsia="宋体" w:hint="default"/>
                <w:sz w:val="18"/>
                <w:szCs w:val="18"/>
              </w:rPr>
              <w:t>名</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1,128,137</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601,294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89"/>
              <w:jc w:val="left"/>
              <w:rPr>
                <w:rFonts w:ascii="宋体" w:hAnsi="宋体" w:cs="宋体" w:eastAsia="宋体" w:hint="default"/>
                <w:sz w:val="18"/>
                <w:szCs w:val="18"/>
              </w:rPr>
            </w:pPr>
            <w:r>
              <w:rPr>
                <w:rFonts w:ascii="宋体" w:hAnsi="宋体" w:cs="宋体" w:eastAsia="宋体" w:hint="default"/>
                <w:sz w:val="18"/>
                <w:szCs w:val="18"/>
              </w:rPr>
              <w:t>期满后的一年 内</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15" w:right="45"/>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年预留限 制性股票激励 对象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名</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496,940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248,470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30" w:right="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30" w:right="89"/>
              <w:jc w:val="left"/>
              <w:rPr>
                <w:rFonts w:ascii="宋体" w:hAnsi="宋体" w:cs="宋体" w:eastAsia="宋体" w:hint="default"/>
                <w:sz w:val="18"/>
                <w:szCs w:val="18"/>
              </w:rPr>
            </w:pPr>
            <w:r>
              <w:rPr>
                <w:rFonts w:ascii="宋体" w:hAnsi="宋体" w:cs="宋体" w:eastAsia="宋体" w:hint="default"/>
                <w:sz w:val="18"/>
                <w:szCs w:val="18"/>
              </w:rPr>
              <w:t>期满后的一年 内</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年首期限 制性股票激励</w:t>
            </w:r>
          </w:p>
          <w:p>
            <w:pPr>
              <w:pStyle w:val="TableParagraph"/>
              <w:spacing w:line="240" w:lineRule="auto" w:before="69"/>
              <w:ind w:left="15" w:right="0"/>
              <w:jc w:val="left"/>
              <w:rPr>
                <w:rFonts w:ascii="宋体" w:hAnsi="宋体" w:cs="宋体" w:eastAsia="宋体" w:hint="default"/>
                <w:sz w:val="18"/>
                <w:szCs w:val="18"/>
              </w:rPr>
            </w:pPr>
            <w:r>
              <w:rPr>
                <w:rFonts w:ascii="宋体" w:hAnsi="宋体" w:cs="宋体" w:eastAsia="宋体" w:hint="default"/>
                <w:sz w:val="18"/>
                <w:szCs w:val="18"/>
              </w:rPr>
              <w:t>对象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 </w:t>
            </w:r>
            <w:r>
              <w:rPr>
                <w:rFonts w:ascii="宋体" w:hAnsi="宋体" w:cs="宋体" w:eastAsia="宋体" w:hint="default"/>
                <w:sz w:val="18"/>
                <w:szCs w:val="18"/>
              </w:rPr>
              <w:t>名</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3,039,340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1,653,665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89"/>
              <w:jc w:val="left"/>
              <w:rPr>
                <w:rFonts w:ascii="宋体" w:hAnsi="宋体" w:cs="宋体" w:eastAsia="宋体" w:hint="default"/>
                <w:sz w:val="18"/>
                <w:szCs w:val="18"/>
              </w:rPr>
            </w:pPr>
            <w:r>
              <w:rPr>
                <w:rFonts w:ascii="宋体" w:hAnsi="宋体" w:cs="宋体" w:eastAsia="宋体" w:hint="default"/>
                <w:sz w:val="18"/>
                <w:szCs w:val="18"/>
              </w:rPr>
              <w:t>期满后的一年 内</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7,756,028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2,503,429</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17"/>
          <w:szCs w:val="17"/>
        </w:rPr>
      </w:pPr>
    </w:p>
    <w:p>
      <w:pPr>
        <w:pStyle w:val="Heading2"/>
        <w:spacing w:line="240" w:lineRule="auto" w:before="26"/>
        <w:ind w:right="939"/>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宋体" w:hAnsi="宋体" w:cs="宋体" w:eastAsia="宋体" w:hint="default"/>
          <w:b/>
          <w:bCs/>
          <w:sz w:val="25"/>
          <w:szCs w:val="25"/>
        </w:rPr>
      </w:pPr>
    </w:p>
    <w:p>
      <w:pPr>
        <w:pStyle w:val="BodyText"/>
        <w:spacing w:line="326"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日完成了关于回购注销部分已授予但尚未解锁的限制性股票工作，回购注销的股份数量为</w:t>
      </w:r>
      <w:r>
        <w:rPr>
          <w:rFonts w:ascii="Times New Roman" w:hAnsi="Times New Roman" w:cs="Times New Roman" w:eastAsia="Times New Roman" w:hint="default"/>
        </w:rPr>
        <w:t>401,208</w:t>
      </w:r>
      <w:r>
        <w:rPr/>
        <w:t>股，</w:t>
      </w:r>
      <w:r>
        <w:rPr>
          <w:spacing w:val="-40"/>
        </w:rPr>
        <w:t> </w:t>
      </w:r>
      <w:r>
        <w:rPr/>
        <w:t>占回购前公司总股本的</w:t>
      </w:r>
      <w:r>
        <w:rPr>
          <w:rFonts w:ascii="Times New Roman" w:hAnsi="Times New Roman" w:cs="Times New Roman" w:eastAsia="Times New Roman" w:hint="default"/>
        </w:rPr>
        <w:t>0.21%</w:t>
      </w:r>
      <w:r>
        <w:rPr/>
        <w:t>，其中：</w:t>
      </w:r>
      <w:r>
        <w:rPr>
          <w:rFonts w:ascii="Times New Roman" w:hAnsi="Times New Roman" w:cs="Times New Roman" w:eastAsia="Times New Roman" w:hint="default"/>
        </w:rPr>
        <w:t>2015</w:t>
      </w:r>
      <w:r>
        <w:rPr/>
        <w:t>年限制性股票激励计划回购注销数量</w:t>
      </w:r>
      <w:r>
        <w:rPr>
          <w:rFonts w:ascii="Times New Roman" w:hAnsi="Times New Roman" w:cs="Times New Roman" w:eastAsia="Times New Roman" w:hint="default"/>
        </w:rPr>
        <w:t>50,846</w:t>
      </w:r>
      <w:r>
        <w:rPr/>
        <w:t>股，回购价格为人民币</w:t>
      </w:r>
      <w:r>
        <w:rPr>
          <w:rFonts w:ascii="Times New Roman" w:hAnsi="Times New Roman" w:cs="Times New Roman" w:eastAsia="Times New Roman" w:hint="default"/>
        </w:rPr>
        <w:t>14.2126</w:t>
      </w:r>
      <w:r>
        <w:rPr/>
        <w:t>元</w:t>
      </w:r>
      <w:r>
        <w:rPr>
          <w:rFonts w:ascii="Times New Roman" w:hAnsi="Times New Roman" w:cs="Times New Roman" w:eastAsia="Times New Roman" w:hint="default"/>
        </w:rPr>
        <w:t>/</w:t>
      </w:r>
      <w:r>
        <w:rPr/>
        <w:t>股；</w:t>
      </w:r>
    </w:p>
    <w:p>
      <w:pPr>
        <w:pStyle w:val="BodyText"/>
        <w:spacing w:line="229" w:lineRule="exact"/>
        <w:ind w:right="939"/>
        <w:jc w:val="left"/>
      </w:pPr>
      <w:r>
        <w:rPr>
          <w:rFonts w:ascii="Times New Roman" w:hAnsi="Times New Roman" w:cs="Times New Roman" w:eastAsia="Times New Roman" w:hint="default"/>
        </w:rPr>
        <w:t>2016</w:t>
      </w:r>
      <w:r>
        <w:rPr/>
        <w:t>年限制性股票激励计划回购注销数量</w:t>
      </w:r>
      <w:r>
        <w:rPr>
          <w:rFonts w:ascii="Times New Roman" w:hAnsi="Times New Roman" w:cs="Times New Roman" w:eastAsia="Times New Roman" w:hint="default"/>
        </w:rPr>
        <w:t>179,854</w:t>
      </w:r>
      <w:r>
        <w:rPr/>
        <w:t>股，回购价格为人民币</w:t>
      </w:r>
      <w:r>
        <w:rPr>
          <w:rFonts w:ascii="Times New Roman" w:hAnsi="Times New Roman" w:cs="Times New Roman" w:eastAsia="Times New Roman" w:hint="default"/>
        </w:rPr>
        <w:t>16.0510</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2017</w:t>
      </w:r>
      <w:r>
        <w:rPr/>
        <w:t>年限制性股票激励计划回购注销</w:t>
      </w:r>
    </w:p>
    <w:p>
      <w:pPr>
        <w:pStyle w:val="BodyText"/>
        <w:spacing w:line="240" w:lineRule="auto" w:before="66"/>
        <w:ind w:right="939"/>
        <w:jc w:val="left"/>
      </w:pPr>
      <w:r>
        <w:rPr/>
        <w:t>数量</w:t>
      </w:r>
      <w:r>
        <w:rPr>
          <w:rFonts w:ascii="Times New Roman" w:hAnsi="Times New Roman" w:cs="Times New Roman" w:eastAsia="Times New Roman" w:hint="default"/>
        </w:rPr>
        <w:t>170,508</w:t>
      </w:r>
      <w:r>
        <w:rPr/>
        <w:t>股</w:t>
      </w:r>
      <w:r>
        <w:rPr>
          <w:spacing w:val="-76"/>
        </w:rPr>
        <w:t>，</w:t>
      </w:r>
      <w:r>
        <w:rPr/>
        <w:t>回购价格为人民</w:t>
      </w:r>
      <w:r>
        <w:rPr>
          <w:spacing w:val="2"/>
        </w:rPr>
        <w:t>币</w:t>
      </w:r>
      <w:r>
        <w:rPr>
          <w:rFonts w:ascii="Times New Roman" w:hAnsi="Times New Roman" w:cs="Times New Roman" w:eastAsia="Times New Roman" w:hint="default"/>
        </w:rPr>
        <w:t>11.8077</w:t>
      </w:r>
      <w:r>
        <w:rPr/>
        <w:t>元</w:t>
      </w:r>
      <w:r>
        <w:rPr>
          <w:rFonts w:ascii="Times New Roman" w:hAnsi="Times New Roman" w:cs="Times New Roman" w:eastAsia="Times New Roman" w:hint="default"/>
          <w:spacing w:val="-5"/>
        </w:rPr>
        <w:t>/</w:t>
      </w:r>
      <w:r>
        <w:rPr/>
        <w:t>股</w:t>
      </w:r>
      <w:r>
        <w:rPr>
          <w:spacing w:val="-76"/>
        </w:rPr>
        <w:t>，</w:t>
      </w:r>
      <w:r>
        <w:rPr/>
        <w:t>本次回购注销完成后</w:t>
      </w:r>
      <w:r>
        <w:rPr>
          <w:spacing w:val="-76"/>
        </w:rPr>
        <w:t>，</w:t>
      </w:r>
      <w:r>
        <w:rPr/>
        <w:t>公司股份总数</w:t>
      </w:r>
      <w:r>
        <w:rPr>
          <w:spacing w:val="4"/>
        </w:rPr>
        <w:t>由</w:t>
      </w:r>
      <w:r>
        <w:rPr>
          <w:rFonts w:ascii="Times New Roman" w:hAnsi="Times New Roman" w:cs="Times New Roman" w:eastAsia="Times New Roman" w:hint="default"/>
        </w:rPr>
        <w:t>194,622,07</w:t>
      </w:r>
      <w:r>
        <w:rPr>
          <w:rFonts w:ascii="Times New Roman" w:hAnsi="Times New Roman" w:cs="Times New Roman" w:eastAsia="Times New Roman" w:hint="default"/>
          <w:spacing w:val="1"/>
        </w:rPr>
        <w:t>0</w:t>
      </w:r>
      <w:r>
        <w:rPr/>
        <w:t>股变更</w:t>
      </w:r>
      <w:r>
        <w:rPr>
          <w:spacing w:val="1"/>
        </w:rPr>
        <w:t>为</w:t>
      </w:r>
      <w:r>
        <w:rPr>
          <w:rFonts w:ascii="Times New Roman" w:hAnsi="Times New Roman" w:cs="Times New Roman" w:eastAsia="Times New Roman" w:hint="default"/>
        </w:rPr>
        <w:t>194,220,86</w:t>
      </w:r>
      <w:r>
        <w:rPr>
          <w:rFonts w:ascii="Times New Roman" w:hAnsi="Times New Roman" w:cs="Times New Roman" w:eastAsia="Times New Roman" w:hint="default"/>
          <w:spacing w:val="1"/>
        </w:rPr>
        <w:t>2</w:t>
      </w:r>
      <w:r>
        <w:rPr/>
        <w:t>股。</w:t>
      </w:r>
    </w:p>
    <w:p>
      <w:pPr>
        <w:pStyle w:val="BodyText"/>
        <w:spacing w:line="300" w:lineRule="auto" w:before="111"/>
        <w:ind w:right="1096"/>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日，公司召开第三届董事会第十二次会议和第三届监事会第七次会议，审议通过了《关于回购注销</w:t>
      </w:r>
      <w:r>
        <w:rPr>
          <w:rFonts w:ascii="Times New Roman" w:hAnsi="Times New Roman" w:cs="Times New Roman" w:eastAsia="Times New Roman" w:hint="default"/>
          <w:spacing w:val="-1"/>
        </w:rPr>
        <w:t>2015</w:t>
      </w:r>
      <w:r>
        <w:rPr>
          <w:spacing w:val="-1"/>
        </w:rPr>
        <w:t>年限</w:t>
      </w:r>
      <w:r>
        <w:rPr>
          <w:spacing w:val="-82"/>
        </w:rPr>
        <w:t> </w:t>
      </w:r>
      <w:r>
        <w:rPr>
          <w:spacing w:val="-2"/>
        </w:rPr>
        <w:t>制性股票激励计划部分限制性股票的议案》、《关于回购注销</w:t>
      </w:r>
      <w:r>
        <w:rPr>
          <w:rFonts w:ascii="Times New Roman" w:hAnsi="Times New Roman" w:cs="Times New Roman" w:eastAsia="Times New Roman" w:hint="default"/>
          <w:spacing w:val="-2"/>
        </w:rPr>
        <w:t>2016</w:t>
      </w:r>
      <w:r>
        <w:rPr>
          <w:spacing w:val="-2"/>
        </w:rPr>
        <w:t>年限制性股票激励计划部分限制性股票的议案》、和《关</w:t>
      </w:r>
      <w:r>
        <w:rPr>
          <w:spacing w:val="-63"/>
        </w:rPr>
        <w:t> </w:t>
      </w:r>
      <w:r>
        <w:rPr>
          <w:spacing w:val="-63"/>
        </w:rPr>
      </w:r>
      <w:r>
        <w:rPr>
          <w:spacing w:val="-2"/>
        </w:rPr>
        <w:t>于回购注销</w:t>
      </w:r>
      <w:r>
        <w:rPr>
          <w:rFonts w:ascii="Times New Roman" w:hAnsi="Times New Roman" w:cs="Times New Roman" w:eastAsia="Times New Roman" w:hint="default"/>
          <w:spacing w:val="-2"/>
        </w:rPr>
        <w:t>2017</w:t>
      </w:r>
      <w:r>
        <w:rPr>
          <w:spacing w:val="-2"/>
        </w:rPr>
        <w:t>年限制性股票激励计划部分限制性股票的议案》，监事会对不符合激励条件的激励对象名单及回购注销的限</w:t>
      </w:r>
      <w:r>
        <w:rPr>
          <w:spacing w:val="-68"/>
        </w:rPr>
        <w:t> </w:t>
      </w:r>
      <w:r>
        <w:rPr>
          <w:spacing w:val="-68"/>
        </w:rPr>
      </w:r>
      <w:r>
        <w:rPr/>
        <w:t>制性股票数量进行了审核，独立董事对此发表了同意的独立意见。并于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日完成了关于回购注销部分已授予但尚</w:t>
      </w:r>
      <w:r>
        <w:rPr>
          <w:spacing w:val="-84"/>
        </w:rPr>
        <w:t> </w:t>
      </w:r>
      <w:r>
        <w:rPr/>
        <w:t>未解锁的限制性股票工作，回购注销的股份数量为</w:t>
      </w:r>
      <w:r>
        <w:rPr>
          <w:rFonts w:ascii="Times New Roman" w:hAnsi="Times New Roman" w:cs="Times New Roman" w:eastAsia="Times New Roman" w:hint="default"/>
        </w:rPr>
        <w:t>5,252,601</w:t>
      </w:r>
      <w:r>
        <w:rPr/>
        <w:t>股，公司总股本变更为由</w:t>
      </w:r>
      <w:r>
        <w:rPr>
          <w:rFonts w:ascii="Times New Roman" w:hAnsi="Times New Roman" w:cs="Times New Roman" w:eastAsia="Times New Roman" w:hint="default"/>
        </w:rPr>
        <w:t>194,220,862</w:t>
      </w:r>
      <w:r>
        <w:rPr/>
        <w:t>变更为</w:t>
      </w:r>
      <w:r>
        <w:rPr>
          <w:rFonts w:ascii="Times New Roman" w:hAnsi="Times New Roman" w:cs="Times New Roman" w:eastAsia="Times New Roman" w:hint="default"/>
        </w:rPr>
        <w:t>188,968,261</w:t>
      </w:r>
      <w:r>
        <w:rPr/>
        <w:t>股。</w:t>
      </w:r>
    </w:p>
    <w:p>
      <w:pPr>
        <w:spacing w:after="0" w:line="300" w:lineRule="auto"/>
        <w:jc w:val="both"/>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3"/>
        <w:spacing w:line="240" w:lineRule="auto" w:before="35"/>
        <w:ind w:right="939"/>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939"/>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pict>
          <v:group style="position:absolute;margin-left:329.649994pt;margin-top:71.266739pt;width:53.35pt;height:31.55pt;mso-position-horizontal-relative:page;mso-position-vertical-relative:paragraph;z-index:-1163608" coordorigin="6593,1425" coordsize="1067,631">
            <v:shape style="position:absolute;left:6593;top:1425;width:1067;height:631" coordorigin="6593,1425" coordsize="1067,631" path="m6593,2056l7659,2056,7659,1425,6593,1425,6593,2056xe" filled="true" fillcolor="#ffffff" stroked="false">
              <v:path arrowok="t"/>
              <v:fill type="solid"/>
            </v:shape>
            <w10:wrap type="none"/>
          </v:group>
        </w:pict>
      </w:r>
      <w:r>
        <w:rPr/>
        <w:t>单位：股</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02"/>
        <w:gridCol w:w="1205"/>
        <w:gridCol w:w="924"/>
        <w:gridCol w:w="1074"/>
        <w:gridCol w:w="1055"/>
        <w:gridCol w:w="1066"/>
        <w:gridCol w:w="923"/>
        <w:gridCol w:w="1063"/>
        <w:gridCol w:w="1070"/>
      </w:tblGrid>
      <w:tr>
        <w:trPr>
          <w:trHeight w:val="158"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4" w:lineRule="auto"/>
              <w:ind w:left="15" w:right="8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5"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39,172</w:t>
            </w:r>
          </w:p>
        </w:tc>
        <w:tc>
          <w:tcPr>
            <w:tcW w:w="924"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11" w:right="175"/>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4" w:type="dxa"/>
            <w:vMerge w:val="restart"/>
            <w:tcBorders>
              <w:top w:val="single" w:sz="6"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40,467</w:t>
            </w:r>
          </w:p>
        </w:tc>
        <w:tc>
          <w:tcPr>
            <w:tcW w:w="1055"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4"/>
              <w:ind w:left="11" w:right="-52"/>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22"/>
              <w:ind w:left="11" w:right="-8"/>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vMerge w:val="restart"/>
            <w:tcBorders>
              <w:top w:val="single" w:sz="6" w:space="0" w:color="000000"/>
              <w:left w:val="single" w:sz="18" w:space="0" w:color="D2D2D2"/>
              <w:right w:val="single" w:sz="1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986"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070"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336" w:hRule="exact"/>
        </w:trPr>
        <w:tc>
          <w:tcPr>
            <w:tcW w:w="1202" w:type="dxa"/>
            <w:vMerge/>
            <w:tcBorders>
              <w:left w:val="single" w:sz="6" w:space="0" w:color="000000"/>
              <w:right w:val="single" w:sz="6" w:space="0" w:color="000000"/>
            </w:tcBorders>
            <w:shd w:val="clear" w:color="auto" w:fill="D2D2D2"/>
          </w:tcPr>
          <w:p>
            <w:pPr/>
          </w:p>
        </w:tc>
        <w:tc>
          <w:tcPr>
            <w:tcW w:w="1205" w:type="dxa"/>
            <w:vMerge/>
            <w:tcBorders>
              <w:left w:val="single" w:sz="6" w:space="0" w:color="000000"/>
              <w:right w:val="single" w:sz="12" w:space="0" w:color="000000"/>
            </w:tcBorders>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12" w:space="0" w:color="000000"/>
              <w:right w:val="single" w:sz="12" w:space="0" w:color="000000"/>
            </w:tcBorders>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18" w:space="0" w:color="D2D2D2"/>
              <w:right w:val="single" w:sz="18" w:space="0" w:color="D2D2D2"/>
            </w:tcBorders>
          </w:tcPr>
          <w:p>
            <w:pPr/>
          </w:p>
        </w:tc>
        <w:tc>
          <w:tcPr>
            <w:tcW w:w="1986"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4"/>
              <w:ind w:left="22" w:right="56"/>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0" w:type="dxa"/>
            <w:vMerge/>
            <w:tcBorders>
              <w:left w:val="single" w:sz="12" w:space="0" w:color="D2D2D2"/>
              <w:right w:val="single" w:sz="6" w:space="0" w:color="000000"/>
            </w:tcBorders>
          </w:tcPr>
          <w:p>
            <w:pPr/>
          </w:p>
        </w:tc>
      </w:tr>
      <w:tr>
        <w:trPr>
          <w:trHeight w:val="158"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205" w:type="dxa"/>
            <w:vMerge/>
            <w:tcBorders>
              <w:left w:val="single" w:sz="6" w:space="0" w:color="000000"/>
              <w:bottom w:val="single" w:sz="6" w:space="0" w:color="000000"/>
              <w:right w:val="single" w:sz="12" w:space="0" w:color="000000"/>
            </w:tcBorders>
          </w:tcPr>
          <w:p>
            <w:pPr/>
          </w:p>
        </w:tc>
        <w:tc>
          <w:tcPr>
            <w:tcW w:w="924" w:type="dxa"/>
            <w:vMerge/>
            <w:tcBorders>
              <w:left w:val="single" w:sz="6" w:space="0" w:color="000000"/>
              <w:bottom w:val="single" w:sz="6" w:space="0" w:color="000000"/>
              <w:right w:val="single" w:sz="6" w:space="0" w:color="000000"/>
            </w:tcBorders>
            <w:shd w:val="clear" w:color="auto" w:fill="D2D2D2"/>
          </w:tcPr>
          <w:p>
            <w:pPr/>
          </w:p>
        </w:tc>
        <w:tc>
          <w:tcPr>
            <w:tcW w:w="1074" w:type="dxa"/>
            <w:vMerge/>
            <w:tcBorders>
              <w:left w:val="single" w:sz="12" w:space="0" w:color="000000"/>
              <w:bottom w:val="single" w:sz="6" w:space="0" w:color="000000"/>
              <w:right w:val="single" w:sz="12" w:space="0" w:color="000000"/>
            </w:tcBorders>
          </w:tcPr>
          <w:p>
            <w:pPr/>
          </w:p>
        </w:tc>
        <w:tc>
          <w:tcPr>
            <w:tcW w:w="1055"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18" w:space="0" w:color="D2D2D2"/>
              <w:bottom w:val="single" w:sz="6" w:space="0" w:color="000000"/>
              <w:right w:val="single" w:sz="18" w:space="0" w:color="D2D2D2"/>
            </w:tcBorders>
          </w:tcPr>
          <w:p>
            <w:pPr/>
          </w:p>
        </w:tc>
        <w:tc>
          <w:tcPr>
            <w:tcW w:w="1986"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070" w:type="dxa"/>
            <w:vMerge/>
            <w:tcBorders>
              <w:left w:val="single" w:sz="12" w:space="0" w:color="D2D2D2"/>
              <w:bottom w:val="single" w:sz="6" w:space="0" w:color="000000"/>
              <w:right w:val="single" w:sz="6" w:space="0" w:color="000000"/>
            </w:tcBorders>
          </w:tcPr>
          <w:p>
            <w:pPr/>
          </w:p>
        </w:tc>
      </w:tr>
      <w:tr>
        <w:trPr>
          <w:trHeight w:val="406"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04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158" w:hRule="exact"/>
        </w:trPr>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205" w:type="dxa"/>
            <w:vMerge w:val="restart"/>
            <w:tcBorders>
              <w:top w:val="single" w:sz="6" w:space="0" w:color="000000"/>
              <w:left w:val="single" w:sz="6" w:space="0" w:color="000000"/>
              <w:right w:val="single" w:sz="6" w:space="0" w:color="000000"/>
            </w:tcBorders>
            <w:shd w:val="clear" w:color="auto" w:fill="D2D2D2"/>
          </w:tcPr>
          <w:p>
            <w:pPr/>
          </w:p>
        </w:tc>
        <w:tc>
          <w:tcPr>
            <w:tcW w:w="924" w:type="dxa"/>
            <w:vMerge w:val="restart"/>
            <w:tcBorders>
              <w:top w:val="single" w:sz="6" w:space="0" w:color="000000"/>
              <w:left w:val="single" w:sz="6" w:space="0" w:color="000000"/>
              <w:right w:val="single" w:sz="6" w:space="0" w:color="000000"/>
            </w:tcBorders>
            <w:shd w:val="clear" w:color="auto" w:fill="D2D2D2"/>
          </w:tcPr>
          <w:p>
            <w:pPr/>
          </w:p>
        </w:tc>
        <w:tc>
          <w:tcPr>
            <w:tcW w:w="1074"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5"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67" w:right="8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97" w:right="8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43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0" w:hRule="exact"/>
        </w:trPr>
        <w:tc>
          <w:tcPr>
            <w:tcW w:w="1202" w:type="dxa"/>
            <w:vMerge/>
            <w:tcBorders>
              <w:left w:val="single" w:sz="6" w:space="0" w:color="000000"/>
              <w:bottom w:val="nil" w:sz="6" w:space="0" w:color="auto"/>
              <w:right w:val="single" w:sz="6" w:space="0" w:color="000000"/>
            </w:tcBorders>
            <w:shd w:val="clear" w:color="auto" w:fill="D2D2D2"/>
          </w:tcPr>
          <w:p>
            <w:pPr/>
          </w:p>
        </w:tc>
        <w:tc>
          <w:tcPr>
            <w:tcW w:w="1205" w:type="dxa"/>
            <w:vMerge/>
            <w:tcBorders>
              <w:left w:val="single" w:sz="6" w:space="0" w:color="000000"/>
              <w:bottom w:val="nil" w:sz="6" w:space="0" w:color="auto"/>
              <w:right w:val="single" w:sz="6" w:space="0" w:color="000000"/>
            </w:tcBorders>
            <w:shd w:val="clear" w:color="auto" w:fill="D2D2D2"/>
          </w:tcPr>
          <w:p>
            <w:pPr/>
          </w:p>
        </w:tc>
        <w:tc>
          <w:tcPr>
            <w:tcW w:w="924" w:type="dxa"/>
            <w:vMerge/>
            <w:tcBorders>
              <w:left w:val="single" w:sz="6" w:space="0" w:color="000000"/>
              <w:bottom w:val="nil" w:sz="6" w:space="0" w:color="auto"/>
              <w:right w:val="single" w:sz="6" w:space="0" w:color="000000"/>
            </w:tcBorders>
            <w:shd w:val="clear" w:color="auto" w:fill="D2D2D2"/>
          </w:tcPr>
          <w:p>
            <w:pPr/>
          </w:p>
        </w:tc>
        <w:tc>
          <w:tcPr>
            <w:tcW w:w="1074"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44" w:right="93"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56" w:right="8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2133" w:type="dxa"/>
            <w:gridSpan w:val="2"/>
            <w:vMerge/>
            <w:tcBorders>
              <w:left w:val="single" w:sz="6" w:space="0" w:color="000000"/>
              <w:right w:val="single" w:sz="6" w:space="0" w:color="000000"/>
            </w:tcBorders>
            <w:shd w:val="clear" w:color="auto" w:fill="D2D2D2"/>
          </w:tcPr>
          <w:p>
            <w:pPr/>
          </w:p>
        </w:tc>
      </w:tr>
      <w:tr>
        <w:trPr>
          <w:trHeight w:val="150" w:hRule="exact"/>
        </w:trPr>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4" w:type="dxa"/>
            <w:vMerge/>
            <w:tcBorders>
              <w:left w:val="single" w:sz="6" w:space="0" w:color="000000"/>
              <w:right w:val="single" w:sz="6" w:space="0" w:color="000000"/>
            </w:tcBorders>
            <w:shd w:val="clear" w:color="auto" w:fill="D2D2D2"/>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2133" w:type="dxa"/>
            <w:gridSpan w:val="2"/>
            <w:vMerge/>
            <w:tcBorders>
              <w:left w:val="single" w:sz="6" w:space="0" w:color="000000"/>
              <w:bottom w:val="single" w:sz="6" w:space="0" w:color="000000"/>
              <w:right w:val="single" w:sz="6" w:space="0" w:color="000000"/>
            </w:tcBorders>
            <w:shd w:val="clear" w:color="auto" w:fill="D2D2D2"/>
          </w:tcPr>
          <w:p>
            <w:pPr/>
          </w:p>
        </w:tc>
      </w:tr>
      <w:tr>
        <w:trPr>
          <w:trHeight w:val="240" w:hRule="exact"/>
        </w:trPr>
        <w:tc>
          <w:tcPr>
            <w:tcW w:w="1202" w:type="dxa"/>
            <w:vMerge/>
            <w:tcBorders>
              <w:left w:val="single" w:sz="6" w:space="0" w:color="000000"/>
              <w:right w:val="single" w:sz="6" w:space="0" w:color="000000"/>
            </w:tcBorders>
            <w:shd w:val="clear" w:color="auto" w:fill="D2D2D2"/>
          </w:tcPr>
          <w:p>
            <w:pPr/>
          </w:p>
        </w:tc>
        <w:tc>
          <w:tcPr>
            <w:tcW w:w="1205" w:type="dxa"/>
            <w:vMerge/>
            <w:tcBorders>
              <w:left w:val="single" w:sz="6" w:space="0" w:color="000000"/>
              <w:bottom w:val="nil" w:sz="6" w:space="0" w:color="auto"/>
              <w:right w:val="single" w:sz="6" w:space="0" w:color="000000"/>
            </w:tcBorders>
            <w:shd w:val="clear" w:color="auto" w:fill="D2D2D2"/>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right w:val="single" w:sz="6" w:space="0" w:color="000000"/>
            </w:tcBorders>
            <w:shd w:val="clear" w:color="auto" w:fill="D2D2D2"/>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106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16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7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34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66" w:hRule="exact"/>
        </w:trPr>
        <w:tc>
          <w:tcPr>
            <w:tcW w:w="1202" w:type="dxa"/>
            <w:vMerge/>
            <w:tcBorders>
              <w:left w:val="single" w:sz="6" w:space="0" w:color="000000"/>
              <w:right w:val="single" w:sz="6" w:space="0" w:color="000000"/>
            </w:tcBorders>
            <w:shd w:val="clear" w:color="auto" w:fill="D2D2D2"/>
          </w:tcPr>
          <w:p>
            <w:pPr/>
          </w:p>
        </w:tc>
        <w:tc>
          <w:tcPr>
            <w:tcW w:w="1205" w:type="dxa"/>
            <w:vMerge w:val="restart"/>
            <w:tcBorders>
              <w:top w:val="nil" w:sz="6" w:space="0" w:color="auto"/>
              <w:left w:val="single" w:sz="6" w:space="0" w:color="000000"/>
              <w:right w:val="single" w:sz="6" w:space="0" w:color="000000"/>
            </w:tcBorders>
            <w:shd w:val="clear" w:color="auto" w:fill="D2D2D2"/>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bottom w:val="nil" w:sz="6" w:space="0" w:color="auto"/>
              <w:right w:val="single" w:sz="6" w:space="0" w:color="000000"/>
            </w:tcBorders>
            <w:shd w:val="clear" w:color="auto" w:fill="D2D2D2"/>
          </w:tcPr>
          <w:p>
            <w:pPr/>
          </w:p>
        </w:tc>
        <w:tc>
          <w:tcPr>
            <w:tcW w:w="1055"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1063" w:type="dxa"/>
            <w:vMerge/>
            <w:tcBorders>
              <w:left w:val="single" w:sz="6" w:space="0" w:color="000000"/>
              <w:right w:val="single" w:sz="6" w:space="0" w:color="000000"/>
            </w:tcBorders>
            <w:shd w:val="clear" w:color="auto" w:fill="D2D2D2"/>
          </w:tcPr>
          <w:p>
            <w:pPr/>
          </w:p>
        </w:tc>
        <w:tc>
          <w:tcPr>
            <w:tcW w:w="1070" w:type="dxa"/>
            <w:vMerge/>
            <w:tcBorders>
              <w:left w:val="single" w:sz="6" w:space="0" w:color="000000"/>
              <w:right w:val="single" w:sz="6" w:space="0" w:color="000000"/>
            </w:tcBorders>
            <w:shd w:val="clear" w:color="auto" w:fill="D2D2D2"/>
          </w:tcPr>
          <w:p>
            <w:pPr/>
          </w:p>
        </w:tc>
      </w:tr>
      <w:tr>
        <w:trPr>
          <w:trHeight w:val="158"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205" w:type="dxa"/>
            <w:vMerge/>
            <w:tcBorders>
              <w:left w:val="single" w:sz="6" w:space="0" w:color="000000"/>
              <w:bottom w:val="single" w:sz="6" w:space="0" w:color="000000"/>
              <w:right w:val="single" w:sz="6" w:space="0" w:color="000000"/>
            </w:tcBorders>
            <w:shd w:val="clear" w:color="auto" w:fill="D2D2D2"/>
          </w:tcPr>
          <w:p>
            <w:pPr/>
          </w:p>
        </w:tc>
        <w:tc>
          <w:tcPr>
            <w:tcW w:w="924" w:type="dxa"/>
            <w:vMerge/>
            <w:tcBorders>
              <w:left w:val="single" w:sz="6" w:space="0" w:color="000000"/>
              <w:bottom w:val="single" w:sz="6" w:space="0" w:color="000000"/>
              <w:right w:val="single" w:sz="6" w:space="0" w:color="000000"/>
            </w:tcBorders>
            <w:shd w:val="clear" w:color="auto" w:fill="D2D2D2"/>
          </w:tcPr>
          <w:p>
            <w:pPr/>
          </w:p>
        </w:tc>
        <w:tc>
          <w:tcPr>
            <w:tcW w:w="1074" w:type="dxa"/>
            <w:tcBorders>
              <w:top w:val="nil" w:sz="6" w:space="0" w:color="auto"/>
              <w:left w:val="single" w:sz="6" w:space="0" w:color="000000"/>
              <w:bottom w:val="single" w:sz="6" w:space="0" w:color="000000"/>
              <w:right w:val="single" w:sz="6" w:space="0" w:color="000000"/>
            </w:tcBorders>
            <w:shd w:val="clear" w:color="auto" w:fill="D2D2D2"/>
          </w:tcPr>
          <w:p>
            <w:pPr/>
          </w:p>
        </w:tc>
        <w:tc>
          <w:tcPr>
            <w:tcW w:w="105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923" w:type="dxa"/>
            <w:vMerge/>
            <w:tcBorders>
              <w:left w:val="single" w:sz="6" w:space="0" w:color="000000"/>
              <w:bottom w:val="single" w:sz="6" w:space="0" w:color="000000"/>
              <w:right w:val="single" w:sz="6" w:space="0" w:color="000000"/>
            </w:tcBorders>
            <w:shd w:val="clear" w:color="auto" w:fill="D2D2D2"/>
          </w:tcPr>
          <w:p>
            <w:pPr/>
          </w:p>
        </w:tc>
        <w:tc>
          <w:tcPr>
            <w:tcW w:w="1063" w:type="dxa"/>
            <w:vMerge/>
            <w:tcBorders>
              <w:left w:val="single" w:sz="6" w:space="0" w:color="000000"/>
              <w:bottom w:val="single" w:sz="6" w:space="0" w:color="000000"/>
              <w:right w:val="single" w:sz="6" w:space="0" w:color="000000"/>
            </w:tcBorders>
            <w:shd w:val="clear" w:color="auto" w:fill="D2D2D2"/>
          </w:tcPr>
          <w:p>
            <w:pPr/>
          </w:p>
        </w:tc>
        <w:tc>
          <w:tcPr>
            <w:tcW w:w="1070"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益群集团控股 有限公司</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25.43%</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48,061,003</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-1,889,607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48,061,003</w:t>
            </w:r>
          </w:p>
        </w:tc>
        <w:tc>
          <w:tcPr>
            <w:tcW w:w="1063" w:type="dxa"/>
            <w:tcBorders>
              <w:top w:val="single" w:sz="48" w:space="0" w:color="D2D2D2"/>
              <w:left w:val="single" w:sz="6" w:space="0" w:color="000000"/>
              <w:bottom w:val="single" w:sz="6" w:space="0" w:color="000000"/>
              <w:right w:val="single" w:sz="6" w:space="0" w:color="000000"/>
            </w:tcBorders>
          </w:tcPr>
          <w:p>
            <w:pPr/>
          </w:p>
        </w:tc>
        <w:tc>
          <w:tcPr>
            <w:tcW w:w="1070" w:type="dxa"/>
            <w:tcBorders>
              <w:top w:val="single" w:sz="48" w:space="0" w:color="D2D2D2"/>
              <w:left w:val="single" w:sz="6" w:space="0" w:color="000000"/>
              <w:bottom w:val="single" w:sz="6" w:space="0" w:color="000000"/>
              <w:right w:val="single" w:sz="6" w:space="0" w:color="000000"/>
            </w:tcBorders>
          </w:tcPr>
          <w:p>
            <w:pP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89"/>
              <w:jc w:val="left"/>
              <w:rPr>
                <w:rFonts w:ascii="宋体" w:hAnsi="宋体" w:cs="宋体" w:eastAsia="宋体" w:hint="default"/>
                <w:sz w:val="18"/>
                <w:szCs w:val="18"/>
              </w:rPr>
            </w:pPr>
            <w:r>
              <w:rPr>
                <w:rFonts w:ascii="宋体" w:hAnsi="宋体" w:cs="宋体" w:eastAsia="宋体" w:hint="default"/>
                <w:sz w:val="18"/>
                <w:szCs w:val="18"/>
              </w:rPr>
              <w:t>益志集团控股 有限公司</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6.56%</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12,404,210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-2,814,589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12,404,210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r>
        <w:trPr>
          <w:trHeight w:val="135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02"/>
              <w:ind w:left="15" w:right="155"/>
              <w:jc w:val="left"/>
              <w:rPr>
                <w:rFonts w:ascii="Times New Roman" w:hAnsi="Times New Roman" w:cs="Times New Roman" w:eastAsia="Times New Roman" w:hint="default"/>
                <w:sz w:val="18"/>
                <w:szCs w:val="18"/>
              </w:rPr>
            </w:pPr>
            <w:r>
              <w:rPr>
                <w:rFonts w:ascii="Times New Roman"/>
                <w:spacing w:val="-3"/>
                <w:sz w:val="18"/>
              </w:rPr>
              <w:t>SYSTEX</w:t>
            </w:r>
            <w:r>
              <w:rPr>
                <w:rFonts w:ascii="Times New Roman"/>
                <w:spacing w:val="-42"/>
                <w:sz w:val="18"/>
              </w:rPr>
              <w:t> </w:t>
            </w:r>
            <w:r>
              <w:rPr>
                <w:rFonts w:ascii="Times New Roman"/>
                <w:spacing w:val="-42"/>
                <w:sz w:val="18"/>
              </w:rPr>
            </w:r>
            <w:r>
              <w:rPr>
                <w:rFonts w:ascii="Times New Roman"/>
                <w:sz w:val="18"/>
              </w:rPr>
              <w:t>SOLUTIONS</w:t>
            </w:r>
          </w:p>
          <w:p>
            <w:pPr>
              <w:pStyle w:val="TableParagraph"/>
              <w:spacing w:line="226" w:lineRule="exact"/>
              <w:ind w:left="15"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HK</w:t>
            </w:r>
            <w:r>
              <w:rPr>
                <w:rFonts w:ascii="宋体" w:hAnsi="宋体" w:cs="宋体" w:eastAsia="宋体" w:hint="default"/>
                <w:spacing w:val="2"/>
                <w:sz w:val="18"/>
                <w:szCs w:val="18"/>
              </w:rPr>
              <w:t>）</w:t>
            </w:r>
          </w:p>
          <w:p>
            <w:pPr>
              <w:pStyle w:val="TableParagraph"/>
              <w:spacing w:line="240" w:lineRule="auto" w:before="108"/>
              <w:ind w:left="15" w:right="0"/>
              <w:jc w:val="left"/>
              <w:rPr>
                <w:rFonts w:ascii="Times New Roman" w:hAnsi="Times New Roman" w:cs="Times New Roman" w:eastAsia="Times New Roman" w:hint="default"/>
                <w:sz w:val="18"/>
                <w:szCs w:val="18"/>
              </w:rPr>
            </w:pPr>
            <w:r>
              <w:rPr>
                <w:rFonts w:ascii="Times New Roman"/>
                <w:sz w:val="18"/>
              </w:rPr>
              <w:t>LIMITED</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4.91%</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9,272,541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-5,667,887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9,272,541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益威集团控股 有限公司</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4.69%</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8,872,042</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-2,957,300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8,872,042</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杨小萍</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w w:val="95"/>
                <w:sz w:val="18"/>
              </w:rPr>
              <w:t>1.21%</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2,290,782</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2,290,782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2,290,782</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莫来兴</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w w:val="95"/>
                <w:sz w:val="18"/>
              </w:rPr>
              <w:t>1.05%</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sz w:val="18"/>
              </w:rPr>
              <w:t>1,990,900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1,990,900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1,990,900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倪玉生</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2"/>
              <w:jc w:val="right"/>
              <w:rPr>
                <w:rFonts w:ascii="Times New Roman" w:hAnsi="Times New Roman" w:cs="Times New Roman" w:eastAsia="Times New Roman" w:hint="default"/>
                <w:sz w:val="18"/>
                <w:szCs w:val="18"/>
              </w:rPr>
            </w:pPr>
            <w:r>
              <w:rPr>
                <w:rFonts w:ascii="Times New Roman"/>
                <w:sz w:val="18"/>
              </w:rPr>
              <w:t>1,320,085</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 w:right="0"/>
              <w:jc w:val="left"/>
              <w:rPr>
                <w:rFonts w:ascii="Times New Roman" w:hAnsi="Times New Roman" w:cs="Times New Roman" w:eastAsia="Times New Roman" w:hint="default"/>
                <w:sz w:val="18"/>
                <w:szCs w:val="18"/>
              </w:rPr>
            </w:pPr>
            <w:r>
              <w:rPr>
                <w:rFonts w:ascii="Times New Roman"/>
                <w:sz w:val="18"/>
              </w:rPr>
              <w:t>1,320,085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1,320,085</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30"/>
              <w:ind w:left="15" w:right="89"/>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0.62%</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1,176,813</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1,176,813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深圳俊图精科 投资有限公司</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78"/>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0.52%</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977,547</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-178,200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977,547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俞慧军</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2"/>
              <w:jc w:val="right"/>
              <w:rPr>
                <w:rFonts w:ascii="Times New Roman" w:hAnsi="Times New Roman" w:cs="Times New Roman" w:eastAsia="Times New Roman" w:hint="default"/>
                <w:sz w:val="18"/>
                <w:szCs w:val="18"/>
              </w:rPr>
            </w:pPr>
            <w:r>
              <w:rPr>
                <w:rFonts w:ascii="Times New Roman"/>
                <w:sz w:val="18"/>
              </w:rPr>
              <w:t>903,300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 w:right="0"/>
              <w:jc w:val="left"/>
              <w:rPr>
                <w:rFonts w:ascii="Times New Roman" w:hAnsi="Times New Roman" w:cs="Times New Roman" w:eastAsia="Times New Roman" w:hint="default"/>
                <w:sz w:val="18"/>
                <w:szCs w:val="18"/>
              </w:rPr>
            </w:pPr>
            <w:r>
              <w:rPr>
                <w:rFonts w:ascii="Times New Roman"/>
                <w:sz w:val="18"/>
              </w:rPr>
              <w:t>903,300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903,300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40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15" w:right="3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5"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公司实际控制人为周志群先生，周志群先生持有公司控股股东益群集团控股有限公司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p>
          <w:p>
            <w:pPr>
              <w:pStyle w:val="TableParagraph"/>
              <w:spacing w:line="240" w:lineRule="auto" w:before="36"/>
              <w:ind w:left="3" w:right="0"/>
              <w:jc w:val="left"/>
              <w:rPr>
                <w:rFonts w:ascii="宋体" w:hAnsi="宋体" w:cs="宋体" w:eastAsia="宋体" w:hint="default"/>
                <w:sz w:val="18"/>
                <w:szCs w:val="18"/>
              </w:rPr>
            </w:pPr>
            <w:r>
              <w:rPr>
                <w:rFonts w:ascii="宋体" w:hAnsi="宋体" w:cs="宋体" w:eastAsia="宋体" w:hint="default"/>
                <w:sz w:val="18"/>
                <w:szCs w:val="18"/>
              </w:rPr>
              <w:t>股权。</w:t>
            </w:r>
          </w:p>
        </w:tc>
      </w:tr>
      <w:tr>
        <w:trPr>
          <w:trHeight w:val="390"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403"/>
        <w:gridCol w:w="5046"/>
        <w:gridCol w:w="1067"/>
        <w:gridCol w:w="1066"/>
      </w:tblGrid>
      <w:tr>
        <w:trPr>
          <w:trHeight w:val="405" w:hRule="exact"/>
        </w:trPr>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5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0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5" w:hRule="exact"/>
        </w:trPr>
        <w:tc>
          <w:tcPr>
            <w:tcW w:w="2403" w:type="dxa"/>
            <w:vMerge/>
            <w:tcBorders>
              <w:left w:val="single" w:sz="6" w:space="0" w:color="000000"/>
              <w:bottom w:val="single" w:sz="6" w:space="0" w:color="000000"/>
              <w:right w:val="single" w:sz="6" w:space="0" w:color="000000"/>
            </w:tcBorders>
            <w:shd w:val="clear" w:color="auto" w:fill="D2D2D2"/>
          </w:tcPr>
          <w:p>
            <w:pPr/>
          </w:p>
        </w:tc>
        <w:tc>
          <w:tcPr>
            <w:tcW w:w="5046" w:type="dxa"/>
            <w:vMerge/>
            <w:tcBorders>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48,061,003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48,061,003</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12,404,210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12,404,210</w:t>
            </w:r>
          </w:p>
        </w:tc>
      </w:tr>
      <w:tr>
        <w:trPr>
          <w:trHeight w:val="7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45" w:lineRule="auto" w:before="45"/>
              <w:ind w:left="15" w:right="1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SYSTEX</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SOLUTIONS</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LIMITED</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9,272,541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9,272,541</w:t>
            </w:r>
          </w:p>
        </w:tc>
      </w:tr>
      <w:tr>
        <w:trPr>
          <w:trHeight w:val="72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8,872,042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8,872,042</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杨小萍</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2,290,782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2,290,782</w:t>
            </w:r>
          </w:p>
        </w:tc>
      </w:tr>
      <w:tr>
        <w:trPr>
          <w:trHeight w:val="7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莫来兴</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1,990,900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1,990,900</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倪玉生</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1,320,085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1,320,085</w:t>
            </w:r>
          </w:p>
        </w:tc>
      </w:tr>
      <w:tr>
        <w:trPr>
          <w:trHeight w:val="7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中央汇金资产管理有限责任公 司</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1,176,813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1,176,813</w:t>
            </w:r>
          </w:p>
        </w:tc>
      </w:tr>
      <w:tr>
        <w:trPr>
          <w:trHeight w:val="72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深圳俊图精科投资有限公司</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977,547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977,547</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俞慧军</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903,300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hAnsi="宋体" w:cs="宋体" w:eastAsia="宋体" w:hint="default"/>
                <w:sz w:val="18"/>
                <w:szCs w:val="18"/>
              </w:rPr>
              <w:t>人民币普通</w:t>
            </w:r>
          </w:p>
          <w:p>
            <w:pPr>
              <w:pStyle w:val="TableParagraph"/>
              <w:spacing w:line="240" w:lineRule="auto" w:before="64"/>
              <w:ind w:right="14"/>
              <w:jc w:val="right"/>
              <w:rPr>
                <w:rFonts w:ascii="宋体" w:hAnsi="宋体" w:cs="宋体" w:eastAsia="宋体" w:hint="default"/>
                <w:sz w:val="18"/>
                <w:szCs w:val="18"/>
              </w:rPr>
            </w:pPr>
            <w:r>
              <w:rPr>
                <w:rFonts w:ascii="宋体" w:hAnsi="宋体" w:cs="宋体" w:eastAsia="宋体" w:hint="default"/>
                <w:sz w:val="18"/>
                <w:szCs w:val="18"/>
              </w:rPr>
              <w:t>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903,300</w:t>
            </w:r>
          </w:p>
        </w:tc>
      </w:tr>
      <w:tr>
        <w:trPr>
          <w:trHeight w:val="1321"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90"/>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276" w:lineRule="auto" w:before="66"/>
              <w:ind w:left="15" w:right="12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公司实际控制人为周志群先生，周志群先生持有公司控股股东益群集团控股有限公司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股权。</w:t>
            </w:r>
          </w:p>
        </w:tc>
      </w:tr>
    </w:tbl>
    <w:p>
      <w:pPr>
        <w:pStyle w:val="BodyText"/>
        <w:spacing w:line="240" w:lineRule="auto" w:before="59"/>
        <w:ind w:right="939"/>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11"/>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96"/>
        <w:ind w:right="939"/>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939"/>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4"/>
          <w:szCs w:val="24"/>
        </w:rPr>
      </w:pPr>
    </w:p>
    <w:p>
      <w:pPr>
        <w:pStyle w:val="BodyText"/>
        <w:spacing w:line="367" w:lineRule="auto"/>
        <w:ind w:right="8769"/>
        <w:jc w:val="left"/>
      </w:pPr>
      <w:r>
        <w:rPr/>
        <w:t>控股股东性质：外商控股 控股股东类型：法人</w:t>
      </w:r>
    </w:p>
    <w:tbl>
      <w:tblPr>
        <w:tblW w:w="0" w:type="auto"/>
        <w:jc w:val="left"/>
        <w:tblInd w:w="126" w:type="dxa"/>
        <w:tblLayout w:type="fixed"/>
        <w:tblCellMar>
          <w:top w:w="0" w:type="dxa"/>
          <w:left w:w="0" w:type="dxa"/>
          <w:bottom w:w="0" w:type="dxa"/>
          <w:right w:w="0" w:type="dxa"/>
        </w:tblCellMar>
        <w:tblLook w:val="01E0"/>
      </w:tblPr>
      <w:tblGrid>
        <w:gridCol w:w="2207"/>
        <w:gridCol w:w="1788"/>
        <w:gridCol w:w="1592"/>
        <w:gridCol w:w="1757"/>
        <w:gridCol w:w="2238"/>
      </w:tblGrid>
      <w:tr>
        <w:trPr>
          <w:trHeight w:val="721"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96" w:right="59" w:hanging="751"/>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06" w:hRule="exact"/>
        </w:trPr>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1653499</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32"/>
              <w:jc w:val="left"/>
              <w:rPr>
                <w:rFonts w:ascii="宋体" w:hAnsi="宋体" w:cs="宋体" w:eastAsia="宋体" w:hint="default"/>
                <w:sz w:val="18"/>
                <w:szCs w:val="18"/>
              </w:rPr>
            </w:pPr>
            <w:r>
              <w:rPr>
                <w:rFonts w:ascii="宋体" w:hAnsi="宋体" w:cs="宋体" w:eastAsia="宋体" w:hint="default"/>
                <w:sz w:val="18"/>
                <w:szCs w:val="18"/>
              </w:rPr>
              <w:t>除投资本公司外，无其他经 营业务</w:t>
            </w:r>
          </w:p>
        </w:tc>
      </w:tr>
    </w:tbl>
    <w:p>
      <w:pPr>
        <w:spacing w:after="0" w:line="321"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10"/>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192"/>
        <w:gridCol w:w="7389"/>
      </w:tblGrid>
      <w:tr>
        <w:trPr>
          <w:trHeight w:val="331" w:hRule="exact"/>
        </w:trPr>
        <w:tc>
          <w:tcPr>
            <w:tcW w:w="2192" w:type="dxa"/>
            <w:tcBorders>
              <w:top w:val="nil" w:sz="6" w:space="0" w:color="auto"/>
              <w:left w:val="nil" w:sz="6" w:space="0" w:color="auto"/>
              <w:bottom w:val="single" w:sz="6" w:space="0" w:color="000000"/>
              <w:right w:val="nil" w:sz="6" w:space="0" w:color="auto"/>
            </w:tcBorders>
          </w:tcPr>
          <w:p>
            <w:pPr/>
          </w:p>
        </w:tc>
        <w:tc>
          <w:tcPr>
            <w:tcW w:w="7389" w:type="dxa"/>
            <w:tcBorders>
              <w:top w:val="nil" w:sz="6" w:space="0" w:color="auto"/>
              <w:left w:val="nil" w:sz="6" w:space="0" w:color="auto"/>
              <w:bottom w:val="single" w:sz="6" w:space="0" w:color="000000"/>
              <w:right w:val="nil" w:sz="6" w:space="0" w:color="auto"/>
            </w:tcBorders>
          </w:tcPr>
          <w:p>
            <w:pPr/>
          </w:p>
        </w:tc>
      </w:tr>
      <w:tr>
        <w:trPr>
          <w:trHeight w:val="10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80"/>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5"/>
        <w:ind w:right="939"/>
        <w:jc w:val="left"/>
      </w:pPr>
      <w:r>
        <w:rPr/>
        <w:pict>
          <v:group style="position:absolute;margin-left:55.575001pt;margin-top:-67.933273pt;width:485.85pt;height:.1pt;mso-position-horizontal-relative:page;mso-position-vertical-relative:paragraph;z-index:-1163584" coordorigin="1112,-1359" coordsize="9717,2">
            <v:shape style="position:absolute;left:1112;top:-1359;width:9717;height:2" coordorigin="1112,-1359" coordsize="9717,0" path="m1112,-1359l10829,-1359e" filled="false" stroked="true" strokeweight=".75pt" strokecolor="#000000">
              <v:path arrowok="t"/>
            </v:shape>
            <w10:wrap type="none"/>
          </v:group>
        </w:pict>
      </w:r>
      <w:r>
        <w:rPr/>
        <w:t>控股股东报告期内变更</w:t>
      </w:r>
    </w:p>
    <w:p>
      <w:pPr>
        <w:pStyle w:val="BodyText"/>
        <w:spacing w:line="333" w:lineRule="auto" w:before="124"/>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公司报告期控股股东未发生变更。</w:t>
      </w:r>
    </w:p>
    <w:p>
      <w:pPr>
        <w:spacing w:line="240" w:lineRule="auto" w:before="4"/>
        <w:rPr>
          <w:rFonts w:ascii="宋体" w:hAnsi="宋体" w:cs="宋体" w:eastAsia="宋体" w:hint="default"/>
          <w:sz w:val="23"/>
          <w:szCs w:val="23"/>
        </w:rPr>
      </w:pPr>
    </w:p>
    <w:p>
      <w:pPr>
        <w:pStyle w:val="Heading3"/>
        <w:spacing w:line="240" w:lineRule="auto"/>
        <w:ind w:right="939"/>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4"/>
          <w:szCs w:val="24"/>
        </w:rPr>
      </w:pPr>
    </w:p>
    <w:p>
      <w:pPr>
        <w:pStyle w:val="BodyText"/>
        <w:spacing w:line="367" w:lineRule="auto"/>
        <w:ind w:right="8409"/>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left="0" w:right="1130"/>
        <w:jc w:val="right"/>
      </w:pPr>
      <w:r>
        <w:rPr/>
        <w:pict>
          <v:shape style="position:absolute;margin-left:56.325001pt;margin-top:-57.118271pt;width:480.25pt;height:112.6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021" w:right="107" w:hanging="902"/>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周志群先生持有公司控股股东益群控股</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股权，周志群先生现任本公司董事长、总经理</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0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 市公司情况</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44"/>
        <w:ind w:right="939"/>
        <w:jc w:val="left"/>
      </w:pPr>
      <w:r>
        <w:rPr/>
        <w:t>实际控制人报告期内变更</w:t>
      </w:r>
    </w:p>
    <w:p>
      <w:pPr>
        <w:pStyle w:val="BodyText"/>
        <w:spacing w:line="240" w:lineRule="auto" w:before="125"/>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8"/>
        <w:rPr>
          <w:rFonts w:ascii="宋体" w:hAnsi="宋体" w:cs="宋体" w:eastAsia="宋体" w:hint="default"/>
          <w:sz w:val="24"/>
          <w:szCs w:val="24"/>
        </w:rPr>
      </w:pPr>
    </w:p>
    <w:p>
      <w:pPr>
        <w:spacing w:line="3885" w:lineRule="exact"/>
        <w:ind w:left="1338"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585148" cy="24669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1" cstate="print"/>
                    <a:stretch>
                      <a:fillRect/>
                    </a:stretch>
                  </pic:blipFill>
                  <pic:spPr>
                    <a:xfrm>
                      <a:off x="0" y="0"/>
                      <a:ext cx="4585148" cy="2466975"/>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2"/>
        <w:rPr>
          <w:rFonts w:ascii="宋体" w:hAnsi="宋体" w:cs="宋体" w:eastAsia="宋体" w:hint="default"/>
          <w:sz w:val="23"/>
          <w:szCs w:val="23"/>
        </w:rPr>
      </w:pPr>
    </w:p>
    <w:p>
      <w:pPr>
        <w:pStyle w:val="BodyText"/>
        <w:spacing w:line="240" w:lineRule="auto"/>
        <w:ind w:right="939"/>
        <w:jc w:val="left"/>
      </w:pPr>
      <w:r>
        <w:rPr/>
        <w:t>实际控制人通过信托或其他资产管理方式控制公司</w:t>
      </w:r>
    </w:p>
    <w:p>
      <w:pPr>
        <w:pStyle w:val="BodyText"/>
        <w:spacing w:line="240" w:lineRule="auto" w:before="125"/>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939"/>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040" w:bottom="1180" w:left="1000" w:right="0"/>
        </w:sectPr>
      </w:pPr>
    </w:p>
    <w:p>
      <w:pPr>
        <w:spacing w:line="240" w:lineRule="auto" w:before="2"/>
        <w:rPr>
          <w:rFonts w:ascii="宋体" w:hAnsi="宋体" w:cs="宋体" w:eastAsia="宋体" w:hint="default"/>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1"/>
          <w:szCs w:val="21"/>
        </w:rPr>
      </w:pPr>
    </w:p>
    <w:p>
      <w:pPr>
        <w:pStyle w:val="Heading3"/>
        <w:spacing w:line="240" w:lineRule="auto" w:before="35"/>
        <w:ind w:right="939"/>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1"/>
        <w:spacing w:line="240" w:lineRule="auto" w:before="139"/>
        <w:ind w:left="3280" w:right="939"/>
        <w:jc w:val="left"/>
        <w:rPr>
          <w:b w:val="0"/>
          <w:bCs w:val="0"/>
        </w:rPr>
      </w:pPr>
      <w:bookmarkStart w:name="第七节 优先股相关情况" w:id="117"/>
      <w:bookmarkEnd w:id="117"/>
      <w:r>
        <w:rPr>
          <w:b w:val="0"/>
          <w:bCs w:val="0"/>
        </w:rPr>
      </w:r>
      <w:bookmarkStart w:name="_bookmark6" w:id="118"/>
      <w:bookmarkEnd w:id="118"/>
      <w:r>
        <w:rPr>
          <w:b w:val="0"/>
          <w:bCs w:val="0"/>
        </w:rPr>
      </w:r>
      <w:r>
        <w:rPr>
          <w:spacing w:val="4"/>
        </w:rPr>
        <w:t>第七节</w:t>
      </w:r>
      <w:r>
        <w:rPr>
          <w:spacing w:val="60"/>
        </w:rPr>
        <w:t> </w:t>
      </w:r>
      <w:r>
        <w:rPr>
          <w:spacing w:val="5"/>
        </w:rPr>
        <w:t>优先股相关情况</w:t>
      </w:r>
      <w:r>
        <w:rPr>
          <w:b w:val="0"/>
          <w:bCs w:val="0"/>
          <w:spacing w:val="5"/>
        </w:rPr>
      </w:r>
    </w:p>
    <w:p>
      <w:pPr>
        <w:spacing w:line="240" w:lineRule="auto" w:before="7"/>
        <w:rPr>
          <w:rFonts w:ascii="宋体" w:hAnsi="宋体" w:cs="宋体" w:eastAsia="宋体" w:hint="default"/>
          <w:b/>
          <w:bCs/>
          <w:sz w:val="42"/>
          <w:szCs w:val="42"/>
        </w:rPr>
      </w:pPr>
    </w:p>
    <w:p>
      <w:pPr>
        <w:pStyle w:val="BodyText"/>
        <w:spacing w:line="319" w:lineRule="auto"/>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319" w:lineRule="auto"/>
        <w:jc w:val="left"/>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634" w:right="939"/>
        <w:jc w:val="left"/>
        <w:rPr>
          <w:b w:val="0"/>
          <w:bCs w:val="0"/>
        </w:rPr>
      </w:pPr>
      <w:bookmarkStart w:name="第八节 可转换公司债券相关情况" w:id="119"/>
      <w:bookmarkEnd w:id="119"/>
      <w:r>
        <w:rPr>
          <w:b w:val="0"/>
          <w:bCs w:val="0"/>
        </w:rPr>
      </w:r>
      <w:bookmarkStart w:name="_bookmark7" w:id="120"/>
      <w:bookmarkEnd w:id="120"/>
      <w:r>
        <w:rPr>
          <w:b w:val="0"/>
          <w:bCs w:val="0"/>
        </w:rPr>
      </w:r>
      <w:r>
        <w:rPr>
          <w:spacing w:val="4"/>
        </w:rPr>
        <w:t>第八节</w:t>
      </w:r>
      <w:r>
        <w:rPr>
          <w:spacing w:val="84"/>
        </w:rPr>
        <w:t> </w:t>
      </w:r>
      <w:r>
        <w:rPr>
          <w:spacing w:val="5"/>
        </w:rPr>
        <w:t>可转换公司债券相关情况</w:t>
      </w:r>
      <w:r>
        <w:rPr>
          <w:b w:val="0"/>
          <w:bCs w:val="0"/>
          <w:spacing w:val="5"/>
        </w:rPr>
      </w:r>
    </w:p>
    <w:p>
      <w:pPr>
        <w:spacing w:line="240" w:lineRule="auto" w:before="7"/>
        <w:rPr>
          <w:rFonts w:ascii="宋体" w:hAnsi="宋体" w:cs="宋体" w:eastAsia="宋体" w:hint="default"/>
          <w:b/>
          <w:bCs/>
          <w:sz w:val="42"/>
          <w:szCs w:val="42"/>
        </w:rPr>
      </w:pPr>
    </w:p>
    <w:p>
      <w:pPr>
        <w:pStyle w:val="BodyText"/>
        <w:spacing w:line="333"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333" w:lineRule="auto"/>
        <w:jc w:val="left"/>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673" w:right="939"/>
        <w:jc w:val="left"/>
        <w:rPr>
          <w:b w:val="0"/>
          <w:bCs w:val="0"/>
        </w:rPr>
      </w:pPr>
      <w:bookmarkStart w:name="第九节 董事、监事、高级管理人员和员工情况" w:id="121"/>
      <w:bookmarkEnd w:id="121"/>
      <w:r>
        <w:rPr>
          <w:b w:val="0"/>
          <w:bCs w:val="0"/>
        </w:rPr>
      </w:r>
      <w:bookmarkStart w:name="_bookmark8" w:id="122"/>
      <w:bookmarkEnd w:id="122"/>
      <w:r>
        <w:rPr>
          <w:b w:val="0"/>
          <w:bCs w:val="0"/>
        </w:rPr>
      </w:r>
      <w:r>
        <w:rPr>
          <w:spacing w:val="4"/>
        </w:rPr>
        <w:t>第九节</w:t>
      </w:r>
      <w:r>
        <w:rPr>
          <w:spacing w:val="108"/>
        </w:rPr>
        <w:t> </w:t>
      </w:r>
      <w:r>
        <w:rPr>
          <w:spacing w:val="5"/>
        </w:rPr>
        <w:t>董事、监事、高级管理人员和员工情况</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939"/>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9"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4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96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30" w:right="29"/>
              <w:jc w:val="both"/>
              <w:rPr>
                <w:rFonts w:ascii="宋体" w:hAnsi="宋体" w:cs="宋体" w:eastAsia="宋体" w:hint="default"/>
                <w:sz w:val="18"/>
                <w:szCs w:val="18"/>
              </w:rPr>
            </w:pPr>
            <w:r>
              <w:rPr>
                <w:rFonts w:ascii="宋体" w:hAnsi="宋体" w:cs="宋体" w:eastAsia="宋体" w:hint="default"/>
                <w:sz w:val="18"/>
                <w:szCs w:val="18"/>
              </w:rPr>
              <w:t>董事、常 务副总经 理、董事 会秘书、 财务负责 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28"/>
              <w:jc w:val="right"/>
              <w:rPr>
                <w:rFonts w:ascii="Times New Roman" w:hAnsi="Times New Roman" w:cs="Times New Roman" w:eastAsia="Times New Roman" w:hint="default"/>
                <w:sz w:val="18"/>
                <w:szCs w:val="18"/>
              </w:rPr>
            </w:pPr>
            <w:r>
              <w:rPr>
                <w:rFonts w:ascii="Times New Roman"/>
                <w:sz w:val="18"/>
              </w:rPr>
              <w:t>54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z w:val="18"/>
              </w:rPr>
              <w:t>1,193,001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29"/>
              <w:jc w:val="right"/>
              <w:rPr>
                <w:rFonts w:ascii="Times New Roman" w:hAnsi="Times New Roman" w:cs="Times New Roman" w:eastAsia="Times New Roman" w:hint="default"/>
                <w:sz w:val="18"/>
                <w:szCs w:val="18"/>
              </w:rPr>
            </w:pPr>
            <w:r>
              <w:rPr>
                <w:rFonts w:ascii="Times New Roman"/>
                <w:sz w:val="18"/>
              </w:rPr>
              <w:t>120,000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30"/>
              <w:jc w:val="right"/>
              <w:rPr>
                <w:rFonts w:ascii="Times New Roman" w:hAnsi="Times New Roman" w:cs="Times New Roman" w:eastAsia="Times New Roman" w:hint="default"/>
                <w:sz w:val="18"/>
                <w:szCs w:val="18"/>
              </w:rPr>
            </w:pPr>
            <w:r>
              <w:rPr>
                <w:rFonts w:ascii="Times New Roman"/>
                <w:sz w:val="18"/>
              </w:rPr>
              <w:t>-713,001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28"/>
              <w:jc w:val="right"/>
              <w:rPr>
                <w:rFonts w:ascii="Times New Roman" w:hAnsi="Times New Roman" w:cs="Times New Roman" w:eastAsia="Times New Roman" w:hint="default"/>
                <w:sz w:val="18"/>
                <w:szCs w:val="18"/>
              </w:rPr>
            </w:pPr>
            <w:r>
              <w:rPr>
                <w:rFonts w:ascii="Times New Roman"/>
                <w:sz w:val="18"/>
              </w:rPr>
              <w:t>360,000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苏哲锋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麦荣昌</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杨时飞</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朱天伟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高翔</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钱志峰</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328"/>
              <w:jc w:val="right"/>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1,193,001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-713,001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360,000</w:t>
            </w:r>
          </w:p>
        </w:tc>
      </w:tr>
    </w:tbl>
    <w:p>
      <w:pPr>
        <w:spacing w:line="240" w:lineRule="auto" w:before="12"/>
        <w:rPr>
          <w:rFonts w:ascii="宋体" w:hAnsi="宋体" w:cs="宋体" w:eastAsia="宋体" w:hint="default"/>
          <w:b/>
          <w:bCs/>
          <w:sz w:val="17"/>
          <w:szCs w:val="17"/>
        </w:rPr>
      </w:pPr>
    </w:p>
    <w:p>
      <w:pPr>
        <w:pStyle w:val="Heading2"/>
        <w:spacing w:line="240" w:lineRule="auto" w:before="26"/>
        <w:ind w:right="939"/>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1336"/>
        <w:gridCol w:w="4250"/>
      </w:tblGrid>
      <w:tr>
        <w:trPr>
          <w:trHeight w:val="405"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0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钱志峰</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因工作分工调整</w:t>
            </w:r>
          </w:p>
        </w:tc>
      </w:tr>
      <w:tr>
        <w:trPr>
          <w:trHeight w:val="72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因工作分工调整</w:t>
            </w:r>
          </w:p>
        </w:tc>
      </w:tr>
    </w:tbl>
    <w:p>
      <w:pPr>
        <w:spacing w:line="240" w:lineRule="auto" w:before="12"/>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25"/>
      <w:bookmarkEnd w:id="125"/>
      <w:r>
        <w:rPr>
          <w:b w:val="0"/>
          <w:bCs w:val="0"/>
        </w:rPr>
      </w:r>
      <w:r>
        <w:rPr/>
        <w:t>三、任职情况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240" w:lineRule="auto" w:before="110"/>
        <w:ind w:right="0"/>
        <w:jc w:val="both"/>
      </w:pPr>
      <w:r>
        <w:rPr/>
        <w:t>（一）董事会成员</w:t>
      </w:r>
    </w:p>
    <w:p>
      <w:pPr>
        <w:pStyle w:val="BodyText"/>
        <w:spacing w:line="290" w:lineRule="auto" w:before="139"/>
        <w:ind w:right="1126"/>
        <w:jc w:val="both"/>
      </w:pPr>
      <w:r>
        <w:rPr>
          <w:rFonts w:ascii="Times New Roman" w:hAnsi="Times New Roman" w:cs="Times New Roman" w:eastAsia="Times New Roman" w:hint="default"/>
        </w:rPr>
        <w:t>1</w:t>
      </w:r>
      <w:r>
        <w:rPr/>
        <w:t>、周志群，男，</w:t>
      </w:r>
      <w:r>
        <w:rPr>
          <w:rFonts w:ascii="Times New Roman" w:hAnsi="Times New Roman" w:cs="Times New Roman" w:eastAsia="Times New Roman" w:hint="default"/>
        </w:rPr>
        <w:t>1971</w:t>
      </w:r>
      <w:r>
        <w:rPr/>
        <w:t>年生，中国国籍，香港永久居民。毕业于香港中文大学，社会科学学士。</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2001</w:t>
      </w:r>
      <w:r>
        <w:rPr/>
        <w:t>年就职于永丰</w:t>
      </w:r>
      <w:r>
        <w:rPr>
          <w:spacing w:val="-82"/>
        </w:rPr>
        <w:t> </w:t>
      </w:r>
      <w:r>
        <w:rPr>
          <w:spacing w:val="-5"/>
        </w:rPr>
        <w:t>余精业科技电子（北京）有限公司，任华南区区域经理；</w:t>
      </w:r>
      <w:r>
        <w:rPr>
          <w:rFonts w:ascii="Times New Roman" w:hAnsi="Times New Roman" w:cs="Times New Roman" w:eastAsia="Times New Roman" w:hint="default"/>
          <w:spacing w:val="-5"/>
        </w:rPr>
        <w:t>2001</w:t>
      </w:r>
      <w:r>
        <w:rPr>
          <w:spacing w:val="-5"/>
        </w:rPr>
        <w:t>年至</w:t>
      </w:r>
      <w:r>
        <w:rPr>
          <w:rFonts w:ascii="Times New Roman" w:hAnsi="Times New Roman" w:cs="Times New Roman" w:eastAsia="Times New Roman" w:hint="default"/>
          <w:spacing w:val="-5"/>
        </w:rPr>
        <w:t>2003</w:t>
      </w:r>
      <w:r>
        <w:rPr>
          <w:spacing w:val="-5"/>
        </w:rPr>
        <w:t>年就职于深圳联合新创科技有限公司，任总经理。</w:t>
      </w:r>
      <w:r>
        <w:rPr>
          <w:rFonts w:ascii="Times New Roman" w:hAnsi="Times New Roman" w:cs="Times New Roman" w:eastAsia="Times New Roman" w:hint="default"/>
          <w:spacing w:val="-5"/>
        </w:rPr>
        <w:t>2003</w:t>
      </w:r>
      <w:r>
        <w:rPr>
          <w:rFonts w:ascii="Times New Roman" w:hAnsi="Times New Roman" w:cs="Times New Roman" w:eastAsia="Times New Roman" w:hint="default"/>
        </w:rPr>
        <w:t> </w:t>
      </w:r>
      <w:r>
        <w:rPr/>
        <w:t>年和邓修生共同创立四方深圳并一直担任董事长、总经理职务。现任四方精创董事长兼总经理、四方香港总经理。</w:t>
      </w:r>
    </w:p>
    <w:p>
      <w:pPr>
        <w:pStyle w:val="BodyText"/>
        <w:spacing w:line="295" w:lineRule="auto" w:before="102"/>
        <w:ind w:right="1096"/>
        <w:jc w:val="both"/>
      </w:pPr>
      <w:r>
        <w:rPr>
          <w:rFonts w:ascii="Times New Roman" w:hAnsi="Times New Roman" w:cs="Times New Roman" w:eastAsia="Times New Roman" w:hint="default"/>
        </w:rPr>
        <w:t>2</w:t>
      </w:r>
      <w:r>
        <w:rPr/>
        <w:t>、邓修生，男，</w:t>
      </w:r>
      <w:r>
        <w:rPr>
          <w:rFonts w:ascii="Times New Roman" w:hAnsi="Times New Roman" w:cs="Times New Roman" w:eastAsia="Times New Roman" w:hint="default"/>
        </w:rPr>
        <w:t>1967</w:t>
      </w:r>
      <w:r>
        <w:rPr/>
        <w:t>年生，中国台湾居民。毕业于台湾逢甲大学，资讯工程学学士。</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2001</w:t>
      </w:r>
      <w:r>
        <w:rPr/>
        <w:t>年就职于永丰余精业科</w:t>
      </w:r>
      <w:r>
        <w:rPr>
          <w:spacing w:val="-85"/>
        </w:rPr>
        <w:t> </w:t>
      </w:r>
      <w:r>
        <w:rPr>
          <w:spacing w:val="-1"/>
        </w:rPr>
        <w:t>技电子（北京）有限公司任技术部经理，</w:t>
      </w:r>
      <w:r>
        <w:rPr>
          <w:rFonts w:ascii="Times New Roman" w:hAnsi="Times New Roman" w:cs="Times New Roman" w:eastAsia="Times New Roman" w:hint="default"/>
          <w:spacing w:val="-1"/>
        </w:rPr>
        <w:t>2001</w:t>
      </w:r>
      <w:r>
        <w:rPr>
          <w:spacing w:val="-1"/>
        </w:rPr>
        <w:t>年入职宏仁华乙信息技术有限公司任技术部经理，</w:t>
      </w:r>
      <w:r>
        <w:rPr>
          <w:rFonts w:ascii="Times New Roman" w:hAnsi="Times New Roman" w:cs="Times New Roman" w:eastAsia="Times New Roman" w:hint="default"/>
          <w:spacing w:val="-1"/>
        </w:rPr>
        <w:t>2002</w:t>
      </w:r>
      <w:r>
        <w:rPr>
          <w:spacing w:val="-1"/>
        </w:rPr>
        <w:t>年入职深圳联合新创科</w:t>
      </w:r>
      <w:r>
        <w:rPr>
          <w:spacing w:val="-84"/>
        </w:rPr>
        <w:t> </w:t>
      </w:r>
      <w:r>
        <w:rPr>
          <w:spacing w:val="-2"/>
        </w:rPr>
        <w:t>技有限公司任技术总监。</w:t>
      </w:r>
      <w:r>
        <w:rPr>
          <w:rFonts w:ascii="Times New Roman" w:hAnsi="Times New Roman" w:cs="Times New Roman" w:eastAsia="Times New Roman" w:hint="default"/>
          <w:spacing w:val="-2"/>
        </w:rPr>
        <w:t>2003</w:t>
      </w:r>
      <w:r>
        <w:rPr>
          <w:spacing w:val="-2"/>
        </w:rPr>
        <w:t>年和周志群共同创立四方深圳担任技术总监。现任四方精创董事、副总经理，四方香港副总经</w:t>
      </w:r>
      <w:r>
        <w:rPr>
          <w:spacing w:val="-36"/>
        </w:rPr>
        <w:t> </w:t>
      </w:r>
      <w:r>
        <w:rPr>
          <w:spacing w:val="-36"/>
        </w:rPr>
      </w:r>
      <w:r>
        <w:rPr/>
        <w:t>理。</w:t>
      </w:r>
    </w:p>
    <w:p>
      <w:pPr>
        <w:pStyle w:val="BodyText"/>
        <w:spacing w:line="300" w:lineRule="auto" w:before="83"/>
        <w:ind w:right="1104"/>
        <w:jc w:val="both"/>
      </w:pPr>
      <w:r>
        <w:rPr>
          <w:rFonts w:ascii="Times New Roman" w:hAnsi="Times New Roman" w:cs="Times New Roman" w:eastAsia="Times New Roman" w:hint="default"/>
        </w:rPr>
        <w:t>3</w:t>
      </w:r>
      <w:r>
        <w:rPr/>
        <w:t>、李琳，女，</w:t>
      </w:r>
      <w:r>
        <w:rPr>
          <w:rFonts w:ascii="Times New Roman" w:hAnsi="Times New Roman" w:cs="Times New Roman" w:eastAsia="Times New Roman" w:hint="default"/>
        </w:rPr>
        <w:t>1966</w:t>
      </w:r>
      <w:r>
        <w:rPr/>
        <w:t>年生，中国国籍，香港永久居民。毕业于英国</w:t>
      </w:r>
      <w:r>
        <w:rPr>
          <w:rFonts w:ascii="Times New Roman" w:hAnsi="Times New Roman" w:cs="Times New Roman" w:eastAsia="Times New Roman" w:hint="default"/>
        </w:rPr>
        <w:t>Edinburgh</w:t>
      </w:r>
      <w:r>
        <w:rPr>
          <w:rFonts w:ascii="Times New Roman" w:hAnsi="Times New Roman" w:cs="Times New Roman" w:eastAsia="Times New Roman" w:hint="default"/>
          <w:spacing w:val="-23"/>
        </w:rPr>
        <w:t> </w:t>
      </w:r>
      <w:r>
        <w:rPr>
          <w:rFonts w:ascii="Times New Roman" w:hAnsi="Times New Roman" w:cs="Times New Roman" w:eastAsia="Times New Roman" w:hint="default"/>
        </w:rPr>
        <w:t>Napier</w:t>
      </w:r>
      <w:r>
        <w:rPr/>
        <w:t>大学，工商管理硕士。</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2006</w:t>
      </w:r>
      <w:r>
        <w:rPr/>
        <w:t>年先 后任职于成都国营</w:t>
      </w:r>
      <w:r>
        <w:rPr>
          <w:rFonts w:ascii="Times New Roman" w:hAnsi="Times New Roman" w:cs="Times New Roman" w:eastAsia="Times New Roman" w:hint="default"/>
        </w:rPr>
        <w:t>906</w:t>
      </w:r>
      <w:r>
        <w:rPr/>
        <w:t>厂、美商卫达国际股份有限公司驻广州办事处及深圳企业联合会、企业家协会等单位。</w:t>
      </w:r>
      <w:r>
        <w:rPr>
          <w:rFonts w:ascii="Times New Roman" w:hAnsi="Times New Roman" w:cs="Times New Roman" w:eastAsia="Times New Roman" w:hint="default"/>
        </w:rPr>
        <w:t>2008</w:t>
      </w:r>
      <w:r>
        <w:rPr/>
        <w:t>年任联合</w:t>
      </w:r>
      <w:r>
        <w:rPr>
          <w:spacing w:val="-81"/>
        </w:rPr>
        <w:t> </w:t>
      </w:r>
      <w:r>
        <w:rPr>
          <w:spacing w:val="-2"/>
        </w:rPr>
        <w:t>资讯董事，</w:t>
      </w:r>
      <w:r>
        <w:rPr>
          <w:rFonts w:ascii="Times New Roman" w:hAnsi="Times New Roman" w:cs="Times New Roman" w:eastAsia="Times New Roman" w:hint="default"/>
          <w:spacing w:val="-2"/>
        </w:rPr>
        <w:t>2009</w:t>
      </w:r>
      <w:r>
        <w:rPr>
          <w:spacing w:val="-2"/>
        </w:rPr>
        <w:t>年加入四方深圳任发展部总监并兼任四方香港副总经理。现任四方精创董事、常务副总经理、财务负责人兼</w:t>
      </w:r>
      <w:r>
        <w:rPr>
          <w:spacing w:val="-38"/>
        </w:rPr>
        <w:t> </w:t>
      </w:r>
      <w:r>
        <w:rPr>
          <w:spacing w:val="-38"/>
        </w:rPr>
      </w:r>
      <w:r>
        <w:rPr/>
        <w:t>董事会秘书，四方香港副总经理。</w:t>
      </w:r>
    </w:p>
    <w:p>
      <w:pPr>
        <w:pStyle w:val="BodyText"/>
        <w:spacing w:line="297" w:lineRule="auto" w:before="80"/>
        <w:ind w:right="1096"/>
        <w:jc w:val="both"/>
      </w:pPr>
      <w:r>
        <w:rPr>
          <w:rFonts w:ascii="Times New Roman" w:hAnsi="Times New Roman" w:cs="Times New Roman" w:eastAsia="Times New Roman" w:hint="default"/>
        </w:rPr>
        <w:t>4</w:t>
      </w:r>
      <w:r>
        <w:rPr/>
        <w:t>、林隆奋，男，</w:t>
      </w:r>
      <w:r>
        <w:rPr>
          <w:rFonts w:ascii="Times New Roman" w:hAnsi="Times New Roman" w:cs="Times New Roman" w:eastAsia="Times New Roman" w:hint="default"/>
        </w:rPr>
        <w:t>1962</w:t>
      </w:r>
      <w:r>
        <w:rPr/>
        <w:t>年生，中国台湾居民。毕业于美国加州太平洋大学，计算机科学硕士，中欧国际商学院</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年至</w:t>
      </w:r>
      <w:r>
        <w:rPr>
          <w:rFonts w:ascii="Times New Roman" w:hAnsi="Times New Roman" w:cs="Times New Roman" w:eastAsia="Times New Roman" w:hint="default"/>
        </w:rPr>
        <w:t>2006</w:t>
      </w:r>
      <w:r>
        <w:rPr/>
        <w:t>年期间任职精诚信息股份有限公司执行长暨总经理、董事；</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月期间任职精诚信息股份有限公司营</w:t>
      </w:r>
      <w:r>
        <w:rPr>
          <w:spacing w:val="-85"/>
        </w:rPr>
        <w:t> </w:t>
      </w:r>
      <w:r>
        <w:rPr/>
        <w:t>运长、董事；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月起至今担任精诚资讯股份有限公司总经理、董事；</w:t>
      </w:r>
      <w:r>
        <w:rPr>
          <w:rFonts w:ascii="Times New Roman" w:hAnsi="Times New Roman" w:cs="Times New Roman" w:eastAsia="Times New Roman" w:hint="default"/>
        </w:rPr>
        <w:t>2011</w:t>
      </w:r>
      <w:r>
        <w:rPr/>
        <w:t>年担任</w:t>
      </w:r>
      <w:r>
        <w:rPr>
          <w:rFonts w:ascii="Times New Roman" w:hAnsi="Times New Roman" w:cs="Times New Roman" w:eastAsia="Times New Roman" w:hint="default"/>
        </w:rPr>
        <w:t>Systex Solutions</w:t>
      </w:r>
      <w:r>
        <w:rPr/>
        <w:t>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w:t>
      </w:r>
      <w:r>
        <w:rPr>
          <w:spacing w:val="-81"/>
        </w:rPr>
        <w:t> </w:t>
      </w:r>
      <w:r>
        <w:rPr/>
        <w:t>至今任四方精创董事。</w:t>
      </w:r>
    </w:p>
    <w:p>
      <w:pPr>
        <w:pStyle w:val="BodyText"/>
        <w:spacing w:line="297" w:lineRule="auto" w:before="81"/>
        <w:ind w:right="1096"/>
        <w:jc w:val="both"/>
      </w:pPr>
      <w:r>
        <w:rPr>
          <w:rFonts w:ascii="Times New Roman" w:hAnsi="Times New Roman" w:cs="Times New Roman" w:eastAsia="Times New Roman" w:hint="default"/>
          <w:spacing w:val="-3"/>
        </w:rPr>
        <w:t>5</w:t>
      </w:r>
      <w:r>
        <w:rPr>
          <w:spacing w:val="-3"/>
        </w:rPr>
        <w:t>、杨时飞，男，</w:t>
      </w:r>
      <w:r>
        <w:rPr>
          <w:rFonts w:ascii="Times New Roman" w:hAnsi="Times New Roman" w:cs="Times New Roman" w:eastAsia="Times New Roman" w:hint="default"/>
          <w:spacing w:val="-3"/>
        </w:rPr>
        <w:t>1974</w:t>
      </w:r>
      <w:r>
        <w:rPr>
          <w:spacing w:val="-3"/>
        </w:rPr>
        <w:t>年出生，中国国籍，香港永久居民。毕业于香港中文大学，工商管理学系学士，专修专业会计科。</w:t>
      </w:r>
      <w:r>
        <w:rPr>
          <w:rFonts w:ascii="Times New Roman" w:hAnsi="Times New Roman" w:cs="Times New Roman" w:eastAsia="Times New Roman" w:hint="default"/>
          <w:spacing w:val="-3"/>
        </w:rPr>
        <w:t>1998</w:t>
      </w:r>
      <w:r>
        <w:rPr>
          <w:rFonts w:ascii="Times New Roman" w:hAnsi="Times New Roman" w:cs="Times New Roman" w:eastAsia="Times New Roman" w:hint="default"/>
          <w:spacing w:val="-8"/>
        </w:rPr>
        <w:t> </w:t>
      </w:r>
      <w:r>
        <w:rPr/>
        <w:t>年至</w:t>
      </w:r>
      <w:r>
        <w:rPr>
          <w:rFonts w:ascii="Times New Roman" w:hAnsi="Times New Roman" w:cs="Times New Roman" w:eastAsia="Times New Roman" w:hint="default"/>
        </w:rPr>
        <w:t>2000</w:t>
      </w:r>
      <w:r>
        <w:rPr/>
        <w:t>年任职德勤会计师行，</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2004</w:t>
      </w:r>
      <w:r>
        <w:rPr/>
        <w:t>年出任瑞致达</w:t>
      </w:r>
      <w:r>
        <w:rPr>
          <w:rFonts w:ascii="Times New Roman" w:hAnsi="Times New Roman" w:cs="Times New Roman" w:eastAsia="Times New Roman" w:hint="default"/>
        </w:rPr>
        <w:t>(</w:t>
      </w:r>
      <w:r>
        <w:rPr/>
        <w:t>前为</w:t>
      </w:r>
      <w:r>
        <w:rPr>
          <w:rFonts w:ascii="Times New Roman" w:hAnsi="Times New Roman" w:cs="Times New Roman" w:eastAsia="Times New Roman" w:hint="default"/>
        </w:rPr>
        <w:t>Acceptor</w:t>
      </w:r>
      <w:r>
        <w:rPr>
          <w:rFonts w:ascii="Times New Roman" w:hAnsi="Times New Roman" w:cs="Times New Roman" w:eastAsia="Times New Roman" w:hint="default"/>
          <w:spacing w:val="7"/>
        </w:rPr>
        <w:t> </w:t>
      </w:r>
      <w:r>
        <w:rPr>
          <w:rFonts w:ascii="Times New Roman" w:hAnsi="Times New Roman" w:cs="Times New Roman" w:eastAsia="Times New Roman" w:hint="default"/>
        </w:rPr>
        <w:t>Trust</w:t>
      </w:r>
      <w:r>
        <w:rPr>
          <w:rFonts w:ascii="Times New Roman" w:hAnsi="Times New Roman" w:cs="Times New Roman" w:eastAsia="Times New Roman" w:hint="default"/>
          <w:spacing w:val="17"/>
        </w:rPr>
        <w:t> </w:t>
      </w:r>
      <w:r>
        <w:rPr>
          <w:rFonts w:ascii="Times New Roman" w:hAnsi="Times New Roman" w:cs="Times New Roman" w:eastAsia="Times New Roman" w:hint="default"/>
        </w:rPr>
        <w:t>Group)</w:t>
      </w:r>
      <w:r>
        <w:rPr/>
        <w:t>企业解决方案及管理高级经理，之后</w:t>
      </w:r>
      <w:r>
        <w:rPr>
          <w:spacing w:val="-88"/>
        </w:rPr>
        <w:t> </w:t>
      </w:r>
      <w:r>
        <w:rPr>
          <w:spacing w:val="-2"/>
        </w:rPr>
        <w:t>从事高端客户私人信托规划至今超过十年，曾出任恒生银行于巴哈马海外业务代表，花旗私人银行财富管理信托业务助理副</w:t>
      </w:r>
    </w:p>
    <w:p>
      <w:pPr>
        <w:spacing w:after="0" w:line="297" w:lineRule="auto"/>
        <w:jc w:val="both"/>
        <w:sectPr>
          <w:pgSz w:w="11910" w:h="16850"/>
          <w:pgMar w:header="866" w:footer="981" w:top="1040" w:bottom="1180" w:left="1000" w:right="0"/>
        </w:sectPr>
      </w:pPr>
    </w:p>
    <w:p>
      <w:pPr>
        <w:spacing w:line="240" w:lineRule="auto" w:before="2"/>
        <w:rPr>
          <w:rFonts w:ascii="宋体" w:hAnsi="宋体" w:cs="宋体" w:eastAsia="宋体" w:hint="default"/>
          <w:sz w:val="27"/>
          <w:szCs w:val="27"/>
        </w:rPr>
      </w:pPr>
    </w:p>
    <w:p>
      <w:pPr>
        <w:pStyle w:val="BodyText"/>
        <w:spacing w:line="309" w:lineRule="auto" w:before="44"/>
        <w:ind w:right="1089"/>
        <w:jc w:val="left"/>
      </w:pPr>
      <w:r>
        <w:rPr/>
        <w:t>总裁，交通银行信托及财富管理业务高级经理，华泰金融控股</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有限公司财富策划处私人财富管理副总裁。拥有香港会</w:t>
      </w:r>
      <w:r>
        <w:rPr>
          <w:spacing w:val="-84"/>
        </w:rPr>
        <w:t> </w:t>
      </w:r>
      <w:r>
        <w:rPr/>
        <w:t>计师公会注册会计师</w:t>
      </w:r>
      <w:r>
        <w:rPr>
          <w:rFonts w:ascii="Times New Roman" w:hAnsi="Times New Roman" w:cs="Times New Roman" w:eastAsia="Times New Roman" w:hint="default"/>
        </w:rPr>
        <w:t>(CPA)</w:t>
      </w:r>
      <w:r>
        <w:rPr/>
        <w:t>及信托和遗产从业者协会</w:t>
      </w:r>
      <w:r>
        <w:rPr>
          <w:rFonts w:ascii="Times New Roman" w:hAnsi="Times New Roman" w:cs="Times New Roman" w:eastAsia="Times New Roman" w:hint="default"/>
        </w:rPr>
        <w:t>(TEP)</w:t>
      </w:r>
      <w:r>
        <w:rPr/>
        <w:t>专业资格，</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月起至今任四方精创独立董事。</w:t>
      </w:r>
      <w:r>
        <w:rPr>
          <w:spacing w:val="-70"/>
        </w:rPr>
        <w:t> </w:t>
      </w:r>
      <w:r>
        <w:rPr>
          <w:rFonts w:ascii="Times New Roman" w:hAnsi="Times New Roman" w:cs="Times New Roman" w:eastAsia="Times New Roman" w:hint="default"/>
          <w:spacing w:val="-3"/>
        </w:rPr>
        <w:t>6</w:t>
      </w:r>
      <w:r>
        <w:rPr>
          <w:spacing w:val="-3"/>
        </w:rPr>
        <w:t>、麦荣昌，男，</w:t>
      </w:r>
      <w:r>
        <w:rPr>
          <w:rFonts w:ascii="Times New Roman" w:hAnsi="Times New Roman" w:cs="Times New Roman" w:eastAsia="Times New Roman" w:hint="default"/>
          <w:spacing w:val="-3"/>
        </w:rPr>
        <w:t>1961</w:t>
      </w:r>
      <w:r>
        <w:rPr>
          <w:spacing w:val="-3"/>
        </w:rPr>
        <w:t>年出生，中国国籍，香港永久居民，加拿大居留权，毕业于加拿大滑铁卢大学，数学和电脑学士。</w:t>
      </w:r>
      <w:r>
        <w:rPr>
          <w:rFonts w:ascii="Times New Roman" w:hAnsi="Times New Roman" w:cs="Times New Roman" w:eastAsia="Times New Roman" w:hint="default"/>
          <w:spacing w:val="-3"/>
        </w:rPr>
        <w:t>1985</w:t>
      </w:r>
      <w:r>
        <w:rPr>
          <w:rFonts w:ascii="Times New Roman" w:hAnsi="Times New Roman" w:cs="Times New Roman" w:eastAsia="Times New Roman" w:hint="default"/>
          <w:spacing w:val="-9"/>
        </w:rPr>
        <w:t> </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12</w:t>
      </w:r>
      <w:r>
        <w:rPr>
          <w:spacing w:val="2"/>
        </w:rPr>
        <w:t>月期间任职</w:t>
      </w:r>
      <w:r>
        <w:rPr>
          <w:rFonts w:ascii="Times New Roman" w:hAnsi="Times New Roman" w:cs="Times New Roman" w:eastAsia="Times New Roman" w:hint="default"/>
          <w:spacing w:val="2"/>
        </w:rPr>
        <w:t>IBM</w:t>
      </w:r>
      <w:r>
        <w:rPr>
          <w:rFonts w:ascii="Times New Roman" w:hAnsi="Times New Roman" w:cs="Times New Roman" w:eastAsia="Times New Roman" w:hint="default"/>
          <w:spacing w:val="9"/>
        </w:rPr>
        <w:t> </w:t>
      </w:r>
      <w:r>
        <w:rPr>
          <w:rFonts w:ascii="Times New Roman" w:hAnsi="Times New Roman" w:cs="Times New Roman" w:eastAsia="Times New Roman" w:hint="default"/>
        </w:rPr>
        <w:t>China/HongKong</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
        </w:rPr>
        <w:t>Limited</w:t>
      </w:r>
      <w:r>
        <w:rPr>
          <w:spacing w:val="2"/>
        </w:rPr>
        <w:t>营业经理，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月期间任职</w:t>
      </w:r>
      <w:r>
        <w:rPr>
          <w:rFonts w:ascii="Times New Roman" w:hAnsi="Times New Roman" w:cs="Times New Roman" w:eastAsia="Times New Roman" w:hint="default"/>
          <w:spacing w:val="2"/>
        </w:rPr>
        <w:t>Delano</w:t>
      </w:r>
      <w:r>
        <w:rPr>
          <w:rFonts w:ascii="Times New Roman" w:hAnsi="Times New Roman" w:cs="Times New Roman" w:eastAsia="Times New Roman" w:hint="default"/>
          <w:spacing w:val="4"/>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rFonts w:ascii="Times New Roman" w:hAnsi="Times New Roman" w:cs="Times New Roman" w:eastAsia="Times New Roman" w:hint="default"/>
        </w:rPr>
        <w:t>Corp.</w:t>
      </w:r>
      <w:r>
        <w:rPr/>
        <w:t>总经理，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月至今任职马己仙国际（亚洲）有限公司行政总裁，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月起至今任四方精创独立董事。</w:t>
      </w:r>
      <w:r>
        <w:rPr>
          <w:spacing w:val="-71"/>
        </w:rPr>
        <w:t> </w:t>
      </w:r>
      <w:r>
        <w:rPr>
          <w:rFonts w:ascii="Times New Roman" w:hAnsi="Times New Roman" w:cs="Times New Roman" w:eastAsia="Times New Roman" w:hint="default"/>
        </w:rPr>
        <w:t>7</w:t>
      </w:r>
      <w:r>
        <w:rPr/>
        <w:t>、苏哲锋，男，</w:t>
      </w:r>
      <w:r>
        <w:rPr>
          <w:rFonts w:ascii="Times New Roman" w:hAnsi="Times New Roman" w:cs="Times New Roman" w:eastAsia="Times New Roman" w:hint="default"/>
        </w:rPr>
        <w:t>1971</w:t>
      </w:r>
      <w:r>
        <w:rPr/>
        <w:t>年出生，中国国籍，香港永久居民，毕业于香港科技大学，电子电机工程学士。</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36"/>
        </w:rPr>
        <w:t> </w:t>
      </w:r>
      <w:r>
        <w:rPr>
          <w:spacing w:val="-2"/>
        </w:rPr>
        <w:t>月期间任职香港加贺电子有限公司销售总监；</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月至今任职德龙微电子技术有限公司总经理，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月起至今任四方</w:t>
      </w:r>
      <w:r>
        <w:rPr>
          <w:spacing w:val="-54"/>
        </w:rPr>
        <w:t> </w:t>
      </w:r>
      <w:r>
        <w:rPr/>
        <w:t>精创独立董事。</w:t>
      </w:r>
    </w:p>
    <w:p>
      <w:pPr>
        <w:pStyle w:val="BodyText"/>
        <w:spacing w:line="240" w:lineRule="auto" w:before="58"/>
        <w:ind w:right="0"/>
        <w:jc w:val="both"/>
      </w:pPr>
      <w:r>
        <w:rPr/>
        <w:t>（二）监事会成员</w:t>
      </w:r>
    </w:p>
    <w:p>
      <w:pPr>
        <w:pStyle w:val="BodyText"/>
        <w:spacing w:line="240" w:lineRule="auto" w:before="139"/>
        <w:ind w:right="0"/>
        <w:jc w:val="both"/>
      </w:pPr>
      <w:r>
        <w:rPr>
          <w:rFonts w:ascii="Times New Roman" w:hAnsi="Times New Roman" w:cs="Times New Roman" w:eastAsia="Times New Roman" w:hint="default"/>
        </w:rPr>
        <w:t>1</w:t>
      </w:r>
      <w:r>
        <w:rPr/>
        <w:t>、高翔，男，</w:t>
      </w:r>
      <w:r>
        <w:rPr>
          <w:rFonts w:ascii="Times New Roman" w:hAnsi="Times New Roman" w:cs="Times New Roman" w:eastAsia="Times New Roman" w:hint="default"/>
        </w:rPr>
        <w:t>1975</w:t>
      </w:r>
      <w:r>
        <w:rPr/>
        <w:t>年出生，中国国籍，无境外永久居留权。毕业于中国环境管理干部学院环境信息管理专业，大专学历。</w:t>
      </w:r>
    </w:p>
    <w:p>
      <w:pPr>
        <w:pStyle w:val="BodyText"/>
        <w:spacing w:line="290" w:lineRule="auto" w:before="66"/>
        <w:ind w:right="1098"/>
        <w:jc w:val="both"/>
      </w:pPr>
      <w:r>
        <w:rPr>
          <w:rFonts w:ascii="Times New Roman" w:hAnsi="Times New Roman" w:cs="Times New Roman" w:eastAsia="Times New Roman" w:hint="default"/>
          <w:spacing w:val="-1"/>
        </w:rPr>
        <w:t>1997</w:t>
      </w:r>
      <w:r>
        <w:rPr>
          <w:spacing w:val="-1"/>
        </w:rPr>
        <w:t>年至</w:t>
      </w:r>
      <w:r>
        <w:rPr>
          <w:rFonts w:ascii="Times New Roman" w:hAnsi="Times New Roman" w:cs="Times New Roman" w:eastAsia="Times New Roman" w:hint="default"/>
          <w:spacing w:val="-1"/>
        </w:rPr>
        <w:t>2001</w:t>
      </w:r>
      <w:r>
        <w:rPr>
          <w:spacing w:val="-1"/>
        </w:rPr>
        <w:t>年就职于永丰余精业科技电子（北京）有限公司任程序员、技术经理；</w:t>
      </w:r>
      <w:r>
        <w:rPr>
          <w:rFonts w:ascii="Times New Roman" w:hAnsi="Times New Roman" w:cs="Times New Roman" w:eastAsia="Times New Roman" w:hint="default"/>
          <w:spacing w:val="-1"/>
        </w:rPr>
        <w:t>2001</w:t>
      </w:r>
      <w:r>
        <w:rPr>
          <w:spacing w:val="-1"/>
        </w:rPr>
        <w:t>年至</w:t>
      </w:r>
      <w:r>
        <w:rPr>
          <w:rFonts w:ascii="Times New Roman" w:hAnsi="Times New Roman" w:cs="Times New Roman" w:eastAsia="Times New Roman" w:hint="default"/>
          <w:spacing w:val="-1"/>
        </w:rPr>
        <w:t>2005</w:t>
      </w:r>
      <w:r>
        <w:rPr>
          <w:spacing w:val="-1"/>
        </w:rPr>
        <w:t>年就职于深圳市联合新创</w:t>
      </w:r>
      <w:r>
        <w:rPr>
          <w:spacing w:val="-82"/>
        </w:rPr>
        <w:t> </w:t>
      </w:r>
      <w:r>
        <w:rPr/>
        <w:t>科技有限公司，任系统分析师；</w:t>
      </w:r>
      <w:r>
        <w:rPr>
          <w:rFonts w:ascii="Times New Roman" w:hAnsi="Times New Roman" w:cs="Times New Roman" w:eastAsia="Times New Roman" w:hint="default"/>
        </w:rPr>
        <w:t>2005</w:t>
      </w:r>
      <w:r>
        <w:rPr/>
        <w:t>年至今任四方精创高级经理、部门总监，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月起至今任四方精创监事会主席（职</w:t>
      </w:r>
      <w:r>
        <w:rPr>
          <w:spacing w:val="-84"/>
        </w:rPr>
        <w:t> </w:t>
      </w:r>
      <w:r>
        <w:rPr/>
        <w:t>工监事）。</w:t>
      </w:r>
    </w:p>
    <w:p>
      <w:pPr>
        <w:pStyle w:val="BodyText"/>
        <w:spacing w:line="295" w:lineRule="auto" w:before="101"/>
        <w:ind w:right="1125"/>
        <w:jc w:val="both"/>
      </w:pPr>
      <w:r>
        <w:rPr>
          <w:rFonts w:ascii="Times New Roman" w:hAnsi="Times New Roman" w:cs="Times New Roman" w:eastAsia="Times New Roman" w:hint="default"/>
        </w:rPr>
        <w:t>2</w:t>
      </w:r>
      <w:r>
        <w:rPr/>
        <w:t>、朱天伟，男，</w:t>
      </w:r>
      <w:r>
        <w:rPr>
          <w:rFonts w:ascii="Times New Roman" w:hAnsi="Times New Roman" w:cs="Times New Roman" w:eastAsia="Times New Roman" w:hint="default"/>
        </w:rPr>
        <w:t>1980</w:t>
      </w:r>
      <w:r>
        <w:rPr/>
        <w:t>年出生，中国国籍，无境外永久居留权。毕业于中山大学计算机应用专业本科学历，清华大学在职研 </w:t>
      </w:r>
      <w:r>
        <w:rPr>
          <w:spacing w:val="-2"/>
        </w:rPr>
        <w:t>究生工程硕士学位。曾任职深圳赛格日立彩色显示器件有限公司，深圳市星伦网络科技有限公司；</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2005</w:t>
      </w:r>
      <w:r>
        <w:rPr>
          <w:spacing w:val="-2"/>
        </w:rPr>
        <w:t>年就职于深</w:t>
      </w:r>
      <w:r>
        <w:rPr>
          <w:spacing w:val="-57"/>
        </w:rPr>
        <w:t> </w:t>
      </w:r>
      <w:r>
        <w:rPr/>
        <w:t>圳市联合新创科技有限公司任软件工程师；</w:t>
      </w:r>
      <w:r>
        <w:rPr>
          <w:rFonts w:ascii="Times New Roman" w:hAnsi="Times New Roman" w:cs="Times New Roman" w:eastAsia="Times New Roman" w:hint="default"/>
        </w:rPr>
        <w:t>2005</w:t>
      </w:r>
      <w:r>
        <w:rPr/>
        <w:t>年至今任四方精创系统分析师、项目经理、部门总监，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月起至今任</w:t>
      </w:r>
      <w:r>
        <w:rPr>
          <w:spacing w:val="-82"/>
        </w:rPr>
        <w:t> </w:t>
      </w:r>
      <w:r>
        <w:rPr/>
        <w:t>四方精创监事。</w:t>
      </w:r>
    </w:p>
    <w:p>
      <w:pPr>
        <w:pStyle w:val="BodyText"/>
        <w:spacing w:line="288" w:lineRule="auto" w:before="98"/>
        <w:ind w:right="1112"/>
        <w:jc w:val="both"/>
      </w:pPr>
      <w:r>
        <w:rPr>
          <w:rFonts w:ascii="Times New Roman" w:hAnsi="Times New Roman" w:cs="Times New Roman" w:eastAsia="Times New Roman" w:hint="default"/>
        </w:rPr>
        <w:t>3</w:t>
      </w:r>
      <w:r>
        <w:rPr/>
        <w:t>、郑登元，男，</w:t>
      </w:r>
      <w:r>
        <w:rPr>
          <w:rFonts w:ascii="Times New Roman" w:hAnsi="Times New Roman" w:cs="Times New Roman" w:eastAsia="Times New Roman" w:hint="default"/>
        </w:rPr>
        <w:t>1959</w:t>
      </w:r>
      <w:r>
        <w:rPr/>
        <w:t>年生，中国台湾居民。毕业于台湾辅仁大学会计系，复旦大学</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2006</w:t>
      </w:r>
      <w:r>
        <w:rPr/>
        <w:t>年期间任职精诚</w:t>
      </w:r>
      <w:r>
        <w:rPr>
          <w:spacing w:val="-50"/>
        </w:rPr>
        <w:t> </w:t>
      </w:r>
      <w:r>
        <w:rPr/>
        <w:t>信息股有限公司财务副总经理、董事，</w:t>
      </w:r>
      <w:r>
        <w:rPr>
          <w:rFonts w:ascii="Times New Roman" w:hAnsi="Times New Roman" w:cs="Times New Roman" w:eastAsia="Times New Roman" w:hint="default"/>
        </w:rPr>
        <w:t>2007</w:t>
      </w:r>
      <w:r>
        <w:rPr/>
        <w:t>年起至今担任精诚资讯股份有限公司幕僚长暨资深副总经理、董事，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spacing w:val="-80"/>
        </w:rPr>
        <w:t> </w:t>
      </w:r>
      <w:r>
        <w:rPr/>
        <w:t>起至今任四方精创监事。</w:t>
      </w:r>
    </w:p>
    <w:p>
      <w:pPr>
        <w:pStyle w:val="BodyText"/>
        <w:spacing w:line="240" w:lineRule="auto" w:before="88"/>
        <w:ind w:right="0"/>
        <w:jc w:val="both"/>
      </w:pPr>
      <w:r>
        <w:rPr/>
        <w:t>（三）高级管理人员</w:t>
      </w:r>
    </w:p>
    <w:p>
      <w:pPr>
        <w:pStyle w:val="BodyText"/>
        <w:spacing w:line="240" w:lineRule="auto" w:before="125"/>
        <w:ind w:right="0"/>
        <w:jc w:val="both"/>
      </w:pPr>
      <w:r>
        <w:rPr>
          <w:rFonts w:ascii="Times New Roman" w:hAnsi="Times New Roman" w:cs="Times New Roman" w:eastAsia="Times New Roman" w:hint="default"/>
        </w:rPr>
        <w:t>1</w:t>
      </w:r>
      <w:r>
        <w:rPr/>
        <w:t>、周志群，总经理，参见本节（一）董事会成员</w:t>
      </w:r>
      <w:r>
        <w:rPr>
          <w:rFonts w:ascii="Times New Roman" w:hAnsi="Times New Roman" w:cs="Times New Roman" w:eastAsia="Times New Roman" w:hint="default"/>
        </w:rPr>
        <w:t>”</w:t>
      </w:r>
      <w:r>
        <w:rPr/>
        <w:t>。</w:t>
      </w:r>
    </w:p>
    <w:p>
      <w:pPr>
        <w:pStyle w:val="BodyText"/>
        <w:spacing w:line="240" w:lineRule="auto" w:before="111"/>
        <w:ind w:right="0"/>
        <w:jc w:val="both"/>
      </w:pPr>
      <w:r>
        <w:rPr>
          <w:rFonts w:ascii="Times New Roman" w:hAnsi="Times New Roman" w:cs="Times New Roman" w:eastAsia="Times New Roman" w:hint="default"/>
        </w:rPr>
        <w:t>2</w:t>
      </w:r>
      <w:r>
        <w:rPr/>
        <w:t>、邓修生，副总经理，参见本节（一）董事会成员</w:t>
      </w:r>
      <w:r>
        <w:rPr>
          <w:rFonts w:ascii="Times New Roman" w:hAnsi="Times New Roman" w:cs="Times New Roman" w:eastAsia="Times New Roman" w:hint="default"/>
        </w:rPr>
        <w:t>”</w:t>
      </w:r>
      <w:r>
        <w:rPr/>
        <w:t>。</w:t>
      </w:r>
    </w:p>
    <w:p>
      <w:pPr>
        <w:pStyle w:val="BodyText"/>
        <w:spacing w:line="240" w:lineRule="auto" w:before="96"/>
        <w:ind w:right="0"/>
        <w:jc w:val="both"/>
      </w:pPr>
      <w:r>
        <w:rPr>
          <w:rFonts w:ascii="Times New Roman" w:hAnsi="Times New Roman" w:cs="Times New Roman" w:eastAsia="Times New Roman" w:hint="default"/>
        </w:rPr>
        <w:t>3</w:t>
      </w:r>
      <w:r>
        <w:rPr/>
        <w:t>、李琳，副总经理、财务负责人、董事会秘书，参见本节（一）董事会成员</w:t>
      </w:r>
      <w:r>
        <w:rPr>
          <w:rFonts w:ascii="Times New Roman" w:hAnsi="Times New Roman" w:cs="Times New Roman" w:eastAsia="Times New Roman" w:hint="default"/>
        </w:rPr>
        <w:t>”</w:t>
      </w:r>
      <w:r>
        <w:rPr/>
        <w:t>。</w:t>
      </w:r>
    </w:p>
    <w:p>
      <w:pPr>
        <w:pStyle w:val="BodyText"/>
        <w:spacing w:line="300" w:lineRule="auto" w:before="111"/>
        <w:ind w:right="1111"/>
        <w:jc w:val="both"/>
      </w:pPr>
      <w:r>
        <w:rPr>
          <w:rFonts w:ascii="Times New Roman" w:hAnsi="Times New Roman" w:cs="Times New Roman" w:eastAsia="Times New Roman" w:hint="default"/>
        </w:rPr>
        <w:t>4</w:t>
      </w:r>
      <w:r>
        <w:rPr/>
        <w:t>、钱志峰，男，</w:t>
      </w:r>
      <w:r>
        <w:rPr>
          <w:rFonts w:ascii="Times New Roman" w:hAnsi="Times New Roman" w:cs="Times New Roman" w:eastAsia="Times New Roman" w:hint="default"/>
        </w:rPr>
        <w:t>1973</w:t>
      </w:r>
      <w:r>
        <w:rPr/>
        <w:t>年出生，中国国籍，无境外永久居留权，毕业于江西大学电子学与信息系统专业。</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1997</w:t>
      </w:r>
      <w:r>
        <w:rPr/>
        <w:t>年就</w:t>
      </w:r>
      <w:r>
        <w:rPr>
          <w:spacing w:val="-81"/>
        </w:rPr>
        <w:t> </w:t>
      </w:r>
      <w:r>
        <w:rPr>
          <w:spacing w:val="-2"/>
        </w:rPr>
        <w:t>职于江西省粮油科研所，任技术部经理；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年就职于永丰余精业科技电子（北京）有限公司，先后任工程师、销</w:t>
      </w:r>
      <w:r>
        <w:rPr>
          <w:spacing w:val="-61"/>
        </w:rPr>
        <w:t> </w:t>
      </w:r>
      <w:r>
        <w:rPr>
          <w:spacing w:val="-61"/>
        </w:rPr>
      </w:r>
      <w:r>
        <w:rPr/>
        <w:t>售；</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2017</w:t>
      </w:r>
      <w:r>
        <w:rPr/>
        <w:t>年就职于国际商业机器（中国）有限公司，先后任系统与科技事业部福建</w:t>
      </w:r>
      <w:r>
        <w:rPr>
          <w:rFonts w:ascii="Times New Roman" w:hAnsi="Times New Roman" w:cs="Times New Roman" w:eastAsia="Times New Roman" w:hint="default"/>
        </w:rPr>
        <w:t>/</w:t>
      </w:r>
      <w:r>
        <w:rPr/>
        <w:t>广西区域经理、海量产品部经</w:t>
      </w:r>
      <w:r>
        <w:rPr>
          <w:spacing w:val="-47"/>
        </w:rPr>
        <w:t> </w:t>
      </w:r>
      <w:r>
        <w:rPr>
          <w:spacing w:val="-47"/>
        </w:rPr>
      </w:r>
      <w:r>
        <w:rPr>
          <w:spacing w:val="-2"/>
        </w:rPr>
        <w:t>理、存储产品部经理、渠道部经理；</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2019</w:t>
      </w:r>
      <w:r>
        <w:rPr>
          <w:spacing w:val="-2"/>
        </w:rPr>
        <w:t>年就职于航天云宏技术有限公司，任副总经理；</w:t>
      </w:r>
      <w:r>
        <w:rPr>
          <w:rFonts w:ascii="Times New Roman" w:hAnsi="Times New Roman" w:cs="Times New Roman" w:eastAsia="Times New Roman" w:hint="default"/>
          <w:spacing w:val="-2"/>
        </w:rPr>
        <w:t>2019</w:t>
      </w:r>
      <w:r>
        <w:rPr>
          <w:spacing w:val="-2"/>
        </w:rPr>
        <w:t>年就职于深圳四方精</w:t>
      </w:r>
      <w:r>
        <w:rPr>
          <w:spacing w:val="-38"/>
        </w:rPr>
        <w:t> </w:t>
      </w:r>
      <w:r>
        <w:rPr/>
        <w:t>创资讯股份有限公司，任销售总监，</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日起至今任四方精创副总经理兼销售总监。</w:t>
      </w:r>
    </w:p>
    <w:p>
      <w:pPr>
        <w:pStyle w:val="BodyText"/>
        <w:spacing w:line="304" w:lineRule="auto" w:before="46"/>
        <w:ind w:right="1112"/>
        <w:jc w:val="both"/>
      </w:pPr>
      <w:r>
        <w:rPr>
          <w:rFonts w:ascii="Times New Roman" w:hAnsi="Times New Roman" w:cs="Times New Roman" w:eastAsia="Times New Roman" w:hint="default"/>
        </w:rPr>
        <w:t>5</w:t>
      </w:r>
      <w:r>
        <w:rPr/>
        <w:t>、罗川，男，</w:t>
      </w:r>
      <w:r>
        <w:rPr>
          <w:rFonts w:ascii="Times New Roman" w:hAnsi="Times New Roman" w:cs="Times New Roman" w:eastAsia="Times New Roman" w:hint="default"/>
        </w:rPr>
        <w:t>1971</w:t>
      </w:r>
      <w:r>
        <w:rPr/>
        <w:t>年生，中国国籍，无境外永久居留权。毕业于四川大学计算机应用专业，本科学历。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2000</w:t>
      </w:r>
      <w:r>
        <w:rPr/>
        <w:t>年就</w:t>
      </w:r>
      <w:r>
        <w:rPr>
          <w:spacing w:val="-82"/>
        </w:rPr>
        <w:t> </w:t>
      </w:r>
      <w:r>
        <w:rPr>
          <w:spacing w:val="-2"/>
        </w:rPr>
        <w:t>职于永丰余精业科技电子（北京）有限公司，任工程师、技术经理；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2002</w:t>
      </w:r>
      <w:r>
        <w:rPr>
          <w:spacing w:val="-2"/>
        </w:rPr>
        <w:t>年就职于北京科蓝软件系统有限公司，任</w:t>
      </w:r>
      <w:r>
        <w:rPr>
          <w:spacing w:val="-58"/>
        </w:rPr>
        <w:t> </w:t>
      </w:r>
      <w:r>
        <w:rPr>
          <w:spacing w:val="-58"/>
        </w:rPr>
      </w:r>
      <w:r>
        <w:rPr>
          <w:spacing w:val="-2"/>
        </w:rPr>
        <w:t>市场部经理；</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2007</w:t>
      </w:r>
      <w:r>
        <w:rPr>
          <w:spacing w:val="-2"/>
        </w:rPr>
        <w:t>年深圳市联合新创科技有限公司，任副总经理、总经理；</w:t>
      </w:r>
      <w:r>
        <w:rPr>
          <w:rFonts w:ascii="Times New Roman" w:hAnsi="Times New Roman" w:cs="Times New Roman" w:eastAsia="Times New Roman" w:hint="default"/>
          <w:spacing w:val="-2"/>
        </w:rPr>
        <w:t>2007</w:t>
      </w:r>
      <w:r>
        <w:rPr>
          <w:spacing w:val="-2"/>
        </w:rPr>
        <w:t>年就职于四方深圳，任副总经理兼</w:t>
      </w:r>
      <w:r>
        <w:rPr>
          <w:spacing w:val="-39"/>
        </w:rPr>
        <w:t> </w:t>
      </w:r>
      <w:r>
        <w:rPr>
          <w:spacing w:val="-39"/>
        </w:rPr>
      </w:r>
      <w:r>
        <w:rPr/>
        <w:t>销售总监，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日任四方精创副总经理兼销售总监。</w:t>
      </w:r>
    </w:p>
    <w:p>
      <w:pPr>
        <w:pStyle w:val="BodyText"/>
        <w:spacing w:line="240" w:lineRule="auto" w:before="27"/>
        <w:ind w:right="0"/>
        <w:jc w:val="both"/>
      </w:pPr>
      <w:r>
        <w:rPr/>
        <w:t>在股东单位任职情况</w:t>
      </w:r>
    </w:p>
    <w:p>
      <w:pPr>
        <w:pStyle w:val="BodyText"/>
        <w:spacing w:line="240" w:lineRule="auto" w:before="14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066"/>
        <w:gridCol w:w="1186"/>
        <w:gridCol w:w="1337"/>
        <w:gridCol w:w="1592"/>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60" w:right="90"/>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30" w:right="74" w:hanging="271"/>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SYSTEX</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SOLUTIONS</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066"/>
        <w:gridCol w:w="1186"/>
        <w:gridCol w:w="1337"/>
        <w:gridCol w:w="1592"/>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深圳俊图精科投资有限公司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高翔</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石河子市信方精科股权投资合伙企业</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80" w:type="dxa"/>
            <w:gridSpan w:val="5"/>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939"/>
        <w:jc w:val="left"/>
      </w:pPr>
      <w:r>
        <w:rPr/>
        <w:t>在其他单位任职情况</w:t>
      </w:r>
    </w:p>
    <w:p>
      <w:pPr>
        <w:pStyle w:val="BodyText"/>
        <w:spacing w:line="240" w:lineRule="auto" w:before="125"/>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066"/>
        <w:gridCol w:w="1186"/>
        <w:gridCol w:w="1337"/>
        <w:gridCol w:w="1592"/>
      </w:tblGrid>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0" w:right="9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30" w:right="74" w:hanging="271"/>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SYSTEX</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SOLUTIONS</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6"/>
                <w:sz w:val="18"/>
                <w:szCs w:val="18"/>
              </w:rPr>
              <w:t>、</w:t>
            </w:r>
            <w:r>
              <w:rPr>
                <w:rFonts w:ascii="宋体" w:hAnsi="宋体" w:cs="宋体" w:eastAsia="宋体" w:hint="default"/>
                <w:sz w:val="18"/>
                <w:szCs w:val="18"/>
              </w:rPr>
              <w:t>总经理</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精璞投资股份有限公司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金桥资讯股份有限公司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精聚资讯股份有限公司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精诚软体服务股份有限公司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康和资讯系统股份有限公司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精诚随想行动科技股份有限公司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066"/>
        <w:gridCol w:w="1186"/>
        <w:gridCol w:w="1337"/>
        <w:gridCol w:w="1592"/>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精诚科技整合股份有限公司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奇唯科技股份有限公司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嘉利科技股份有限公司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知意图股份有限公司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台湾计算机服务股份有限公司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内秋应智能科技股份有限公司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Kimo.com (BVI) Corporation</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Systex Capital Group,</w:t>
            </w:r>
            <w:r>
              <w:rPr>
                <w:rFonts w:ascii="Times New Roman"/>
                <w:spacing w:val="-4"/>
                <w:sz w:val="18"/>
              </w:rPr>
              <w:t> </w:t>
            </w:r>
            <w:r>
              <w:rPr>
                <w:rFonts w:ascii="Times New Roman"/>
                <w:sz w:val="18"/>
              </w:rPr>
              <w:t>Inc.</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Sysware Singapore Pte. Ltd.</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精联资讯股份有限公司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精智资讯科技股份有限公司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精睿资讯科技股份有限公司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13"/>
                <w:sz w:val="18"/>
                <w:szCs w:val="18"/>
              </w:rPr>
              <w:t>董事、幕僚长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暨资深副总 经理</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精诚资讯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瑞宝资讯科技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066"/>
        <w:gridCol w:w="1186"/>
        <w:gridCol w:w="1337"/>
        <w:gridCol w:w="1592"/>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精诚瑞宝计算机系统有限公司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80" w:type="dxa"/>
            <w:gridSpan w:val="5"/>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939"/>
        <w:jc w:val="left"/>
      </w:pPr>
      <w:r>
        <w:rPr/>
        <w:t>公司现任及报告期内离任董事、监事和高级管理人员近三年证券监管机构处罚的情况</w:t>
      </w:r>
    </w:p>
    <w:p>
      <w:pPr>
        <w:pStyle w:val="BodyText"/>
        <w:spacing w:line="240" w:lineRule="auto" w:before="124"/>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939"/>
        <w:jc w:val="left"/>
      </w:pPr>
      <w:r>
        <w:rPr/>
        <w:t>董事、监事、高级管理人员报酬的决策程序、确定依据、实际支付情况</w:t>
      </w:r>
    </w:p>
    <w:p>
      <w:pPr>
        <w:pStyle w:val="BodyText"/>
        <w:spacing w:line="273" w:lineRule="auto" w:before="140"/>
        <w:ind w:right="1209"/>
        <w:jc w:val="left"/>
      </w:pPr>
      <w:r>
        <w:rPr>
          <w:rFonts w:ascii="Times New Roman" w:hAnsi="Times New Roman" w:cs="Times New Roman" w:eastAsia="Times New Roman" w:hint="default"/>
        </w:rPr>
        <w:t>1</w:t>
      </w:r>
      <w:r>
        <w:rPr/>
        <w:t>、董事、监事、高级管理人员报酬决策程序： 董事、监事及高级管理人员的薪酬方案由董事会薪酬与考核委员会拟定，经董事会、监事会、股东大会审议通过后实施。</w:t>
      </w:r>
    </w:p>
    <w:p>
      <w:pPr>
        <w:pStyle w:val="BodyText"/>
        <w:spacing w:line="312" w:lineRule="auto" w:before="69"/>
        <w:ind w:right="2109"/>
        <w:jc w:val="left"/>
      </w:pPr>
      <w:r>
        <w:rPr>
          <w:rFonts w:ascii="Times New Roman" w:hAnsi="Times New Roman" w:cs="Times New Roman" w:eastAsia="Times New Roman" w:hint="default"/>
        </w:rPr>
        <w:t>2</w:t>
      </w:r>
      <w:r>
        <w:rPr/>
        <w:t>、董事、监事、高级管理人员报酬确定依据： 董事、监事和高级管理人员的报酬按照公司规定，结合其经营绩效、工作能力、岗位职责等考核确定并发放。 </w:t>
      </w:r>
      <w:r>
        <w:rPr>
          <w:rFonts w:ascii="Times New Roman" w:hAnsi="Times New Roman" w:cs="Times New Roman" w:eastAsia="Times New Roman" w:hint="default"/>
        </w:rPr>
        <w:t>3</w:t>
      </w:r>
      <w:r>
        <w:rPr/>
        <w:t>、董事、监事和高级管理人员报酬实际支付情况：</w:t>
      </w:r>
    </w:p>
    <w:p>
      <w:pPr>
        <w:pStyle w:val="BodyText"/>
        <w:spacing w:line="316" w:lineRule="auto" w:before="6"/>
        <w:ind w:right="5214"/>
        <w:jc w:val="left"/>
      </w:pPr>
      <w:r>
        <w:rPr/>
        <w:t>本报告期实际支付董事、监事和高级管理人员报酬总额为</w:t>
      </w:r>
      <w:r>
        <w:rPr>
          <w:rFonts w:ascii="Times New Roman" w:hAnsi="Times New Roman" w:cs="Times New Roman" w:eastAsia="Times New Roman" w:hint="default"/>
        </w:rPr>
        <w:t>345.05</w:t>
      </w:r>
      <w:r>
        <w:rPr/>
        <w:t>万元。</w:t>
      </w:r>
      <w:r>
        <w:rPr>
          <w:spacing w:val="-85"/>
        </w:rPr>
        <w:t> </w:t>
      </w:r>
      <w:r>
        <w:rPr/>
        <w:t>公司报告期内董事、监事和高级管理人员报酬情况</w:t>
      </w:r>
    </w:p>
    <w:p>
      <w:pPr>
        <w:pStyle w:val="BodyText"/>
        <w:spacing w:line="240" w:lineRule="auto" w:before="52"/>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60.60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61"/>
              <w:jc w:val="both"/>
              <w:rPr>
                <w:rFonts w:ascii="宋体" w:hAnsi="宋体" w:cs="宋体" w:eastAsia="宋体" w:hint="default"/>
                <w:sz w:val="18"/>
                <w:szCs w:val="18"/>
              </w:rPr>
            </w:pPr>
            <w:r>
              <w:rPr>
                <w:rFonts w:ascii="宋体" w:hAnsi="宋体" w:cs="宋体" w:eastAsia="宋体" w:hint="default"/>
                <w:sz w:val="18"/>
                <w:szCs w:val="18"/>
              </w:rPr>
              <w:t>董事、常务副总 经理、董事会秘 书、财务负责人</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58.32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56.03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麦荣昌</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杨时飞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苏哲锋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高翔</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36.17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朱天伟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35.05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钱志峰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345.05</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939"/>
        <w:jc w:val="left"/>
      </w:pPr>
      <w:r>
        <w:rPr/>
        <w:t>公司董事、高级管理人员报告期内被授予的股权激励情况</w:t>
      </w:r>
    </w:p>
    <w:p>
      <w:pPr>
        <w:pStyle w:val="BodyText"/>
        <w:spacing w:line="240" w:lineRule="auto" w:before="124"/>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939"/>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2"/>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781"/>
        <w:gridCol w:w="4793"/>
      </w:tblGrid>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1947</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2017</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2017</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383"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13"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3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6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1787</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17</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80</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119</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2017</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2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43</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1506</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432</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36</w:t>
            </w:r>
          </w:p>
        </w:tc>
      </w:tr>
      <w:tr>
        <w:trPr>
          <w:trHeight w:val="390"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2017</w:t>
            </w:r>
          </w:p>
        </w:tc>
      </w:tr>
    </w:tbl>
    <w:p>
      <w:pPr>
        <w:spacing w:line="240" w:lineRule="auto" w:before="11"/>
        <w:rPr>
          <w:rFonts w:ascii="宋体" w:hAnsi="宋体" w:cs="宋体" w:eastAsia="宋体" w:hint="default"/>
          <w:b/>
          <w:bCs/>
          <w:sz w:val="19"/>
          <w:szCs w:val="19"/>
        </w:rPr>
      </w:pPr>
    </w:p>
    <w:p>
      <w:pPr>
        <w:pStyle w:val="Heading3"/>
        <w:spacing w:line="240" w:lineRule="auto" w:before="35"/>
        <w:ind w:right="939"/>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290" w:lineRule="auto"/>
        <w:ind w:right="1085" w:firstLine="360"/>
        <w:jc w:val="left"/>
      </w:pPr>
      <w:r>
        <w:rPr>
          <w:spacing w:val="-4"/>
        </w:rPr>
        <w:t>公司秉持</w:t>
      </w:r>
      <w:r>
        <w:rPr>
          <w:rFonts w:ascii="Times New Roman" w:hAnsi="Times New Roman" w:cs="Times New Roman" w:eastAsia="Times New Roman" w:hint="default"/>
          <w:spacing w:val="-4"/>
        </w:rPr>
        <w:t>“</w:t>
      </w:r>
      <w:r>
        <w:rPr>
          <w:spacing w:val="-4"/>
        </w:rPr>
        <w:t>勿忘初衷，四方精英；创业开拓，贡献社会</w:t>
      </w:r>
      <w:r>
        <w:rPr>
          <w:rFonts w:ascii="Times New Roman" w:hAnsi="Times New Roman" w:cs="Times New Roman" w:eastAsia="Times New Roman" w:hint="default"/>
          <w:spacing w:val="-4"/>
        </w:rPr>
        <w:t>”</w:t>
      </w:r>
      <w:r>
        <w:rPr>
          <w:spacing w:val="-4"/>
        </w:rPr>
        <w:t>的经营理念，持续定位有竞争力的薪酬政策，通过不断完善公平、</w:t>
      </w:r>
      <w:r>
        <w:rPr/>
        <w:t> </w:t>
      </w:r>
      <w:r>
        <w:rPr>
          <w:spacing w:val="-2"/>
        </w:rPr>
        <w:t>健全的薪酬绩效体系，保证员工薪酬的内部公平性与外部竞争力。员工薪酬分为基本薪酬和绩效奖金两部分，基本薪酬部分</w:t>
      </w:r>
    </w:p>
    <w:p>
      <w:pPr>
        <w:spacing w:after="0" w:line="290" w:lineRule="auto"/>
        <w:jc w:val="left"/>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BodyText"/>
        <w:spacing w:line="336" w:lineRule="auto" w:before="44"/>
        <w:ind w:left="501" w:right="939" w:hanging="361"/>
        <w:jc w:val="left"/>
      </w:pPr>
      <w:r>
        <w:rPr/>
        <w:t>由岗位价值、专业技术水平等因素确定；绩效奖金部分以企业年度经营目标为导向。 </w:t>
      </w:r>
      <w:r>
        <w:rPr>
          <w:spacing w:val="-2"/>
        </w:rPr>
        <w:t>为进一步吸引和保留核心骨干人才，公司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年均推出限制性股票激励计划，在实现公司与员工共同发展的同</w:t>
      </w:r>
    </w:p>
    <w:p>
      <w:pPr>
        <w:pStyle w:val="BodyText"/>
        <w:spacing w:line="207" w:lineRule="exact"/>
        <w:ind w:right="939"/>
        <w:jc w:val="left"/>
      </w:pPr>
      <w:r>
        <w:rPr/>
        <w:t>时，彰显了公司在激励优秀人才方面的决心。</w:t>
      </w:r>
    </w:p>
    <w:p>
      <w:pPr>
        <w:spacing w:line="240" w:lineRule="auto" w:before="0"/>
        <w:rPr>
          <w:rFonts w:ascii="宋体" w:hAnsi="宋体" w:cs="宋体" w:eastAsia="宋体" w:hint="default"/>
          <w:sz w:val="18"/>
          <w:szCs w:val="18"/>
        </w:rPr>
      </w:pPr>
    </w:p>
    <w:p>
      <w:pPr>
        <w:pStyle w:val="Heading3"/>
        <w:spacing w:line="240" w:lineRule="auto" w:before="124"/>
        <w:ind w:right="939"/>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37" w:firstLine="360"/>
        <w:jc w:val="both"/>
      </w:pPr>
      <w:r>
        <w:rPr>
          <w:spacing w:val="-2"/>
        </w:rPr>
        <w:t>公司根据人力资源规划制定各部门不同岗位的年度培训计划，采取内训和外训相结合的方式，对各岗位员工进行专门培</w:t>
      </w:r>
      <w:r>
        <w:rPr/>
        <w:t> </w:t>
      </w:r>
      <w:r>
        <w:rPr>
          <w:spacing w:val="-2"/>
        </w:rPr>
        <w:t>训。培训主要包括：入职培训、业务培训，技术培训，高级管理培训，帮助员工提升其职业素养、业务能力及专业技能，提</w:t>
      </w:r>
      <w:r>
        <w:rPr>
          <w:spacing w:val="-75"/>
        </w:rPr>
        <w:t> </w:t>
      </w:r>
      <w:r>
        <w:rPr>
          <w:spacing w:val="-75"/>
        </w:rPr>
      </w:r>
      <w:r>
        <w:rPr/>
        <w:t>升公司员工的整体素质，为公司培养发展所需的专业化人才，从而为公司持续发展提供人力资源的保障。</w:t>
      </w:r>
    </w:p>
    <w:p>
      <w:pPr>
        <w:spacing w:line="240" w:lineRule="auto" w:before="13"/>
        <w:rPr>
          <w:rFonts w:ascii="宋体" w:hAnsi="宋体" w:cs="宋体" w:eastAsia="宋体" w:hint="default"/>
          <w:sz w:val="23"/>
          <w:szCs w:val="23"/>
        </w:rPr>
      </w:pPr>
    </w:p>
    <w:p>
      <w:pPr>
        <w:pStyle w:val="Heading3"/>
        <w:spacing w:line="240" w:lineRule="auto"/>
        <w:ind w:right="939"/>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3388"/>
        <w:jc w:val="center"/>
        <w:rPr>
          <w:b w:val="0"/>
          <w:bCs w:val="0"/>
        </w:rPr>
      </w:pPr>
      <w:bookmarkStart w:name="第十节 公司治理" w:id="132"/>
      <w:bookmarkEnd w:id="132"/>
      <w:r>
        <w:rPr>
          <w:b w:val="0"/>
          <w:bCs w:val="0"/>
        </w:rPr>
      </w:r>
      <w:bookmarkStart w:name="_bookmark9" w:id="133"/>
      <w:bookmarkEnd w:id="133"/>
      <w:r>
        <w:rPr>
          <w:b w:val="0"/>
          <w:bCs w:val="0"/>
        </w:rPr>
      </w:r>
      <w:r>
        <w:rPr>
          <w:spacing w:val="4"/>
        </w:rPr>
        <w:t>第十节</w:t>
      </w:r>
      <w:r>
        <w:rPr>
          <w:spacing w:val="44"/>
        </w:rPr>
        <w:t> </w:t>
      </w:r>
      <w:r>
        <w:rPr>
          <w:spacing w:val="6"/>
        </w:rPr>
        <w:t>公司治理</w:t>
      </w:r>
      <w:r>
        <w:rPr>
          <w:b w:val="0"/>
          <w:bCs w:val="0"/>
          <w:spacing w:val="6"/>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939"/>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left="501" w:right="939"/>
        <w:jc w:val="left"/>
      </w:pPr>
      <w:r>
        <w:rPr>
          <w:spacing w:val="-5"/>
        </w:rPr>
        <w:t>报告期内，公司严格按照《公司法》、《证券法》、《上市公司治理准则》、《深圳证券交易所创业板股票上市规则》、</w:t>
      </w:r>
    </w:p>
    <w:p>
      <w:pPr>
        <w:pStyle w:val="BodyText"/>
        <w:spacing w:line="321" w:lineRule="auto" w:before="80"/>
        <w:ind w:right="939"/>
        <w:jc w:val="left"/>
      </w:pPr>
      <w:r>
        <w:rPr>
          <w:spacing w:val="-2"/>
        </w:rPr>
        <w:t>《深圳证券交易所创业板上市公司规范运作指引》等有关法律法规、规范性文件的要求，不断完善公司法人治理结构，建立</w:t>
      </w:r>
      <w:r>
        <w:rPr>
          <w:spacing w:val="-42"/>
        </w:rPr>
        <w:t> </w:t>
      </w:r>
      <w:r>
        <w:rPr>
          <w:spacing w:val="-42"/>
        </w:rPr>
      </w:r>
      <w:r>
        <w:rPr>
          <w:spacing w:val="-2"/>
        </w:rPr>
        <w:t>健全公司内部管理制度，完善内部控制制度，促进公司规范运作，提高公司治理水平。截至本报告期末，公司股东大会、董</w:t>
      </w:r>
      <w:r>
        <w:rPr>
          <w:spacing w:val="-72"/>
        </w:rPr>
        <w:t> </w:t>
      </w:r>
      <w:r>
        <w:rPr>
          <w:spacing w:val="-72"/>
        </w:rPr>
      </w:r>
      <w:r>
        <w:rPr>
          <w:spacing w:val="-2"/>
        </w:rPr>
        <w:t>事会及各专门委员会、监事会、独立董事、董事会秘书和管理层均依法运作，切实履行应尽的职责和义务，未出现违法、违</w:t>
      </w:r>
      <w:r>
        <w:rPr>
          <w:spacing w:val="-72"/>
        </w:rPr>
        <w:t> </w:t>
      </w:r>
      <w:r>
        <w:rPr>
          <w:spacing w:val="-72"/>
        </w:rPr>
      </w:r>
      <w:r>
        <w:rPr/>
        <w:t>规现象，公司治理的实际状况符合中国证监会、深圳证券交易所等发布的法律法规和规范性文件的要求。</w:t>
      </w:r>
      <w:r>
        <w:rPr>
          <w:spacing w:val="-87"/>
        </w:rPr>
        <w:t> </w:t>
      </w:r>
      <w:r>
        <w:rPr>
          <w:spacing w:val="-87"/>
        </w:rPr>
      </w:r>
      <w:r>
        <w:rPr>
          <w:rFonts w:ascii="Times New Roman" w:hAnsi="Times New Roman" w:cs="Times New Roman" w:eastAsia="Times New Roman" w:hint="default"/>
        </w:rPr>
        <w:t>1</w:t>
      </w:r>
      <w:r>
        <w:rPr/>
        <w:t>、关于股东和股东大会</w:t>
      </w:r>
    </w:p>
    <w:p>
      <w:pPr>
        <w:pStyle w:val="BodyText"/>
        <w:spacing w:line="219" w:lineRule="exact"/>
        <w:ind w:right="0" w:firstLine="360"/>
        <w:jc w:val="both"/>
      </w:pPr>
      <w:r>
        <w:rPr/>
        <w:t>公司严格按照《公司法》、《公司章程》和《股东大会议事规则》等法律、法规要求，规范股东大会召集、召开、表决</w:t>
      </w:r>
    </w:p>
    <w:p>
      <w:pPr>
        <w:pStyle w:val="BodyText"/>
        <w:spacing w:line="276" w:lineRule="auto" w:before="94"/>
        <w:ind w:right="1119"/>
        <w:jc w:val="left"/>
      </w:pPr>
      <w:r>
        <w:rPr/>
        <w:t>程序，确保所有股东享有平等地位、平等权利，充分行使自己的权利，并承担相应的义务。报告期内，公司共召开</w:t>
      </w:r>
      <w:r>
        <w:rPr>
          <w:rFonts w:ascii="Times New Roman" w:hAnsi="Times New Roman" w:cs="Times New Roman" w:eastAsia="Times New Roman" w:hint="default"/>
        </w:rPr>
        <w:t>2</w:t>
      </w:r>
      <w:r>
        <w:rPr/>
        <w:t>次股东</w:t>
      </w:r>
      <w:r>
        <w:rPr>
          <w:spacing w:val="-79"/>
        </w:rPr>
        <w:t> </w:t>
      </w:r>
      <w:r>
        <w:rPr/>
        <w:t>大会，均使用网络投票和现场投票相结合的形式召开，为股东参加股东大会提供便利。</w:t>
      </w:r>
    </w:p>
    <w:p>
      <w:pPr>
        <w:pStyle w:val="BodyText"/>
        <w:spacing w:line="290" w:lineRule="auto" w:before="67"/>
        <w:ind w:left="501" w:right="1133" w:hanging="361"/>
        <w:jc w:val="left"/>
      </w:pP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公司拥有独立完整的业务和自主经营能力，在业务、人员、资产、机构、财务上独立于控股股东，公司董事会、监事会</w:t>
      </w:r>
    </w:p>
    <w:p>
      <w:pPr>
        <w:pStyle w:val="BodyText"/>
        <w:spacing w:line="336" w:lineRule="auto" w:before="41"/>
        <w:ind w:right="939"/>
        <w:jc w:val="left"/>
      </w:pPr>
      <w:r>
        <w:rPr>
          <w:spacing w:val="-2"/>
        </w:rPr>
        <w:t>和内部机构独立运作。公司控股股东严格规范自己的行为，没有超越股东大会直接或间接干预公司的决策和经营活动。报告</w:t>
      </w:r>
      <w:r>
        <w:rPr>
          <w:spacing w:val="-75"/>
        </w:rPr>
        <w:t> </w:t>
      </w:r>
      <w:r>
        <w:rPr>
          <w:spacing w:val="-75"/>
        </w:rPr>
      </w:r>
      <w:r>
        <w:rPr/>
        <w:t>期内</w:t>
      </w:r>
      <w:r>
        <w:rPr>
          <w:rFonts w:ascii="Times New Roman" w:hAnsi="Times New Roman" w:cs="Times New Roman" w:eastAsia="Times New Roman" w:hint="default"/>
        </w:rPr>
        <w:t>,</w:t>
      </w:r>
      <w:r>
        <w:rPr/>
        <w:t>公司没有为控股股东提供担保，亦不存在控股股东非经营性占用公司资金的行为。</w:t>
      </w:r>
    </w:p>
    <w:p>
      <w:pPr>
        <w:pStyle w:val="BodyText"/>
        <w:spacing w:line="221" w:lineRule="exact"/>
        <w:ind w:right="939"/>
        <w:jc w:val="left"/>
      </w:pPr>
      <w:r>
        <w:rPr>
          <w:rFonts w:ascii="Times New Roman" w:hAnsi="Times New Roman" w:cs="Times New Roman" w:eastAsia="Times New Roman" w:hint="default"/>
        </w:rPr>
        <w:t>3</w:t>
      </w:r>
      <w:r>
        <w:rPr/>
        <w:t>、关于董事和董事会</w:t>
      </w:r>
    </w:p>
    <w:p>
      <w:pPr>
        <w:pStyle w:val="BodyText"/>
        <w:spacing w:line="314" w:lineRule="auto" w:before="66"/>
        <w:ind w:right="1096" w:firstLine="360"/>
        <w:jc w:val="both"/>
      </w:pP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名，下设立了审计委员会、提名委员会、薪酬与考核委员会、战略委员会。董事</w:t>
      </w:r>
      <w:r>
        <w:rPr/>
        <w:t> </w:t>
      </w:r>
      <w:r>
        <w:rPr>
          <w:spacing w:val="-1"/>
        </w:rPr>
        <w:t>会对股东大会负责，对公司经营活动中的重大事项进行审议并做出决定，或提交股东大会审议，各位董事均能勤勉尽责、诚</w:t>
      </w:r>
      <w:r>
        <w:rPr>
          <w:spacing w:val="-87"/>
        </w:rPr>
        <w:t> </w:t>
      </w:r>
      <w:r>
        <w:rPr>
          <w:spacing w:val="-87"/>
        </w:rPr>
      </w:r>
      <w:r>
        <w:rPr>
          <w:spacing w:val="-2"/>
        </w:rPr>
        <w:t>信自律，且对公司重大决策事项、战略规划以及内部控制等方面提出建设性意见。公司已制定《董事会议事规则》、《独立</w:t>
      </w:r>
      <w:r>
        <w:rPr>
          <w:spacing w:val="-73"/>
        </w:rPr>
        <w:t> </w:t>
      </w:r>
      <w:r>
        <w:rPr>
          <w:spacing w:val="-73"/>
        </w:rPr>
      </w:r>
      <w:r>
        <w:rPr>
          <w:spacing w:val="-2"/>
        </w:rPr>
        <w:t>董事制度》等制度确保董事会规范、高效运作和审慎、科学决策。董事会会议严格按照董事会议事规则召开，本报告期内共</w:t>
      </w:r>
      <w:r>
        <w:rPr>
          <w:spacing w:val="-57"/>
        </w:rPr>
        <w:t> </w:t>
      </w:r>
      <w:r>
        <w:rPr>
          <w:spacing w:val="-57"/>
        </w:rPr>
      </w:r>
      <w:r>
        <w:rPr/>
        <w:t>召开董事会会议</w:t>
      </w:r>
      <w:r>
        <w:rPr>
          <w:rFonts w:ascii="Times New Roman" w:hAnsi="Times New Roman" w:cs="Times New Roman" w:eastAsia="Times New Roman" w:hint="default"/>
        </w:rPr>
        <w:t>6</w:t>
      </w:r>
      <w:r>
        <w:rPr/>
        <w:t>次。</w:t>
      </w:r>
    </w:p>
    <w:p>
      <w:pPr>
        <w:pStyle w:val="BodyText"/>
        <w:spacing w:line="302" w:lineRule="auto" w:before="4"/>
        <w:ind w:left="501" w:right="1119" w:hanging="361"/>
        <w:jc w:val="left"/>
      </w:pPr>
      <w:r>
        <w:rPr>
          <w:rFonts w:ascii="Times New Roman" w:hAnsi="Times New Roman" w:cs="Times New Roman" w:eastAsia="Times New Roman" w:hint="default"/>
        </w:rPr>
        <w:t>4</w:t>
      </w:r>
      <w:r>
        <w:rPr/>
        <w:t>．关于监事和监事会 </w:t>
      </w:r>
      <w:r>
        <w:rPr>
          <w:spacing w:val="-5"/>
        </w:rPr>
        <w:t>公司监事会设监事</w:t>
      </w:r>
      <w:r>
        <w:rPr>
          <w:rFonts w:ascii="Times New Roman" w:hAnsi="Times New Roman" w:cs="Times New Roman" w:eastAsia="Times New Roman" w:hint="default"/>
          <w:spacing w:val="-5"/>
        </w:rPr>
        <w:t>3</w:t>
      </w:r>
      <w:r>
        <w:rPr>
          <w:spacing w:val="-5"/>
        </w:rPr>
        <w:t>名，其中职工监事</w:t>
      </w:r>
      <w:r>
        <w:rPr>
          <w:rFonts w:ascii="Times New Roman" w:hAnsi="Times New Roman" w:cs="Times New Roman" w:eastAsia="Times New Roman" w:hint="default"/>
          <w:spacing w:val="-5"/>
        </w:rPr>
        <w:t>1</w:t>
      </w:r>
      <w:r>
        <w:rPr>
          <w:spacing w:val="-5"/>
        </w:rPr>
        <w:t>名，监事会的人数和构成符合法律、法规的要求。各位监事严格按照《公司法》、</w:t>
      </w:r>
    </w:p>
    <w:p>
      <w:pPr>
        <w:pStyle w:val="BodyText"/>
        <w:spacing w:line="235" w:lineRule="exact"/>
        <w:ind w:right="939"/>
        <w:jc w:val="left"/>
      </w:pPr>
      <w:r>
        <w:rPr/>
        <w:t>《公司章程》和《监事会议事规则》的有关规定认真履行职责，对公司财务状况、重大事项以及公司董事及高级管理人员履</w:t>
      </w:r>
    </w:p>
    <w:p>
      <w:pPr>
        <w:pStyle w:val="BodyText"/>
        <w:spacing w:line="273" w:lineRule="auto" w:before="95"/>
        <w:ind w:right="1119"/>
        <w:jc w:val="left"/>
      </w:pPr>
      <w:r>
        <w:rPr/>
        <w:t>行职责的合法合规性等进行监督，维护公司及股东的合法权益。报告期内，公司共召开</w:t>
      </w:r>
      <w:r>
        <w:rPr>
          <w:rFonts w:ascii="Times New Roman" w:hAnsi="Times New Roman" w:cs="Times New Roman" w:eastAsia="Times New Roman" w:hint="default"/>
        </w:rPr>
        <w:t>4</w:t>
      </w:r>
      <w:r>
        <w:rPr/>
        <w:t>次监事会，会议均由监事会主席召</w:t>
      </w:r>
      <w:r>
        <w:rPr>
          <w:spacing w:val="-82"/>
        </w:rPr>
        <w:t> </w:t>
      </w:r>
      <w:r>
        <w:rPr/>
        <w:t>集、召开。</w:t>
      </w:r>
    </w:p>
    <w:p>
      <w:pPr>
        <w:pStyle w:val="BodyText"/>
        <w:spacing w:line="288" w:lineRule="auto" w:before="70"/>
        <w:ind w:left="501" w:right="1133" w:hanging="361"/>
        <w:jc w:val="left"/>
      </w:pPr>
      <w:r>
        <w:rPr>
          <w:rFonts w:ascii="Times New Roman" w:hAnsi="Times New Roman" w:cs="Times New Roman" w:eastAsia="Times New Roman" w:hint="default"/>
        </w:rPr>
        <w:t>5</w:t>
      </w:r>
      <w:r>
        <w:rPr/>
        <w:t>、关于绩效评价与激励约束机制 </w:t>
      </w:r>
      <w:r>
        <w:rPr>
          <w:spacing w:val="-2"/>
        </w:rPr>
        <w:t>公司已建立企业绩效激励与评价体系，并不断完善。公司董事、监事和高级管理人员的绩效评价标准和激励约束机制公</w:t>
      </w:r>
    </w:p>
    <w:p>
      <w:pPr>
        <w:pStyle w:val="BodyText"/>
        <w:spacing w:line="321" w:lineRule="auto" w:before="44"/>
        <w:ind w:right="939"/>
        <w:jc w:val="left"/>
      </w:pPr>
      <w:r>
        <w:rPr>
          <w:spacing w:val="-2"/>
        </w:rPr>
        <w:t>开、透明，符合法律、法规的规定。公司董事会设立了薪酬与考核委员会，负责薪酬政策及方案的制定与审定。公司高级管</w:t>
      </w:r>
      <w:r>
        <w:rPr>
          <w:spacing w:val="-72"/>
        </w:rPr>
        <w:t> </w:t>
      </w:r>
      <w:r>
        <w:rPr>
          <w:spacing w:val="-72"/>
        </w:rPr>
      </w:r>
      <w:r>
        <w:rPr/>
        <w:t>理人员均认真履行工作职责，较好地完成了董事会制定的经营管理任务。</w:t>
      </w:r>
    </w:p>
    <w:p>
      <w:pPr>
        <w:pStyle w:val="BodyText"/>
        <w:spacing w:line="288" w:lineRule="auto" w:before="18"/>
        <w:ind w:left="501" w:right="939" w:hanging="361"/>
        <w:jc w:val="left"/>
      </w:pPr>
      <w:r>
        <w:rPr>
          <w:rFonts w:ascii="Times New Roman" w:hAnsi="Times New Roman" w:cs="Times New Roman" w:eastAsia="Times New Roman" w:hint="default"/>
        </w:rPr>
        <w:t>6</w:t>
      </w:r>
      <w:r>
        <w:rPr/>
        <w:t>、关于相关利益者 </w:t>
      </w:r>
      <w:r>
        <w:rPr>
          <w:spacing w:val="-2"/>
        </w:rPr>
        <w:t>公司能够充分尊重和维护相关利益者的合法权益，积极与相关利益者沟通和交流，努力实现社会、股东、公司、员工等</w:t>
      </w:r>
    </w:p>
    <w:p>
      <w:pPr>
        <w:pStyle w:val="BodyText"/>
        <w:spacing w:line="240" w:lineRule="auto" w:before="44"/>
        <w:ind w:right="939"/>
        <w:jc w:val="left"/>
      </w:pPr>
      <w:r>
        <w:rPr/>
        <w:t>各方利益的协调平衡，共同推动公司持续、稳定、健康发展。</w:t>
      </w:r>
    </w:p>
    <w:p>
      <w:pPr>
        <w:pStyle w:val="BodyText"/>
        <w:spacing w:line="333" w:lineRule="auto" w:before="94"/>
        <w:ind w:left="501" w:right="939" w:hanging="361"/>
        <w:jc w:val="left"/>
      </w:pPr>
      <w:r>
        <w:rPr>
          <w:rFonts w:ascii="Times New Roman" w:hAnsi="Times New Roman" w:cs="Times New Roman" w:eastAsia="Times New Roman" w:hint="default"/>
        </w:rPr>
        <w:t>7</w:t>
      </w:r>
      <w:r>
        <w:rPr/>
        <w:t>、关于信息披露与透明度 </w:t>
      </w:r>
      <w:r>
        <w:rPr>
          <w:spacing w:val="-2"/>
        </w:rPr>
        <w:t>公司严格按照有关法律法规和公司《信息披露管理办法》的规定，加强信息披露事务管理，履行信息披露义务，并指定</w:t>
      </w:r>
    </w:p>
    <w:p>
      <w:pPr>
        <w:pStyle w:val="BodyText"/>
        <w:spacing w:line="288" w:lineRule="auto" w:before="9"/>
        <w:ind w:right="939"/>
        <w:jc w:val="left"/>
      </w:pPr>
      <w:r>
        <w:rPr/>
        <w:t>《证券时报》、《上海证券报》、和中国证监会创业板指定信息披露网站（巨潮资讯网</w:t>
      </w:r>
      <w:hyperlink r:id="rId10">
        <w:r>
          <w:rPr>
            <w:rFonts w:ascii="Times New Roman" w:hAnsi="Times New Roman" w:cs="Times New Roman" w:eastAsia="Times New Roman" w:hint="default"/>
          </w:rPr>
          <w:t>www.cninfo.com.cn</w:t>
        </w:r>
      </w:hyperlink>
      <w:r>
        <w:rPr/>
        <w:t>）为公司信息披</w:t>
      </w:r>
      <w:r>
        <w:rPr>
          <w:spacing w:val="-23"/>
        </w:rPr>
        <w:t> </w:t>
      </w:r>
      <w:r>
        <w:rPr>
          <w:spacing w:val="-23"/>
        </w:rPr>
      </w:r>
      <w:r>
        <w:rPr/>
        <w:t>露报纸和网站，真实、准确、及时、完整的披露信息，确保所有投资者公平获取公司信息。</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240" w:lineRule="auto"/>
        <w:ind w:right="939"/>
        <w:jc w:val="left"/>
      </w:pPr>
      <w:r>
        <w:rPr/>
        <w:t>公司治理的实际状况与中国证监会发布的有关上市公司治理的规范性文件是否存在重大差异</w:t>
      </w:r>
    </w:p>
    <w:p>
      <w:pPr>
        <w:spacing w:after="0" w:line="240" w:lineRule="auto"/>
        <w:jc w:val="left"/>
        <w:sectPr>
          <w:pgSz w:w="11910" w:h="16850"/>
          <w:pgMar w:header="866" w:footer="981" w:top="1040" w:bottom="1180" w:left="1000" w:right="0"/>
        </w:sectPr>
      </w:pPr>
    </w:p>
    <w:p>
      <w:pPr>
        <w:spacing w:line="240" w:lineRule="auto" w:before="2"/>
        <w:rPr>
          <w:rFonts w:ascii="宋体" w:hAnsi="宋体" w:cs="宋体" w:eastAsia="宋体" w:hint="default"/>
          <w:sz w:val="27"/>
          <w:szCs w:val="27"/>
        </w:rPr>
      </w:pPr>
    </w:p>
    <w:p>
      <w:pPr>
        <w:pStyle w:val="BodyText"/>
        <w:spacing w:line="319" w:lineRule="auto" w:before="44"/>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22"/>
          <w:szCs w:val="22"/>
        </w:rPr>
      </w:pPr>
    </w:p>
    <w:p>
      <w:pPr>
        <w:pStyle w:val="Heading2"/>
        <w:spacing w:line="240" w:lineRule="auto"/>
        <w:ind w:right="939"/>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13"/>
        <w:rPr>
          <w:rFonts w:ascii="宋体" w:hAnsi="宋体" w:cs="宋体" w:eastAsia="宋体" w:hint="default"/>
          <w:b/>
          <w:bCs/>
          <w:sz w:val="24"/>
          <w:szCs w:val="24"/>
        </w:rPr>
      </w:pPr>
    </w:p>
    <w:p>
      <w:pPr>
        <w:pStyle w:val="BodyText"/>
        <w:spacing w:line="316" w:lineRule="auto"/>
        <w:ind w:right="1099" w:firstLine="360"/>
        <w:jc w:val="both"/>
      </w:pPr>
      <w:r>
        <w:rPr>
          <w:spacing w:val="-2"/>
        </w:rPr>
        <w:t>公司控股股东严格按照《公司法》、《证券法》、《深圳证券交易所创业板股票上市规则》、《深圳证券交易所创业板</w:t>
      </w:r>
      <w:r>
        <w:rPr/>
        <w:t> </w:t>
      </w:r>
      <w:r>
        <w:rPr>
          <w:spacing w:val="-2"/>
        </w:rPr>
        <w:t>上市公司规范运作指引》、《公司章程》等规定和要求，不存在超越公司股东大会直接或间接干预公司的决策和经营活动的</w:t>
      </w:r>
      <w:r>
        <w:rPr>
          <w:spacing w:val="-58"/>
        </w:rPr>
        <w:t> </w:t>
      </w:r>
      <w:r>
        <w:rPr>
          <w:spacing w:val="-58"/>
        </w:rPr>
      </w:r>
      <w:r>
        <w:rPr>
          <w:spacing w:val="-1"/>
        </w:rPr>
        <w:t>行为，未损害公司及其他股东的利益，不存在控股股东占用公司资金的现象，公司亦无为控股股东提供担保的情形。公司拥</w:t>
      </w:r>
      <w:r>
        <w:rPr/>
        <w:t> </w:t>
      </w:r>
      <w:r>
        <w:rPr>
          <w:spacing w:val="-2"/>
        </w:rPr>
        <w:t>有独立完整的业务和自主经营能力，在业务、人员、资产、机构、财务上独立于控股股东，公司董事会、监事会和内部机构</w:t>
      </w:r>
      <w:r>
        <w:rPr>
          <w:spacing w:val="-73"/>
        </w:rPr>
        <w:t> </w:t>
      </w:r>
      <w:r>
        <w:rPr>
          <w:spacing w:val="-73"/>
        </w:rPr>
      </w:r>
      <w:r>
        <w:rPr/>
        <w:t>独立运作。</w:t>
      </w:r>
    </w:p>
    <w:p>
      <w:pPr>
        <w:spacing w:line="240" w:lineRule="auto" w:before="9"/>
        <w:rPr>
          <w:rFonts w:ascii="宋体" w:hAnsi="宋体" w:cs="宋体" w:eastAsia="宋体" w:hint="default"/>
          <w:sz w:val="22"/>
          <w:szCs w:val="22"/>
        </w:rPr>
      </w:pPr>
    </w:p>
    <w:p>
      <w:pPr>
        <w:pStyle w:val="Heading2"/>
        <w:spacing w:line="240" w:lineRule="auto"/>
        <w:ind w:right="939"/>
        <w:jc w:val="left"/>
        <w:rPr>
          <w:b w:val="0"/>
          <w:bCs w:val="0"/>
        </w:rPr>
      </w:pPr>
      <w:bookmarkStart w:name="三、同业竞争情况" w:id="136"/>
      <w:bookmarkEnd w:id="136"/>
      <w:r>
        <w:rPr>
          <w:b w:val="0"/>
          <w:bCs w:val="0"/>
        </w:rPr>
      </w:r>
      <w:r>
        <w:rPr/>
        <w:t>三、同业竞争情况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9"/>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48.13%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30"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 决议公告（公告编 号：</w:t>
            </w:r>
            <w:r>
              <w:rPr>
                <w:rFonts w:ascii="Times New Roman" w:hAnsi="Times New Roman" w:cs="Times New Roman" w:eastAsia="Times New Roman" w:hint="default"/>
                <w:sz w:val="18"/>
                <w:szCs w:val="18"/>
              </w:rPr>
              <w:t>2019-029</w:t>
            </w:r>
            <w:r>
              <w:rPr>
                <w:rFonts w:ascii="宋体" w:hAnsi="宋体" w:cs="宋体" w:eastAsia="宋体" w:hint="default"/>
                <w:sz w:val="18"/>
                <w:szCs w:val="18"/>
              </w:rPr>
              <w:t>）</w:t>
            </w:r>
          </w:p>
          <w:p>
            <w:pPr>
              <w:pStyle w:val="TableParagraph"/>
              <w:spacing w:line="240" w:lineRule="auto" w:before="54"/>
              <w:ind w:left="30" w:right="0"/>
              <w:jc w:val="both"/>
              <w:rPr>
                <w:rFonts w:ascii="Times New Roman" w:hAnsi="Times New Roman" w:cs="Times New Roman" w:eastAsia="Times New Roman" w:hint="default"/>
                <w:sz w:val="18"/>
                <w:szCs w:val="18"/>
              </w:rPr>
            </w:pPr>
            <w:hyperlink r:id="rId10">
              <w:r>
                <w:rPr>
                  <w:rFonts w:ascii="Times New Roman"/>
                  <w:sz w:val="18"/>
                </w:rPr>
                <w:t>www.cninfo.com.cn</w:t>
              </w:r>
            </w:hyperlink>
          </w:p>
        </w:tc>
      </w:tr>
    </w:tbl>
    <w:p>
      <w:pPr>
        <w:spacing w:line="240" w:lineRule="auto" w:before="11"/>
        <w:rPr>
          <w:rFonts w:ascii="宋体" w:hAnsi="宋体" w:cs="宋体" w:eastAsia="宋体" w:hint="default"/>
          <w:b/>
          <w:bCs/>
          <w:sz w:val="19"/>
          <w:szCs w:val="19"/>
        </w:rPr>
      </w:pPr>
    </w:p>
    <w:p>
      <w:pPr>
        <w:pStyle w:val="Heading3"/>
        <w:spacing w:line="240" w:lineRule="auto" w:before="35"/>
        <w:ind w:right="939"/>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939"/>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9"/>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5"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麦荣昌</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杨时飞</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苏哲锋</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5"/>
        <w:ind w:right="939"/>
        <w:jc w:val="left"/>
      </w:pPr>
      <w:r>
        <w:rPr/>
        <w:t>连续两次未亲自出席董事会的说明</w:t>
      </w:r>
    </w:p>
    <w:p>
      <w:pPr>
        <w:spacing w:after="0" w:line="240" w:lineRule="auto"/>
        <w:jc w:val="left"/>
        <w:sectPr>
          <w:pgSz w:w="11910" w:h="16850"/>
          <w:pgMar w:header="866" w:footer="981" w:top="1040" w:bottom="1180" w:left="1000" w:right="0"/>
        </w:sectPr>
      </w:pPr>
    </w:p>
    <w:p>
      <w:pPr>
        <w:spacing w:line="240" w:lineRule="auto" w:before="7"/>
        <w:rPr>
          <w:rFonts w:ascii="宋体" w:hAnsi="宋体" w:cs="宋体" w:eastAsia="宋体" w:hint="default"/>
          <w:sz w:val="27"/>
          <w:szCs w:val="27"/>
        </w:rPr>
      </w:pPr>
    </w:p>
    <w:p>
      <w:pPr>
        <w:pStyle w:val="Heading3"/>
        <w:spacing w:line="240" w:lineRule="auto" w:before="35"/>
        <w:ind w:right="939"/>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939"/>
        <w:jc w:val="left"/>
      </w:pPr>
      <w:r>
        <w:rPr/>
        <w:t>独立董事对公司有关事项是否提出异议</w:t>
      </w:r>
    </w:p>
    <w:p>
      <w:pPr>
        <w:pStyle w:val="BodyText"/>
        <w:spacing w:line="331" w:lineRule="auto" w:before="125"/>
        <w:ind w:right="6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报告期内独立董事对公司有关事项未提出异议。</w:t>
      </w:r>
    </w:p>
    <w:p>
      <w:pPr>
        <w:spacing w:line="240" w:lineRule="auto" w:before="6"/>
        <w:rPr>
          <w:rFonts w:ascii="宋体" w:hAnsi="宋体" w:cs="宋体" w:eastAsia="宋体" w:hint="default"/>
          <w:sz w:val="23"/>
          <w:szCs w:val="23"/>
        </w:rPr>
      </w:pPr>
    </w:p>
    <w:p>
      <w:pPr>
        <w:pStyle w:val="Heading3"/>
        <w:spacing w:line="240" w:lineRule="auto"/>
        <w:ind w:right="939"/>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独立董事对公司有关建议是否被采纳</w:t>
      </w:r>
    </w:p>
    <w:p>
      <w:pPr>
        <w:pStyle w:val="BodyText"/>
        <w:spacing w:line="319" w:lineRule="auto" w:before="125"/>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w:t>
      </w:r>
    </w:p>
    <w:p>
      <w:pPr>
        <w:pStyle w:val="BodyText"/>
        <w:spacing w:line="316" w:lineRule="auto" w:before="65"/>
        <w:ind w:right="1106" w:firstLine="360"/>
        <w:jc w:val="both"/>
      </w:pPr>
      <w:r>
        <w:rPr>
          <w:spacing w:val="-5"/>
        </w:rPr>
        <w:t>公司独立董事勤勉尽责，严格按照中国证监会的相关规定及《公司章程》、《董事会议事规则》和《独立董事工作制度》</w:t>
      </w:r>
      <w:r>
        <w:rPr/>
        <w:t> </w:t>
      </w:r>
      <w:r>
        <w:rPr>
          <w:spacing w:val="-2"/>
        </w:rPr>
        <w:t>开展工作，关注公司运作，独立履行职责，对公司内部控制建设、管理体系建设、人才梯队建设和重大决策等方面提出了很</w:t>
      </w:r>
      <w:r>
        <w:rPr>
          <w:spacing w:val="-57"/>
        </w:rPr>
        <w:t> </w:t>
      </w:r>
      <w:r>
        <w:rPr>
          <w:spacing w:val="-57"/>
        </w:rPr>
      </w:r>
      <w:r>
        <w:rPr>
          <w:spacing w:val="-2"/>
        </w:rPr>
        <w:t>多宝贵的专业性建议，对公司财务及生产经营活动进行了有效监督，提高了公司决策的科学性，为完善公司监督机制，维护</w:t>
      </w:r>
      <w:r>
        <w:rPr>
          <w:spacing w:val="-42"/>
        </w:rPr>
        <w:t> </w:t>
      </w:r>
      <w:r>
        <w:rPr>
          <w:spacing w:val="-42"/>
        </w:rPr>
      </w:r>
      <w:r>
        <w:rPr/>
        <w:t>公司和全体股东的合法权益发挥了应有的作用。</w:t>
      </w:r>
    </w:p>
    <w:p>
      <w:pPr>
        <w:spacing w:line="240" w:lineRule="auto" w:before="9"/>
        <w:rPr>
          <w:rFonts w:ascii="宋体" w:hAnsi="宋体" w:cs="宋体" w:eastAsia="宋体" w:hint="default"/>
          <w:sz w:val="22"/>
          <w:szCs w:val="22"/>
        </w:rPr>
      </w:pPr>
    </w:p>
    <w:p>
      <w:pPr>
        <w:pStyle w:val="Heading2"/>
        <w:spacing w:line="240" w:lineRule="auto"/>
        <w:ind w:right="939"/>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13"/>
        <w:rPr>
          <w:rFonts w:ascii="宋体" w:hAnsi="宋体" w:cs="宋体" w:eastAsia="宋体" w:hint="default"/>
          <w:b/>
          <w:bCs/>
          <w:sz w:val="24"/>
          <w:szCs w:val="24"/>
        </w:rPr>
      </w:pPr>
    </w:p>
    <w:p>
      <w:pPr>
        <w:pStyle w:val="BodyText"/>
        <w:spacing w:line="312" w:lineRule="auto"/>
        <w:ind w:right="1029" w:firstLine="360"/>
        <w:jc w:val="left"/>
      </w:pPr>
      <w:r>
        <w:rPr>
          <w:spacing w:val="-2"/>
        </w:rPr>
        <w:t>公司董事会下设立了审计委员会、提名委员会、薪酬与考核委员会、战略委员会等四个专门委员会。分别制定了《战略</w:t>
      </w:r>
      <w:r>
        <w:rPr/>
        <w:t> 委员会议事规则》、《提名委员会议事规则》、《审计委员会议事规则》以及《薪酬与考核委员会议事规则》，</w:t>
      </w:r>
      <w:r>
        <w:rPr>
          <w:rFonts w:ascii="Times New Roman" w:hAnsi="Times New Roman" w:cs="Times New Roman" w:eastAsia="Times New Roman" w:hint="default"/>
        </w:rPr>
        <w:t>2019</w:t>
      </w:r>
      <w:r>
        <w:rPr/>
        <w:t>年度，</w:t>
      </w:r>
      <w:r>
        <w:rPr>
          <w:spacing w:val="-79"/>
        </w:rPr>
        <w:t> </w:t>
      </w:r>
      <w:r>
        <w:rPr>
          <w:spacing w:val="-2"/>
        </w:rPr>
        <w:t>各专门委员会本着勤勉尽责的原则，按照有关法律、法规、规范性文件及公司各专门委员会议事规则的规定开展工作。对促</w:t>
      </w:r>
    </w:p>
    <w:p>
      <w:pPr>
        <w:pStyle w:val="BodyText"/>
        <w:spacing w:line="240" w:lineRule="auto" w:before="11"/>
        <w:ind w:right="939"/>
        <w:jc w:val="left"/>
      </w:pPr>
      <w:r>
        <w:rPr/>
        <w:t>进公司内部控制建设和完善工作起到了积极的作用，维护了公司及全体股东的利益。</w:t>
      </w:r>
    </w:p>
    <w:p>
      <w:pPr>
        <w:spacing w:line="240" w:lineRule="auto" w:before="13"/>
        <w:rPr>
          <w:rFonts w:ascii="宋体" w:hAnsi="宋体" w:cs="宋体" w:eastAsia="宋体" w:hint="default"/>
          <w:sz w:val="25"/>
          <w:szCs w:val="25"/>
        </w:rPr>
      </w:pPr>
    </w:p>
    <w:p>
      <w:pPr>
        <w:pStyle w:val="Heading2"/>
        <w:spacing w:line="240" w:lineRule="auto"/>
        <w:ind w:right="939"/>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t>监事会在报告期内的监督活动中发现公司是否存在风险</w:t>
      </w:r>
    </w:p>
    <w:p>
      <w:pPr>
        <w:pStyle w:val="BodyText"/>
        <w:spacing w:line="316" w:lineRule="auto" w:before="140"/>
        <w:ind w:right="73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公司监事会对报告期内的监督事项无异议。</w:t>
      </w:r>
    </w:p>
    <w:p>
      <w:pPr>
        <w:spacing w:line="240" w:lineRule="auto" w:before="7"/>
        <w:rPr>
          <w:rFonts w:ascii="宋体" w:hAnsi="宋体" w:cs="宋体" w:eastAsia="宋体" w:hint="default"/>
          <w:sz w:val="21"/>
          <w:szCs w:val="21"/>
        </w:rPr>
      </w:pPr>
    </w:p>
    <w:p>
      <w:pPr>
        <w:pStyle w:val="Heading2"/>
        <w:spacing w:line="240" w:lineRule="auto"/>
        <w:ind w:right="939"/>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1"/>
        <w:rPr>
          <w:rFonts w:ascii="宋体" w:hAnsi="宋体" w:cs="宋体" w:eastAsia="宋体" w:hint="default"/>
          <w:b/>
          <w:bCs/>
          <w:sz w:val="26"/>
          <w:szCs w:val="26"/>
        </w:rPr>
      </w:pPr>
    </w:p>
    <w:p>
      <w:pPr>
        <w:pStyle w:val="BodyText"/>
        <w:spacing w:line="314" w:lineRule="auto"/>
        <w:ind w:right="1106" w:firstLine="360"/>
        <w:jc w:val="both"/>
      </w:pPr>
      <w:r>
        <w:rPr>
          <w:spacing w:val="-2"/>
        </w:rPr>
        <w:t>公司建立了较为完善的高级管理人员绩效考评体系、奖惩激励机制和薪酬制度。公司高级管理人员严格按照相关法律法</w:t>
      </w:r>
      <w:r>
        <w:rPr/>
        <w:t> </w:t>
      </w:r>
      <w:r>
        <w:rPr>
          <w:spacing w:val="-2"/>
        </w:rPr>
        <w:t>规的规定和要求进行聘任，确保公开、透明、公正。董事会下设的薪酬与考核委员会负责制定高级管理人员的薪酬方案并报</w:t>
      </w:r>
      <w:r>
        <w:rPr>
          <w:spacing w:val="-42"/>
        </w:rPr>
        <w:t> </w:t>
      </w:r>
      <w:r>
        <w:rPr>
          <w:spacing w:val="-42"/>
        </w:rPr>
      </w:r>
      <w:r>
        <w:rPr/>
        <w:t>董事会审批。报告期内，公司高级管理人员薪酬方案严格执行了公司薪酬管理制度。</w:t>
      </w:r>
    </w:p>
    <w:p>
      <w:pPr>
        <w:spacing w:line="240" w:lineRule="auto" w:before="12"/>
        <w:rPr>
          <w:rFonts w:ascii="宋体" w:hAnsi="宋体" w:cs="宋体" w:eastAsia="宋体" w:hint="default"/>
          <w:sz w:val="22"/>
          <w:szCs w:val="22"/>
        </w:rPr>
      </w:pPr>
    </w:p>
    <w:p>
      <w:pPr>
        <w:pStyle w:val="Heading2"/>
        <w:spacing w:line="240" w:lineRule="auto"/>
        <w:ind w:right="939"/>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9"/>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Heading3"/>
        <w:spacing w:line="240" w:lineRule="auto" w:before="76"/>
        <w:ind w:right="939"/>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5"/>
          <w:szCs w:val="5"/>
        </w:rPr>
      </w:pPr>
    </w:p>
    <w:tbl>
      <w:tblPr>
        <w:tblW w:w="0" w:type="auto"/>
        <w:jc w:val="left"/>
        <w:tblInd w:w="126" w:type="dxa"/>
        <w:tblLayout w:type="fixed"/>
        <w:tblCellMar>
          <w:top w:w="0" w:type="dxa"/>
          <w:left w:w="0" w:type="dxa"/>
          <w:bottom w:w="0" w:type="dxa"/>
          <w:right w:w="0" w:type="dxa"/>
        </w:tblCellMar>
        <w:tblLook w:val="01E0"/>
      </w:tblPr>
      <w:tblGrid>
        <w:gridCol w:w="3192"/>
        <w:gridCol w:w="6390"/>
      </w:tblGrid>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0"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b/>
          <w:bCs/>
          <w:sz w:val="29"/>
          <w:szCs w:val="29"/>
        </w:rPr>
      </w:pPr>
      <w:r>
        <w:rPr/>
        <w:pict>
          <v:group style="position:absolute;margin-left:384.480011pt;margin-top:201.925003pt;width:150.2pt;height:15.8pt;mso-position-horizontal-relative:page;mso-position-vertical-relative:page;z-index:-1163512" coordorigin="7690,4039" coordsize="3004,316">
            <v:shape style="position:absolute;left:7690;top:4039;width:3004;height:316" coordorigin="7690,4039" coordsize="3004,316" path="m7690,4354l10694,4354,10694,4039,7690,4039,7690,4354xe" filled="true" fillcolor="#ffffff" stroked="false">
              <v:path arrowok="t"/>
              <v:fill type="solid"/>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3195"/>
        <w:gridCol w:w="3323"/>
        <w:gridCol w:w="3064"/>
      </w:tblGrid>
      <w:tr>
        <w:trPr>
          <w:trHeight w:val="72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8" w:hRule="exact"/>
        </w:trPr>
        <w:tc>
          <w:tcPr>
            <w:tcW w:w="958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4"/>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12"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29"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6" w:space="0" w:color="000000"/>
              <w:left w:val="single" w:sz="6" w:space="0" w:color="000000"/>
              <w:bottom w:val="single" w:sz="6" w:space="0" w:color="000000"/>
              <w:right w:val="single" w:sz="18" w:space="0" w:color="FFFFFF"/>
            </w:tcBorders>
          </w:tcPr>
          <w:p>
            <w:pPr>
              <w:pStyle w:val="TableParagraph"/>
              <w:spacing w:line="297" w:lineRule="auto" w:before="45"/>
              <w:ind w:left="18" w:right="-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、公司董事、监事和高级管理人员的舞弊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、公司更正已公布的财务报告；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77"/>
                <w:sz w:val="18"/>
                <w:szCs w:val="18"/>
              </w:rPr>
              <w:t> </w:t>
            </w:r>
            <w:r>
              <w:rPr>
                <w:rFonts w:ascii="宋体" w:hAnsi="宋体" w:cs="宋体" w:eastAsia="宋体" w:hint="default"/>
                <w:sz w:val="18"/>
                <w:szCs w:val="18"/>
              </w:rPr>
              <w:t>注册会计师发现的却未被公司内部控制识</w:t>
            </w:r>
          </w:p>
          <w:p>
            <w:pPr>
              <w:pStyle w:val="TableParagraph"/>
              <w:spacing w:line="297" w:lineRule="auto" w:before="51"/>
              <w:ind w:left="18" w:right="0"/>
              <w:jc w:val="both"/>
              <w:rPr>
                <w:rFonts w:ascii="宋体" w:hAnsi="宋体" w:cs="宋体" w:eastAsia="宋体" w:hint="default"/>
                <w:sz w:val="18"/>
                <w:szCs w:val="18"/>
              </w:rPr>
            </w:pPr>
            <w:r>
              <w:rPr>
                <w:rFonts w:ascii="宋体" w:hAnsi="宋体" w:cs="宋体" w:eastAsia="宋体" w:hint="default"/>
                <w:spacing w:val="-4"/>
                <w:sz w:val="18"/>
                <w:szCs w:val="18"/>
              </w:rPr>
              <w:t>别的当期财务报告中的重大错报；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部门对公司的对外财务报告和财务报告内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部控制监督无效。财务报告重要缺陷的迹</w:t>
            </w:r>
          </w:p>
          <w:p>
            <w:pPr>
              <w:pStyle w:val="TableParagraph"/>
              <w:spacing w:line="319" w:lineRule="auto" w:before="36"/>
              <w:ind w:left="18" w:right="17"/>
              <w:jc w:val="both"/>
              <w:rPr>
                <w:rFonts w:ascii="宋体" w:hAnsi="宋体" w:cs="宋体" w:eastAsia="宋体" w:hint="default"/>
                <w:sz w:val="18"/>
                <w:szCs w:val="18"/>
              </w:rPr>
            </w:pPr>
            <w:r>
              <w:rPr>
                <w:rFonts w:ascii="宋体" w:hAnsi="宋体" w:cs="宋体" w:eastAsia="宋体" w:hint="default"/>
                <w:sz w:val="18"/>
                <w:szCs w:val="18"/>
              </w:rPr>
              <w:t>象包括：未按照公认的会计准则选择和应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用会计政策；未建立反舞弊程序和控制措</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施；对于非常规或特殊交易的账务处理没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有建立相应的控制机制；对期末财务报告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过程的控制存在缺陷不能合理保证财务报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表达到真实、完整的目标。</w:t>
            </w:r>
          </w:p>
        </w:tc>
        <w:tc>
          <w:tcPr>
            <w:tcW w:w="3064" w:type="dxa"/>
            <w:tcBorders>
              <w:top w:val="single" w:sz="6" w:space="0" w:color="000000"/>
              <w:left w:val="single" w:sz="18" w:space="0" w:color="FFFFFF"/>
              <w:bottom w:val="single" w:sz="6" w:space="0" w:color="000000"/>
              <w:right w:val="single" w:sz="6" w:space="0" w:color="000000"/>
            </w:tcBorders>
          </w:tcPr>
          <w:p>
            <w:pPr>
              <w:pStyle w:val="TableParagraph"/>
              <w:spacing w:line="319" w:lineRule="auto" w:before="30"/>
              <w:ind w:left="15" w:right="-42"/>
              <w:jc w:val="left"/>
              <w:rPr>
                <w:rFonts w:ascii="宋体" w:hAnsi="宋体" w:cs="宋体" w:eastAsia="宋体" w:hint="default"/>
                <w:sz w:val="18"/>
                <w:szCs w:val="18"/>
              </w:rPr>
            </w:pPr>
            <w:r>
              <w:rPr>
                <w:rFonts w:ascii="宋体" w:hAnsi="宋体" w:cs="宋体" w:eastAsia="宋体" w:hint="default"/>
                <w:spacing w:val="7"/>
                <w:sz w:val="18"/>
                <w:szCs w:val="18"/>
              </w:rPr>
              <w:t>主要以缺陷对业务流程有效性的影响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程度、发生的可能性作判断。如果缺陷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发生的可能性较小，会降低工作效率或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效果、或加大效果的不确定性、或使之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偏离预期目标为一般缺陷；如果缺陷发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生的可能性较高，会显著降低工作效率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或效果，或显著加大效果的不确定性、 或使之显著偏离预期目标为重要缺陷； </w:t>
            </w:r>
            <w:r>
              <w:rPr>
                <w:rFonts w:ascii="宋体" w:hAnsi="宋体" w:cs="宋体" w:eastAsia="宋体" w:hint="default"/>
                <w:spacing w:val="-4"/>
                <w:sz w:val="18"/>
                <w:szCs w:val="18"/>
              </w:rPr>
              <w:t>如果缺陷发生的可能性高，会严重降低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大缺陷</w:t>
            </w:r>
          </w:p>
        </w:tc>
      </w:tr>
      <w:tr>
        <w:trPr>
          <w:trHeight w:val="5089"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12" w:lineRule="auto"/>
              <w:ind w:left="18" w:right="13"/>
              <w:jc w:val="both"/>
              <w:rPr>
                <w:rFonts w:ascii="宋体" w:hAnsi="宋体" w:cs="宋体" w:eastAsia="宋体" w:hint="default"/>
                <w:sz w:val="18"/>
                <w:szCs w:val="18"/>
              </w:rPr>
            </w:pPr>
            <w:r>
              <w:rPr>
                <w:rFonts w:ascii="宋体" w:hAnsi="宋体" w:cs="宋体" w:eastAsia="宋体" w:hint="default"/>
                <w:sz w:val="18"/>
                <w:szCs w:val="18"/>
              </w:rPr>
              <w:t>定量标准以营业收入、资产总额作为衡量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指标。内部控制缺陷可能导致或导致的损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失与利润相关的，以营业收入指标衡量。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如果该缺陷单独或连同其他缺陷可能导致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财务报告错报金额小于营业收入 </w:t>
            </w:r>
            <w:r>
              <w:rPr>
                <w:rFonts w:ascii="Times New Roman" w:hAnsi="Times New Roman" w:cs="Times New Roman" w:eastAsia="Times New Roman" w:hint="default"/>
                <w:sz w:val="18"/>
                <w:szCs w:val="18"/>
              </w:rPr>
              <w:t>0.5%,</w:t>
            </w:r>
            <w:r>
              <w:rPr>
                <w:rFonts w:ascii="宋体" w:hAnsi="宋体" w:cs="宋体" w:eastAsia="宋体" w:hint="default"/>
                <w:sz w:val="18"/>
                <w:szCs w:val="18"/>
              </w:rPr>
              <w:t>则 认定为一般缺陷，如果超过营业收入</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但小于</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，则认定为重要缺陷，如果超过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营业收入</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，则认定为重大缺陷；内部控</w:t>
            </w:r>
            <w:r>
              <w:rPr>
                <w:rFonts w:ascii="宋体" w:hAnsi="宋体" w:cs="宋体" w:eastAsia="宋体" w:hint="default"/>
                <w:sz w:val="18"/>
                <w:szCs w:val="18"/>
              </w:rPr>
              <w:t> 制缺陷可能导致或导致的损失与资产管理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相关的，以资产总额指标衡量，如果该缺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陷单独或连同其他缺陷可能导致的财务报</w:t>
            </w:r>
          </w:p>
          <w:p>
            <w:pPr>
              <w:pStyle w:val="TableParagraph"/>
              <w:spacing w:line="304" w:lineRule="auto" w:before="41"/>
              <w:ind w:left="18" w:right="13"/>
              <w:jc w:val="both"/>
              <w:rPr>
                <w:rFonts w:ascii="宋体" w:hAnsi="宋体" w:cs="宋体" w:eastAsia="宋体" w:hint="default"/>
                <w:sz w:val="18"/>
                <w:szCs w:val="18"/>
              </w:rPr>
            </w:pPr>
            <w:r>
              <w:rPr>
                <w:rFonts w:ascii="宋体" w:hAnsi="宋体" w:cs="宋体" w:eastAsia="宋体" w:hint="default"/>
                <w:sz w:val="18"/>
                <w:szCs w:val="18"/>
              </w:rPr>
              <w:t>告错误金额小于资产总额</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，则认定为</w:t>
            </w:r>
            <w:r>
              <w:rPr>
                <w:rFonts w:ascii="宋体" w:hAnsi="宋体" w:cs="宋体" w:eastAsia="宋体" w:hint="default"/>
                <w:sz w:val="18"/>
                <w:szCs w:val="18"/>
              </w:rPr>
              <w:t> </w:t>
            </w:r>
            <w:r>
              <w:rPr>
                <w:rFonts w:ascii="宋体" w:hAnsi="宋体" w:cs="宋体" w:eastAsia="宋体" w:hint="default"/>
                <w:spacing w:val="-3"/>
                <w:sz w:val="18"/>
                <w:szCs w:val="18"/>
              </w:rPr>
              <w:t>一般缺陷，如果超过资产总额</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88"/>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则认定为重要缺陷，如果超过资产总额</w:t>
            </w:r>
          </w:p>
          <w:p>
            <w:pPr>
              <w:pStyle w:val="TableParagraph"/>
              <w:spacing w:line="247" w:lineRule="exact"/>
              <w:ind w:left="1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3"/>
              <w:jc w:val="both"/>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的损失与利润相关的，以营业收入指标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衡量。如果该缺陷单独或连同其他缺陷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可能导致财务报告错报金额小于营业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收入</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w:t>
            </w:r>
          </w:p>
          <w:p>
            <w:pPr>
              <w:pStyle w:val="TableParagraph"/>
              <w:spacing w:line="307" w:lineRule="auto"/>
              <w:ind w:left="30" w:right="3"/>
              <w:jc w:val="both"/>
              <w:rPr>
                <w:rFonts w:ascii="宋体" w:hAnsi="宋体" w:cs="宋体" w:eastAsia="宋体" w:hint="default"/>
                <w:sz w:val="18"/>
                <w:szCs w:val="18"/>
              </w:rPr>
            </w:pPr>
            <w:r>
              <w:rPr>
                <w:rFonts w:ascii="宋体" w:hAnsi="宋体" w:cs="宋体" w:eastAsia="宋体" w:hint="default"/>
                <w:sz w:val="18"/>
                <w:szCs w:val="18"/>
              </w:rPr>
              <w:t>过营业收入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，则认定为</w:t>
            </w:r>
            <w:r>
              <w:rPr>
                <w:rFonts w:ascii="宋体" w:hAnsi="宋体" w:cs="宋体" w:eastAsia="宋体" w:hint="default"/>
                <w:sz w:val="18"/>
                <w:szCs w:val="18"/>
              </w:rPr>
              <w:t> 重要缺陷，如果超过营业收入</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w:t>
            </w:r>
            <w:r>
              <w:rPr>
                <w:rFonts w:ascii="宋体" w:hAnsi="宋体" w:cs="宋体" w:eastAsia="宋体" w:hint="default"/>
                <w:spacing w:val="-4"/>
                <w:sz w:val="18"/>
                <w:szCs w:val="18"/>
              </w:rPr>
              <w:t>认定为重大缺陷；内部控制缺陷可能导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致或导致的损失与资产管理相关的，以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资产总额指标衡量，如果该缺陷单独或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连同其他缺陷可能导致的财务报告错</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误金额小于资产总额</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 一般缺陷，如果超过资产总额</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 小于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则认定为重要缺陷，如果超过 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r>
      <w:tr>
        <w:trPr>
          <w:trHeight w:val="4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b/>
          <w:bCs/>
          <w:sz w:val="17"/>
          <w:szCs w:val="17"/>
        </w:rPr>
      </w:pPr>
    </w:p>
    <w:p>
      <w:pPr>
        <w:pStyle w:val="Heading2"/>
        <w:spacing w:line="240" w:lineRule="auto" w:before="26"/>
        <w:ind w:right="939"/>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39"/>
        <w:jc w:val="left"/>
      </w:pPr>
      <w:r>
        <w:rPr/>
        <w:t>内部控制鉴证报告</w:t>
      </w:r>
    </w:p>
    <w:p>
      <w:pPr>
        <w:spacing w:after="0" w:line="240" w:lineRule="auto"/>
        <w:jc w:val="left"/>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7"/>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630"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auto"/>
              <w:ind w:left="15" w:right="46"/>
              <w:jc w:val="left"/>
              <w:rPr>
                <w:rFonts w:ascii="宋体" w:hAnsi="宋体" w:cs="宋体" w:eastAsia="宋体" w:hint="default"/>
                <w:sz w:val="18"/>
                <w:szCs w:val="18"/>
              </w:rPr>
            </w:pPr>
            <w:r>
              <w:rPr>
                <w:rFonts w:ascii="宋体" w:hAnsi="宋体" w:cs="宋体" w:eastAsia="宋体" w:hint="default"/>
                <w:spacing w:val="-1"/>
                <w:sz w:val="18"/>
                <w:szCs w:val="18"/>
              </w:rPr>
              <w:t>我们认为，四方精创按照《企业内部控制基本规范》以及其他控制标准于</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日在所有重大方面保持了与财务报</w:t>
            </w:r>
            <w:r>
              <w:rPr>
                <w:rFonts w:ascii="宋体" w:hAnsi="宋体" w:cs="宋体" w:eastAsia="宋体" w:hint="default"/>
                <w:spacing w:val="-72"/>
                <w:sz w:val="18"/>
                <w:szCs w:val="18"/>
              </w:rPr>
              <w:t> </w:t>
            </w:r>
            <w:r>
              <w:rPr>
                <w:rFonts w:ascii="宋体" w:hAnsi="宋体" w:cs="宋体" w:eastAsia="宋体" w:hint="default"/>
                <w:sz w:val="18"/>
                <w:szCs w:val="18"/>
              </w:rPr>
              <w:t>表编制相关的有效的内部控制。</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4"/>
        <w:ind w:right="939"/>
        <w:jc w:val="left"/>
      </w:pPr>
      <w:r>
        <w:rPr/>
        <w:t>会计师事务所是否出具非标准意见的内部控制审计报告</w:t>
      </w:r>
    </w:p>
    <w:p>
      <w:pPr>
        <w:pStyle w:val="BodyText"/>
        <w:spacing w:line="319" w:lineRule="auto" w:before="125"/>
        <w:ind w:right="46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会计师事务所出具的内部控制审计报告与董事会的自我评价报告意见是否一致</w:t>
      </w:r>
    </w:p>
    <w:p>
      <w:pPr>
        <w:pStyle w:val="BodyText"/>
        <w:spacing w:line="240" w:lineRule="auto" w:before="80"/>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950" w:right="939"/>
        <w:jc w:val="left"/>
        <w:rPr>
          <w:b w:val="0"/>
          <w:bCs w:val="0"/>
        </w:rPr>
      </w:pPr>
      <w:bookmarkStart w:name="第十一节 公司债券相关情况" w:id="150"/>
      <w:bookmarkEnd w:id="150"/>
      <w:r>
        <w:rPr>
          <w:b w:val="0"/>
          <w:bCs w:val="0"/>
        </w:rPr>
      </w:r>
      <w:bookmarkStart w:name="_bookmark10" w:id="151"/>
      <w:bookmarkEnd w:id="151"/>
      <w:r>
        <w:rPr>
          <w:b w:val="0"/>
          <w:bCs w:val="0"/>
        </w:rPr>
      </w:r>
      <w:r>
        <w:rPr>
          <w:spacing w:val="6"/>
        </w:rPr>
        <w:t>第十一节</w:t>
      </w:r>
      <w:r>
        <w:rPr>
          <w:spacing w:val="74"/>
        </w:rPr>
        <w:t> </w:t>
      </w:r>
      <w:r>
        <w:rPr>
          <w:spacing w:val="4"/>
        </w:rPr>
        <w:t>公司债券相关情况</w:t>
      </w:r>
      <w:r>
        <w:rPr>
          <w:b w:val="0"/>
          <w:bCs w:val="0"/>
          <w:spacing w:val="4"/>
        </w:rPr>
      </w:r>
    </w:p>
    <w:p>
      <w:pPr>
        <w:spacing w:line="240" w:lineRule="auto" w:before="5"/>
        <w:rPr>
          <w:rFonts w:ascii="宋体" w:hAnsi="宋体" w:cs="宋体" w:eastAsia="宋体" w:hint="default"/>
          <w:b/>
          <w:bCs/>
          <w:sz w:val="41"/>
          <w:szCs w:val="41"/>
        </w:rPr>
      </w:pPr>
    </w:p>
    <w:p>
      <w:pPr>
        <w:pStyle w:val="BodyText"/>
        <w:spacing w:line="367" w:lineRule="auto"/>
        <w:ind w:right="2109"/>
        <w:jc w:val="left"/>
      </w:pPr>
      <w:r>
        <w:rPr/>
        <w:t>公司是否存在公开发行并在证券交易所上市，且在年度报告批准报出日未到期或到期未能全额兑付的公司债券 否</w:t>
      </w:r>
    </w:p>
    <w:p>
      <w:pPr>
        <w:spacing w:after="0" w:line="367" w:lineRule="auto"/>
        <w:jc w:val="left"/>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95" w:right="939"/>
        <w:jc w:val="left"/>
        <w:rPr>
          <w:b w:val="0"/>
          <w:bCs w:val="0"/>
        </w:rPr>
      </w:pPr>
      <w:bookmarkStart w:name="第十二节 财务报告" w:id="152"/>
      <w:bookmarkEnd w:id="152"/>
      <w:r>
        <w:rPr>
          <w:b w:val="0"/>
          <w:bCs w:val="0"/>
        </w:rPr>
      </w:r>
      <w:bookmarkStart w:name="_bookmark11" w:id="153"/>
      <w:bookmarkEnd w:id="153"/>
      <w:r>
        <w:rPr>
          <w:b w:val="0"/>
          <w:bCs w:val="0"/>
        </w:rPr>
      </w:r>
      <w:r>
        <w:rPr>
          <w:spacing w:val="6"/>
        </w:rPr>
        <w:t>第十二节</w:t>
      </w:r>
      <w:r>
        <w:rPr>
          <w:spacing w:val="49"/>
        </w:rPr>
        <w:t> </w:t>
      </w:r>
      <w:r>
        <w:rPr>
          <w:spacing w:val="3"/>
        </w:rPr>
        <w:t>财务报告</w:t>
      </w:r>
      <w:r>
        <w:rPr>
          <w:b w:val="0"/>
          <w:bCs w:val="0"/>
          <w:spacing w:val="3"/>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939"/>
        <w:jc w:val="left"/>
        <w:rPr>
          <w:b w:val="0"/>
          <w:bCs w:val="0"/>
        </w:rPr>
      </w:pPr>
      <w:bookmarkStart w:name="一、审计报告" w:id="154"/>
      <w:bookmarkEnd w:id="154"/>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华兴会计师事务所（特殊普通合伙）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华兴所（</w:t>
            </w:r>
            <w:r>
              <w:rPr>
                <w:rFonts w:ascii="Times New Roman" w:hAnsi="Times New Roman" w:cs="Times New Roman" w:eastAsia="Times New Roman" w:hint="default"/>
                <w:sz w:val="18"/>
                <w:szCs w:val="18"/>
              </w:rPr>
              <w:t>2020</w:t>
            </w:r>
            <w:r>
              <w:rPr>
                <w:rFonts w:ascii="宋体" w:hAnsi="宋体" w:cs="宋体" w:eastAsia="宋体" w:hint="default"/>
                <w:sz w:val="18"/>
                <w:szCs w:val="18"/>
              </w:rPr>
              <w:t>）审字</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GD</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刘远帅、俞健业</w:t>
            </w:r>
          </w:p>
        </w:tc>
      </w:tr>
    </w:tbl>
    <w:p>
      <w:pPr>
        <w:spacing w:after="0" w:line="240" w:lineRule="auto"/>
        <w:jc w:val="left"/>
        <w:rPr>
          <w:rFonts w:ascii="宋体" w:hAnsi="宋体" w:cs="宋体" w:eastAsia="宋体" w:hint="default"/>
          <w:sz w:val="18"/>
          <w:szCs w:val="18"/>
        </w:rPr>
        <w:sectPr>
          <w:pgSz w:w="11910" w:h="16850"/>
          <w:pgMar w:header="866" w:footer="981" w:top="1040" w:bottom="1180" w:left="1000" w:right="0"/>
        </w:sectPr>
      </w:pPr>
    </w:p>
    <w:p>
      <w:pPr>
        <w:spacing w:line="240" w:lineRule="auto" w:before="5"/>
        <w:rPr>
          <w:rFonts w:ascii="宋体" w:hAnsi="宋体" w:cs="宋体" w:eastAsia="宋体" w:hint="default"/>
          <w:b/>
          <w:bCs/>
          <w:sz w:val="26"/>
          <w:szCs w:val="26"/>
        </w:rPr>
      </w:pPr>
    </w:p>
    <w:p>
      <w:pPr>
        <w:pStyle w:val="Heading5"/>
        <w:spacing w:line="350" w:lineRule="auto" w:before="0"/>
        <w:ind w:right="-13" w:hanging="361"/>
        <w:jc w:val="left"/>
        <w:rPr>
          <w:b w:val="0"/>
          <w:bCs w:val="0"/>
        </w:rPr>
      </w:pPr>
      <w:r>
        <w:rPr/>
        <w:t>深圳四方精创资讯股份有限公司全体股东：</w:t>
      </w:r>
      <w:r>
        <w:rPr>
          <w:spacing w:val="-87"/>
        </w:rPr>
        <w:t> </w:t>
      </w:r>
      <w:r>
        <w:rPr>
          <w:spacing w:val="-87"/>
        </w:rPr>
      </w:r>
      <w:r>
        <w:rPr/>
        <w:t>一、审计意见</w:t>
      </w:r>
      <w:r>
        <w:rPr>
          <w:b w:val="0"/>
          <w:bCs w:val="0"/>
        </w:rPr>
      </w:r>
    </w:p>
    <w:p>
      <w:pPr>
        <w:pStyle w:val="BodyText"/>
        <w:spacing w:line="240" w:lineRule="auto" w:before="44"/>
        <w:ind w:right="0"/>
        <w:jc w:val="left"/>
      </w:pPr>
      <w:r>
        <w:rPr/>
        <w:br w:type="column"/>
      </w:r>
      <w:r>
        <w:rPr/>
        <w:t>审计报告正文</w:t>
      </w:r>
    </w:p>
    <w:p>
      <w:pPr>
        <w:spacing w:after="0" w:line="240" w:lineRule="auto"/>
        <w:jc w:val="left"/>
        <w:sectPr>
          <w:type w:val="continuous"/>
          <w:pgSz w:w="11910" w:h="16850"/>
          <w:pgMar w:top="1040" w:bottom="1180" w:left="1000" w:right="0"/>
          <w:cols w:num="2" w:equalWidth="0">
            <w:col w:w="3581" w:space="700"/>
            <w:col w:w="6629"/>
          </w:cols>
        </w:sectPr>
      </w:pPr>
    </w:p>
    <w:p>
      <w:pPr>
        <w:pStyle w:val="BodyText"/>
        <w:spacing w:line="360" w:lineRule="auto" w:before="72"/>
        <w:ind w:right="1126" w:firstLine="360"/>
        <w:jc w:val="both"/>
      </w:pPr>
      <w:r>
        <w:rPr>
          <w:spacing w:val="-2"/>
        </w:rPr>
        <w:t>我们审计了深圳四方精创资讯股份有限公司（以下简称“四方精创”）财务报表，包括</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w:t>
      </w:r>
      <w:r>
        <w:rPr/>
        <w:t> </w:t>
      </w:r>
      <w:r>
        <w:rPr>
          <w:spacing w:val="-2"/>
        </w:rPr>
        <w:t>资产负债表，</w:t>
      </w:r>
      <w:r>
        <w:rPr>
          <w:rFonts w:ascii="宋体" w:hAnsi="宋体" w:cs="宋体" w:eastAsia="宋体" w:hint="default"/>
          <w:spacing w:val="-2"/>
        </w:rPr>
        <w:t>2019</w:t>
      </w:r>
      <w:r>
        <w:rPr>
          <w:spacing w:val="-2"/>
        </w:rPr>
        <w:t>年度的合并及母公司利润表、合并及母公司现金流量表、合并及母公司股东权益变动表以及相关财务报表</w:t>
      </w:r>
      <w:r>
        <w:rPr>
          <w:spacing w:val="-70"/>
        </w:rPr>
        <w:t> </w:t>
      </w:r>
      <w:r>
        <w:rPr>
          <w:spacing w:val="-70"/>
        </w:rPr>
      </w:r>
      <w:r>
        <w:rPr/>
        <w:t>附注。</w:t>
      </w:r>
    </w:p>
    <w:p>
      <w:pPr>
        <w:pStyle w:val="BodyText"/>
        <w:spacing w:line="350" w:lineRule="auto" w:before="65"/>
        <w:ind w:right="939" w:firstLine="360"/>
        <w:jc w:val="left"/>
      </w:pPr>
      <w:r>
        <w:rPr>
          <w:spacing w:val="-2"/>
        </w:rPr>
        <w:t>我们认为，后附的财务报表在所有重大方面按照企业会计准则的规定编制，公允反映了四方精创</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w:t>
      </w:r>
      <w:r>
        <w:rPr/>
        <w:t> 及母公司财务状况以及</w:t>
      </w:r>
      <w:r>
        <w:rPr>
          <w:rFonts w:ascii="宋体" w:hAnsi="宋体" w:cs="宋体" w:eastAsia="宋体" w:hint="default"/>
        </w:rPr>
        <w:t>2019</w:t>
      </w:r>
      <w:r>
        <w:rPr/>
        <w:t>年度的合并及母公司经营成果和现金流量。</w:t>
      </w:r>
    </w:p>
    <w:p>
      <w:pPr>
        <w:pStyle w:val="BodyText"/>
        <w:spacing w:line="367" w:lineRule="auto" w:before="72"/>
        <w:ind w:left="501" w:right="939"/>
        <w:jc w:val="left"/>
      </w:pPr>
      <w:r>
        <w:rPr>
          <w:rFonts w:ascii="宋体" w:hAnsi="宋体" w:cs="宋体" w:eastAsia="宋体" w:hint="default"/>
          <w:b/>
          <w:bCs/>
        </w:rPr>
        <w:t>二、形成审计意见的基础</w:t>
      </w:r>
      <w:r>
        <w:rPr>
          <w:rFonts w:ascii="宋体" w:hAnsi="宋体" w:cs="宋体" w:eastAsia="宋体" w:hint="default"/>
          <w:b/>
          <w:bCs/>
          <w:spacing w:val="-85"/>
        </w:rPr>
        <w:t> </w:t>
      </w:r>
      <w:r>
        <w:rPr>
          <w:rFonts w:ascii="宋体" w:hAnsi="宋体" w:cs="宋体" w:eastAsia="宋体" w:hint="default"/>
          <w:b/>
          <w:bCs/>
          <w:spacing w:val="-85"/>
        </w:rPr>
      </w:r>
      <w:r>
        <w:rPr>
          <w:spacing w:val="-2"/>
        </w:rPr>
        <w:t>我们按照中国注册会计师审计准则的规定执行了审计工作。审计报告的“注册会计师对财务报表审计的责任”部分进一</w:t>
      </w:r>
    </w:p>
    <w:p>
      <w:pPr>
        <w:pStyle w:val="BodyText"/>
        <w:spacing w:line="352" w:lineRule="auto" w:before="14"/>
        <w:ind w:right="939"/>
        <w:jc w:val="left"/>
      </w:pPr>
      <w:r>
        <w:rPr>
          <w:spacing w:val="-2"/>
        </w:rPr>
        <w:t>步阐述了我们在这些准则下的责任。按照中国注册会计师职业道德守则，我们独立于四方精创，并履行了职业道德方面的其</w:t>
      </w:r>
      <w:r>
        <w:rPr>
          <w:spacing w:val="-67"/>
        </w:rPr>
        <w:t> </w:t>
      </w:r>
      <w:r>
        <w:rPr>
          <w:spacing w:val="-67"/>
        </w:rPr>
      </w:r>
      <w:r>
        <w:rPr/>
        <w:t>他责任。我们相信，我们获取的审计证据是充分、适当的，为发表审计意见提供了基础。</w:t>
      </w:r>
    </w:p>
    <w:p>
      <w:pPr>
        <w:pStyle w:val="BodyText"/>
        <w:spacing w:line="398" w:lineRule="auto" w:before="40"/>
        <w:ind w:left="501" w:right="1133"/>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27" w:lineRule="exact"/>
        <w:ind w:right="939"/>
        <w:jc w:val="left"/>
      </w:pPr>
      <w:r>
        <w:rPr/>
        <w:t>审计并形成审计意见为背景，我们不对这些事项单独发表意见。</w:t>
      </w:r>
    </w:p>
    <w:p>
      <w:pPr>
        <w:pStyle w:val="BodyText"/>
        <w:spacing w:line="398" w:lineRule="auto" w:before="155"/>
        <w:ind w:left="501" w:right="9129"/>
        <w:jc w:val="left"/>
      </w:pPr>
      <w:r>
        <w:rPr/>
        <w:t>（一）收入确认 </w:t>
      </w:r>
      <w:r>
        <w:rPr>
          <w:rFonts w:ascii="宋体" w:hAnsi="宋体" w:cs="宋体" w:eastAsia="宋体" w:hint="default"/>
        </w:rPr>
        <w:t>1</w:t>
      </w:r>
      <w:r>
        <w:rPr/>
        <w:t>、事项描述</w:t>
      </w:r>
    </w:p>
    <w:p>
      <w:pPr>
        <w:pStyle w:val="BodyText"/>
        <w:spacing w:line="352" w:lineRule="auto" w:before="36"/>
        <w:ind w:right="1113" w:firstLine="360"/>
        <w:jc w:val="left"/>
      </w:pPr>
      <w:r>
        <w:rPr/>
        <w:t>请参阅财务报表附注“五、重要会计政策及会计估计”2</w:t>
      </w:r>
      <w:r>
        <w:rPr>
          <w:rFonts w:ascii="宋体" w:hAnsi="宋体" w:cs="宋体" w:eastAsia="宋体" w:hint="default"/>
        </w:rPr>
        <w:t>4 </w:t>
      </w:r>
      <w:r>
        <w:rPr>
          <w:spacing w:val="-3"/>
        </w:rPr>
        <w:t>所述的会计政策、“七、合并财务报表项目注释”2</w:t>
      </w:r>
      <w:r>
        <w:rPr>
          <w:rFonts w:ascii="宋体" w:hAnsi="宋体" w:cs="宋体" w:eastAsia="宋体" w:hint="default"/>
          <w:spacing w:val="-3"/>
        </w:rPr>
        <w:t>7</w:t>
      </w:r>
      <w:r>
        <w:rPr>
          <w:rFonts w:ascii="宋体" w:hAnsi="宋体" w:cs="宋体" w:eastAsia="宋体" w:hint="default"/>
          <w:spacing w:val="-12"/>
        </w:rPr>
        <w:t> </w:t>
      </w:r>
      <w:r>
        <w:rPr/>
        <w:t>及“十 七、母公司财务报表主要项目注释”4。</w:t>
      </w:r>
    </w:p>
    <w:p>
      <w:pPr>
        <w:pStyle w:val="BodyText"/>
        <w:spacing w:line="367" w:lineRule="auto" w:before="70"/>
        <w:ind w:right="1029" w:firstLine="360"/>
        <w:jc w:val="left"/>
      </w:pPr>
      <w:r>
        <w:rPr/>
        <w:t>四方精创主要从事大型商业银行的软件开发、应用维护及系统集成业务。由于营业收入是四方精创关键业绩指标之一， 且在收入确认方面可能存在重大错报风险，因此，我们将收入的确认作为关键审计事项。</w:t>
      </w:r>
    </w:p>
    <w:p>
      <w:pPr>
        <w:pStyle w:val="BodyText"/>
        <w:spacing w:line="240" w:lineRule="auto" w:before="59"/>
        <w:ind w:left="501" w:right="939"/>
        <w:jc w:val="left"/>
      </w:pPr>
      <w:r>
        <w:rPr>
          <w:rFonts w:ascii="宋体" w:hAnsi="宋体" w:cs="宋体" w:eastAsia="宋体" w:hint="default"/>
        </w:rPr>
        <w:t>2</w:t>
      </w:r>
      <w:r>
        <w:rPr/>
        <w:t>、审计应对</w:t>
      </w:r>
    </w:p>
    <w:p>
      <w:pPr>
        <w:pStyle w:val="BodyText"/>
        <w:spacing w:line="240" w:lineRule="auto" w:before="154"/>
        <w:ind w:left="501" w:right="939"/>
        <w:jc w:val="left"/>
      </w:pPr>
      <w:r>
        <w:rPr/>
        <w:t>（</w:t>
      </w:r>
      <w:r>
        <w:rPr>
          <w:rFonts w:ascii="宋体" w:hAnsi="宋体" w:cs="宋体" w:eastAsia="宋体" w:hint="default"/>
        </w:rPr>
        <w:t>1</w:t>
      </w:r>
      <w:r>
        <w:rPr/>
        <w:t>）评价和测试与收入确认相关的关键内部控制的设计和运行有效性；</w:t>
      </w:r>
    </w:p>
    <w:p>
      <w:pPr>
        <w:pStyle w:val="BodyText"/>
        <w:spacing w:line="240" w:lineRule="auto" w:before="155"/>
        <w:ind w:left="501" w:right="939"/>
        <w:jc w:val="left"/>
      </w:pPr>
      <w:r>
        <w:rPr/>
        <w:t>（</w:t>
      </w:r>
      <w:r>
        <w:rPr>
          <w:rFonts w:ascii="宋体" w:hAnsi="宋体" w:cs="宋体" w:eastAsia="宋体" w:hint="default"/>
        </w:rPr>
        <w:t>2</w:t>
      </w:r>
      <w:r>
        <w:rPr/>
        <w:t>）检查客户合同相关条款，并评价公司收入确认是否符合会计准则的要求；</w:t>
      </w:r>
    </w:p>
    <w:p>
      <w:pPr>
        <w:pStyle w:val="BodyText"/>
        <w:spacing w:line="350" w:lineRule="auto" w:before="155"/>
        <w:ind w:right="1119" w:firstLine="360"/>
        <w:jc w:val="left"/>
      </w:pPr>
      <w:r>
        <w:rPr/>
        <w:t>（</w:t>
      </w:r>
      <w:r>
        <w:rPr>
          <w:rFonts w:ascii="宋体" w:hAnsi="宋体" w:cs="宋体" w:eastAsia="宋体" w:hint="default"/>
        </w:rPr>
        <w:t>3</w:t>
      </w:r>
      <w:r>
        <w:rPr/>
        <w:t>）检查本年销售合同台账，对本年记录的收入交易选取样本，核对销售合同、发票、送货单、验收单（工作量确认 单）等支持性文件，并结合函证程序，评价收入确认的真实性和完整性；</w:t>
      </w:r>
    </w:p>
    <w:p>
      <w:pPr>
        <w:pStyle w:val="BodyText"/>
        <w:spacing w:line="240" w:lineRule="auto" w:before="72"/>
        <w:ind w:left="501" w:right="939"/>
        <w:jc w:val="left"/>
      </w:pPr>
      <w:r>
        <w:rPr/>
        <w:t>（</w:t>
      </w:r>
      <w:r>
        <w:rPr>
          <w:rFonts w:ascii="宋体" w:hAnsi="宋体" w:cs="宋体" w:eastAsia="宋体" w:hint="default"/>
        </w:rPr>
        <w:t>4</w:t>
      </w:r>
      <w:r>
        <w:rPr/>
        <w:t>）对收入和成本执行分析性程序，包括：本期各月份收入、成本、毛利率波动分析，各类型服务本期收入、成本、</w:t>
      </w:r>
    </w:p>
    <w:p>
      <w:pPr>
        <w:spacing w:after="0" w:line="240" w:lineRule="auto"/>
        <w:jc w:val="left"/>
        <w:sectPr>
          <w:type w:val="continuous"/>
          <w:pgSz w:w="11910" w:h="16850"/>
          <w:pgMar w:top="1040" w:bottom="1180" w:left="1000" w:right="0"/>
        </w:sectPr>
      </w:pPr>
    </w:p>
    <w:p>
      <w:pPr>
        <w:spacing w:line="240" w:lineRule="auto" w:before="8"/>
        <w:rPr>
          <w:rFonts w:ascii="宋体" w:hAnsi="宋体" w:cs="宋体" w:eastAsia="宋体" w:hint="default"/>
          <w:sz w:val="22"/>
          <w:szCs w:val="22"/>
        </w:rPr>
      </w:pPr>
    </w:p>
    <w:p>
      <w:pPr>
        <w:pStyle w:val="BodyText"/>
        <w:spacing w:line="240" w:lineRule="auto" w:before="44"/>
        <w:ind w:right="939"/>
        <w:jc w:val="left"/>
      </w:pPr>
      <w:r>
        <w:rPr/>
        <w:t>毛利率与上期比较分析等分析性程序，评价收入确认的准确性；</w:t>
      </w:r>
    </w:p>
    <w:p>
      <w:pPr>
        <w:pStyle w:val="BodyText"/>
        <w:spacing w:line="240" w:lineRule="auto" w:before="155"/>
        <w:ind w:left="501" w:right="939"/>
        <w:jc w:val="left"/>
      </w:pPr>
      <w:r>
        <w:rPr/>
        <w:t>（</w:t>
      </w:r>
      <w:r>
        <w:rPr>
          <w:rFonts w:ascii="宋体" w:hAnsi="宋体" w:cs="宋体" w:eastAsia="宋体" w:hint="default"/>
        </w:rPr>
        <w:t>5</w:t>
      </w:r>
      <w:r>
        <w:rPr/>
        <w:t>）对营业收入执行截止测试，确认收入确认是否记录在正确的会计期间；</w:t>
      </w:r>
    </w:p>
    <w:p>
      <w:pPr>
        <w:pStyle w:val="BodyText"/>
        <w:spacing w:line="240" w:lineRule="auto" w:before="154"/>
        <w:ind w:left="501" w:right="939"/>
        <w:jc w:val="left"/>
      </w:pPr>
      <w:r>
        <w:rPr/>
        <w:t>（</w:t>
      </w:r>
      <w:r>
        <w:rPr>
          <w:rFonts w:ascii="宋体" w:hAnsi="宋体" w:cs="宋体" w:eastAsia="宋体" w:hint="default"/>
        </w:rPr>
        <w:t>6</w:t>
      </w:r>
      <w:r>
        <w:rPr/>
        <w:t>）对本年新增的大客户进行背景了解，关注是否存在关联交易。</w:t>
      </w:r>
    </w:p>
    <w:p>
      <w:pPr>
        <w:pStyle w:val="BodyText"/>
        <w:spacing w:line="398" w:lineRule="auto" w:before="155"/>
        <w:ind w:left="501" w:right="7869"/>
        <w:jc w:val="left"/>
      </w:pPr>
      <w:r>
        <w:rPr/>
        <w:t>（二）应收账款减值准备的计提 </w:t>
      </w:r>
      <w:r>
        <w:rPr>
          <w:rFonts w:ascii="宋体" w:hAnsi="宋体" w:cs="宋体" w:eastAsia="宋体" w:hint="default"/>
        </w:rPr>
        <w:t>1</w:t>
      </w:r>
      <w:r>
        <w:rPr/>
        <w:t>、事项描述</w:t>
      </w:r>
    </w:p>
    <w:p>
      <w:pPr>
        <w:pStyle w:val="BodyText"/>
        <w:spacing w:line="352" w:lineRule="auto" w:before="35"/>
        <w:ind w:right="1126" w:firstLine="360"/>
        <w:jc w:val="both"/>
      </w:pPr>
      <w:r>
        <w:rPr>
          <w:spacing w:val="-4"/>
        </w:rPr>
        <w:t>请参阅财务报表附注“五、重要会计政策及会计估计”10所述的会计政策及“七、合并财务报表项目注释”2及“十七、</w:t>
      </w:r>
      <w:r>
        <w:rPr/>
        <w:t> 母公司财务报表主要项目注释”1。</w:t>
      </w:r>
    </w:p>
    <w:p>
      <w:pPr>
        <w:pStyle w:val="BodyText"/>
        <w:spacing w:line="360" w:lineRule="auto" w:before="70"/>
        <w:ind w:right="1114" w:firstLine="360"/>
        <w:jc w:val="both"/>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日，四方精创应收账款余额</w:t>
      </w:r>
      <w:r>
        <w:rPr>
          <w:rFonts w:ascii="宋体" w:hAnsi="宋体" w:cs="宋体" w:eastAsia="宋体" w:hint="default"/>
        </w:rPr>
        <w:t>18,261.52</w:t>
      </w:r>
      <w:r>
        <w:rPr/>
        <w:t>万元，坏账准备余额</w:t>
      </w:r>
      <w:r>
        <w:rPr>
          <w:rFonts w:ascii="宋体" w:hAnsi="宋体" w:cs="宋体" w:eastAsia="宋体" w:hint="default"/>
        </w:rPr>
        <w:t>671.95</w:t>
      </w:r>
      <w:r>
        <w:rPr/>
        <w:t>万元。应收账款坏账准备余额反映 </w:t>
      </w:r>
      <w:r>
        <w:rPr>
          <w:spacing w:val="-2"/>
        </w:rPr>
        <w:t>了四方精创管理层（以下简称管理层）采用《企业会计准则第</w:t>
      </w:r>
      <w:r>
        <w:rPr>
          <w:rFonts w:ascii="宋体" w:hAnsi="宋体" w:cs="宋体" w:eastAsia="宋体" w:hint="default"/>
          <w:spacing w:val="-2"/>
        </w:rPr>
        <w:t>22</w:t>
      </w:r>
      <w:r>
        <w:rPr>
          <w:spacing w:val="-2"/>
        </w:rPr>
        <w:t>号——金融工具确认和计量》预期信用损失模型，在报表日</w:t>
      </w:r>
      <w:r>
        <w:rPr>
          <w:spacing w:val="-50"/>
        </w:rPr>
        <w:t> </w:t>
      </w:r>
      <w:r>
        <w:rPr>
          <w:spacing w:val="-50"/>
        </w:rPr>
      </w:r>
      <w:r>
        <w:rPr>
          <w:spacing w:val="-2"/>
        </w:rPr>
        <w:t>对预期信用损失作出的无偏估计。管理层按照应收账款整个存续期内预期信用损失金额计量其减值准备。管理层按照应收账</w:t>
      </w:r>
      <w:r>
        <w:rPr>
          <w:spacing w:val="-63"/>
        </w:rPr>
        <w:t> </w:t>
      </w:r>
      <w:r>
        <w:rPr>
          <w:spacing w:val="-63"/>
        </w:rPr>
      </w:r>
      <w:r>
        <w:rPr>
          <w:spacing w:val="-2"/>
        </w:rPr>
        <w:t>款整个存续期内预期信用损失金额计量其减值准备。由于应收账款金额较大，且管理层在确定应收账款减值时作出了重大判</w:t>
      </w:r>
      <w:r>
        <w:rPr>
          <w:spacing w:val="-72"/>
        </w:rPr>
        <w:t> </w:t>
      </w:r>
      <w:r>
        <w:rPr>
          <w:spacing w:val="-72"/>
        </w:rPr>
      </w:r>
      <w:r>
        <w:rPr/>
        <w:t>断，因此我们将应收账款减值准备的计提确定为关键审计事项。</w:t>
      </w:r>
    </w:p>
    <w:p>
      <w:pPr>
        <w:pStyle w:val="BodyText"/>
        <w:spacing w:line="240" w:lineRule="auto" w:before="65"/>
        <w:ind w:left="501" w:right="939"/>
        <w:jc w:val="left"/>
      </w:pPr>
      <w:r>
        <w:rPr>
          <w:rFonts w:ascii="宋体" w:hAnsi="宋体" w:cs="宋体" w:eastAsia="宋体" w:hint="default"/>
        </w:rPr>
        <w:t>2</w:t>
      </w:r>
      <w:r>
        <w:rPr/>
        <w:t>、审计应对</w:t>
      </w:r>
    </w:p>
    <w:p>
      <w:pPr>
        <w:pStyle w:val="BodyText"/>
        <w:spacing w:line="240" w:lineRule="auto" w:before="154"/>
        <w:ind w:left="501" w:right="939"/>
        <w:jc w:val="left"/>
      </w:pPr>
      <w:r>
        <w:rPr/>
        <w:t>（</w:t>
      </w:r>
      <w:r>
        <w:rPr>
          <w:rFonts w:ascii="宋体" w:hAnsi="宋体" w:cs="宋体" w:eastAsia="宋体" w:hint="default"/>
        </w:rPr>
        <w:t>1</w:t>
      </w:r>
      <w:r>
        <w:rPr/>
        <w:t>）测试和评价应收账款内部控制制度的设计和运行的有效性；</w:t>
      </w:r>
    </w:p>
    <w:p>
      <w:pPr>
        <w:pStyle w:val="BodyText"/>
        <w:spacing w:line="240" w:lineRule="auto" w:before="155"/>
        <w:ind w:left="501" w:right="939"/>
        <w:jc w:val="left"/>
      </w:pPr>
      <w:r>
        <w:rPr/>
        <w:t>（</w:t>
      </w:r>
      <w:r>
        <w:rPr>
          <w:rFonts w:ascii="宋体" w:hAnsi="宋体" w:cs="宋体" w:eastAsia="宋体" w:hint="default"/>
        </w:rPr>
        <w:t>2</w:t>
      </w:r>
      <w:r>
        <w:rPr/>
        <w:t>）获取并复核管理层编制的应收账款账龄分析表的准确性；</w:t>
      </w:r>
    </w:p>
    <w:p>
      <w:pPr>
        <w:pStyle w:val="BodyText"/>
        <w:spacing w:line="350" w:lineRule="auto" w:before="155"/>
        <w:ind w:right="1131" w:firstLine="360"/>
        <w:jc w:val="both"/>
      </w:pPr>
      <w:r>
        <w:rPr/>
        <w:t>（</w:t>
      </w:r>
      <w:r>
        <w:rPr>
          <w:rFonts w:ascii="宋体" w:hAnsi="宋体" w:cs="宋体" w:eastAsia="宋体" w:hint="default"/>
        </w:rPr>
        <w:t>3</w:t>
      </w:r>
      <w:r>
        <w:rPr/>
        <w:t>）通过考虑历史上同类应收账款组合的实际坏账发生金额及情况，结合客户回款情况及市场条件等因素，评估管理 层将应收账款划分为若干组合进行减值评估的方法和计算是否恰当；</w:t>
      </w:r>
    </w:p>
    <w:p>
      <w:pPr>
        <w:pStyle w:val="BodyText"/>
        <w:spacing w:line="240" w:lineRule="auto" w:before="72"/>
        <w:ind w:left="501" w:right="939"/>
        <w:jc w:val="left"/>
      </w:pPr>
      <w:r>
        <w:rPr/>
        <w:t>（</w:t>
      </w:r>
      <w:r>
        <w:rPr>
          <w:rFonts w:ascii="宋体" w:hAnsi="宋体" w:cs="宋体" w:eastAsia="宋体" w:hint="default"/>
        </w:rPr>
        <w:t>4</w:t>
      </w:r>
      <w:r>
        <w:rPr/>
        <w:t>）评估管理层在预期信用损失模型中采用的前瞻性信息；</w:t>
      </w:r>
    </w:p>
    <w:p>
      <w:pPr>
        <w:pStyle w:val="BodyText"/>
        <w:spacing w:line="367" w:lineRule="auto" w:before="155"/>
        <w:ind w:right="1137" w:firstLine="360"/>
        <w:jc w:val="both"/>
      </w:pPr>
      <w:r>
        <w:rPr/>
        <w:t>（</w:t>
      </w:r>
      <w:r>
        <w:rPr>
          <w:rFonts w:ascii="宋体" w:hAnsi="宋体" w:cs="宋体" w:eastAsia="宋体" w:hint="default"/>
        </w:rPr>
        <w:t>5</w:t>
      </w:r>
      <w:r>
        <w:rPr/>
        <w:t>）选取样本对金额重大的应收账款余额实施了函证程序，并将函证结果与公司账面记录的金额进行核对，对于未回 函的余额执行替代程序；</w:t>
      </w:r>
    </w:p>
    <w:p>
      <w:pPr>
        <w:pStyle w:val="BodyText"/>
        <w:spacing w:line="352" w:lineRule="auto" w:before="59"/>
        <w:ind w:right="1135" w:firstLine="360"/>
        <w:jc w:val="both"/>
      </w:pPr>
      <w:r>
        <w:rPr/>
        <w:t>（</w:t>
      </w:r>
      <w:r>
        <w:rPr>
          <w:rFonts w:ascii="宋体" w:hAnsi="宋体" w:cs="宋体" w:eastAsia="宋体" w:hint="default"/>
        </w:rPr>
        <w:t>6</w:t>
      </w:r>
      <w:r>
        <w:rPr/>
        <w:t>）对应收账款余额较大及账龄时间长的客户，我们通过公开渠道查询与债务人有关的信息，必要时实施走访，以识 </w:t>
      </w:r>
      <w:r>
        <w:rPr>
          <w:spacing w:val="-2"/>
        </w:rPr>
        <w:t>别是否存在影响公司应收账款坏账准备评估结果的情形。对于账龄时间长的应收账款，我们还与管理层进行了沟通，了解账</w:t>
      </w:r>
      <w:r>
        <w:rPr>
          <w:spacing w:val="-75"/>
        </w:rPr>
        <w:t> </w:t>
      </w:r>
      <w:r>
        <w:rPr>
          <w:spacing w:val="-75"/>
        </w:rPr>
      </w:r>
      <w:r>
        <w:rPr/>
        <w:t>龄时间长的原因以及管理层对于其可回收性的评估。</w:t>
      </w:r>
    </w:p>
    <w:p>
      <w:pPr>
        <w:pStyle w:val="BodyText"/>
        <w:spacing w:line="412" w:lineRule="auto" w:before="70"/>
        <w:ind w:left="501" w:right="939"/>
        <w:jc w:val="left"/>
      </w:pPr>
      <w:r>
        <w:rPr>
          <w:rFonts w:ascii="宋体" w:hAnsi="宋体" w:cs="宋体" w:eastAsia="宋体" w:hint="default"/>
          <w:b/>
          <w:bCs/>
        </w:rPr>
        <w:t>四、其他信息</w:t>
      </w:r>
      <w:r>
        <w:rPr>
          <w:rFonts w:ascii="宋体" w:hAnsi="宋体" w:cs="宋体" w:eastAsia="宋体" w:hint="default"/>
          <w:b/>
          <w:bCs/>
          <w:w w:val="99"/>
        </w:rPr>
        <w:t> </w:t>
      </w:r>
      <w:r>
        <w:rPr>
          <w:spacing w:val="-2"/>
        </w:rPr>
        <w:t>四方精创管理层对其他信息负责。其他信息包括四方精创</w:t>
      </w:r>
      <w:r>
        <w:rPr>
          <w:rFonts w:ascii="宋体" w:hAnsi="宋体" w:cs="宋体" w:eastAsia="宋体" w:hint="default"/>
          <w:spacing w:val="-2"/>
        </w:rPr>
        <w:t>2019</w:t>
      </w:r>
      <w:r>
        <w:rPr>
          <w:spacing w:val="-2"/>
        </w:rPr>
        <w:t>年度报告中涵盖的信息，但不包括财务报表和我们的审计</w:t>
      </w:r>
    </w:p>
    <w:p>
      <w:pPr>
        <w:pStyle w:val="BodyText"/>
        <w:spacing w:line="215" w:lineRule="exact"/>
        <w:ind w:right="939"/>
        <w:jc w:val="left"/>
      </w:pPr>
      <w:r>
        <w:rPr/>
        <w:t>报告。</w:t>
      </w:r>
    </w:p>
    <w:p>
      <w:pPr>
        <w:pStyle w:val="BodyText"/>
        <w:spacing w:line="398" w:lineRule="auto" w:before="155"/>
        <w:ind w:left="501" w:right="939"/>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98" w:lineRule="auto"/>
        <w:ind w:left="501" w:right="939"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7" w:lineRule="exact"/>
        <w:ind w:right="939"/>
        <w:jc w:val="left"/>
      </w:pPr>
      <w:r>
        <w:rPr/>
        <w:t>报告。</w:t>
      </w:r>
    </w:p>
    <w:p>
      <w:pPr>
        <w:spacing w:line="412" w:lineRule="auto" w:before="154"/>
        <w:ind w:left="501" w:right="939"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6"/>
          <w:sz w:val="18"/>
          <w:szCs w:val="18"/>
        </w:rPr>
        <w:t>四方精创管理层负责按照企业会计准则的规定编制财务报表，使其实现公允反映，并设计、执行和维护必要的内部控制，</w:t>
      </w:r>
    </w:p>
    <w:p>
      <w:pPr>
        <w:pStyle w:val="BodyText"/>
        <w:spacing w:line="216" w:lineRule="exact"/>
        <w:ind w:right="939"/>
        <w:jc w:val="left"/>
      </w:pPr>
      <w:r>
        <w:rPr/>
        <w:t>以使财务报表不存在由于舞弊或错误导致的重大错报。</w:t>
      </w:r>
    </w:p>
    <w:p>
      <w:pPr>
        <w:pStyle w:val="BodyText"/>
        <w:spacing w:line="352" w:lineRule="auto" w:before="154"/>
        <w:ind w:right="1137" w:firstLine="360"/>
        <w:jc w:val="both"/>
      </w:pPr>
      <w:r>
        <w:rPr>
          <w:spacing w:val="-2"/>
        </w:rPr>
        <w:t>在编制财务报表时，管理层负责评估四方精创的持续经营能力，披露与持续经营相关的事项（如适用），并运用持续经</w:t>
      </w:r>
      <w:r>
        <w:rPr/>
        <w:t> 营假设，除非管理层计划清算四方精创、终止运营或别无其他现实的选择。</w:t>
      </w:r>
    </w:p>
    <w:p>
      <w:pPr>
        <w:pStyle w:val="BodyText"/>
        <w:spacing w:line="240" w:lineRule="auto" w:before="70"/>
        <w:ind w:left="501" w:right="939"/>
        <w:jc w:val="left"/>
      </w:pPr>
      <w:r>
        <w:rPr/>
        <w:t>治理层负责监督四方精创的财务报告过程。</w:t>
      </w:r>
    </w:p>
    <w:p>
      <w:pPr>
        <w:spacing w:after="0" w:line="240" w:lineRule="auto"/>
        <w:jc w:val="left"/>
        <w:sectPr>
          <w:pgSz w:w="11910" w:h="16850"/>
          <w:pgMar w:header="866" w:footer="981" w:top="1040" w:bottom="1180" w:left="1000" w:right="0"/>
        </w:sectPr>
      </w:pPr>
    </w:p>
    <w:p>
      <w:pPr>
        <w:spacing w:line="240" w:lineRule="auto" w:before="8"/>
        <w:rPr>
          <w:rFonts w:ascii="宋体" w:hAnsi="宋体" w:cs="宋体" w:eastAsia="宋体" w:hint="default"/>
          <w:sz w:val="22"/>
          <w:szCs w:val="22"/>
        </w:rPr>
      </w:pPr>
    </w:p>
    <w:p>
      <w:pPr>
        <w:spacing w:line="398" w:lineRule="auto" w:before="44"/>
        <w:ind w:left="501" w:right="939" w:firstLine="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60" w:lineRule="auto"/>
        <w:ind w:right="1132"/>
        <w:jc w:val="both"/>
      </w:pPr>
      <w:r>
        <w:rPr>
          <w:spacing w:val="-2"/>
        </w:rPr>
        <w:t>告。合理保证是高水平的保证，但并不能保证按照审计准则执行的审计在某一重大错报存在时总能发现。错报可能由于舞弊</w:t>
      </w:r>
      <w:r>
        <w:rPr>
          <w:spacing w:val="-75"/>
        </w:rPr>
        <w:t> </w:t>
      </w:r>
      <w:r>
        <w:rPr>
          <w:spacing w:val="-75"/>
        </w:rPr>
      </w:r>
      <w:r>
        <w:rPr>
          <w:spacing w:val="-2"/>
        </w:rPr>
        <w:t>或错误导致，如果合理预期错报单独或汇总起来可能影响财务报表使用者依据财务报表作出的经济决策，则通常认为错报是</w:t>
      </w:r>
      <w:r>
        <w:rPr>
          <w:spacing w:val="-67"/>
        </w:rPr>
        <w:t> </w:t>
      </w:r>
      <w:r>
        <w:rPr>
          <w:spacing w:val="-67"/>
        </w:rPr>
      </w:r>
      <w:r>
        <w:rPr/>
        <w:t>重大的。</w:t>
      </w:r>
    </w:p>
    <w:p>
      <w:pPr>
        <w:pStyle w:val="BodyText"/>
        <w:spacing w:line="240" w:lineRule="auto" w:before="65"/>
        <w:ind w:left="501" w:right="939"/>
        <w:jc w:val="left"/>
      </w:pPr>
      <w:r>
        <w:rPr/>
        <w:t>在按照审计准则执行审计工作的过程中，我们运用职业判断，并保持职业怀疑。同时，我们也执行以下工作：</w:t>
      </w:r>
    </w:p>
    <w:p>
      <w:pPr>
        <w:pStyle w:val="BodyText"/>
        <w:spacing w:line="360" w:lineRule="auto" w:before="155"/>
        <w:ind w:right="1029" w:firstLine="360"/>
        <w:jc w:val="left"/>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65"/>
        <w:ind w:left="501" w:right="939"/>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154"/>
        <w:ind w:left="501" w:right="939"/>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57" w:lineRule="auto" w:before="155"/>
        <w:ind w:right="1125" w:firstLine="360"/>
        <w:jc w:val="both"/>
      </w:pPr>
      <w:r>
        <w:rPr/>
        <w:t>（</w:t>
      </w:r>
      <w:r>
        <w:rPr>
          <w:rFonts w:ascii="宋体" w:hAnsi="宋体" w:cs="宋体" w:eastAsia="宋体" w:hint="default"/>
        </w:rPr>
        <w:t>4</w:t>
      </w:r>
      <w:r>
        <w:rPr/>
        <w:t>）对管理层使用持续经营假设的恰当性得出结论。同时，根据获取的审计证据，就可能导致对四方精创持续经营能 </w:t>
      </w:r>
      <w:r>
        <w:rPr>
          <w:spacing w:val="-2"/>
        </w:rPr>
        <w:t>力产生重大疑虑的事项或情况是否存在重大不确定性得出结论。如果我们得出结论认为存在重大不确定性，审计准则要求我</w:t>
      </w:r>
      <w:r>
        <w:rPr>
          <w:spacing w:val="-72"/>
        </w:rPr>
        <w:t> </w:t>
      </w:r>
      <w:r>
        <w:rPr>
          <w:spacing w:val="-72"/>
        </w:rPr>
      </w:r>
      <w:r>
        <w:rPr>
          <w:spacing w:val="-2"/>
        </w:rPr>
        <w:t>们在审计报告中提请报表使用者注意财务报表中的相关披露；如果披露不充分，我们应当发表非无保留意见。我们的结论基</w:t>
      </w:r>
      <w:r>
        <w:rPr>
          <w:spacing w:val="-75"/>
        </w:rPr>
        <w:t> </w:t>
      </w:r>
      <w:r>
        <w:rPr>
          <w:spacing w:val="-75"/>
        </w:rPr>
      </w:r>
      <w:r>
        <w:rPr/>
        <w:t>于截至审计报告日可获得的信息。然而，未来的事项或情况可能导致四方精创不能持续经营。</w:t>
      </w:r>
    </w:p>
    <w:p>
      <w:pPr>
        <w:pStyle w:val="BodyText"/>
        <w:spacing w:line="240" w:lineRule="auto" w:before="52"/>
        <w:ind w:left="501" w:right="939"/>
        <w:jc w:val="left"/>
      </w:pPr>
      <w:r>
        <w:rPr/>
        <w:t>（</w:t>
      </w:r>
      <w:r>
        <w:rPr>
          <w:rFonts w:ascii="宋体" w:hAnsi="宋体" w:cs="宋体" w:eastAsia="宋体" w:hint="default"/>
        </w:rPr>
        <w:t>5</w:t>
      </w:r>
      <w:r>
        <w:rPr/>
        <w:t>）评价财务报表的总体列报、结构和内容，并评价财务报表是否公允反映相关交易和事项。</w:t>
      </w:r>
    </w:p>
    <w:p>
      <w:pPr>
        <w:spacing w:line="240" w:lineRule="auto" w:before="12"/>
        <w:rPr>
          <w:rFonts w:ascii="宋体" w:hAnsi="宋体" w:cs="宋体" w:eastAsia="宋体" w:hint="default"/>
          <w:sz w:val="12"/>
          <w:szCs w:val="12"/>
        </w:rPr>
      </w:pPr>
    </w:p>
    <w:p>
      <w:pPr>
        <w:pStyle w:val="BodyText"/>
        <w:spacing w:line="352" w:lineRule="auto"/>
        <w:ind w:right="1119" w:firstLine="360"/>
        <w:jc w:val="left"/>
      </w:pPr>
      <w:r>
        <w:rPr/>
        <w:t>（</w:t>
      </w:r>
      <w:r>
        <w:rPr>
          <w:rFonts w:ascii="宋体" w:hAnsi="宋体" w:cs="宋体" w:eastAsia="宋体" w:hint="default"/>
        </w:rPr>
        <w:t>6</w:t>
      </w:r>
      <w:r>
        <w:rPr/>
        <w:t>）就四方精创中实体或业务活动的财务信息获取充分、适当的审计证据，以对财务报表发表审计意见。我们负责指 导、监督和执行集团审计，并对审计意见承担全部责任。</w:t>
      </w:r>
    </w:p>
    <w:p>
      <w:pPr>
        <w:pStyle w:val="BodyText"/>
        <w:spacing w:line="367" w:lineRule="auto" w:before="70"/>
        <w:ind w:right="1133"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50" w:lineRule="auto" w:before="59"/>
        <w:ind w:right="1105" w:firstLine="360"/>
        <w:jc w:val="left"/>
      </w:pPr>
      <w:r>
        <w:rPr/>
        <w:t>我们还就已遵守与独立性相关的职业道德要求向治理层提供声明</w:t>
      </w:r>
      <w:r>
        <w:rPr>
          <w:spacing w:val="-76"/>
        </w:rPr>
        <w:t>，</w:t>
      </w:r>
      <w:r>
        <w:rPr/>
        <w:t>并与治理层沟通可能被合理认为影响我们独立性的所</w:t>
      </w:r>
      <w:r>
        <w:rPr/>
        <w:t> 有关系和其他事项，以及相关的防范措施（如适用</w:t>
      </w:r>
      <w:r>
        <w:rPr>
          <w:spacing w:val="-90"/>
        </w:rPr>
        <w:t>）</w:t>
      </w:r>
      <w:r>
        <w:rPr/>
        <w:t>。</w:t>
      </w:r>
    </w:p>
    <w:p>
      <w:pPr>
        <w:pStyle w:val="BodyText"/>
        <w:spacing w:line="360" w:lineRule="auto" w:before="72"/>
        <w:ind w:right="1136"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75"/>
        </w:rPr>
        <w:t> </w:t>
      </w:r>
      <w:r>
        <w:rPr>
          <w:spacing w:val="-75"/>
        </w:rPr>
      </w:r>
      <w:r>
        <w:rPr/>
        <w:t>的负面后果超过在公众利益方面产生的益处，我们确定不应在审计报告中沟通该事项。</w:t>
      </w:r>
    </w:p>
    <w:p>
      <w:pPr>
        <w:spacing w:line="240" w:lineRule="auto" w:before="0"/>
        <w:rPr>
          <w:rFonts w:ascii="宋体" w:hAnsi="宋体" w:cs="宋体" w:eastAsia="宋体" w:hint="default"/>
          <w:sz w:val="26"/>
          <w:szCs w:val="26"/>
        </w:rPr>
      </w:pPr>
    </w:p>
    <w:p>
      <w:pPr>
        <w:pStyle w:val="Heading2"/>
        <w:spacing w:line="240" w:lineRule="auto"/>
        <w:ind w:right="0"/>
        <w:jc w:val="both"/>
        <w:rPr>
          <w:b w:val="0"/>
          <w:bCs w:val="0"/>
        </w:rPr>
      </w:pPr>
      <w:bookmarkStart w:name="二、财务报表" w:id="155"/>
      <w:bookmarkEnd w:id="155"/>
      <w:r>
        <w:rPr>
          <w:b w:val="0"/>
          <w:bCs w:val="0"/>
        </w:rPr>
      </w:r>
      <w:r>
        <w:rPr/>
        <w:t>二、财务报表</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0"/>
        <w:jc w:val="both"/>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编制单位：深圳四方精创资讯股份有限公司</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2420" w:right="3388"/>
        <w:jc w:val="center"/>
      </w:pPr>
      <w:r>
        <w:rPr>
          <w:rFonts w:ascii="Times New Roman" w:hAnsi="Times New Roman" w:cs="Times New Roman" w:eastAsia="Times New Roman" w:hint="default"/>
        </w:rPr>
        <w:t>2020 </w:t>
      </w:r>
      <w:r>
        <w:rPr/>
        <w:t>年</w:t>
      </w:r>
      <w:r>
        <w:rPr>
          <w:spacing w:val="-45"/>
        </w:rPr>
        <w:t> </w:t>
      </w:r>
      <w:r>
        <w:rPr>
          <w:rFonts w:ascii="Times New Roman" w:hAnsi="Times New Roman" w:cs="Times New Roman" w:eastAsia="Times New Roman" w:hint="default"/>
        </w:rPr>
        <w:t>03 </w:t>
      </w:r>
      <w:r>
        <w:rPr/>
        <w:t>月</w:t>
      </w:r>
      <w:r>
        <w:rPr>
          <w:spacing w:val="-45"/>
        </w:rPr>
        <w:t> </w:t>
      </w:r>
      <w:r>
        <w:rPr>
          <w:rFonts w:ascii="Times New Roman" w:hAnsi="Times New Roman" w:cs="Times New Roman" w:eastAsia="Times New Roman" w:hint="default"/>
        </w:rPr>
        <w:t>30 </w:t>
      </w:r>
      <w:r>
        <w:rPr/>
        <w:t>日</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66"/>
        <w:gridCol w:w="3304"/>
        <w:gridCol w:w="3297"/>
      </w:tblGrid>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2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97"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2125" w:right="0"/>
              <w:jc w:val="left"/>
              <w:rPr>
                <w:rFonts w:ascii="Times New Roman" w:hAnsi="Times New Roman" w:cs="Times New Roman" w:eastAsia="Times New Roman" w:hint="default"/>
                <w:sz w:val="18"/>
                <w:szCs w:val="18"/>
              </w:rPr>
            </w:pPr>
            <w:r>
              <w:rPr>
                <w:rFonts w:ascii="Times New Roman"/>
                <w:sz w:val="18"/>
              </w:rPr>
              <w:t>526,922,052.54</w:t>
            </w:r>
          </w:p>
        </w:tc>
        <w:tc>
          <w:tcPr>
            <w:tcW w:w="3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32" w:right="0"/>
              <w:jc w:val="left"/>
              <w:rPr>
                <w:rFonts w:ascii="Times New Roman" w:hAnsi="Times New Roman" w:cs="Times New Roman" w:eastAsia="Times New Roman" w:hint="default"/>
                <w:sz w:val="18"/>
                <w:szCs w:val="18"/>
              </w:rPr>
            </w:pPr>
            <w:r>
              <w:rPr>
                <w:rFonts w:ascii="Times New Roman"/>
                <w:sz w:val="18"/>
              </w:rPr>
              <w:t>534,347,564.35</w:t>
            </w:r>
          </w:p>
        </w:tc>
      </w:tr>
    </w:tbl>
    <w:p>
      <w:pPr>
        <w:spacing w:after="0" w:line="240" w:lineRule="auto"/>
        <w:jc w:val="lef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175,895,620.78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193,508,351.03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4,703,880.25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4,482,111.97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3,999,241.41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4,472,103.38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1,375,451.60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5,983,550.99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5,852,198.13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5,937,258.35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4,668,278.73</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723,441,604.32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747,330,607.59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88,579,565.00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48,393,395.82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48,095,753.10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54,841,508.99</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302,285,456.43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285,952,429.70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19,379,842.84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30,887,754.50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31,748,992.45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29,172,094.30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2,162,947.99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2,351,029.35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12,410,712.84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823,621.89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2,747,480.86</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473,970,338.22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485,862,247.84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1,197,411,942.54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1,233,192,855.43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222,430.90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566,782.47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120,244.66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338,122.03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55,106,909.37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66,918,346.66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3,515,328.45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2,504,426.70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33,652,798.98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106,558,162.68</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817,262.64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1,897,336.86</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92,617,712.36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176,885,840.54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2,358,612.83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2,102,469.18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2,358,612.83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2,102,469.18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94,976,325.19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178,988,309.72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188,968,261.00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194,282,079.00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536,524,182.26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595,996,446.74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31,647,375.64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104,047,153.71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-26,059,111.75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1,895,202.84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68,246,921.37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58,410,201.45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366,402,740.11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307,667,769.39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1,102,435,617.35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1,054,204,545.71</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1,102,435,617.35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1,054,204,545.71</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1,197,411,942.54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1,233,192,855.43</w:t>
            </w:r>
          </w:p>
        </w:tc>
      </w:tr>
    </w:tbl>
    <w:p>
      <w:pPr>
        <w:spacing w:line="240" w:lineRule="auto" w:before="3"/>
        <w:rPr>
          <w:rFonts w:ascii="Times New Roman" w:hAnsi="Times New Roman" w:cs="Times New Roman" w:eastAsia="Times New Roman" w:hint="default"/>
          <w:sz w:val="22"/>
          <w:szCs w:val="22"/>
        </w:rPr>
      </w:pPr>
    </w:p>
    <w:p>
      <w:pPr>
        <w:pStyle w:val="BodyText"/>
        <w:tabs>
          <w:tab w:pos="3655" w:val="left" w:leader="none"/>
          <w:tab w:pos="7710" w:val="left" w:leader="none"/>
        </w:tabs>
        <w:spacing w:line="240" w:lineRule="auto" w:before="44"/>
        <w:ind w:right="939"/>
        <w:jc w:val="left"/>
      </w:pPr>
      <w:r>
        <w:rPr/>
        <w:t>法定代表人：周志群</w:t>
        <w:tab/>
        <w:t>主管会计工作负责人：李琳</w:t>
        <w:tab/>
        <w:t>会计机构负责人：郭敏玲</w:t>
      </w:r>
    </w:p>
    <w:p>
      <w:pPr>
        <w:spacing w:line="240" w:lineRule="auto" w:before="0"/>
        <w:rPr>
          <w:rFonts w:ascii="宋体" w:hAnsi="宋体" w:cs="宋体" w:eastAsia="宋体" w:hint="default"/>
          <w:sz w:val="18"/>
          <w:szCs w:val="18"/>
        </w:rPr>
      </w:pPr>
    </w:p>
    <w:p>
      <w:pPr>
        <w:pStyle w:val="Heading3"/>
        <w:spacing w:line="240" w:lineRule="auto" w:before="154"/>
        <w:ind w:right="939"/>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66"/>
        <w:gridCol w:w="3305"/>
        <w:gridCol w:w="3304"/>
      </w:tblGrid>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346,573,339.11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411,063,959.91</w:t>
            </w:r>
          </w:p>
        </w:tc>
      </w:tr>
      <w:tr>
        <w:trPr>
          <w:trHeight w:val="391"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6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328,659,191.02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288,143,423.03</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2,713,817.49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2,822,895.86</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2,862,130.54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3,919,890.36</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1,375,451.60</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5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5,983,550.99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5,852,198.13</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5,900,435.76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4,536,171.15</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692,692,464.91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716,338,538.44</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88,579,565.00</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58,319,881.41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54,826,991.32</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54,841,508.99</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297,592,593.65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284,248,786.83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19,379,842.84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30,887,754.50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31,748,992.45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29,172,094.30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1,062,064.75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1,340,935.27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12,410,712.84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823,621.89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617,864.00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475,973,460.93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489,879,749.11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1,168,665,925.84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1,206,218,287.55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222,430.90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566,782.47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120,244.66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338,122.03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48,440,437.01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62,442,964.58</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3,426,183.06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2,504,426.70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32,971,202.62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106,518,639.43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817,262.64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1,897,336.86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85,180,498.25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172,370,935.21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85,180,498.25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172,370,935.21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188,968,261.00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194,282,079.00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536,531,818.35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596,002,606.82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31,647,375.64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104,047,153.71</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-28,677,347.60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68,246,921.37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58,410,201.45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350,063,150.11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289,199,618.78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1,083,485,427.59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1,033,847,352.34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1,168,665,925.84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1,206,218,287.55</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939"/>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525,558,672.81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487,816,568.83</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525,558,672.81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487,816,568.83</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079"/>
        <w:gridCol w:w="3214"/>
        <w:gridCol w:w="3289"/>
      </w:tblGrid>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15"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431,579,743.07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422,382,812.68</w:t>
            </w: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266,180,762.88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296,668,303.89</w:t>
            </w: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1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1,498,166.10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1,065,202.97</w:t>
            </w: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3,359,319.17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2,393,949.15</w:t>
            </w: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86,717,043.61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57,742,008.94</w:t>
            </w: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84,315,394.86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75,321,614.94</w:t>
            </w:r>
          </w:p>
        </w:tc>
      </w:tr>
      <w:tr>
        <w:trPr>
          <w:trHeight w:val="39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-10,490,943.55</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-10,808,267.21</w:t>
            </w:r>
            <w:r>
              <w:rPr>
                <w:rFonts w:ascii="Times New Roman"/>
                <w:sz w:val="18"/>
              </w:rPr>
            </w: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96"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3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8,854,527.61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6,441,627.14</w:t>
            </w: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6,622,552.23</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549,118.73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5,037,730.55</w:t>
            </w: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6" w:firstLine="72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549,118.73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2,897,730.55</w:t>
            </w: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65"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79"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4"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before="45"/>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8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316,243.39</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-2,778,775.44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20,516.93</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101,487,361.02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67,692,711.26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2,566,058.63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4,399,233.04</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30,317.32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1,027,062.73</w:t>
            </w:r>
          </w:p>
        </w:tc>
      </w:tr>
      <w:tr>
        <w:trPr>
          <w:trHeight w:val="405"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2042" w:val="left" w:leader="none"/>
              </w:tabs>
              <w:spacing w:line="240" w:lineRule="auto" w:before="59"/>
              <w:ind w:left="-151" w:right="14"/>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104,023,102.33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71,064,881.57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7,784,463.77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2,260,499.63</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96,238,638.56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68,804,381.94</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96,238,638.56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68,804,381.94</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96,238,638.56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68,804,381.94</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5,776,454.91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2,917,462.52</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5,776,454.91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2,917,462.52</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5,053,421.90</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5,053,421.90</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723,033.01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2,917,462.52</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723,033.01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2,917,462.52</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102,015,093.47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71,721,844.46</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102,015,093.47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71,721,844.46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0.50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0.35</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0.50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0.35</w:t>
            </w:r>
          </w:p>
        </w:tc>
      </w:tr>
    </w:tbl>
    <w:p>
      <w:pPr>
        <w:spacing w:line="240" w:lineRule="auto" w:before="3"/>
        <w:rPr>
          <w:rFonts w:ascii="Times New Roman" w:hAnsi="Times New Roman" w:cs="Times New Roman" w:eastAsia="Times New Roman" w:hint="default"/>
          <w:sz w:val="22"/>
          <w:szCs w:val="22"/>
        </w:rPr>
      </w:pPr>
    </w:p>
    <w:p>
      <w:pPr>
        <w:pStyle w:val="BodyText"/>
        <w:tabs>
          <w:tab w:pos="3655" w:val="left" w:leader="none"/>
          <w:tab w:pos="7710" w:val="left" w:leader="none"/>
        </w:tabs>
        <w:spacing w:line="240" w:lineRule="auto" w:before="44"/>
        <w:ind w:right="939"/>
        <w:jc w:val="left"/>
      </w:pPr>
      <w:r>
        <w:rPr/>
        <w:t>法定代表人：周志群</w:t>
        <w:tab/>
        <w:t>主管会计工作负责人：李琳</w:t>
        <w:tab/>
        <w:t>会计机构负责人：郭敏玲</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487,863,142.01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465,951,536.46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263,545,241.71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293,630,471.56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1,497,234.10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1,061,020.42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3,359,319.17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2,393,949.15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50,337,793.38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41,063,594.82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84,315,394.86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75,321,614.94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-11,058,600.13</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-10,416,957.48</w:t>
            </w:r>
            <w:r>
              <w:rPr>
                <w:rFonts w:ascii="Times New Roman"/>
                <w:sz w:val="18"/>
              </w:rPr>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77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77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7,740,431.36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6,383,361.79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6,621,837.46</w:t>
            </w: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742,890.09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2,253,285.99</w:t>
            </w: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0"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742,890.09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113,285.99</w:t>
            </w:r>
          </w:p>
        </w:tc>
      </w:tr>
      <w:tr>
        <w:trPr>
          <w:trHeight w:val="103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61"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9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-248,310.00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-1,801,458.11</w:t>
            </w:r>
            <w:r>
              <w:rPr>
                <w:rFonts w:ascii="Times New Roman"/>
                <w:sz w:val="18"/>
              </w:rPr>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102,983,176.47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63,349,670.93</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2,566,058.63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4,399,233.04</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30,317.32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1,027,062.73</w:t>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7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105,518,917.78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66,721,841.24</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7,151,718.61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1,553,216.29</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98,367,199.17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65,168,624.95</w:t>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6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98,367,199.17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65,168,624.95</w:t>
            </w: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5" w:right="6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5,053,421.90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6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5,053,421.90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0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5,053,421.90</w:t>
            </w: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103,420,621.07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65,168,624.95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0.51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0.34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0.34</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left="351" w:right="939"/>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2132" w:right="0"/>
              <w:jc w:val="left"/>
              <w:rPr>
                <w:rFonts w:ascii="Times New Roman" w:hAnsi="Times New Roman" w:cs="Times New Roman" w:eastAsia="Times New Roman" w:hint="default"/>
                <w:sz w:val="18"/>
                <w:szCs w:val="18"/>
              </w:rPr>
            </w:pPr>
            <w:r>
              <w:rPr>
                <w:rFonts w:ascii="Times New Roman"/>
                <w:sz w:val="18"/>
              </w:rPr>
              <w:t>555,382,468.46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32" w:right="0"/>
              <w:jc w:val="left"/>
              <w:rPr>
                <w:rFonts w:ascii="Times New Roman" w:hAnsi="Times New Roman" w:cs="Times New Roman" w:eastAsia="Times New Roman" w:hint="default"/>
                <w:sz w:val="18"/>
                <w:szCs w:val="18"/>
              </w:rPr>
            </w:pPr>
            <w:r>
              <w:rPr>
                <w:rFonts w:ascii="Times New Roman"/>
                <w:sz w:val="18"/>
              </w:rPr>
              <w:t>498,994,673.11</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3,745,610.55</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17,591,116.08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10,699,746.00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572,973,584.54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513,440,029.66</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12,758,417.94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60,715,670.41</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388,099,277.83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330,025,184.19</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16,294,933.15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10,944,942.90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36,542,037.53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32,459,572.03</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453,694,666.45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434,145,369.53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119,278,918.09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79,294,660.13</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2,140,000.00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85,723.12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7,000.00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335,723.12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2,147,000.00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27,767,407.57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40,550,565.40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25,469,565.00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27,767,407.57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66,020,130.40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-27,431,684.45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-63,873,130.40</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6,574,320.00</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7"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6,574,320.00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28,747,022.14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26,497,599.73</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73,559,472.84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6,887,828.80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102,306,494.98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33,385,428.53</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-102,306,494.98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-26,811,108.53</w:t>
            </w:r>
            <w:r>
              <w:rPr>
                <w:rFonts w:ascii="Times New Roman"/>
                <w:sz w:val="18"/>
              </w:rPr>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723,959.47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1,356,923.15</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-9,735,301.87</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-10,032,655.65</w:t>
            </w:r>
            <w:r>
              <w:rPr>
                <w:rFonts w:ascii="Times New Roman"/>
                <w:sz w:val="18"/>
              </w:rPr>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532,254,964.35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542,287,620.00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522,519,662.48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532,254,964.35</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left="351" w:right="939"/>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458,982,400.07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414,315,856.69</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3,745,610.55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15,819,851.53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10,641,808.07</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474,802,251.60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428,703,275.31</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9,945,233.84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56,881,523.52</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360,879,295.79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319,688,801.47</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16,133,361.23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9,758,852.01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28,191,505.75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27,359,230.11</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415,149,396.61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413,688,407.11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59,652,854.99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15,014,868.20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2,140,000.00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7,000.00</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251,000.00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2,147,000.00</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21,397,770.87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37,617,846.45</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27,469,565.00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24,397,770.87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65,087,411.45</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-24,146,770.87</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-62,940,411.45</w:t>
            </w:r>
            <w:r>
              <w:rPr>
                <w:rFonts w:ascii="Times New Roman"/>
                <w:sz w:val="18"/>
              </w:rPr>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6,574,320.00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6,574,320.00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28,747,022.14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26,497,599.73</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73,559,472.84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6,887,828.80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102,306,494.98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33,385,428.53</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-102,306,494.98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-26,811,108.53</w:t>
            </w:r>
            <w:r>
              <w:rPr>
                <w:rFonts w:ascii="Times New Roman"/>
                <w:sz w:val="18"/>
              </w:rPr>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-66,800,410.86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-74,736,651.78</w:t>
            </w:r>
            <w:r>
              <w:rPr>
                <w:rFonts w:ascii="Times New Roman"/>
                <w:sz w:val="18"/>
              </w:rPr>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408,971,359.91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483,708,011.69</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342,170,949.05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408,971,359.91</w:t>
            </w:r>
          </w:p>
        </w:tc>
      </w:tr>
    </w:tbl>
    <w:p>
      <w:pPr>
        <w:spacing w:line="240" w:lineRule="auto" w:before="7"/>
        <w:rPr>
          <w:rFonts w:ascii="Times New Roman" w:hAnsi="Times New Roman" w:cs="Times New Roman" w:eastAsia="Times New Roman" w:hint="default"/>
          <w:sz w:val="22"/>
          <w:szCs w:val="22"/>
        </w:rPr>
      </w:pPr>
    </w:p>
    <w:p>
      <w:pPr>
        <w:pStyle w:val="Heading3"/>
        <w:spacing w:line="240" w:lineRule="auto" w:before="35"/>
        <w:ind w:right="939"/>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939"/>
        <w:jc w:val="left"/>
      </w:pPr>
      <w:r>
        <w:rPr/>
        <w:t>本期金额</w:t>
      </w:r>
    </w:p>
    <w:p>
      <w:pPr>
        <w:pStyle w:val="BodyText"/>
        <w:spacing w:line="240" w:lineRule="auto" w:before="109"/>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47"/>
        <w:gridCol w:w="488"/>
        <w:gridCol w:w="465"/>
        <w:gridCol w:w="481"/>
        <w:gridCol w:w="466"/>
        <w:gridCol w:w="585"/>
        <w:gridCol w:w="586"/>
        <w:gridCol w:w="586"/>
        <w:gridCol w:w="571"/>
        <w:gridCol w:w="585"/>
        <w:gridCol w:w="586"/>
        <w:gridCol w:w="586"/>
        <w:gridCol w:w="586"/>
        <w:gridCol w:w="586"/>
        <w:gridCol w:w="586"/>
        <w:gridCol w:w="586"/>
      </w:tblGrid>
      <w:tr>
        <w:trPr>
          <w:trHeight w:val="446" w:hRule="exact"/>
        </w:trPr>
        <w:tc>
          <w:tcPr>
            <w:tcW w:w="1247" w:type="dxa"/>
            <w:vMerge w:val="restart"/>
            <w:tcBorders>
              <w:top w:val="single" w:sz="6" w:space="0" w:color="000000"/>
              <w:left w:val="single" w:sz="6" w:space="0" w:color="000000"/>
              <w:right w:val="single" w:sz="6" w:space="0" w:color="000000"/>
            </w:tcBorders>
            <w:shd w:val="clear" w:color="auto" w:fill="D2D2D2"/>
          </w:tcPr>
          <w:p>
            <w:pPr/>
          </w:p>
        </w:tc>
        <w:tc>
          <w:tcPr>
            <w:tcW w:w="8328"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07" w:hRule="exact"/>
        </w:trPr>
        <w:tc>
          <w:tcPr>
            <w:tcW w:w="1247" w:type="dxa"/>
            <w:vMerge/>
            <w:tcBorders>
              <w:left w:val="single" w:sz="6" w:space="0" w:color="000000"/>
              <w:right w:val="single" w:sz="6" w:space="0" w:color="000000"/>
            </w:tcBorders>
            <w:shd w:val="clear" w:color="auto" w:fill="D2D2D2"/>
          </w:tcPr>
          <w:p>
            <w:pPr/>
          </w:p>
        </w:tc>
        <w:tc>
          <w:tcPr>
            <w:tcW w:w="7157"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24" w:lineRule="exact"/>
              <w:ind w:right="8"/>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9"/>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42" w:hRule="exact"/>
        </w:trPr>
        <w:tc>
          <w:tcPr>
            <w:tcW w:w="1247" w:type="dxa"/>
            <w:vMerge/>
            <w:tcBorders>
              <w:left w:val="single" w:sz="6" w:space="0" w:color="000000"/>
              <w:bottom w:val="nil" w:sz="6" w:space="0" w:color="auto"/>
              <w:right w:val="single" w:sz="6" w:space="0" w:color="000000"/>
            </w:tcBorders>
            <w:shd w:val="clear" w:color="auto" w:fill="D2D2D2"/>
          </w:tcPr>
          <w:p>
            <w:pPr/>
          </w:p>
        </w:tc>
        <w:tc>
          <w:tcPr>
            <w:tcW w:w="7157" w:type="dxa"/>
            <w:gridSpan w:val="13"/>
            <w:vMerge/>
            <w:tcBorders>
              <w:left w:val="single" w:sz="6" w:space="0" w:color="000000"/>
              <w:bottom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18" w:hRule="exact"/>
        </w:trPr>
        <w:tc>
          <w:tcPr>
            <w:tcW w:w="124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488" w:type="dxa"/>
            <w:vMerge w:val="restart"/>
            <w:tcBorders>
              <w:top w:val="single" w:sz="6" w:space="0" w:color="000000"/>
              <w:left w:val="single" w:sz="6" w:space="0" w:color="000000"/>
              <w:right w:val="single" w:sz="6" w:space="0" w:color="000000"/>
            </w:tcBorders>
            <w:shd w:val="clear" w:color="auto" w:fill="D2D2D2"/>
          </w:tcPr>
          <w:p>
            <w:pPr/>
          </w:p>
        </w:tc>
        <w:tc>
          <w:tcPr>
            <w:tcW w:w="14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58" w:hRule="exact"/>
        </w:trPr>
        <w:tc>
          <w:tcPr>
            <w:tcW w:w="1247" w:type="dxa"/>
            <w:vMerge/>
            <w:tcBorders>
              <w:left w:val="single" w:sz="6" w:space="0" w:color="000000"/>
              <w:bottom w:val="nil" w:sz="6" w:space="0" w:color="auto"/>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83" w:hRule="exact"/>
        </w:trPr>
        <w:tc>
          <w:tcPr>
            <w:tcW w:w="1247" w:type="dxa"/>
            <w:vMerge w:val="restart"/>
            <w:tcBorders>
              <w:top w:val="nil" w:sz="6" w:space="0" w:color="auto"/>
              <w:left w:val="single" w:sz="6" w:space="0" w:color="000000"/>
              <w:right w:val="single" w:sz="6" w:space="0" w:color="000000"/>
            </w:tcBorders>
            <w:shd w:val="clear" w:color="auto" w:fill="D2D2D2"/>
          </w:tcPr>
          <w:p>
            <w:pPr/>
          </w:p>
        </w:tc>
        <w:tc>
          <w:tcPr>
            <w:tcW w:w="4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74"/>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74"/>
              <w:ind w:left="135" w:right="5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28" w:hRule="exact"/>
        </w:trPr>
        <w:tc>
          <w:tcPr>
            <w:tcW w:w="1247"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31" w:hRule="exact"/>
        </w:trPr>
        <w:tc>
          <w:tcPr>
            <w:tcW w:w="1247" w:type="dxa"/>
            <w:vMerge/>
            <w:tcBorders>
              <w:left w:val="single" w:sz="6" w:space="0" w:color="000000"/>
              <w:right w:val="single" w:sz="6" w:space="0" w:color="000000"/>
            </w:tcBorders>
            <w:shd w:val="clear" w:color="auto" w:fill="D2D2D2"/>
          </w:tcPr>
          <w:p>
            <w:pPr/>
          </w:p>
        </w:tc>
        <w:tc>
          <w:tcPr>
            <w:tcW w:w="488"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8" w:hRule="exact"/>
        </w:trPr>
        <w:tc>
          <w:tcPr>
            <w:tcW w:w="1247" w:type="dxa"/>
            <w:vMerge/>
            <w:tcBorders>
              <w:left w:val="single" w:sz="6" w:space="0" w:color="000000"/>
              <w:bottom w:val="single" w:sz="6" w:space="0" w:color="000000"/>
              <w:right w:val="single" w:sz="6" w:space="0" w:color="000000"/>
            </w:tcBorders>
            <w:shd w:val="clear" w:color="auto" w:fill="D2D2D2"/>
          </w:tcPr>
          <w:p>
            <w:pPr/>
          </w:p>
        </w:tc>
        <w:tc>
          <w:tcPr>
            <w:tcW w:w="488"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7"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8" w:space="0" w:color="D2D2D2"/>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r>
              <w:rPr>
                <w:rFonts w:ascii="Times New Roman"/>
                <w:sz w:val="18"/>
              </w:rPr>
              <w:t>194,2</w:t>
            </w:r>
          </w:p>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82,07</w:t>
            </w:r>
          </w:p>
          <w:p>
            <w:pPr>
              <w:pStyle w:val="TableParagraph"/>
              <w:spacing w:line="240" w:lineRule="auto" w:before="108"/>
              <w:ind w:left="127" w:right="0"/>
              <w:jc w:val="left"/>
              <w:rPr>
                <w:rFonts w:ascii="Times New Roman" w:hAnsi="Times New Roman" w:cs="Times New Roman" w:eastAsia="Times New Roman" w:hint="default"/>
                <w:sz w:val="18"/>
                <w:szCs w:val="18"/>
              </w:rPr>
            </w:pPr>
            <w:r>
              <w:rPr>
                <w:rFonts w:ascii="Times New Roman"/>
                <w:sz w:val="18"/>
              </w:rPr>
              <w:t>9.00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595,99</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6,446.</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74</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104,04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7,153.</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71</w:t>
            </w: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1,895,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202.84</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58,410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9"/>
              <w:ind w:left="60" w:right="0"/>
              <w:jc w:val="left"/>
              <w:rPr>
                <w:rFonts w:ascii="Times New Roman" w:hAnsi="Times New Roman" w:cs="Times New Roman" w:eastAsia="Times New Roman" w:hint="default"/>
                <w:sz w:val="18"/>
                <w:szCs w:val="18"/>
              </w:rPr>
            </w:pPr>
            <w:r>
              <w:rPr>
                <w:rFonts w:ascii="Times New Roman"/>
                <w:sz w:val="18"/>
              </w:rPr>
              <w:t>307,66</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7,769.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39</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1,054,</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204,54</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5.71</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42" w:space="0" w:color="D2D2D2"/>
              <w:left w:val="single" w:sz="6" w:space="0" w:color="000000"/>
              <w:right w:val="single" w:sz="6" w:space="0" w:color="000000"/>
            </w:tcBorders>
          </w:tcPr>
          <w:p>
            <w:pPr>
              <w:pStyle w:val="TableParagraph"/>
              <w:spacing w:line="240" w:lineRule="auto" w:before="57"/>
              <w:ind w:left="60" w:right="0"/>
              <w:jc w:val="center"/>
              <w:rPr>
                <w:rFonts w:ascii="Times New Roman" w:hAnsi="Times New Roman" w:cs="Times New Roman" w:eastAsia="Times New Roman" w:hint="default"/>
                <w:sz w:val="18"/>
                <w:szCs w:val="18"/>
              </w:rPr>
            </w:pPr>
            <w:r>
              <w:rPr>
                <w:rFonts w:ascii="Times New Roman"/>
                <w:sz w:val="18"/>
              </w:rPr>
              <w:t>1,054,</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204,54</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5.71</w:t>
            </w:r>
          </w:p>
        </w:tc>
      </w:tr>
      <w:tr>
        <w:trPr>
          <w:trHeight w:val="706"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4" w:lineRule="auto" w:before="45"/>
              <w:ind w:left="7" w:right="21"/>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8" w:type="dxa"/>
            <w:vMerge/>
            <w:tcBorders>
              <w:left w:val="single" w:sz="18"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58"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8"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57"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D2D2D2"/>
              <w:right w:val="single" w:sz="6" w:space="0" w:color="000000"/>
            </w:tcBorders>
          </w:tcPr>
          <w:p>
            <w:pP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-33,73</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0,769.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50</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-33,73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0,769.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50</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-33,73</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0,769.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50</w:t>
            </w:r>
          </w:p>
        </w:tc>
      </w:tr>
      <w:tr>
        <w:trPr>
          <w:trHeight w:val="705"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7" w:right="21"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88"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06"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42"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73"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D2D2D2"/>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194,2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82,07</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9.00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595,99</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6,446.</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74</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104,04</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7,153.</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71</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-31,83</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5,566.</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66</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58,410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307,66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7,769.</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39</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473,77</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6.21</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473,77</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6.21</w:t>
            </w:r>
          </w:p>
        </w:tc>
      </w:tr>
      <w:tr>
        <w:trPr>
          <w:trHeight w:val="690"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4"/>
              <w:ind w:left="7" w:right="21"/>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8"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021"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21"/>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-5,31</w:t>
            </w:r>
          </w:p>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3,818</w:t>
            </w:r>
          </w:p>
          <w:p>
            <w:pPr>
              <w:pStyle w:val="TableParagraph"/>
              <w:spacing w:line="240" w:lineRule="auto" w:before="108"/>
              <w:ind w:left="203"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-59,47</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2,264.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48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-72,39</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9,778.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5,776,</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454.91</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9,836,</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719.92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58,734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,970.7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81,961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,841.1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81,961</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,841.1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w:t>
            </w:r>
          </w:p>
        </w:tc>
      </w:tr>
      <w:tr>
        <w:trPr>
          <w:trHeight w:val="158"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D2D2D2"/>
              <w:right w:val="single" w:sz="6" w:space="0" w:color="000000"/>
            </w:tcBorders>
          </w:tcPr>
          <w:p>
            <w:pP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5,776,</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454.91</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96,238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,638.5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102,01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5,093.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47</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102,01</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5,093.</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47</w:t>
            </w:r>
          </w:p>
        </w:tc>
      </w:tr>
      <w:tr>
        <w:trPr>
          <w:trHeight w:val="705"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7" w:right="21"/>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8"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57"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8" w:space="0" w:color="D2D2D2"/>
              <w:right w:val="single" w:sz="6" w:space="0" w:color="000000"/>
            </w:tcBorders>
          </w:tcPr>
          <w:p>
            <w:pPr>
              <w:pStyle w:val="TableParagraph"/>
              <w:spacing w:line="240" w:lineRule="auto" w:before="87"/>
              <w:ind w:left="51" w:right="0"/>
              <w:jc w:val="center"/>
              <w:rPr>
                <w:rFonts w:ascii="Times New Roman" w:hAnsi="Times New Roman" w:cs="Times New Roman" w:eastAsia="Times New Roman" w:hint="default"/>
                <w:sz w:val="18"/>
                <w:szCs w:val="18"/>
              </w:rPr>
            </w:pPr>
            <w:r>
              <w:rPr>
                <w:rFonts w:ascii="Times New Roman"/>
                <w:sz w:val="18"/>
              </w:rPr>
              <w:t>-5,31</w:t>
            </w:r>
          </w:p>
          <w:p>
            <w:pPr>
              <w:pStyle w:val="TableParagraph"/>
              <w:spacing w:line="240" w:lineRule="auto" w:before="108"/>
              <w:ind w:left="21" w:right="0"/>
              <w:jc w:val="center"/>
              <w:rPr>
                <w:rFonts w:ascii="Times New Roman" w:hAnsi="Times New Roman" w:cs="Times New Roman" w:eastAsia="Times New Roman" w:hint="default"/>
                <w:sz w:val="18"/>
                <w:szCs w:val="18"/>
              </w:rPr>
            </w:pPr>
            <w:r>
              <w:rPr>
                <w:rFonts w:ascii="Times New Roman"/>
                <w:sz w:val="18"/>
              </w:rPr>
              <w:t>3,818</w:t>
            </w:r>
          </w:p>
          <w:p>
            <w:pPr>
              <w:pStyle w:val="TableParagraph"/>
              <w:spacing w:line="240" w:lineRule="auto" w:before="108"/>
              <w:ind w:left="203" w:right="0"/>
              <w:jc w:val="center"/>
              <w:rPr>
                <w:rFonts w:ascii="Times New Roman" w:hAnsi="Times New Roman" w:cs="Times New Roman" w:eastAsia="Times New Roman" w:hint="default"/>
                <w:sz w:val="18"/>
                <w:szCs w:val="18"/>
              </w:rPr>
            </w:pPr>
            <w:r>
              <w:rPr>
                <w:rFonts w:ascii="Times New Roman"/>
                <w:sz w:val="18"/>
              </w:rPr>
              <w:t>.00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87"/>
              <w:ind w:left="74" w:right="0"/>
              <w:jc w:val="left"/>
              <w:rPr>
                <w:rFonts w:ascii="Times New Roman" w:hAnsi="Times New Roman" w:cs="Times New Roman" w:eastAsia="Times New Roman" w:hint="default"/>
                <w:sz w:val="18"/>
                <w:szCs w:val="18"/>
              </w:rPr>
            </w:pPr>
            <w:r>
              <w:rPr>
                <w:rFonts w:ascii="Times New Roman"/>
                <w:sz w:val="18"/>
              </w:rPr>
              <w:t>-68,16</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5,654.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84</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-72,39</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9,778.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07</w:t>
            </w:r>
          </w:p>
        </w:tc>
        <w:tc>
          <w:tcPr>
            <w:tcW w:w="586" w:type="dxa"/>
            <w:vMerge w:val="restart"/>
            <w:tcBorders>
              <w:top w:val="single" w:sz="6" w:space="0" w:color="000000"/>
              <w:left w:val="single" w:sz="6" w:space="0" w:color="000000"/>
              <w:right w:val="single" w:sz="6" w:space="0" w:color="000000"/>
            </w:tcBorders>
          </w:tcPr>
          <w:p>
            <w:pP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-1,079,</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694.77</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-1,079,</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694.77</w:t>
            </w:r>
          </w:p>
        </w:tc>
      </w:tr>
      <w:tr>
        <w:trPr>
          <w:trHeight w:val="706"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5"/>
              <w:ind w:left="7" w:right="21"/>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8" w:type="dxa"/>
            <w:vMerge/>
            <w:tcBorders>
              <w:left w:val="single" w:sz="18"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58"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8"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10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0" w:lineRule="auto"/>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-5,31</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3,818</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-68,16</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5,654.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-734,7</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94.00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-73,47</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9,472.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84</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-72,39</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9,778.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07</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72,399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,778.0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72,399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,778.0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9,836,</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719.92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-37,50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3,667.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27,666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,947.9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-27,66</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6,947.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92</w:t>
            </w: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9,836,</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719.92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-9,836,</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719.92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3"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z w:val="18"/>
                <w:szCs w:val="18"/>
              </w:rPr>
              <w:t> 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-27,66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6,947.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92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-27,66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6,947.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92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-27,66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6,947.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92</w:t>
            </w: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8,693,</w:t>
            </w:r>
          </w:p>
          <w:p>
            <w:pPr>
              <w:pStyle w:val="TableParagraph"/>
              <w:spacing w:line="240" w:lineRule="auto" w:before="108"/>
              <w:ind w:left="44" w:right="0"/>
              <w:jc w:val="left"/>
              <w:rPr>
                <w:rFonts w:ascii="Times New Roman" w:hAnsi="Times New Roman" w:cs="Times New Roman" w:eastAsia="Times New Roman" w:hint="default"/>
                <w:sz w:val="18"/>
                <w:szCs w:val="18"/>
              </w:rPr>
            </w:pPr>
            <w:r>
              <w:rPr>
                <w:rFonts w:ascii="Times New Roman"/>
                <w:sz w:val="18"/>
              </w:rPr>
              <w:t>390.36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5" w:right="0"/>
              <w:jc w:val="left"/>
              <w:rPr>
                <w:rFonts w:ascii="Times New Roman" w:hAnsi="Times New Roman" w:cs="Times New Roman" w:eastAsia="Times New Roman" w:hint="default"/>
                <w:sz w:val="18"/>
                <w:szCs w:val="18"/>
              </w:rPr>
            </w:pPr>
            <w:r>
              <w:rPr>
                <w:rFonts w:ascii="Times New Roman"/>
                <w:sz w:val="18"/>
              </w:rPr>
              <w:t>8,693,</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390.36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8,693,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390.36</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188,9</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68,26</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1.00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536,52</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4,182.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31,647</w:t>
            </w:r>
          </w:p>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z w:val="18"/>
              </w:rPr>
              <w:t>,375.6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-26,05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9,111.7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68,246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,921.3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366,40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2,740.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1,102,</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435,61</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7.35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1,102,</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435,61</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7.35</w:t>
            </w:r>
          </w:p>
        </w:tc>
      </w:tr>
    </w:tbl>
    <w:p>
      <w:pPr>
        <w:pStyle w:val="BodyText"/>
        <w:spacing w:line="240" w:lineRule="auto" w:before="44"/>
        <w:ind w:right="939"/>
        <w:jc w:val="left"/>
      </w:pPr>
      <w:r>
        <w:rPr/>
        <w:t>上期金额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02"/>
        <w:gridCol w:w="488"/>
        <w:gridCol w:w="450"/>
        <w:gridCol w:w="451"/>
        <w:gridCol w:w="496"/>
        <w:gridCol w:w="570"/>
        <w:gridCol w:w="586"/>
        <w:gridCol w:w="571"/>
        <w:gridCol w:w="585"/>
        <w:gridCol w:w="571"/>
        <w:gridCol w:w="586"/>
        <w:gridCol w:w="586"/>
        <w:gridCol w:w="571"/>
        <w:gridCol w:w="571"/>
        <w:gridCol w:w="631"/>
        <w:gridCol w:w="661"/>
      </w:tblGrid>
      <w:tr>
        <w:trPr>
          <w:trHeight w:val="405"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373"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48" w:hRule="exact"/>
        </w:trPr>
        <w:tc>
          <w:tcPr>
            <w:tcW w:w="1202" w:type="dxa"/>
            <w:vMerge/>
            <w:tcBorders>
              <w:left w:val="single" w:sz="6" w:space="0" w:color="000000"/>
              <w:right w:val="single" w:sz="6" w:space="0" w:color="000000"/>
            </w:tcBorders>
            <w:shd w:val="clear" w:color="auto" w:fill="D2D2D2"/>
          </w:tcPr>
          <w:p>
            <w:pPr/>
          </w:p>
        </w:tc>
        <w:tc>
          <w:tcPr>
            <w:tcW w:w="7082"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43" w:hRule="exact"/>
        </w:trPr>
        <w:tc>
          <w:tcPr>
            <w:tcW w:w="1202" w:type="dxa"/>
            <w:vMerge/>
            <w:tcBorders>
              <w:left w:val="single" w:sz="6" w:space="0" w:color="000000"/>
              <w:right w:val="single" w:sz="6" w:space="0" w:color="000000"/>
            </w:tcBorders>
            <w:shd w:val="clear" w:color="auto" w:fill="D2D2D2"/>
          </w:tcPr>
          <w:p>
            <w:pPr/>
          </w:p>
        </w:tc>
        <w:tc>
          <w:tcPr>
            <w:tcW w:w="7082" w:type="dxa"/>
            <w:gridSpan w:val="13"/>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8"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single" w:sz="6" w:space="0" w:color="000000"/>
              <w:left w:val="single" w:sz="6" w:space="0" w:color="000000"/>
              <w:right w:val="single" w:sz="6" w:space="0" w:color="000000"/>
            </w:tcBorders>
            <w:shd w:val="clear" w:color="auto" w:fill="D2D2D2"/>
          </w:tcPr>
          <w:p>
            <w:pPr/>
          </w:p>
        </w:tc>
        <w:tc>
          <w:tcPr>
            <w:tcW w:w="13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2"/>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tcBorders>
              <w:left w:val="single" w:sz="6" w:space="0" w:color="000000"/>
              <w:right w:val="single" w:sz="6" w:space="0" w:color="000000"/>
            </w:tcBorders>
            <w:shd w:val="clear" w:color="auto" w:fill="D2D2D2"/>
          </w:tcPr>
          <w:p>
            <w:pPr/>
          </w:p>
        </w:tc>
      </w:tr>
      <w:tr>
        <w:trPr>
          <w:trHeight w:val="169" w:hRule="exact"/>
        </w:trPr>
        <w:tc>
          <w:tcPr>
            <w:tcW w:w="1202" w:type="dxa"/>
            <w:vMerge/>
            <w:tcBorders>
              <w:left w:val="single" w:sz="6" w:space="0" w:color="000000"/>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1397" w:type="dxa"/>
            <w:gridSpan w:val="3"/>
            <w:vMerge/>
            <w:tcBorders>
              <w:left w:val="single" w:sz="6" w:space="0" w:color="000000"/>
              <w:bottom w:val="single" w:sz="6" w:space="0" w:color="000000"/>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77"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64"/>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64"/>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02" w:type="dxa"/>
            <w:vMerge/>
            <w:tcBorders>
              <w:left w:val="single" w:sz="6" w:space="0" w:color="000000"/>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single" w:sz="18" w:space="0" w:color="FFFFFF"/>
              <w:right w:val="single" w:sz="6" w:space="0" w:color="000000"/>
            </w:tcBorders>
            <w:shd w:val="clear" w:color="auto" w:fill="D2D2D2"/>
          </w:tcPr>
          <w:p>
            <w:pPr/>
          </w:p>
        </w:tc>
        <w:tc>
          <w:tcPr>
            <w:tcW w:w="63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39"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val="restart"/>
            <w:tcBorders>
              <w:top w:val="single" w:sz="18" w:space="0" w:color="FFFFFF"/>
              <w:left w:val="single" w:sz="6" w:space="0" w:color="000000"/>
              <w:right w:val="single" w:sz="6" w:space="0" w:color="000000"/>
            </w:tcBorders>
            <w:shd w:val="clear" w:color="auto" w:fill="D2D2D2"/>
          </w:tcPr>
          <w:p>
            <w:pPr/>
          </w:p>
        </w:tc>
        <w:tc>
          <w:tcPr>
            <w:tcW w:w="631" w:type="dxa"/>
            <w:vMerge w:val="restart"/>
            <w:tcBorders>
              <w:top w:val="single" w:sz="18" w:space="0" w:color="FFFFFF"/>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r>
      <w:tr>
        <w:trPr>
          <w:trHeight w:val="229"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488"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451" w:type="dxa"/>
            <w:vMerge/>
            <w:tcBorders>
              <w:left w:val="single" w:sz="6" w:space="0" w:color="000000"/>
              <w:bottom w:val="single" w:sz="6" w:space="0" w:color="000000"/>
              <w:right w:val="single" w:sz="6" w:space="0" w:color="000000"/>
            </w:tcBorders>
            <w:shd w:val="clear" w:color="auto" w:fill="D2D2D2"/>
          </w:tcPr>
          <w:p>
            <w:pPr/>
          </w:p>
        </w:tc>
        <w:tc>
          <w:tcPr>
            <w:tcW w:w="49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7" w:right="98"/>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85,55</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682,67</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3,411.</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66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164,42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7,447.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20</w:t>
            </w:r>
          </w:p>
        </w:tc>
        <w:tc>
          <w:tcPr>
            <w:tcW w:w="5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259.68</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51,893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,338.9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24" w:space="0" w:color="D2D2D2"/>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272,31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8,474.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54</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949,32</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1,068.</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27</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949,321</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,068.27</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97"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7" w:right="98"/>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85,55</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z w:val="18"/>
              </w:rPr>
              <w:t>682,67</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3,411.</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66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0" w:right="0"/>
              <w:jc w:val="left"/>
              <w:rPr>
                <w:rFonts w:ascii="Times New Roman" w:hAnsi="Times New Roman" w:cs="Times New Roman" w:eastAsia="Times New Roman" w:hint="default"/>
                <w:sz w:val="18"/>
                <w:szCs w:val="18"/>
              </w:rPr>
            </w:pPr>
            <w:r>
              <w:rPr>
                <w:rFonts w:ascii="Times New Roman"/>
                <w:sz w:val="18"/>
              </w:rPr>
              <w:t>164,42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7,447.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259.68</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51,893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,338.9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0" w:right="0"/>
              <w:jc w:val="left"/>
              <w:rPr>
                <w:rFonts w:ascii="Times New Roman" w:hAnsi="Times New Roman" w:cs="Times New Roman" w:eastAsia="Times New Roman" w:hint="default"/>
                <w:sz w:val="18"/>
                <w:szCs w:val="18"/>
              </w:rPr>
            </w:pPr>
            <w:r>
              <w:rPr>
                <w:rFonts w:ascii="Times New Roman"/>
                <w:sz w:val="18"/>
              </w:rPr>
              <w:t>272,31</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8,474.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54</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 w:right="0"/>
              <w:jc w:val="left"/>
              <w:rPr>
                <w:rFonts w:ascii="Times New Roman" w:hAnsi="Times New Roman" w:cs="Times New Roman" w:eastAsia="Times New Roman" w:hint="default"/>
                <w:sz w:val="18"/>
                <w:szCs w:val="18"/>
              </w:rPr>
            </w:pPr>
            <w:r>
              <w:rPr>
                <w:rFonts w:ascii="Times New Roman"/>
                <w:sz w:val="18"/>
              </w:rPr>
              <w:t>949,32</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1,068.</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27</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949,321</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,068.27</w:t>
            </w:r>
          </w:p>
        </w:tc>
      </w:tr>
      <w:tr>
        <w:trPr>
          <w:trHeight w:val="1337"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98"/>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19" w:lineRule="exact"/>
              <w:ind w:left="7" w:right="0"/>
              <w:jc w:val="both"/>
              <w:rPr>
                <w:rFonts w:ascii="宋体" w:hAnsi="宋体" w:cs="宋体" w:eastAsia="宋体" w:hint="default"/>
                <w:sz w:val="18"/>
                <w:szCs w:val="18"/>
              </w:rPr>
            </w:pPr>
            <w:r>
              <w:rPr>
                <w:rFonts w:ascii="宋体" w:hAnsi="宋体" w:cs="宋体" w:eastAsia="宋体" w:hint="default"/>
                <w:sz w:val="18"/>
                <w:szCs w:val="18"/>
              </w:rPr>
              <w:t>列）</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86,39</w:t>
            </w:r>
          </w:p>
          <w:p>
            <w:pPr>
              <w:pStyle w:val="TableParagraph"/>
              <w:spacing w:line="240" w:lineRule="auto" w:before="108"/>
              <w:ind w:left="29" w:right="0"/>
              <w:jc w:val="center"/>
              <w:rPr>
                <w:rFonts w:ascii="Times New Roman" w:hAnsi="Times New Roman" w:cs="Times New Roman" w:eastAsia="Times New Roman" w:hint="default"/>
                <w:sz w:val="18"/>
                <w:szCs w:val="18"/>
              </w:rPr>
            </w:pPr>
            <w:r>
              <w:rPr>
                <w:rFonts w:ascii="Times New Roman"/>
                <w:sz w:val="18"/>
              </w:rPr>
              <w:t>6,529</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-86,67</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6,964.</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92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-60,38</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0,293.</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49</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2,917,</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462.52</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6,516,</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862.50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35,349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,294.8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104,88</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3,477.</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44</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104,883</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,477.44</w:t>
            </w: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98"/>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2,917,</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462.52</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68,804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,381.9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71,721</w:t>
            </w:r>
          </w:p>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z w:val="18"/>
              </w:rPr>
              <w:t>,844.0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71,721,</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844.46</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98"/>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711.0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-2,095,</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270.17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-60,38</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0,293.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49</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58,152</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,312.3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58,152,</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312.32</w:t>
            </w:r>
          </w:p>
        </w:tc>
      </w:tr>
    </w:tbl>
    <w:p>
      <w:pPr>
        <w:spacing w:after="0" w:line="240" w:lineRule="auto"/>
        <w:jc w:val="left"/>
        <w:rPr>
          <w:rFonts w:ascii="Times New Roman" w:hAnsi="Times New Roman" w:cs="Times New Roman" w:eastAsia="Times New Roman" w:hint="default"/>
          <w:sz w:val="18"/>
          <w:szCs w:val="18"/>
        </w:rPr>
        <w:sectPr>
          <w:footerReference w:type="default" r:id="rId12"/>
          <w:pgSz w:w="11910" w:h="16850"/>
          <w:pgMar w:footer="981" w:header="866"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10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0"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711.0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-169,0</w:t>
            </w:r>
          </w:p>
          <w:p>
            <w:pPr>
              <w:pStyle w:val="TableParagraph"/>
              <w:spacing w:line="240" w:lineRule="auto" w:before="108"/>
              <w:ind w:left="149" w:right="0"/>
              <w:jc w:val="left"/>
              <w:rPr>
                <w:rFonts w:ascii="Times New Roman" w:hAnsi="Times New Roman" w:cs="Times New Roman" w:eastAsia="Times New Roman" w:hint="default"/>
                <w:sz w:val="18"/>
                <w:szCs w:val="18"/>
              </w:rPr>
            </w:pPr>
            <w:r>
              <w:rPr>
                <w:rFonts w:ascii="Times New Roman"/>
                <w:sz w:val="18"/>
              </w:rPr>
              <w:t>91.85</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-301,8</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02.80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-301,80</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2.85</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178.32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-60,38</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0,293.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49</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58,454</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,115.1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58,454,</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115.17</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6,516,</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862.50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-33,45</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5,087.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-2,693,</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822.00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-26,938</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,224.59</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6,516,</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862.50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-6,516,</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862.50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1"/>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-26,93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8,224.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-26,93</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8,224.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59</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-26,938</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,224.59</w:t>
            </w: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86,52</w:t>
            </w:r>
          </w:p>
          <w:p>
            <w:pPr>
              <w:pStyle w:val="TableParagraph"/>
              <w:spacing w:line="240" w:lineRule="auto" w:before="108"/>
              <w:ind w:left="29" w:right="0"/>
              <w:jc w:val="center"/>
              <w:rPr>
                <w:rFonts w:ascii="Times New Roman" w:hAnsi="Times New Roman" w:cs="Times New Roman" w:eastAsia="Times New Roman" w:hint="default"/>
                <w:sz w:val="18"/>
                <w:szCs w:val="18"/>
              </w:rPr>
            </w:pPr>
            <w:r>
              <w:rPr>
                <w:rFonts w:ascii="Times New Roman"/>
                <w:sz w:val="18"/>
              </w:rPr>
              <w:t>9,240</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-86,52</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9,240.</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86,52</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9,240</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-86,52</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9,240.</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13"/>
          <w:pgSz w:w="11910" w:h="16850"/>
          <w:pgMar w:footer="981" w:header="866" w:top="1040" w:bottom="1180" w:left="100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1,947,</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545.25</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1,947,</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545.20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1,947,5</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45.25</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194,2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82,07</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9.00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595,99</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6,446.</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74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104,04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7,153.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71</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1,895,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202.84</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58,410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307,66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7,769.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1,054,</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204,54</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5.71</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1,054,2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04,545.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95"/>
        <w:ind w:right="939"/>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939"/>
        <w:jc w:val="left"/>
      </w:pPr>
      <w:r>
        <w:rPr/>
        <w:t>本期金额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92"/>
        <w:gridCol w:w="638"/>
        <w:gridCol w:w="601"/>
        <w:gridCol w:w="601"/>
        <w:gridCol w:w="615"/>
        <w:gridCol w:w="721"/>
        <w:gridCol w:w="736"/>
        <w:gridCol w:w="721"/>
        <w:gridCol w:w="736"/>
        <w:gridCol w:w="721"/>
        <w:gridCol w:w="616"/>
        <w:gridCol w:w="706"/>
        <w:gridCol w:w="871"/>
      </w:tblGrid>
      <w:tr>
        <w:trPr>
          <w:trHeight w:val="428" w:hRule="exact"/>
        </w:trPr>
        <w:tc>
          <w:tcPr>
            <w:tcW w:w="12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283"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180" w:hRule="exact"/>
        </w:trPr>
        <w:tc>
          <w:tcPr>
            <w:tcW w:w="1292" w:type="dxa"/>
            <w:vMerge/>
            <w:tcBorders>
              <w:left w:val="single" w:sz="6" w:space="0" w:color="000000"/>
              <w:right w:val="single" w:sz="6" w:space="0" w:color="000000"/>
            </w:tcBorders>
            <w:shd w:val="clear" w:color="auto" w:fill="D2D2D2"/>
          </w:tcPr>
          <w:p>
            <w:pPr/>
          </w:p>
        </w:tc>
        <w:tc>
          <w:tcPr>
            <w:tcW w:w="6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2"/>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03" w:hRule="exact"/>
        </w:trPr>
        <w:tc>
          <w:tcPr>
            <w:tcW w:w="1292" w:type="dxa"/>
            <w:vMerge/>
            <w:tcBorders>
              <w:left w:val="single" w:sz="6" w:space="0" w:color="000000"/>
              <w:right w:val="single" w:sz="6" w:space="0" w:color="000000"/>
            </w:tcBorders>
            <w:shd w:val="clear" w:color="auto" w:fill="D2D2D2"/>
          </w:tcPr>
          <w:p>
            <w:pPr/>
          </w:p>
        </w:tc>
        <w:tc>
          <w:tcPr>
            <w:tcW w:w="63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188" w:hRule="exact"/>
        </w:trPr>
        <w:tc>
          <w:tcPr>
            <w:tcW w:w="1292" w:type="dxa"/>
            <w:vMerge/>
            <w:tcBorders>
              <w:left w:val="single" w:sz="6" w:space="0" w:color="000000"/>
              <w:right w:val="single" w:sz="6" w:space="0" w:color="000000"/>
            </w:tcBorders>
            <w:shd w:val="clear" w:color="auto" w:fill="D2D2D2"/>
          </w:tcPr>
          <w:p>
            <w:pPr/>
          </w:p>
        </w:tc>
        <w:tc>
          <w:tcPr>
            <w:tcW w:w="638"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18" w:hRule="exact"/>
        </w:trPr>
        <w:tc>
          <w:tcPr>
            <w:tcW w:w="1292" w:type="dxa"/>
            <w:vMerge/>
            <w:tcBorders>
              <w:left w:val="single" w:sz="6" w:space="0" w:color="000000"/>
              <w:bottom w:val="single" w:sz="6" w:space="0" w:color="000000"/>
              <w:right w:val="single" w:sz="6" w:space="0" w:color="000000"/>
            </w:tcBorders>
            <w:shd w:val="clear" w:color="auto" w:fill="D2D2D2"/>
          </w:tcPr>
          <w:p>
            <w:pPr/>
          </w:p>
        </w:tc>
        <w:tc>
          <w:tcPr>
            <w:tcW w:w="638"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194,28</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2,079.0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596,002,</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606.82</w:t>
            </w:r>
          </w:p>
        </w:tc>
        <w:tc>
          <w:tcPr>
            <w:tcW w:w="736"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104,047,</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153.71</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58,410,2</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01.45</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289,19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9,618.7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1,033,847,</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352.34</w:t>
            </w:r>
          </w:p>
        </w:tc>
      </w:tr>
      <w:tr>
        <w:trPr>
          <w:trHeight w:val="7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21" w:firstLine="360"/>
              <w:jc w:val="left"/>
              <w:rPr>
                <w:rFonts w:ascii="宋体" w:hAnsi="宋体" w:cs="宋体" w:eastAsia="宋体" w:hint="default"/>
                <w:sz w:val="18"/>
                <w:szCs w:val="18"/>
              </w:rPr>
            </w:pP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-33,730,</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769.50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-33,730,76</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9.50</w:t>
            </w:r>
          </w:p>
        </w:tc>
      </w:tr>
      <w:tr>
        <w:trPr>
          <w:trHeight w:val="705"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194,28</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2,079.0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596,002,</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606.82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104,047,</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153.71</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-33,730,</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769.50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58,410,2</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01.45</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289,19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9,618.7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1,000,116,</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582.84</w:t>
            </w:r>
          </w:p>
        </w:tc>
      </w:tr>
      <w:tr>
        <w:trPr>
          <w:trHeight w:val="10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1"/>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-5,313,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818.00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-59,470,</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788.47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-72,399,</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778.07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5,053,42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1.90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9,836,71</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9.92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60,863,</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531.33</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83,368,84</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4.75</w:t>
            </w:r>
          </w:p>
        </w:tc>
      </w:tr>
      <w:tr>
        <w:trPr>
          <w:trHeight w:val="705"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1"/>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5,053,42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1.90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98,367,</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199.17</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0" w:right="0"/>
              <w:jc w:val="left"/>
              <w:rPr>
                <w:rFonts w:ascii="Times New Roman" w:hAnsi="Times New Roman" w:cs="Times New Roman" w:eastAsia="Times New Roman" w:hint="default"/>
                <w:sz w:val="18"/>
                <w:szCs w:val="18"/>
              </w:rPr>
            </w:pPr>
            <w:r>
              <w:rPr>
                <w:rFonts w:ascii="Times New Roman"/>
                <w:sz w:val="18"/>
              </w:rPr>
              <w:t>103,420,6</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21.07</w:t>
            </w:r>
          </w:p>
        </w:tc>
      </w:tr>
      <w:tr>
        <w:trPr>
          <w:trHeight w:val="720"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21"/>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-5,313,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818.00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-68,165,</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654.84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-72,399,</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778.07</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-1,079,694</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.77</w:t>
            </w:r>
          </w:p>
        </w:tc>
      </w:tr>
      <w:tr>
        <w:trPr>
          <w:trHeight w:val="70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-5,313,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818.00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-68,165,</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654.84</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-73,479,47</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2.84</w:t>
            </w:r>
          </w:p>
        </w:tc>
      </w:tr>
    </w:tbl>
    <w:p>
      <w:pPr>
        <w:spacing w:after="0" w:line="240" w:lineRule="auto"/>
        <w:jc w:val="lef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-72,399,</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778.07</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72,399,77</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8.07</w:t>
            </w: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9,836,71</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9.92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-37,503</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,667.84</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-27,666,94</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7.92</w:t>
            </w: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9,836,71</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9.92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-9,836,</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719.92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-27,666</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,947.92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-27,666,94</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7.92</w:t>
            </w: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8,694,86</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6.37</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8,694,866.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37</w:t>
            </w: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188,96</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8,261.0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536,531,</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818.35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31,647,3</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75.64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-28,677,</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347.60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68,246,9</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21.37</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350,06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3,150.1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1</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1,083,485,</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427.59</w:t>
            </w:r>
          </w:p>
        </w:tc>
      </w:tr>
    </w:tbl>
    <w:p>
      <w:pPr>
        <w:spacing w:after="0" w:line="240" w:lineRule="auto"/>
        <w:jc w:val="lef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939"/>
        <w:jc w:val="left"/>
      </w:pPr>
      <w:r>
        <w:rPr/>
        <w:t>上期金额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24"/>
        <w:gridCol w:w="601"/>
        <w:gridCol w:w="571"/>
        <w:gridCol w:w="570"/>
        <w:gridCol w:w="571"/>
        <w:gridCol w:w="691"/>
        <w:gridCol w:w="676"/>
        <w:gridCol w:w="691"/>
        <w:gridCol w:w="781"/>
        <w:gridCol w:w="675"/>
        <w:gridCol w:w="796"/>
        <w:gridCol w:w="796"/>
        <w:gridCol w:w="931"/>
      </w:tblGrid>
      <w:tr>
        <w:trPr>
          <w:trHeight w:val="405" w:hRule="exact"/>
        </w:trPr>
        <w:tc>
          <w:tcPr>
            <w:tcW w:w="12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8350"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03"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
        </w:tc>
        <w:tc>
          <w:tcPr>
            <w:tcW w:w="17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
        </w:tc>
        <w:tc>
          <w:tcPr>
            <w:tcW w:w="675"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76" w:hRule="exact"/>
        </w:trPr>
        <w:tc>
          <w:tcPr>
            <w:tcW w:w="1224" w:type="dxa"/>
            <w:vMerge/>
            <w:tcBorders>
              <w:left w:val="single" w:sz="6" w:space="0" w:color="000000"/>
              <w:right w:val="single" w:sz="6" w:space="0" w:color="000000"/>
            </w:tcBorders>
            <w:shd w:val="clear" w:color="auto" w:fill="D2D2D2"/>
          </w:tcPr>
          <w:p>
            <w:pPr/>
          </w:p>
        </w:tc>
        <w:tc>
          <w:tcPr>
            <w:tcW w:w="601" w:type="dxa"/>
            <w:vMerge/>
            <w:tcBorders>
              <w:left w:val="single" w:sz="6" w:space="0" w:color="000000"/>
              <w:bottom w:val="nil" w:sz="6" w:space="0" w:color="auto"/>
              <w:right w:val="single" w:sz="6" w:space="0" w:color="000000"/>
            </w:tcBorders>
            <w:shd w:val="clear" w:color="auto" w:fill="D2D2D2"/>
          </w:tcPr>
          <w:p>
            <w:pPr/>
          </w:p>
        </w:tc>
        <w:tc>
          <w:tcPr>
            <w:tcW w:w="1712" w:type="dxa"/>
            <w:gridSpan w:val="3"/>
            <w:vMerge/>
            <w:tcBorders>
              <w:left w:val="single" w:sz="6" w:space="0" w:color="000000"/>
              <w:bottom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6" w:space="0" w:color="000000"/>
              <w:bottom w:val="nil" w:sz="6" w:space="0" w:color="auto"/>
              <w:right w:val="single" w:sz="6" w:space="0" w:color="000000"/>
            </w:tcBorders>
            <w:shd w:val="clear" w:color="auto" w:fill="D2D2D2"/>
          </w:tcPr>
          <w:p>
            <w:pPr/>
          </w:p>
        </w:tc>
        <w:tc>
          <w:tcPr>
            <w:tcW w:w="67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364" w:hRule="exact"/>
        </w:trPr>
        <w:tc>
          <w:tcPr>
            <w:tcW w:w="1224" w:type="dxa"/>
            <w:vMerge/>
            <w:tcBorders>
              <w:left w:val="single" w:sz="6" w:space="0" w:color="000000"/>
              <w:right w:val="single" w:sz="6" w:space="0" w:color="000000"/>
            </w:tcBorders>
            <w:shd w:val="clear" w:color="auto" w:fill="D2D2D2"/>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9"/>
              <w:ind w:left="12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65"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nil" w:sz="6" w:space="0" w:color="auto"/>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
        </w:tc>
        <w:tc>
          <w:tcPr>
            <w:tcW w:w="675"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203" w:hRule="exact"/>
        </w:trPr>
        <w:tc>
          <w:tcPr>
            <w:tcW w:w="1224"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107,88</w:t>
            </w:r>
          </w:p>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5,550.</w:t>
            </w:r>
          </w:p>
          <w:p>
            <w:pPr>
              <w:pStyle w:val="TableParagraph"/>
              <w:spacing w:line="240" w:lineRule="auto" w:before="108"/>
              <w:ind w:left="383"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684,627</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,116.99</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164,427,</w:t>
            </w:r>
          </w:p>
          <w:p>
            <w:pPr>
              <w:pStyle w:val="TableParagraph"/>
              <w:spacing w:line="240" w:lineRule="auto" w:before="108"/>
              <w:ind w:left="134" w:right="0"/>
              <w:jc w:val="center"/>
              <w:rPr>
                <w:rFonts w:ascii="Times New Roman" w:hAnsi="Times New Roman" w:cs="Times New Roman" w:eastAsia="Times New Roman" w:hint="default"/>
                <w:sz w:val="18"/>
                <w:szCs w:val="18"/>
              </w:rPr>
            </w:pPr>
            <w:r>
              <w:rPr>
                <w:rFonts w:ascii="Times New Roman"/>
                <w:sz w:val="18"/>
              </w:rPr>
              <w:t>447.20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51,893,</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338.95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257,486,0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80.92</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937,464,63</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9.66</w:t>
            </w: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0"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7" w:right="2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67" w:right="0"/>
              <w:jc w:val="left"/>
              <w:rPr>
                <w:rFonts w:ascii="Times New Roman" w:hAnsi="Times New Roman" w:cs="Times New Roman" w:eastAsia="Times New Roman" w:hint="default"/>
                <w:sz w:val="18"/>
                <w:szCs w:val="18"/>
              </w:rPr>
            </w:pPr>
            <w:r>
              <w:rPr>
                <w:rFonts w:ascii="Times New Roman"/>
                <w:sz w:val="18"/>
              </w:rPr>
              <w:t>107,88</w:t>
            </w:r>
          </w:p>
          <w:p>
            <w:pPr>
              <w:pStyle w:val="TableParagraph"/>
              <w:spacing w:line="240" w:lineRule="auto" w:before="108"/>
              <w:ind w:left="112" w:right="0"/>
              <w:jc w:val="left"/>
              <w:rPr>
                <w:rFonts w:ascii="Times New Roman" w:hAnsi="Times New Roman" w:cs="Times New Roman" w:eastAsia="Times New Roman" w:hint="default"/>
                <w:sz w:val="18"/>
                <w:szCs w:val="18"/>
              </w:rPr>
            </w:pPr>
            <w:r>
              <w:rPr>
                <w:rFonts w:ascii="Times New Roman"/>
                <w:sz w:val="18"/>
              </w:rPr>
              <w:t>5,550.</w:t>
            </w:r>
          </w:p>
          <w:p>
            <w:pPr>
              <w:pStyle w:val="TableParagraph"/>
              <w:spacing w:line="240" w:lineRule="auto" w:before="93"/>
              <w:ind w:left="383"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684,627</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,116.99</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164,427,</w:t>
            </w:r>
          </w:p>
          <w:p>
            <w:pPr>
              <w:pStyle w:val="TableParagraph"/>
              <w:spacing w:line="240" w:lineRule="auto" w:before="93"/>
              <w:ind w:left="134" w:right="0"/>
              <w:jc w:val="center"/>
              <w:rPr>
                <w:rFonts w:ascii="Times New Roman" w:hAnsi="Times New Roman" w:cs="Times New Roman" w:eastAsia="Times New Roman" w:hint="default"/>
                <w:sz w:val="18"/>
                <w:szCs w:val="18"/>
              </w:rPr>
            </w:pPr>
            <w:r>
              <w:rPr>
                <w:rFonts w:ascii="Times New Roman"/>
                <w:sz w:val="18"/>
              </w:rPr>
              <w:t>447.20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51,893,</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338.95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257,486,0</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80.92</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937,464,63</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9.66</w:t>
            </w: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2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86,396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,529.0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-88,624,</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510.17</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-60,380,</w:t>
            </w:r>
          </w:p>
          <w:p>
            <w:pPr>
              <w:pStyle w:val="TableParagraph"/>
              <w:spacing w:line="240" w:lineRule="auto" w:before="93"/>
              <w:ind w:left="134" w:right="0"/>
              <w:jc w:val="center"/>
              <w:rPr>
                <w:rFonts w:ascii="Times New Roman" w:hAnsi="Times New Roman" w:cs="Times New Roman" w:eastAsia="Times New Roman" w:hint="default"/>
                <w:sz w:val="18"/>
                <w:szCs w:val="18"/>
              </w:rPr>
            </w:pPr>
            <w:r>
              <w:rPr>
                <w:rFonts w:ascii="Times New Roman"/>
                <w:sz w:val="18"/>
              </w:rPr>
              <w:t>293.49</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6,516,8</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62.50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31,713,53</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7.86</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96,382,712.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68</w:t>
            </w: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65,168,62</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4.95</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65,168,624.</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95</w:t>
            </w: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7" w:right="0"/>
              <w:jc w:val="left"/>
              <w:rPr>
                <w:rFonts w:ascii="Times New Roman" w:hAnsi="Times New Roman" w:cs="Times New Roman" w:eastAsia="Times New Roman" w:hint="default"/>
                <w:sz w:val="18"/>
                <w:szCs w:val="18"/>
              </w:rPr>
            </w:pPr>
            <w:r>
              <w:rPr>
                <w:rFonts w:ascii="Times New Roman"/>
                <w:sz w:val="18"/>
              </w:rPr>
              <w:t>-132,7</w:t>
            </w:r>
          </w:p>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11.00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-2,095,2</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70.17</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-60,380,</w:t>
            </w:r>
          </w:p>
          <w:p>
            <w:pPr>
              <w:pStyle w:val="TableParagraph"/>
              <w:spacing w:line="240" w:lineRule="auto" w:before="93"/>
              <w:ind w:left="134" w:right="0"/>
              <w:jc w:val="center"/>
              <w:rPr>
                <w:rFonts w:ascii="Times New Roman" w:hAnsi="Times New Roman" w:cs="Times New Roman" w:eastAsia="Times New Roman" w:hint="default"/>
                <w:sz w:val="18"/>
                <w:szCs w:val="18"/>
              </w:rPr>
            </w:pPr>
            <w:r>
              <w:rPr>
                <w:rFonts w:ascii="Times New Roman"/>
                <w:sz w:val="18"/>
              </w:rPr>
              <w:t>293.49</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58,152,312.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32</w:t>
            </w: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97" w:right="0"/>
              <w:jc w:val="left"/>
              <w:rPr>
                <w:rFonts w:ascii="Times New Roman" w:hAnsi="Times New Roman" w:cs="Times New Roman" w:eastAsia="Times New Roman" w:hint="default"/>
                <w:sz w:val="18"/>
                <w:szCs w:val="18"/>
              </w:rPr>
            </w:pPr>
            <w:r>
              <w:rPr>
                <w:rFonts w:ascii="Times New Roman"/>
                <w:sz w:val="18"/>
              </w:rPr>
              <w:t>-132,7</w:t>
            </w:r>
          </w:p>
          <w:p>
            <w:pPr>
              <w:pStyle w:val="TableParagraph"/>
              <w:spacing w:line="240" w:lineRule="auto" w:before="108"/>
              <w:ind w:left="157" w:right="0"/>
              <w:jc w:val="left"/>
              <w:rPr>
                <w:rFonts w:ascii="Times New Roman" w:hAnsi="Times New Roman" w:cs="Times New Roman" w:eastAsia="Times New Roman" w:hint="default"/>
                <w:sz w:val="18"/>
                <w:szCs w:val="18"/>
              </w:rPr>
            </w:pPr>
            <w:r>
              <w:rPr>
                <w:rFonts w:ascii="Times New Roman"/>
                <w:sz w:val="18"/>
              </w:rPr>
              <w:t>11.00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5" w:right="0"/>
              <w:jc w:val="left"/>
              <w:rPr>
                <w:rFonts w:ascii="Times New Roman" w:hAnsi="Times New Roman" w:cs="Times New Roman" w:eastAsia="Times New Roman" w:hint="default"/>
                <w:sz w:val="18"/>
                <w:szCs w:val="18"/>
              </w:rPr>
            </w:pPr>
            <w:r>
              <w:rPr>
                <w:rFonts w:ascii="Times New Roman"/>
                <w:sz w:val="18"/>
              </w:rPr>
              <w:t>-169,09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1.85</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-301,802.85</w:t>
            </w:r>
          </w:p>
        </w:tc>
      </w:tr>
      <w:tr>
        <w:trPr>
          <w:trHeight w:val="103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78.32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-60,380,</w:t>
            </w:r>
          </w:p>
          <w:p>
            <w:pPr>
              <w:pStyle w:val="TableParagraph"/>
              <w:spacing w:line="240" w:lineRule="auto" w:before="93"/>
              <w:ind w:left="134" w:right="0"/>
              <w:jc w:val="center"/>
              <w:rPr>
                <w:rFonts w:ascii="Times New Roman" w:hAnsi="Times New Roman" w:cs="Times New Roman" w:eastAsia="Times New Roman" w:hint="default"/>
                <w:sz w:val="18"/>
                <w:szCs w:val="18"/>
              </w:rPr>
            </w:pPr>
            <w:r>
              <w:rPr>
                <w:rFonts w:ascii="Times New Roman"/>
                <w:sz w:val="18"/>
              </w:rPr>
              <w:t>293.49</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58,454,115.</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17</w:t>
            </w:r>
          </w:p>
        </w:tc>
      </w:tr>
      <w:tr>
        <w:trPr>
          <w:trHeight w:val="405"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6,516,8</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62.50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-33,455,0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87.09</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-26,938,224</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.59</w:t>
            </w: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6,516,8</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62.50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-6,516,86</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2.50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9"/>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-26,938,2</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24.59</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-26,938,224</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.59</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86,529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-86,529,</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240.00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86,529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,240.0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-86,529,</w:t>
            </w:r>
          </w:p>
          <w:p>
            <w:pPr>
              <w:pStyle w:val="TableParagraph"/>
              <w:spacing w:line="240" w:lineRule="auto" w:before="108"/>
              <w:ind w:left="149" w:right="0"/>
              <w:jc w:val="center"/>
              <w:rPr>
                <w:rFonts w:ascii="Times New Roman" w:hAnsi="Times New Roman" w:cs="Times New Roman" w:eastAsia="Times New Roman" w:hint="default"/>
                <w:sz w:val="18"/>
                <w:szCs w:val="18"/>
              </w:rPr>
            </w:pPr>
            <w:r>
              <w:rPr>
                <w:rFonts w:ascii="Times New Roman"/>
                <w:sz w:val="18"/>
              </w:rPr>
              <w:t>240.00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194,28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2,079.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596,002</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,606.82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104,047,</w:t>
            </w:r>
          </w:p>
          <w:p>
            <w:pPr>
              <w:pStyle w:val="TableParagraph"/>
              <w:spacing w:line="240" w:lineRule="auto" w:before="108"/>
              <w:ind w:left="134" w:right="0"/>
              <w:jc w:val="center"/>
              <w:rPr>
                <w:rFonts w:ascii="Times New Roman" w:hAnsi="Times New Roman" w:cs="Times New Roman" w:eastAsia="Times New Roman" w:hint="default"/>
                <w:sz w:val="18"/>
                <w:szCs w:val="18"/>
              </w:rPr>
            </w:pPr>
            <w:r>
              <w:rPr>
                <w:rFonts w:ascii="Times New Roman"/>
                <w:sz w:val="18"/>
              </w:rPr>
              <w:t>153.71</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58,410,</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201.45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289,199,6</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18.78</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1,033,847,3</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52.34</w:t>
            </w:r>
          </w:p>
        </w:tc>
      </w:tr>
    </w:tbl>
    <w:p>
      <w:pPr>
        <w:spacing w:line="240" w:lineRule="auto" w:before="12"/>
        <w:rPr>
          <w:rFonts w:ascii="宋体" w:hAnsi="宋体" w:cs="宋体" w:eastAsia="宋体" w:hint="default"/>
          <w:sz w:val="17"/>
          <w:szCs w:val="17"/>
        </w:rPr>
      </w:pPr>
    </w:p>
    <w:p>
      <w:pPr>
        <w:pStyle w:val="Heading2"/>
        <w:spacing w:line="240" w:lineRule="auto" w:before="26"/>
        <w:ind w:right="939"/>
        <w:jc w:val="left"/>
        <w:rPr>
          <w:b w:val="0"/>
          <w:bCs w:val="0"/>
        </w:rPr>
      </w:pPr>
      <w:bookmarkStart w:name="三、公司基本情况" w:id="164"/>
      <w:bookmarkEnd w:id="164"/>
      <w:r>
        <w:rPr>
          <w:b w:val="0"/>
          <w:bCs w:val="0"/>
        </w:rPr>
      </w:r>
      <w:r>
        <w:rPr/>
        <w:t>三、公司基本情况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9"/>
        <w:jc w:val="left"/>
        <w:rPr>
          <w:b w:val="0"/>
          <w:bCs w:val="0"/>
        </w:rPr>
      </w:pPr>
      <w:r>
        <w:rPr/>
        <w:t>（一）公司概述</w:t>
      </w:r>
      <w:r>
        <w:rPr>
          <w:b w:val="0"/>
          <w:bCs w:val="0"/>
        </w:rPr>
      </w:r>
    </w:p>
    <w:p>
      <w:pPr>
        <w:pStyle w:val="BodyText"/>
        <w:spacing w:line="660" w:lineRule="exact" w:before="73"/>
        <w:ind w:left="501" w:right="939" w:hanging="361"/>
        <w:jc w:val="left"/>
      </w:pPr>
      <w:bookmarkStart w:name="1、公司历史沿革" w:id="165"/>
      <w:bookmarkEnd w:id="165"/>
      <w:r>
        <w:rPr/>
      </w:r>
      <w:r>
        <w:rPr>
          <w:rFonts w:ascii="宋体" w:hAnsi="宋体" w:cs="宋体" w:eastAsia="宋体" w:hint="default"/>
          <w:b/>
          <w:bCs/>
        </w:rPr>
        <w:t>1</w:t>
      </w:r>
      <w:r>
        <w:rPr>
          <w:rFonts w:ascii="宋体" w:hAnsi="宋体" w:cs="宋体" w:eastAsia="宋体" w:hint="default"/>
          <w:b/>
          <w:bCs/>
        </w:rPr>
        <w:t>、公司历史沿革</w:t>
      </w:r>
      <w:r>
        <w:rPr>
          <w:rFonts w:ascii="宋体" w:hAnsi="宋体" w:cs="宋体" w:eastAsia="宋体" w:hint="default"/>
          <w:b/>
          <w:bCs/>
          <w:w w:val="99"/>
        </w:rPr>
        <w:t> </w:t>
      </w:r>
      <w:r>
        <w:rPr>
          <w:spacing w:val="-2"/>
        </w:rPr>
        <w:t>深圳四方精创资讯股份有限公司（以下简称“公司”、“四方精创”）前身为四方精创资讯</w:t>
      </w:r>
      <w:r>
        <w:rPr>
          <w:rFonts w:ascii="宋体" w:hAnsi="宋体" w:cs="宋体" w:eastAsia="宋体" w:hint="default"/>
          <w:spacing w:val="-2"/>
        </w:rPr>
        <w:t>(</w:t>
      </w:r>
      <w:r>
        <w:rPr>
          <w:spacing w:val="-2"/>
        </w:rPr>
        <w:t>深圳</w:t>
      </w:r>
      <w:r>
        <w:rPr>
          <w:rFonts w:ascii="宋体" w:hAnsi="宋体" w:cs="宋体" w:eastAsia="宋体" w:hint="default"/>
          <w:spacing w:val="-2"/>
        </w:rPr>
        <w:t>)</w:t>
      </w:r>
      <w:r>
        <w:rPr>
          <w:spacing w:val="-2"/>
        </w:rPr>
        <w:t>有限公司（以下简称</w:t>
      </w:r>
    </w:p>
    <w:p>
      <w:pPr>
        <w:spacing w:line="240" w:lineRule="auto" w:before="13"/>
        <w:rPr>
          <w:rFonts w:ascii="宋体" w:hAnsi="宋体" w:cs="宋体" w:eastAsia="宋体" w:hint="default"/>
          <w:sz w:val="13"/>
          <w:szCs w:val="13"/>
        </w:rPr>
      </w:pPr>
    </w:p>
    <w:p>
      <w:pPr>
        <w:pStyle w:val="BodyText"/>
        <w:spacing w:line="520" w:lineRule="auto"/>
        <w:ind w:right="939"/>
        <w:jc w:val="left"/>
      </w:pPr>
      <w:r>
        <w:rPr>
          <w:spacing w:val="-5"/>
        </w:rPr>
        <w:t>“四方有限”），成立于</w:t>
      </w:r>
      <w:r>
        <w:rPr>
          <w:rFonts w:ascii="宋体" w:hAnsi="宋体" w:cs="宋体" w:eastAsia="宋体" w:hint="default"/>
          <w:spacing w:val="-5"/>
        </w:rPr>
        <w:t>2003</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21</w:t>
      </w:r>
      <w:r>
        <w:rPr>
          <w:spacing w:val="-5"/>
        </w:rPr>
        <w:t>日，成立时注册资本人民币</w:t>
      </w:r>
      <w:r>
        <w:rPr>
          <w:rFonts w:ascii="宋体" w:hAnsi="宋体" w:cs="宋体" w:eastAsia="宋体" w:hint="default"/>
          <w:spacing w:val="-5"/>
        </w:rPr>
        <w:t>100</w:t>
      </w:r>
      <w:r>
        <w:rPr>
          <w:spacing w:val="-5"/>
        </w:rPr>
        <w:t>万元。</w:t>
      </w:r>
      <w:r>
        <w:rPr>
          <w:rFonts w:ascii="宋体" w:hAnsi="宋体" w:cs="宋体" w:eastAsia="宋体" w:hint="default"/>
          <w:spacing w:val="-5"/>
        </w:rPr>
        <w:t>2012</w:t>
      </w:r>
      <w:r>
        <w:rPr>
          <w:spacing w:val="-5"/>
        </w:rPr>
        <w:t>年</w:t>
      </w:r>
      <w:r>
        <w:rPr>
          <w:rFonts w:ascii="宋体" w:hAnsi="宋体" w:cs="宋体" w:eastAsia="宋体" w:hint="default"/>
          <w:spacing w:val="-5"/>
        </w:rPr>
        <w:t>2</w:t>
      </w:r>
      <w:r>
        <w:rPr>
          <w:spacing w:val="-5"/>
        </w:rPr>
        <w:t>月</w:t>
      </w:r>
      <w:r>
        <w:rPr>
          <w:rFonts w:ascii="宋体" w:hAnsi="宋体" w:cs="宋体" w:eastAsia="宋体" w:hint="default"/>
          <w:spacing w:val="-5"/>
        </w:rPr>
        <w:t>23</w:t>
      </w:r>
      <w:r>
        <w:rPr>
          <w:spacing w:val="-5"/>
        </w:rPr>
        <w:t>日四方精创领取股份公司营业执照，</w:t>
      </w:r>
      <w:r>
        <w:rPr>
          <w:spacing w:val="-39"/>
        </w:rPr>
        <w:t> </w:t>
      </w:r>
      <w:r>
        <w:rPr/>
        <w:t>注册号为</w:t>
      </w:r>
      <w:r>
        <w:rPr>
          <w:rFonts w:ascii="宋体" w:hAnsi="宋体" w:cs="宋体" w:eastAsia="宋体" w:hint="default"/>
        </w:rPr>
        <w:t>440301503230043</w:t>
      </w:r>
      <w:r>
        <w:rPr/>
        <w:t>号，股本为人民币</w:t>
      </w:r>
      <w:r>
        <w:rPr>
          <w:rFonts w:ascii="宋体" w:hAnsi="宋体" w:cs="宋体" w:eastAsia="宋体" w:hint="default"/>
        </w:rPr>
        <w:t>7500</w:t>
      </w:r>
      <w:r>
        <w:rPr/>
        <w:t>万元。</w:t>
      </w:r>
    </w:p>
    <w:p>
      <w:pPr>
        <w:spacing w:line="240" w:lineRule="auto" w:before="9"/>
        <w:rPr>
          <w:rFonts w:ascii="宋体" w:hAnsi="宋体" w:cs="宋体" w:eastAsia="宋体" w:hint="default"/>
          <w:sz w:val="18"/>
          <w:szCs w:val="18"/>
        </w:rPr>
      </w:pPr>
    </w:p>
    <w:p>
      <w:pPr>
        <w:pStyle w:val="BodyText"/>
        <w:spacing w:line="240" w:lineRule="auto"/>
        <w:ind w:left="501" w:right="939"/>
        <w:jc w:val="left"/>
      </w:pPr>
      <w:r>
        <w:rPr/>
        <w:t>根据四方精创</w:t>
      </w:r>
      <w:r>
        <w:rPr>
          <w:spacing w:val="-27"/>
        </w:rPr>
        <w:t> </w:t>
      </w:r>
      <w:r>
        <w:rPr>
          <w:rFonts w:ascii="宋体" w:hAnsi="宋体" w:cs="宋体" w:eastAsia="宋体" w:hint="default"/>
        </w:rPr>
        <w:t>2014</w:t>
      </w:r>
      <w:r>
        <w:rPr>
          <w:rFonts w:ascii="宋体" w:hAnsi="宋体" w:cs="宋体" w:eastAsia="宋体" w:hint="default"/>
          <w:spacing w:val="-28"/>
        </w:rPr>
        <w:t> </w:t>
      </w:r>
      <w:r>
        <w:rPr/>
        <w:t>年第一次临时股东大会决议，同时经中国证券监督管理委员会“证监许可［</w:t>
      </w:r>
      <w:r>
        <w:rPr>
          <w:rFonts w:ascii="宋体" w:hAnsi="宋体" w:cs="宋体" w:eastAsia="宋体" w:hint="default"/>
        </w:rPr>
        <w:t>2015</w:t>
      </w:r>
      <w:r>
        <w:rPr/>
        <w:t>］</w:t>
      </w:r>
      <w:r>
        <w:rPr>
          <w:rFonts w:ascii="宋体" w:hAnsi="宋体" w:cs="宋体" w:eastAsia="宋体" w:hint="default"/>
        </w:rPr>
        <w:t>840</w:t>
      </w:r>
      <w:r>
        <w:rPr>
          <w:rFonts w:ascii="宋体" w:hAnsi="宋体" w:cs="宋体" w:eastAsia="宋体" w:hint="default"/>
          <w:spacing w:val="-28"/>
        </w:rPr>
        <w:t> </w:t>
      </w:r>
      <w:r>
        <w:rPr/>
        <w:t>号”文《关</w:t>
      </w:r>
    </w:p>
    <w:p>
      <w:pPr>
        <w:spacing w:after="0" w:line="240" w:lineRule="auto"/>
        <w:jc w:val="left"/>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right="939"/>
        <w:jc w:val="left"/>
      </w:pPr>
      <w:r>
        <w:rPr/>
        <w:t>于核准深圳四方精创资讯股份有限公司首次公开发行股票的批复</w:t>
      </w:r>
      <w:r>
        <w:rPr>
          <w:spacing w:val="-90"/>
        </w:rPr>
        <w:t>》</w:t>
      </w:r>
      <w:r>
        <w:rPr/>
        <w:t>，公司于</w:t>
      </w:r>
      <w:r>
        <w:rPr>
          <w:spacing w:val="-38"/>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w:t>
      </w:r>
      <w:r>
        <w:rPr>
          <w:spacing w:val="-45"/>
        </w:rPr>
        <w:t> </w:t>
      </w:r>
      <w:r>
        <w:rPr>
          <w:rFonts w:ascii="宋体" w:hAnsi="宋体" w:cs="宋体" w:eastAsia="宋体" w:hint="default"/>
        </w:rPr>
        <w:t>27</w:t>
      </w:r>
      <w:r>
        <w:rPr>
          <w:rFonts w:ascii="宋体" w:hAnsi="宋体" w:cs="宋体" w:eastAsia="宋体" w:hint="default"/>
          <w:spacing w:val="-45"/>
        </w:rPr>
        <w:t> </w:t>
      </w:r>
      <w:r>
        <w:rPr/>
        <w:t>日向社会公众发行人民币普通股</w:t>
      </w:r>
    </w:p>
    <w:p>
      <w:pPr>
        <w:spacing w:line="240" w:lineRule="auto" w:before="11"/>
        <w:rPr>
          <w:rFonts w:ascii="宋体" w:hAnsi="宋体" w:cs="宋体" w:eastAsia="宋体" w:hint="default"/>
          <w:sz w:val="19"/>
          <w:szCs w:val="19"/>
        </w:rPr>
      </w:pPr>
    </w:p>
    <w:p>
      <w:pPr>
        <w:pStyle w:val="BodyText"/>
        <w:spacing w:line="240" w:lineRule="auto"/>
        <w:ind w:right="939"/>
        <w:jc w:val="left"/>
      </w:pPr>
      <w:r>
        <w:rPr/>
        <w:t>（</w:t>
      </w:r>
      <w:r>
        <w:rPr>
          <w:rFonts w:ascii="宋体" w:hAnsi="宋体" w:cs="宋体" w:eastAsia="宋体" w:hint="default"/>
        </w:rPr>
        <w:t>A</w:t>
      </w:r>
      <w:r>
        <w:rPr>
          <w:rFonts w:ascii="宋体" w:hAnsi="宋体" w:cs="宋体" w:eastAsia="宋体" w:hint="default"/>
          <w:spacing w:val="-45"/>
        </w:rPr>
        <w:t> </w:t>
      </w:r>
      <w:r>
        <w:rPr/>
        <w:t>股）</w:t>
      </w:r>
      <w:r>
        <w:rPr>
          <w:rFonts w:ascii="宋体" w:hAnsi="宋体" w:cs="宋体" w:eastAsia="宋体" w:hint="default"/>
        </w:rPr>
        <w:t>2,500</w:t>
      </w:r>
      <w:r>
        <w:rPr>
          <w:rFonts w:ascii="宋体" w:hAnsi="宋体" w:cs="宋体" w:eastAsia="宋体" w:hint="default"/>
          <w:spacing w:val="-45"/>
        </w:rPr>
        <w:t> </w:t>
      </w:r>
      <w:r>
        <w:rPr/>
        <w:t>万股，每股面值</w:t>
      </w:r>
      <w:r>
        <w:rPr>
          <w:spacing w:val="-44"/>
        </w:rPr>
        <w:t> </w:t>
      </w:r>
      <w:r>
        <w:rPr>
          <w:rFonts w:ascii="宋体" w:hAnsi="宋体" w:cs="宋体" w:eastAsia="宋体" w:hint="default"/>
        </w:rPr>
        <w:t>1</w:t>
      </w:r>
      <w:r>
        <w:rPr>
          <w:rFonts w:ascii="宋体" w:hAnsi="宋体" w:cs="宋体" w:eastAsia="宋体" w:hint="default"/>
          <w:spacing w:val="-45"/>
        </w:rPr>
        <w:t> </w:t>
      </w:r>
      <w:r>
        <w:rPr/>
        <w:t>元。公司现有股本</w:t>
      </w:r>
      <w:r>
        <w:rPr>
          <w:spacing w:val="-44"/>
        </w:rPr>
        <w:t> </w:t>
      </w:r>
      <w:r>
        <w:rPr>
          <w:rFonts w:ascii="宋体" w:hAnsi="宋体" w:cs="宋体" w:eastAsia="宋体" w:hint="default"/>
        </w:rPr>
        <w:t>10,000</w:t>
      </w:r>
      <w:r>
        <w:rPr>
          <w:rFonts w:ascii="宋体" w:hAnsi="宋体" w:cs="宋体" w:eastAsia="宋体" w:hint="default"/>
          <w:spacing w:val="-44"/>
        </w:rPr>
        <w:t> </w:t>
      </w:r>
      <w:r>
        <w:rPr/>
        <w:t>万元，法定代表人为：周志群。</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508" w:lineRule="auto"/>
        <w:ind w:right="1126" w:firstLine="360"/>
        <w:jc w:val="both"/>
      </w:pPr>
      <w:r>
        <w:rPr>
          <w:rFonts w:ascii="宋体" w:hAnsi="宋体" w:cs="宋体" w:eastAsia="宋体" w:hint="default"/>
        </w:rPr>
        <w:t>2016</w:t>
      </w:r>
      <w:r>
        <w:rPr>
          <w:rFonts w:ascii="宋体" w:hAnsi="宋体" w:cs="宋体" w:eastAsia="宋体" w:hint="default"/>
          <w:spacing w:val="-45"/>
        </w:rPr>
        <w:t> </w:t>
      </w:r>
      <w:r>
        <w:rPr/>
        <w:t>年</w:t>
      </w:r>
      <w:r>
        <w:rPr>
          <w:spacing w:val="-46"/>
        </w:rPr>
        <w:t> </w:t>
      </w:r>
      <w:r>
        <w:rPr>
          <w:rFonts w:ascii="宋体" w:hAnsi="宋体" w:cs="宋体" w:eastAsia="宋体" w:hint="default"/>
        </w:rPr>
        <w:t>01</w:t>
      </w:r>
      <w:r>
        <w:rPr>
          <w:rFonts w:ascii="宋体" w:hAnsi="宋体" w:cs="宋体" w:eastAsia="宋体" w:hint="default"/>
          <w:spacing w:val="-45"/>
        </w:rPr>
        <w:t> </w:t>
      </w:r>
      <w:r>
        <w:rPr/>
        <w:t>月</w:t>
      </w:r>
      <w:r>
        <w:rPr>
          <w:spacing w:val="-45"/>
        </w:rPr>
        <w:t> </w:t>
      </w:r>
      <w:r>
        <w:rPr>
          <w:rFonts w:ascii="宋体" w:hAnsi="宋体" w:cs="宋体" w:eastAsia="宋体" w:hint="default"/>
        </w:rPr>
        <w:t>13</w:t>
      </w:r>
      <w:r>
        <w:rPr>
          <w:rFonts w:ascii="宋体" w:hAnsi="宋体" w:cs="宋体" w:eastAsia="宋体" w:hint="default"/>
          <w:spacing w:val="-45"/>
        </w:rPr>
        <w:t> </w:t>
      </w:r>
      <w:r>
        <w:rPr/>
        <w:t>日，根据公司</w:t>
      </w:r>
      <w:r>
        <w:rPr>
          <w:spacing w:val="-44"/>
        </w:rPr>
        <w:t> </w:t>
      </w:r>
      <w:r>
        <w:rPr>
          <w:rFonts w:ascii="宋体" w:hAnsi="宋体" w:cs="宋体" w:eastAsia="宋体" w:hint="default"/>
        </w:rPr>
        <w:t>2016</w:t>
      </w:r>
      <w:r>
        <w:rPr>
          <w:rFonts w:ascii="宋体" w:hAnsi="宋体" w:cs="宋体" w:eastAsia="宋体" w:hint="default"/>
          <w:spacing w:val="1"/>
        </w:rPr>
        <w:t> </w:t>
      </w:r>
      <w:r>
        <w:rPr/>
        <w:t>年第一次临时股东大会会议审议通过的《关于审核</w:t>
      </w:r>
      <w:r>
        <w:rPr>
          <w:rFonts w:ascii="宋体" w:hAnsi="宋体" w:cs="宋体" w:eastAsia="宋体" w:hint="default"/>
        </w:rPr>
        <w:t>&lt;</w:t>
      </w:r>
      <w:r>
        <w:rPr/>
        <w:t>深圳四方精创资讯股份有限公 </w:t>
      </w:r>
      <w:r>
        <w:rPr>
          <w:spacing w:val="-8"/>
        </w:rPr>
        <w:t>司限制性股票激励计划（草案）</w:t>
      </w:r>
      <w:r>
        <w:rPr>
          <w:rFonts w:ascii="宋体" w:hAnsi="宋体" w:cs="宋体" w:eastAsia="宋体" w:hint="default"/>
          <w:spacing w:val="-8"/>
        </w:rPr>
        <w:t>&gt;</w:t>
      </w:r>
      <w:r>
        <w:rPr>
          <w:spacing w:val="-8"/>
        </w:rPr>
        <w:t>及其摘要的议案》、《</w:t>
      </w:r>
      <w:r>
        <w:rPr>
          <w:spacing w:val="26"/>
        </w:rPr>
        <w:t> </w:t>
      </w:r>
      <w:r>
        <w:rPr>
          <w:spacing w:val="-3"/>
        </w:rPr>
        <w:t>关于授权董事会办理公司限制性股票激励计划相关事宜的议案》，第</w:t>
      </w:r>
      <w:r>
        <w:rPr/>
        <w:t> </w:t>
      </w:r>
      <w:r>
        <w:rPr>
          <w:spacing w:val="-2"/>
        </w:rPr>
        <w:t>二届董事会第九次会议审议通过的《关于向激励对象授予限制性股票的议案》，公司向包括公司董事及高级管理人员、公司</w:t>
      </w:r>
      <w:r>
        <w:rPr>
          <w:spacing w:val="-72"/>
        </w:rPr>
        <w:t> </w:t>
      </w:r>
      <w:r>
        <w:rPr>
          <w:spacing w:val="-72"/>
        </w:rPr>
      </w:r>
      <w:r>
        <w:rPr>
          <w:spacing w:val="-3"/>
        </w:rPr>
        <w:t>中层管理人员、公司核心技术人员及核心业务人员，以</w:t>
      </w:r>
      <w:r>
        <w:rPr>
          <w:spacing w:val="-38"/>
        </w:rPr>
        <w:t> </w:t>
      </w:r>
      <w:r>
        <w:rPr>
          <w:rFonts w:ascii="宋体" w:hAnsi="宋体" w:cs="宋体" w:eastAsia="宋体" w:hint="default"/>
        </w:rPr>
        <w:t>25.59</w:t>
      </w:r>
      <w:r>
        <w:rPr>
          <w:rFonts w:ascii="宋体" w:hAnsi="宋体" w:cs="宋体" w:eastAsia="宋体" w:hint="default"/>
          <w:spacing w:val="-43"/>
        </w:rPr>
        <w:t> </w:t>
      </w:r>
      <w:r>
        <w:rPr/>
        <w:t>元</w:t>
      </w:r>
      <w:r>
        <w:rPr>
          <w:rFonts w:ascii="宋体" w:hAnsi="宋体" w:cs="宋体" w:eastAsia="宋体" w:hint="default"/>
        </w:rPr>
        <w:t>/</w:t>
      </w:r>
      <w:r>
        <w:rPr/>
        <w:t>股的价格授予限制性股票</w:t>
      </w:r>
      <w:r>
        <w:rPr>
          <w:spacing w:val="-41"/>
        </w:rPr>
        <w:t> </w:t>
      </w:r>
      <w:r>
        <w:rPr>
          <w:rFonts w:ascii="宋体" w:hAnsi="宋体" w:cs="宋体" w:eastAsia="宋体" w:hint="default"/>
        </w:rPr>
        <w:t>3,921,500.00</w:t>
      </w:r>
      <w:r>
        <w:rPr>
          <w:rFonts w:ascii="宋体" w:hAnsi="宋体" w:cs="宋体" w:eastAsia="宋体" w:hint="default"/>
          <w:spacing w:val="-42"/>
        </w:rPr>
        <w:t> </w:t>
      </w:r>
      <w:r>
        <w:rPr>
          <w:spacing w:val="-4"/>
        </w:rPr>
        <w:t>股，变更后的股本</w:t>
      </w:r>
    </w:p>
    <w:p>
      <w:pPr>
        <w:pStyle w:val="BodyText"/>
        <w:spacing w:line="240" w:lineRule="auto" w:before="58"/>
        <w:ind w:right="939"/>
        <w:jc w:val="left"/>
      </w:pPr>
      <w:r>
        <w:rPr/>
        <w:t>为人民币</w:t>
      </w:r>
      <w:r>
        <w:rPr>
          <w:spacing w:val="-44"/>
        </w:rPr>
        <w:t> </w:t>
      </w:r>
      <w:r>
        <w:rPr>
          <w:rFonts w:ascii="宋体" w:hAnsi="宋体" w:cs="宋体" w:eastAsia="宋体" w:hint="default"/>
        </w:rPr>
        <w:t>103,921,500.00</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left="501" w:right="939"/>
        <w:jc w:val="left"/>
      </w:pPr>
      <w:r>
        <w:rPr>
          <w:rFonts w:ascii="宋体" w:hAnsi="宋体" w:cs="宋体" w:eastAsia="宋体" w:hint="default"/>
        </w:rPr>
        <w:t>2016</w:t>
      </w:r>
      <w:r>
        <w:rPr>
          <w:rFonts w:ascii="宋体" w:hAnsi="宋体" w:cs="宋体" w:eastAsia="宋体" w:hint="default"/>
          <w:spacing w:val="-30"/>
        </w:rPr>
        <w:t> </w:t>
      </w:r>
      <w:r>
        <w:rPr/>
        <w:t>年</w:t>
      </w:r>
      <w:r>
        <w:rPr>
          <w:spacing w:val="-31"/>
        </w:rPr>
        <w:t> </w:t>
      </w:r>
      <w:r>
        <w:rPr>
          <w:rFonts w:ascii="宋体" w:hAnsi="宋体" w:cs="宋体" w:eastAsia="宋体" w:hint="default"/>
        </w:rPr>
        <w:t>8</w:t>
      </w:r>
      <w:r>
        <w:rPr>
          <w:rFonts w:ascii="宋体" w:hAnsi="宋体" w:cs="宋体" w:eastAsia="宋体" w:hint="default"/>
          <w:spacing w:val="-30"/>
        </w:rPr>
        <w:t> </w:t>
      </w:r>
      <w:r>
        <w:rPr/>
        <w:t>月</w:t>
      </w:r>
      <w:r>
        <w:rPr>
          <w:spacing w:val="-30"/>
        </w:rPr>
        <w:t> </w:t>
      </w:r>
      <w:r>
        <w:rPr>
          <w:rFonts w:ascii="宋体" w:hAnsi="宋体" w:cs="宋体" w:eastAsia="宋体" w:hint="default"/>
        </w:rPr>
        <w:t>23</w:t>
      </w:r>
      <w:r>
        <w:rPr>
          <w:rFonts w:ascii="宋体" w:hAnsi="宋体" w:cs="宋体" w:eastAsia="宋体" w:hint="default"/>
          <w:spacing w:val="-30"/>
        </w:rPr>
        <w:t> </w:t>
      </w:r>
      <w:r>
        <w:rPr/>
        <w:t>日，根据公司第二届董事会第十三次会议决议通过的《关于回购注销部分已授予限制性股票的议案</w:t>
      </w:r>
      <w:r>
        <w:rPr>
          <w:spacing w:val="-90"/>
        </w:rPr>
        <w:t>》</w:t>
      </w:r>
      <w:r>
        <w:rPr/>
        <w:t>，</w:t>
      </w:r>
    </w:p>
    <w:p>
      <w:pPr>
        <w:spacing w:line="240" w:lineRule="auto" w:before="11"/>
        <w:rPr>
          <w:rFonts w:ascii="宋体" w:hAnsi="宋体" w:cs="宋体" w:eastAsia="宋体" w:hint="default"/>
          <w:sz w:val="19"/>
          <w:szCs w:val="19"/>
        </w:rPr>
      </w:pPr>
    </w:p>
    <w:p>
      <w:pPr>
        <w:pStyle w:val="BodyText"/>
        <w:spacing w:line="240" w:lineRule="auto"/>
        <w:ind w:right="939"/>
        <w:jc w:val="left"/>
      </w:pPr>
      <w:r>
        <w:rPr/>
        <w:t>回购注销离职员工已授予的限制性股票</w:t>
      </w:r>
      <w:r>
        <w:rPr>
          <w:spacing w:val="-42"/>
        </w:rPr>
        <w:t> </w:t>
      </w:r>
      <w:r>
        <w:rPr>
          <w:rFonts w:ascii="宋体" w:hAnsi="宋体" w:cs="宋体" w:eastAsia="宋体" w:hint="default"/>
        </w:rPr>
        <w:t>18,600.00</w:t>
      </w:r>
      <w:r>
        <w:rPr>
          <w:rFonts w:ascii="宋体" w:hAnsi="宋体" w:cs="宋体" w:eastAsia="宋体" w:hint="default"/>
          <w:spacing w:val="-44"/>
        </w:rPr>
        <w:t> </w:t>
      </w:r>
      <w:r>
        <w:rPr/>
        <w:t>股，公司变更后的的注册资本为</w:t>
      </w:r>
      <w:r>
        <w:rPr>
          <w:spacing w:val="-42"/>
        </w:rPr>
        <w:t> </w:t>
      </w:r>
      <w:r>
        <w:rPr>
          <w:rFonts w:ascii="宋体" w:hAnsi="宋体" w:cs="宋体" w:eastAsia="宋体" w:hint="default"/>
        </w:rPr>
        <w:t>103,902,900.00</w:t>
      </w:r>
      <w:r>
        <w:rPr>
          <w:rFonts w:ascii="宋体" w:hAnsi="宋体" w:cs="宋体" w:eastAsia="宋体" w:hint="default"/>
          <w:spacing w:val="-45"/>
        </w:rPr>
        <w:t> </w:t>
      </w:r>
      <w:r>
        <w:rPr/>
        <w:t>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513" w:lineRule="auto"/>
        <w:ind w:right="1127" w:firstLine="360"/>
        <w:jc w:val="both"/>
      </w:pPr>
      <w:r>
        <w:rPr>
          <w:rFonts w:ascii="宋体" w:hAnsi="宋体" w:cs="宋体" w:eastAsia="宋体" w:hint="default"/>
        </w:rPr>
        <w:t>2016</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29</w:t>
      </w:r>
      <w:r>
        <w:rPr>
          <w:rFonts w:ascii="宋体" w:hAnsi="宋体" w:cs="宋体" w:eastAsia="宋体" w:hint="default"/>
          <w:spacing w:val="-48"/>
        </w:rPr>
        <w:t> </w:t>
      </w:r>
      <w:r>
        <w:rPr>
          <w:spacing w:val="-8"/>
        </w:rPr>
        <w:t>日，根据公司</w:t>
      </w:r>
      <w:r>
        <w:rPr>
          <w:spacing w:val="-47"/>
        </w:rPr>
        <w:t> </w:t>
      </w:r>
      <w:r>
        <w:rPr>
          <w:rFonts w:ascii="宋体" w:hAnsi="宋体" w:cs="宋体" w:eastAsia="宋体" w:hint="default"/>
        </w:rPr>
        <w:t>2016</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8</w:t>
      </w:r>
      <w:r>
        <w:rPr>
          <w:rFonts w:ascii="宋体" w:hAnsi="宋体" w:cs="宋体" w:eastAsia="宋体" w:hint="default"/>
          <w:spacing w:val="-48"/>
        </w:rPr>
        <w:t> </w:t>
      </w:r>
      <w:r>
        <w:rPr/>
        <w:t>日</w:t>
      </w:r>
      <w:r>
        <w:rPr>
          <w:spacing w:val="-48"/>
        </w:rPr>
        <w:t> </w:t>
      </w:r>
      <w:r>
        <w:rPr>
          <w:rFonts w:ascii="宋体" w:hAnsi="宋体" w:cs="宋体" w:eastAsia="宋体" w:hint="default"/>
        </w:rPr>
        <w:t>2016</w:t>
      </w:r>
      <w:r>
        <w:rPr>
          <w:rFonts w:ascii="宋体" w:hAnsi="宋体" w:cs="宋体" w:eastAsia="宋体" w:hint="default"/>
          <w:spacing w:val="-6"/>
        </w:rPr>
        <w:t> </w:t>
      </w:r>
      <w:r>
        <w:rPr/>
        <w:t>年第一次临时股东大会会议审议通过的《关于审核</w:t>
      </w:r>
      <w:r>
        <w:rPr>
          <w:rFonts w:ascii="宋体" w:hAnsi="宋体" w:cs="宋体" w:eastAsia="宋体" w:hint="default"/>
        </w:rPr>
        <w:t>&lt;</w:t>
      </w:r>
      <w:r>
        <w:rPr/>
        <w:t>深圳四方精创 资讯股份有限公司限制性股票激励计划（草案）</w:t>
      </w:r>
      <w:r>
        <w:rPr>
          <w:rFonts w:ascii="宋体" w:hAnsi="宋体" w:cs="宋体" w:eastAsia="宋体" w:hint="default"/>
        </w:rPr>
        <w:t>&gt;</w:t>
      </w:r>
      <w:r>
        <w:rPr/>
        <w:t>及其摘要的议案》以及第二届董事会第十五次会议决议通过的《关于向激</w:t>
      </w:r>
      <w:r>
        <w:rPr>
          <w:spacing w:val="-86"/>
        </w:rPr>
        <w:t> </w:t>
      </w:r>
      <w:r>
        <w:rPr>
          <w:spacing w:val="-5"/>
        </w:rPr>
        <w:t>励对象授予预留限制性股票的议案》，公司以</w:t>
      </w:r>
      <w:r>
        <w:rPr>
          <w:spacing w:val="-39"/>
        </w:rPr>
        <w:t> </w:t>
      </w:r>
      <w:r>
        <w:rPr>
          <w:rFonts w:ascii="宋体" w:hAnsi="宋体" w:cs="宋体" w:eastAsia="宋体" w:hint="default"/>
        </w:rPr>
        <w:t>28.90</w:t>
      </w:r>
      <w:r>
        <w:rPr>
          <w:rFonts w:ascii="宋体" w:hAnsi="宋体" w:cs="宋体" w:eastAsia="宋体" w:hint="default"/>
          <w:spacing w:val="-43"/>
        </w:rPr>
        <w:t> </w:t>
      </w:r>
      <w:r>
        <w:rPr/>
        <w:t>元</w:t>
      </w:r>
      <w:r>
        <w:rPr>
          <w:rFonts w:ascii="宋体" w:hAnsi="宋体" w:cs="宋体" w:eastAsia="宋体" w:hint="default"/>
        </w:rPr>
        <w:t>/</w:t>
      </w:r>
      <w:r>
        <w:rPr/>
        <w:t>股的价格向刘童授予</w:t>
      </w:r>
      <w:r>
        <w:rPr>
          <w:spacing w:val="-41"/>
        </w:rPr>
        <w:t> </w:t>
      </w:r>
      <w:r>
        <w:rPr>
          <w:rFonts w:ascii="宋体" w:hAnsi="宋体" w:cs="宋体" w:eastAsia="宋体" w:hint="default"/>
        </w:rPr>
        <w:t>430,000.00</w:t>
      </w:r>
      <w:r>
        <w:rPr>
          <w:rFonts w:ascii="宋体" w:hAnsi="宋体" w:cs="宋体" w:eastAsia="宋体" w:hint="default"/>
          <w:spacing w:val="-42"/>
        </w:rPr>
        <w:t> </w:t>
      </w:r>
      <w:r>
        <w:rPr/>
        <w:t>股限制性股票，变更后的股本为人</w:t>
      </w:r>
    </w:p>
    <w:p>
      <w:pPr>
        <w:pStyle w:val="BodyText"/>
        <w:spacing w:line="240" w:lineRule="auto" w:before="54"/>
        <w:ind w:right="939"/>
        <w:jc w:val="left"/>
      </w:pPr>
      <w:r>
        <w:rPr/>
        <w:t>民币</w:t>
      </w:r>
      <w:r>
        <w:rPr>
          <w:spacing w:val="-45"/>
        </w:rPr>
        <w:t> </w:t>
      </w:r>
      <w:r>
        <w:rPr>
          <w:rFonts w:ascii="宋体" w:hAnsi="宋体" w:cs="宋体" w:eastAsia="宋体" w:hint="default"/>
        </w:rPr>
        <w:t>104,332,900.00</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513" w:lineRule="auto"/>
        <w:ind w:right="1100" w:firstLine="360"/>
        <w:jc w:val="both"/>
      </w:pPr>
      <w:r>
        <w:rPr>
          <w:rFonts w:ascii="宋体" w:hAnsi="宋体" w:cs="宋体" w:eastAsia="宋体" w:hint="default"/>
        </w:rPr>
        <w:t>2017</w:t>
      </w:r>
      <w:r>
        <w:rPr>
          <w:rFonts w:ascii="宋体" w:hAnsi="宋体" w:cs="宋体" w:eastAsia="宋体" w:hint="default"/>
          <w:spacing w:val="-47"/>
        </w:rPr>
        <w:t> </w:t>
      </w:r>
      <w:r>
        <w:rPr/>
        <w:t>年</w:t>
      </w:r>
      <w:r>
        <w:rPr>
          <w:spacing w:val="-48"/>
        </w:rPr>
        <w:t> </w:t>
      </w:r>
      <w:r>
        <w:rPr>
          <w:rFonts w:ascii="宋体" w:hAnsi="宋体" w:cs="宋体" w:eastAsia="宋体" w:hint="default"/>
        </w:rPr>
        <w:t>2</w:t>
      </w:r>
      <w:r>
        <w:rPr>
          <w:rFonts w:ascii="宋体" w:hAnsi="宋体" w:cs="宋体" w:eastAsia="宋体" w:hint="default"/>
          <w:spacing w:val="-47"/>
        </w:rPr>
        <w:t> </w:t>
      </w:r>
      <w:r>
        <w:rPr/>
        <w:t>月</w:t>
      </w:r>
      <w:r>
        <w:rPr>
          <w:spacing w:val="-47"/>
        </w:rPr>
        <w:t> </w:t>
      </w:r>
      <w:r>
        <w:rPr>
          <w:rFonts w:ascii="宋体" w:hAnsi="宋体" w:cs="宋体" w:eastAsia="宋体" w:hint="default"/>
        </w:rPr>
        <w:t>13</w:t>
      </w:r>
      <w:r>
        <w:rPr>
          <w:rFonts w:ascii="宋体" w:hAnsi="宋体" w:cs="宋体" w:eastAsia="宋体" w:hint="default"/>
          <w:spacing w:val="-47"/>
        </w:rPr>
        <w:t> </w:t>
      </w:r>
      <w:r>
        <w:rPr>
          <w:spacing w:val="-3"/>
        </w:rPr>
        <w:t>日，根据公司</w:t>
      </w:r>
      <w:r>
        <w:rPr>
          <w:spacing w:val="-46"/>
        </w:rPr>
        <w:t> </w:t>
      </w:r>
      <w:r>
        <w:rPr>
          <w:rFonts w:ascii="宋体" w:hAnsi="宋体" w:cs="宋体" w:eastAsia="宋体" w:hint="default"/>
        </w:rPr>
        <w:t>2017</w:t>
      </w:r>
      <w:r>
        <w:rPr>
          <w:rFonts w:ascii="宋体" w:hAnsi="宋体" w:cs="宋体" w:eastAsia="宋体" w:hint="default"/>
          <w:spacing w:val="-47"/>
        </w:rPr>
        <w:t> </w:t>
      </w:r>
      <w:r>
        <w:rPr/>
        <w:t>年第一次临时股东大会会议审议通过的《关于审核</w:t>
      </w:r>
      <w:r>
        <w:rPr>
          <w:rFonts w:ascii="宋体" w:hAnsi="宋体" w:cs="宋体" w:eastAsia="宋体" w:hint="default"/>
        </w:rPr>
        <w:t>&lt;</w:t>
      </w:r>
      <w:r>
        <w:rPr/>
        <w:t>深圳四方精创资讯股份有限公司 限制性股票激励计划（草案）</w:t>
      </w:r>
      <w:r>
        <w:rPr>
          <w:rFonts w:ascii="宋体" w:hAnsi="宋体" w:cs="宋体" w:eastAsia="宋体" w:hint="default"/>
        </w:rPr>
        <w:t>&gt;</w:t>
      </w:r>
      <w:r>
        <w:rPr/>
        <w:t>及其摘要的议案》以及第二届董事会第十七次会议决议通过的《关于向激励对象授予限制性</w:t>
      </w:r>
      <w:r>
        <w:rPr>
          <w:spacing w:val="-87"/>
        </w:rPr>
        <w:t> </w:t>
      </w:r>
      <w:r>
        <w:rPr/>
        <w:t>股票的议案》，四方精创以 </w:t>
      </w:r>
      <w:r>
        <w:rPr>
          <w:rFonts w:ascii="宋体" w:hAnsi="宋体" w:cs="宋体" w:eastAsia="宋体" w:hint="default"/>
        </w:rPr>
        <w:t>28.90 </w:t>
      </w:r>
      <w:r>
        <w:rPr>
          <w:spacing w:val="7"/>
        </w:rPr>
        <w:t>元</w:t>
      </w:r>
      <w:r>
        <w:rPr>
          <w:rFonts w:ascii="宋体" w:hAnsi="宋体" w:cs="宋体" w:eastAsia="宋体" w:hint="default"/>
          <w:spacing w:val="7"/>
        </w:rPr>
        <w:t>/</w:t>
      </w:r>
      <w:r>
        <w:rPr>
          <w:spacing w:val="7"/>
        </w:rPr>
        <w:t>股的价格向激励对象授予</w:t>
      </w:r>
      <w:r>
        <w:rPr/>
        <w:t> </w:t>
      </w:r>
      <w:r>
        <w:rPr>
          <w:rFonts w:ascii="宋体" w:hAnsi="宋体" w:cs="宋体" w:eastAsia="宋体" w:hint="default"/>
        </w:rPr>
        <w:t>1,076,800.00</w:t>
      </w:r>
      <w:r>
        <w:rPr>
          <w:rFonts w:ascii="宋体" w:hAnsi="宋体" w:cs="宋体" w:eastAsia="宋体" w:hint="default"/>
          <w:spacing w:val="58"/>
        </w:rPr>
        <w:t> </w:t>
      </w:r>
      <w:r>
        <w:rPr>
          <w:spacing w:val="8"/>
        </w:rPr>
        <w:t>股限制性股票，变更后的股本为人民币</w:t>
      </w:r>
    </w:p>
    <w:p>
      <w:pPr>
        <w:pStyle w:val="BodyText"/>
        <w:spacing w:line="240" w:lineRule="auto" w:before="54"/>
        <w:ind w:right="939"/>
        <w:jc w:val="left"/>
      </w:pPr>
      <w:r>
        <w:rPr>
          <w:rFonts w:ascii="宋体" w:hAnsi="宋体" w:cs="宋体" w:eastAsia="宋体" w:hint="default"/>
        </w:rPr>
        <w:t>105,409,700.00</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240" w:lineRule="auto"/>
        <w:ind w:left="501" w:right="939"/>
        <w:jc w:val="left"/>
      </w:pPr>
      <w:r>
        <w:rPr>
          <w:rFonts w:ascii="宋体" w:hAnsi="宋体" w:cs="宋体" w:eastAsia="宋体" w:hint="default"/>
        </w:rPr>
        <w:t>2017</w:t>
      </w:r>
      <w:r>
        <w:rPr>
          <w:rFonts w:ascii="宋体" w:hAnsi="宋体" w:cs="宋体" w:eastAsia="宋体" w:hint="default"/>
          <w:spacing w:val="-52"/>
        </w:rPr>
        <w:t> </w:t>
      </w:r>
      <w:r>
        <w:rPr/>
        <w:t>年</w:t>
      </w:r>
      <w:r>
        <w:rPr>
          <w:spacing w:val="-52"/>
        </w:rPr>
        <w:t> </w:t>
      </w:r>
      <w:r>
        <w:rPr>
          <w:rFonts w:ascii="宋体" w:hAnsi="宋体" w:cs="宋体" w:eastAsia="宋体" w:hint="default"/>
        </w:rPr>
        <w:t>8</w:t>
      </w:r>
      <w:r>
        <w:rPr>
          <w:rFonts w:ascii="宋体" w:hAnsi="宋体" w:cs="宋体" w:eastAsia="宋体" w:hint="default"/>
          <w:spacing w:val="-52"/>
        </w:rPr>
        <w:t> </w:t>
      </w:r>
      <w:r>
        <w:rPr/>
        <w:t>月</w:t>
      </w:r>
      <w:r>
        <w:rPr>
          <w:spacing w:val="-52"/>
        </w:rPr>
        <w:t> </w:t>
      </w:r>
      <w:r>
        <w:rPr>
          <w:rFonts w:ascii="宋体" w:hAnsi="宋体" w:cs="宋体" w:eastAsia="宋体" w:hint="default"/>
        </w:rPr>
        <w:t>23</w:t>
      </w:r>
      <w:r>
        <w:rPr>
          <w:rFonts w:ascii="宋体" w:hAnsi="宋体" w:cs="宋体" w:eastAsia="宋体" w:hint="default"/>
          <w:spacing w:val="-52"/>
        </w:rPr>
        <w:t> </w:t>
      </w:r>
      <w:r>
        <w:rPr/>
        <w:t>日，根据四方精创第二届董事会第二十三次会议决议通过的《关于回购注销部分已授予限制性股票的议</w:t>
      </w:r>
    </w:p>
    <w:p>
      <w:pPr>
        <w:spacing w:line="240" w:lineRule="auto" w:before="11"/>
        <w:rPr>
          <w:rFonts w:ascii="宋体" w:hAnsi="宋体" w:cs="宋体" w:eastAsia="宋体" w:hint="default"/>
          <w:sz w:val="19"/>
          <w:szCs w:val="19"/>
        </w:rPr>
      </w:pPr>
    </w:p>
    <w:p>
      <w:pPr>
        <w:pStyle w:val="BodyText"/>
        <w:spacing w:line="240" w:lineRule="auto"/>
        <w:ind w:right="939"/>
        <w:jc w:val="left"/>
      </w:pPr>
      <w:r>
        <w:rPr/>
        <w:t>案</w:t>
      </w:r>
      <w:r>
        <w:rPr>
          <w:spacing w:val="-90"/>
        </w:rPr>
        <w:t>》</w:t>
      </w:r>
      <w:r>
        <w:rPr/>
        <w:t>，四方精创回购注销部分已授予限制性股票，向邱玉龙、李林毅、黄兰雪及王小帅回购</w:t>
      </w:r>
      <w:r>
        <w:rPr>
          <w:spacing w:val="8"/>
        </w:rPr>
        <w:t> </w:t>
      </w:r>
      <w:r>
        <w:rPr>
          <w:rFonts w:ascii="宋体" w:hAnsi="宋体" w:cs="宋体" w:eastAsia="宋体" w:hint="default"/>
        </w:rPr>
        <w:t>37,550 </w:t>
      </w:r>
      <w:r>
        <w:rPr/>
        <w:t>股，申请减少注册资本</w:t>
      </w:r>
    </w:p>
    <w:p>
      <w:pPr>
        <w:spacing w:line="240" w:lineRule="auto" w:before="11"/>
        <w:rPr>
          <w:rFonts w:ascii="宋体" w:hAnsi="宋体" w:cs="宋体" w:eastAsia="宋体" w:hint="default"/>
          <w:sz w:val="19"/>
          <w:szCs w:val="19"/>
        </w:rPr>
      </w:pPr>
    </w:p>
    <w:p>
      <w:pPr>
        <w:pStyle w:val="BodyText"/>
        <w:spacing w:line="240" w:lineRule="auto"/>
        <w:ind w:right="939"/>
        <w:jc w:val="left"/>
      </w:pPr>
      <w:r>
        <w:rPr>
          <w:rFonts w:ascii="宋体" w:hAnsi="宋体" w:cs="宋体" w:eastAsia="宋体" w:hint="default"/>
        </w:rPr>
        <w:t>37,550.00</w:t>
      </w:r>
      <w:r>
        <w:rPr>
          <w:rFonts w:ascii="宋体" w:hAnsi="宋体" w:cs="宋体" w:eastAsia="宋体" w:hint="default"/>
          <w:spacing w:val="-44"/>
        </w:rPr>
        <w:t> </w:t>
      </w:r>
      <w:r>
        <w:rPr/>
        <w:t>元</w:t>
      </w:r>
      <w:r>
        <w:rPr>
          <w:rFonts w:ascii="宋体" w:hAnsi="宋体" w:cs="宋体" w:eastAsia="宋体" w:hint="default"/>
        </w:rPr>
        <w:t>,</w:t>
      </w:r>
      <w:r>
        <w:rPr/>
        <w:t>变更后的注册资本为</w:t>
      </w:r>
      <w:r>
        <w:rPr>
          <w:spacing w:val="-44"/>
        </w:rPr>
        <w:t> </w:t>
      </w:r>
      <w:r>
        <w:rPr>
          <w:rFonts w:ascii="宋体" w:hAnsi="宋体" w:cs="宋体" w:eastAsia="宋体" w:hint="default"/>
        </w:rPr>
        <w:t>105,372,150.00</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240" w:lineRule="auto"/>
        <w:ind w:left="501" w:right="939"/>
        <w:jc w:val="left"/>
      </w:pPr>
      <w:r>
        <w:rPr>
          <w:rFonts w:ascii="宋体" w:hAnsi="宋体" w:cs="宋体" w:eastAsia="宋体" w:hint="default"/>
        </w:rPr>
        <w:t>2017</w:t>
      </w:r>
      <w:r>
        <w:rPr>
          <w:rFonts w:ascii="宋体" w:hAnsi="宋体" w:cs="宋体" w:eastAsia="宋体" w:hint="default"/>
          <w:spacing w:val="-29"/>
        </w:rPr>
        <w:t> </w:t>
      </w:r>
      <w:r>
        <w:rPr/>
        <w:t>年</w:t>
      </w:r>
      <w:r>
        <w:rPr>
          <w:spacing w:val="-30"/>
        </w:rPr>
        <w:t> </w:t>
      </w:r>
      <w:r>
        <w:rPr>
          <w:rFonts w:ascii="宋体" w:hAnsi="宋体" w:cs="宋体" w:eastAsia="宋体" w:hint="default"/>
        </w:rPr>
        <w:t>11</w:t>
      </w:r>
      <w:r>
        <w:rPr>
          <w:rFonts w:ascii="宋体" w:hAnsi="宋体" w:cs="宋体" w:eastAsia="宋体" w:hint="default"/>
          <w:spacing w:val="-45"/>
        </w:rPr>
        <w:t> </w:t>
      </w:r>
      <w:r>
        <w:rPr/>
        <w:t>月</w:t>
      </w:r>
      <w:r>
        <w:rPr>
          <w:spacing w:val="-29"/>
        </w:rPr>
        <w:t> </w:t>
      </w:r>
      <w:r>
        <w:rPr>
          <w:rFonts w:ascii="宋体" w:hAnsi="宋体" w:cs="宋体" w:eastAsia="宋体" w:hint="default"/>
        </w:rPr>
        <w:t>27</w:t>
      </w:r>
      <w:r>
        <w:rPr>
          <w:rFonts w:ascii="宋体" w:hAnsi="宋体" w:cs="宋体" w:eastAsia="宋体" w:hint="default"/>
          <w:spacing w:val="-29"/>
        </w:rPr>
        <w:t> </w:t>
      </w:r>
      <w:r>
        <w:rPr>
          <w:spacing w:val="-3"/>
        </w:rPr>
        <w:t>日，根据公司</w:t>
      </w:r>
      <w:r>
        <w:rPr>
          <w:spacing w:val="-28"/>
        </w:rPr>
        <w:t> </w:t>
      </w:r>
      <w:r>
        <w:rPr>
          <w:rFonts w:ascii="宋体" w:hAnsi="宋体" w:cs="宋体" w:eastAsia="宋体" w:hint="default"/>
        </w:rPr>
        <w:t>2017</w:t>
      </w:r>
      <w:r>
        <w:rPr>
          <w:rFonts w:ascii="宋体" w:hAnsi="宋体" w:cs="宋体" w:eastAsia="宋体" w:hint="default"/>
          <w:spacing w:val="-29"/>
        </w:rPr>
        <w:t> </w:t>
      </w:r>
      <w:r>
        <w:rPr/>
        <w:t>年第二次临时股东大会会议审议通过的《关于审核</w:t>
      </w:r>
      <w:r>
        <w:rPr>
          <w:rFonts w:ascii="宋体" w:hAnsi="宋体" w:cs="宋体" w:eastAsia="宋体" w:hint="default"/>
        </w:rPr>
        <w:t>&lt;</w:t>
      </w:r>
      <w:r>
        <w:rPr/>
        <w:t>深圳四方精创资讯股份有限公</w:t>
      </w:r>
    </w:p>
    <w:p>
      <w:pPr>
        <w:spacing w:line="240" w:lineRule="auto" w:before="11"/>
        <w:rPr>
          <w:rFonts w:ascii="宋体" w:hAnsi="宋体" w:cs="宋体" w:eastAsia="宋体" w:hint="default"/>
          <w:sz w:val="19"/>
          <w:szCs w:val="19"/>
        </w:rPr>
      </w:pPr>
    </w:p>
    <w:p>
      <w:pPr>
        <w:pStyle w:val="BodyText"/>
        <w:spacing w:line="240" w:lineRule="auto"/>
        <w:ind w:right="939"/>
        <w:jc w:val="left"/>
      </w:pPr>
      <w:r>
        <w:rPr/>
        <w:t>司</w:t>
      </w:r>
      <w:r>
        <w:rPr>
          <w:spacing w:val="-74"/>
        </w:rPr>
        <w:t> </w:t>
      </w:r>
      <w:r>
        <w:rPr>
          <w:rFonts w:ascii="宋体" w:hAnsi="宋体" w:cs="宋体" w:eastAsia="宋体" w:hint="default"/>
        </w:rPr>
        <w:t>2017</w:t>
      </w:r>
      <w:r>
        <w:rPr>
          <w:rFonts w:ascii="宋体" w:hAnsi="宋体" w:cs="宋体" w:eastAsia="宋体" w:hint="default"/>
          <w:spacing w:val="-74"/>
        </w:rPr>
        <w:t> </w:t>
      </w:r>
      <w:r>
        <w:rPr/>
        <w:t>年限制性股票激励计划（草案）</w:t>
      </w:r>
      <w:r>
        <w:rPr>
          <w:rFonts w:ascii="宋体" w:hAnsi="宋体" w:cs="宋体" w:eastAsia="宋体" w:hint="default"/>
        </w:rPr>
        <w:t>&gt;</w:t>
      </w:r>
      <w:r>
        <w:rPr/>
        <w:t>及其摘要的议案》及第二届董事会第二十六次会议审议通过的《关于向激励对象授</w:t>
      </w:r>
    </w:p>
    <w:p>
      <w:pPr>
        <w:spacing w:line="240" w:lineRule="auto" w:before="0"/>
        <w:rPr>
          <w:rFonts w:ascii="宋体" w:hAnsi="宋体" w:cs="宋体" w:eastAsia="宋体" w:hint="default"/>
          <w:sz w:val="21"/>
          <w:szCs w:val="21"/>
        </w:rPr>
      </w:pPr>
    </w:p>
    <w:p>
      <w:pPr>
        <w:pStyle w:val="BodyText"/>
        <w:spacing w:line="240" w:lineRule="auto"/>
        <w:ind w:right="939"/>
        <w:jc w:val="left"/>
      </w:pPr>
      <w:r>
        <w:rPr/>
        <w:t>予限制性股票的议案</w:t>
      </w:r>
      <w:r>
        <w:rPr>
          <w:spacing w:val="-90"/>
        </w:rPr>
        <w:t>》</w:t>
      </w:r>
      <w:r>
        <w:rPr>
          <w:spacing w:val="-31"/>
        </w:rPr>
        <w:t>，</w:t>
      </w:r>
      <w:r>
        <w:rPr/>
        <w:t>公司向员工以</w:t>
      </w:r>
      <w:r>
        <w:rPr>
          <w:spacing w:val="-42"/>
        </w:rPr>
        <w:t> </w:t>
      </w:r>
      <w:r>
        <w:rPr>
          <w:rFonts w:ascii="宋体" w:hAnsi="宋体" w:cs="宋体" w:eastAsia="宋体" w:hint="default"/>
        </w:rPr>
        <w:t>21.26</w:t>
      </w:r>
      <w:r>
        <w:rPr>
          <w:rFonts w:ascii="宋体" w:hAnsi="宋体" w:cs="宋体" w:eastAsia="宋体" w:hint="default"/>
          <w:spacing w:val="-44"/>
        </w:rPr>
        <w:t> </w:t>
      </w:r>
      <w:r>
        <w:rPr/>
        <w:t>元</w:t>
      </w:r>
      <w:r>
        <w:rPr>
          <w:rFonts w:ascii="宋体" w:hAnsi="宋体" w:cs="宋体" w:eastAsia="宋体" w:hint="default"/>
        </w:rPr>
        <w:t>/</w:t>
      </w:r>
      <w:r>
        <w:rPr/>
        <w:t>股的价格授予限制性股票</w:t>
      </w:r>
      <w:r>
        <w:rPr>
          <w:spacing w:val="-43"/>
        </w:rPr>
        <w:t> </w:t>
      </w:r>
      <w:r>
        <w:rPr>
          <w:rFonts w:ascii="宋体" w:hAnsi="宋体" w:cs="宋体" w:eastAsia="宋体" w:hint="default"/>
        </w:rPr>
        <w:t>3,166,300</w:t>
      </w:r>
      <w:r>
        <w:rPr>
          <w:rFonts w:ascii="宋体" w:hAnsi="宋体" w:cs="宋体" w:eastAsia="宋体" w:hint="default"/>
          <w:spacing w:val="-44"/>
        </w:rPr>
        <w:t> </w:t>
      </w:r>
      <w:r>
        <w:rPr/>
        <w:t>股</w:t>
      </w:r>
      <w:r>
        <w:rPr>
          <w:spacing w:val="-31"/>
        </w:rPr>
        <w:t>，</w:t>
      </w:r>
      <w:r>
        <w:rPr/>
        <w:t>分两期执行</w:t>
      </w:r>
      <w:r>
        <w:rPr>
          <w:spacing w:val="-31"/>
        </w:rPr>
        <w:t>，</w:t>
      </w:r>
      <w:r>
        <w:rPr/>
        <w:t>第一期向</w:t>
      </w:r>
      <w:r>
        <w:rPr>
          <w:spacing w:val="-42"/>
        </w:rPr>
        <w:t> </w:t>
      </w:r>
      <w:r>
        <w:rPr>
          <w:rFonts w:ascii="宋体" w:hAnsi="宋体" w:cs="宋体" w:eastAsia="宋体" w:hint="default"/>
        </w:rPr>
        <w:t>174</w:t>
      </w:r>
      <w:r>
        <w:rPr>
          <w:rFonts w:ascii="宋体" w:hAnsi="宋体" w:cs="宋体" w:eastAsia="宋体" w:hint="default"/>
          <w:spacing w:val="-45"/>
        </w:rPr>
        <w:t> </w:t>
      </w:r>
      <w:r>
        <w:rPr/>
        <w:t>名激励</w:t>
      </w:r>
    </w:p>
    <w:p>
      <w:pPr>
        <w:spacing w:line="240" w:lineRule="auto" w:before="11"/>
        <w:rPr>
          <w:rFonts w:ascii="宋体" w:hAnsi="宋体" w:cs="宋体" w:eastAsia="宋体" w:hint="default"/>
          <w:sz w:val="19"/>
          <w:szCs w:val="19"/>
        </w:rPr>
      </w:pPr>
    </w:p>
    <w:p>
      <w:pPr>
        <w:pStyle w:val="BodyText"/>
        <w:spacing w:line="240" w:lineRule="auto"/>
        <w:ind w:right="939"/>
        <w:jc w:val="left"/>
      </w:pPr>
      <w:r>
        <w:rPr/>
        <w:t>对象授予</w:t>
      </w:r>
      <w:r>
        <w:rPr>
          <w:spacing w:val="-59"/>
        </w:rPr>
        <w:t> </w:t>
      </w:r>
      <w:r>
        <w:rPr>
          <w:rFonts w:ascii="宋体" w:hAnsi="宋体" w:cs="宋体" w:eastAsia="宋体" w:hint="default"/>
        </w:rPr>
        <w:t>2,533,100</w:t>
      </w:r>
      <w:r>
        <w:rPr>
          <w:rFonts w:ascii="宋体" w:hAnsi="宋体" w:cs="宋体" w:eastAsia="宋体" w:hint="default"/>
          <w:spacing w:val="-59"/>
        </w:rPr>
        <w:t> </w:t>
      </w:r>
      <w:r>
        <w:rPr>
          <w:spacing w:val="-7"/>
        </w:rPr>
        <w:t>股，第二期</w:t>
      </w:r>
      <w:r>
        <w:rPr>
          <w:spacing w:val="-59"/>
        </w:rPr>
        <w:t> </w:t>
      </w:r>
      <w:r>
        <w:rPr>
          <w:rFonts w:ascii="宋体" w:hAnsi="宋体" w:cs="宋体" w:eastAsia="宋体" w:hint="default"/>
        </w:rPr>
        <w:t>633,200</w:t>
      </w:r>
      <w:r>
        <w:rPr>
          <w:rFonts w:ascii="宋体" w:hAnsi="宋体" w:cs="宋体" w:eastAsia="宋体" w:hint="default"/>
          <w:spacing w:val="-60"/>
        </w:rPr>
        <w:t> </w:t>
      </w:r>
      <w:r>
        <w:rPr/>
        <w:t>股预留后期授予。由于部分激励对象自愿放弃获得限制性股票的权利，公司本次增</w:t>
      </w:r>
    </w:p>
    <w:p>
      <w:pPr>
        <w:spacing w:line="240" w:lineRule="auto" w:before="11"/>
        <w:rPr>
          <w:rFonts w:ascii="宋体" w:hAnsi="宋体" w:cs="宋体" w:eastAsia="宋体" w:hint="default"/>
          <w:sz w:val="19"/>
          <w:szCs w:val="19"/>
        </w:rPr>
      </w:pPr>
    </w:p>
    <w:p>
      <w:pPr>
        <w:pStyle w:val="BodyText"/>
        <w:spacing w:line="240" w:lineRule="auto"/>
        <w:ind w:right="939"/>
        <w:jc w:val="left"/>
      </w:pPr>
      <w:r>
        <w:rPr/>
        <w:t>加股本人民币</w:t>
      </w:r>
      <w:r>
        <w:rPr>
          <w:spacing w:val="-44"/>
        </w:rPr>
        <w:t> </w:t>
      </w:r>
      <w:r>
        <w:rPr>
          <w:rFonts w:ascii="宋体" w:hAnsi="宋体" w:cs="宋体" w:eastAsia="宋体" w:hint="default"/>
        </w:rPr>
        <w:t>2,513,400.00</w:t>
      </w:r>
      <w:r>
        <w:rPr>
          <w:rFonts w:ascii="宋体" w:hAnsi="宋体" w:cs="宋体" w:eastAsia="宋体" w:hint="default"/>
          <w:spacing w:val="-44"/>
        </w:rPr>
        <w:t> </w:t>
      </w:r>
      <w:r>
        <w:rPr/>
        <w:t>元，变更后的股本为人民币</w:t>
      </w:r>
      <w:r>
        <w:rPr>
          <w:spacing w:val="-42"/>
        </w:rPr>
        <w:t> </w:t>
      </w:r>
      <w:r>
        <w:rPr>
          <w:rFonts w:ascii="宋体" w:hAnsi="宋体" w:cs="宋体" w:eastAsia="宋体" w:hint="default"/>
        </w:rPr>
        <w:t>107,885,550.00</w:t>
      </w:r>
      <w:r>
        <w:rPr>
          <w:rFonts w:ascii="宋体" w:hAnsi="宋体" w:cs="宋体" w:eastAsia="宋体" w:hint="default"/>
          <w:spacing w:val="-44"/>
        </w:rPr>
        <w:t> </w:t>
      </w:r>
      <w:r>
        <w:rPr/>
        <w:t>元。</w:t>
      </w:r>
    </w:p>
    <w:p>
      <w:pPr>
        <w:spacing w:after="0" w:line="240" w:lineRule="auto"/>
        <w:jc w:val="left"/>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501" w:right="939"/>
        <w:jc w:val="left"/>
      </w:pPr>
      <w:r>
        <w:rPr>
          <w:rFonts w:ascii="宋体" w:hAnsi="宋体" w:cs="宋体" w:eastAsia="宋体" w:hint="default"/>
        </w:rPr>
        <w:t>2018</w:t>
      </w:r>
      <w:r>
        <w:rPr>
          <w:rFonts w:ascii="宋体" w:hAnsi="宋体" w:cs="宋体" w:eastAsia="宋体" w:hint="default"/>
          <w:spacing w:val="-45"/>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5"/>
        </w:rPr>
        <w:t> </w:t>
      </w:r>
      <w:r>
        <w:rPr>
          <w:rFonts w:ascii="宋体" w:hAnsi="宋体" w:cs="宋体" w:eastAsia="宋体" w:hint="default"/>
        </w:rPr>
        <w:t>16</w:t>
      </w:r>
      <w:r>
        <w:rPr>
          <w:rFonts w:ascii="宋体" w:hAnsi="宋体" w:cs="宋体" w:eastAsia="宋体" w:hint="default"/>
          <w:spacing w:val="-45"/>
        </w:rPr>
        <w:t> </w:t>
      </w:r>
      <w:r>
        <w:rPr>
          <w:spacing w:val="2"/>
        </w:rPr>
        <w:t>日，根据公司</w:t>
      </w:r>
      <w:r>
        <w:rPr>
          <w:spacing w:val="-44"/>
        </w:rPr>
        <w:t> </w:t>
      </w:r>
      <w:r>
        <w:rPr>
          <w:rFonts w:ascii="宋体" w:hAnsi="宋体" w:cs="宋体" w:eastAsia="宋体" w:hint="default"/>
        </w:rPr>
        <w:t>2016</w:t>
      </w:r>
      <w:r>
        <w:rPr>
          <w:rFonts w:ascii="宋体" w:hAnsi="宋体" w:cs="宋体" w:eastAsia="宋体" w:hint="default"/>
          <w:spacing w:val="-45"/>
        </w:rPr>
        <w:t> </w:t>
      </w:r>
      <w:r>
        <w:rPr/>
        <w:t>年</w:t>
      </w:r>
      <w:r>
        <w:rPr>
          <w:spacing w:val="-45"/>
        </w:rPr>
        <w:t> </w:t>
      </w:r>
      <w:r>
        <w:rPr>
          <w:rFonts w:ascii="宋体" w:hAnsi="宋体" w:cs="宋体" w:eastAsia="宋体" w:hint="default"/>
          <w:spacing w:val="7"/>
        </w:rPr>
        <w:t>12</w:t>
      </w:r>
      <w:r>
        <w:rPr>
          <w:rFonts w:ascii="宋体" w:hAnsi="宋体" w:cs="宋体" w:eastAsia="宋体" w:hint="default"/>
          <w:spacing w:val="-45"/>
        </w:rPr>
        <w:t> </w:t>
      </w:r>
      <w:r>
        <w:rPr/>
        <w:t>月</w:t>
      </w:r>
      <w:r>
        <w:rPr>
          <w:spacing w:val="-45"/>
        </w:rPr>
        <w:t> </w:t>
      </w:r>
      <w:r>
        <w:rPr>
          <w:rFonts w:ascii="宋体" w:hAnsi="宋体" w:cs="宋体" w:eastAsia="宋体" w:hint="default"/>
        </w:rPr>
        <w:t>29</w:t>
      </w:r>
      <w:r>
        <w:rPr>
          <w:rFonts w:ascii="宋体" w:hAnsi="宋体" w:cs="宋体" w:eastAsia="宋体" w:hint="default"/>
          <w:spacing w:val="-45"/>
        </w:rPr>
        <w:t> </w:t>
      </w:r>
      <w:r>
        <w:rPr/>
        <w:t>日</w:t>
      </w:r>
      <w:r>
        <w:rPr>
          <w:spacing w:val="-45"/>
        </w:rPr>
        <w:t> </w:t>
      </w:r>
      <w:r>
        <w:rPr>
          <w:rFonts w:ascii="宋体" w:hAnsi="宋体" w:cs="宋体" w:eastAsia="宋体" w:hint="default"/>
          <w:spacing w:val="3"/>
        </w:rPr>
        <w:t>2017</w:t>
      </w:r>
      <w:r>
        <w:rPr>
          <w:rFonts w:ascii="宋体" w:hAnsi="宋体" w:cs="宋体" w:eastAsia="宋体" w:hint="default"/>
          <w:spacing w:val="-45"/>
        </w:rPr>
        <w:t> </w:t>
      </w:r>
      <w:r>
        <w:rPr/>
        <w:t>年第一次临时股东大会审议并通过了《关于审核</w:t>
      </w:r>
      <w:r>
        <w:rPr>
          <w:rFonts w:ascii="宋体" w:hAnsi="宋体" w:cs="宋体" w:eastAsia="宋体" w:hint="default"/>
        </w:rPr>
        <w:t>&lt;</w:t>
      </w:r>
      <w:r>
        <w:rPr/>
        <w:t>深圳四方精创</w:t>
      </w:r>
    </w:p>
    <w:p>
      <w:pPr>
        <w:spacing w:line="240" w:lineRule="auto" w:before="11"/>
        <w:rPr>
          <w:rFonts w:ascii="宋体" w:hAnsi="宋体" w:cs="宋体" w:eastAsia="宋体" w:hint="default"/>
          <w:sz w:val="19"/>
          <w:szCs w:val="19"/>
        </w:rPr>
      </w:pPr>
    </w:p>
    <w:p>
      <w:pPr>
        <w:pStyle w:val="BodyText"/>
        <w:spacing w:line="240" w:lineRule="auto"/>
        <w:ind w:right="0"/>
        <w:jc w:val="both"/>
      </w:pPr>
      <w:r>
        <w:rPr/>
        <w:t>资讯股份有限公司</w:t>
      </w:r>
      <w:r>
        <w:rPr>
          <w:spacing w:val="-73"/>
        </w:rPr>
        <w:t> </w:t>
      </w:r>
      <w:r>
        <w:rPr>
          <w:rFonts w:ascii="宋体" w:hAnsi="宋体" w:cs="宋体" w:eastAsia="宋体" w:hint="default"/>
        </w:rPr>
        <w:t>2016</w:t>
      </w:r>
      <w:r>
        <w:rPr>
          <w:rFonts w:ascii="宋体" w:hAnsi="宋体" w:cs="宋体" w:eastAsia="宋体" w:hint="default"/>
          <w:spacing w:val="-74"/>
        </w:rPr>
        <w:t> </w:t>
      </w:r>
      <w:r>
        <w:rPr/>
        <w:t>年限制性股票激励计划（草案）</w:t>
      </w:r>
      <w:r>
        <w:rPr>
          <w:rFonts w:ascii="宋体" w:hAnsi="宋体" w:cs="宋体" w:eastAsia="宋体" w:hint="default"/>
        </w:rPr>
        <w:t>&gt;</w:t>
      </w:r>
      <w:r>
        <w:rPr/>
        <w:t>及其摘要的议案》及第二届董事会第二十八次会议审议通过的《关</w:t>
      </w:r>
    </w:p>
    <w:p>
      <w:pPr>
        <w:spacing w:line="240" w:lineRule="auto" w:before="0"/>
        <w:rPr>
          <w:rFonts w:ascii="宋体" w:hAnsi="宋体" w:cs="宋体" w:eastAsia="宋体" w:hint="default"/>
          <w:sz w:val="21"/>
          <w:szCs w:val="21"/>
        </w:rPr>
      </w:pPr>
    </w:p>
    <w:p>
      <w:pPr>
        <w:pStyle w:val="BodyText"/>
        <w:spacing w:line="240" w:lineRule="auto"/>
        <w:ind w:right="0"/>
        <w:jc w:val="both"/>
      </w:pPr>
      <w:r>
        <w:rPr/>
        <w:t>于向激励对象授予预留限制性股票的议案</w:t>
      </w:r>
      <w:r>
        <w:rPr>
          <w:spacing w:val="-90"/>
        </w:rPr>
        <w:t>》</w:t>
      </w:r>
      <w:r>
        <w:rPr>
          <w:spacing w:val="-31"/>
        </w:rPr>
        <w:t>，</w:t>
      </w:r>
      <w:r>
        <w:rPr/>
        <w:t>公司以</w:t>
      </w:r>
      <w:r>
        <w:rPr>
          <w:spacing w:val="-40"/>
        </w:rPr>
        <w:t> </w:t>
      </w:r>
      <w:r>
        <w:rPr>
          <w:rFonts w:ascii="宋体" w:hAnsi="宋体" w:cs="宋体" w:eastAsia="宋体" w:hint="default"/>
        </w:rPr>
        <w:t>23.82</w:t>
      </w:r>
      <w:r>
        <w:rPr>
          <w:rFonts w:ascii="宋体" w:hAnsi="宋体" w:cs="宋体" w:eastAsia="宋体" w:hint="default"/>
          <w:spacing w:val="-45"/>
        </w:rPr>
        <w:t> </w:t>
      </w:r>
      <w:r>
        <w:rPr/>
        <w:t>元</w:t>
      </w:r>
      <w:r>
        <w:rPr>
          <w:rFonts w:ascii="宋体" w:hAnsi="宋体" w:cs="宋体" w:eastAsia="宋体" w:hint="default"/>
        </w:rPr>
        <w:t>/</w:t>
      </w:r>
      <w:r>
        <w:rPr/>
        <w:t>股的价格向王超</w:t>
      </w:r>
      <w:r>
        <w:rPr>
          <w:spacing w:val="-31"/>
        </w:rPr>
        <w:t>、</w:t>
      </w:r>
      <w:r>
        <w:rPr/>
        <w:t>胡晓宇授予限制性股票</w:t>
      </w:r>
      <w:r>
        <w:rPr>
          <w:spacing w:val="-41"/>
        </w:rPr>
        <w:t> </w:t>
      </w:r>
      <w:r>
        <w:rPr>
          <w:rFonts w:ascii="宋体" w:hAnsi="宋体" w:cs="宋体" w:eastAsia="宋体" w:hint="default"/>
        </w:rPr>
        <w:t>276,000</w:t>
      </w:r>
      <w:r>
        <w:rPr>
          <w:rFonts w:ascii="宋体" w:hAnsi="宋体" w:cs="宋体" w:eastAsia="宋体" w:hint="default"/>
          <w:spacing w:val="-44"/>
        </w:rPr>
        <w:t> </w:t>
      </w:r>
      <w:r>
        <w:rPr/>
        <w:t>股</w:t>
      </w:r>
      <w:r>
        <w:rPr>
          <w:spacing w:val="-31"/>
        </w:rPr>
        <w:t>，</w:t>
      </w:r>
      <w:r>
        <w:rPr/>
        <w:t>变更后</w:t>
      </w:r>
    </w:p>
    <w:p>
      <w:pPr>
        <w:spacing w:line="240" w:lineRule="auto" w:before="11"/>
        <w:rPr>
          <w:rFonts w:ascii="宋体" w:hAnsi="宋体" w:cs="宋体" w:eastAsia="宋体" w:hint="default"/>
          <w:sz w:val="19"/>
          <w:szCs w:val="19"/>
        </w:rPr>
      </w:pPr>
    </w:p>
    <w:p>
      <w:pPr>
        <w:pStyle w:val="BodyText"/>
        <w:spacing w:line="240" w:lineRule="auto"/>
        <w:ind w:right="0"/>
        <w:jc w:val="both"/>
      </w:pPr>
      <w:r>
        <w:rPr/>
        <w:t>的股本为人民币</w:t>
      </w:r>
      <w:r>
        <w:rPr>
          <w:spacing w:val="-44"/>
        </w:rPr>
        <w:t> </w:t>
      </w:r>
      <w:r>
        <w:rPr>
          <w:rFonts w:ascii="宋体" w:hAnsi="宋体" w:cs="宋体" w:eastAsia="宋体" w:hint="default"/>
        </w:rPr>
        <w:t>108,161,550.00</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504" w:lineRule="auto"/>
        <w:ind w:right="1105" w:firstLine="360"/>
        <w:jc w:val="both"/>
      </w:pPr>
      <w:r>
        <w:rPr>
          <w:rFonts w:ascii="宋体" w:hAnsi="宋体" w:cs="宋体" w:eastAsia="宋体" w:hint="default"/>
        </w:rPr>
        <w:t>2018</w:t>
      </w:r>
      <w:r>
        <w:rPr>
          <w:rFonts w:ascii="宋体" w:hAnsi="宋体" w:cs="宋体" w:eastAsia="宋体" w:hint="default"/>
          <w:spacing w:val="-30"/>
        </w:rPr>
        <w:t> </w:t>
      </w:r>
      <w:r>
        <w:rPr/>
        <w:t>年</w:t>
      </w:r>
      <w:r>
        <w:rPr>
          <w:spacing w:val="-31"/>
        </w:rPr>
        <w:t> </w:t>
      </w:r>
      <w:r>
        <w:rPr>
          <w:rFonts w:ascii="宋体" w:hAnsi="宋体" w:cs="宋体" w:eastAsia="宋体" w:hint="default"/>
        </w:rPr>
        <w:t>4</w:t>
      </w:r>
      <w:r>
        <w:rPr>
          <w:rFonts w:ascii="宋体" w:hAnsi="宋体" w:cs="宋体" w:eastAsia="宋体" w:hint="default"/>
          <w:spacing w:val="-30"/>
        </w:rPr>
        <w:t> </w:t>
      </w:r>
      <w:r>
        <w:rPr/>
        <w:t>月</w:t>
      </w:r>
      <w:r>
        <w:rPr>
          <w:spacing w:val="-30"/>
        </w:rPr>
        <w:t> </w:t>
      </w:r>
      <w:r>
        <w:rPr>
          <w:rFonts w:ascii="宋体" w:hAnsi="宋体" w:cs="宋体" w:eastAsia="宋体" w:hint="default"/>
        </w:rPr>
        <w:t>20</w:t>
      </w:r>
      <w:r>
        <w:rPr>
          <w:rFonts w:ascii="宋体" w:hAnsi="宋体" w:cs="宋体" w:eastAsia="宋体" w:hint="default"/>
          <w:spacing w:val="-30"/>
        </w:rPr>
        <w:t> </w:t>
      </w:r>
      <w:r>
        <w:rPr>
          <w:spacing w:val="-2"/>
        </w:rPr>
        <w:t>日，根据公司第三届董事会第二次会议审议通过的《关于回购注销部分已授予限制性股票的议案》，公</w:t>
      </w:r>
      <w:r>
        <w:rPr/>
        <w:t> 司回购注销部分已授予限制性股票，向董玲玲、孙舰、朱炳飞、谭伟明、王海燕、刘海生、梅世城、谭新安及李海锋回购</w:t>
      </w:r>
      <w:r>
        <w:rPr>
          <w:spacing w:val="-7"/>
        </w:rPr>
        <w:t> </w:t>
      </w:r>
      <w:r>
        <w:rPr>
          <w:spacing w:val="-7"/>
        </w:rPr>
      </w:r>
      <w:r>
        <w:rPr>
          <w:rFonts w:ascii="宋体" w:hAnsi="宋体" w:cs="宋体" w:eastAsia="宋体" w:hint="default"/>
        </w:rPr>
        <w:t>68,720</w:t>
      </w:r>
      <w:r>
        <w:rPr>
          <w:rFonts w:ascii="宋体" w:hAnsi="宋体" w:cs="宋体" w:eastAsia="宋体" w:hint="default"/>
          <w:spacing w:val="-45"/>
        </w:rPr>
        <w:t> </w:t>
      </w:r>
      <w:r>
        <w:rPr/>
        <w:t>股，申请减少注册资本</w:t>
      </w:r>
      <w:r>
        <w:rPr>
          <w:spacing w:val="-43"/>
        </w:rPr>
        <w:t> </w:t>
      </w:r>
      <w:r>
        <w:rPr>
          <w:rFonts w:ascii="宋体" w:hAnsi="宋体" w:cs="宋体" w:eastAsia="宋体" w:hint="default"/>
        </w:rPr>
        <w:t>68,720.00</w:t>
      </w:r>
      <w:r>
        <w:rPr>
          <w:rFonts w:ascii="宋体" w:hAnsi="宋体" w:cs="宋体" w:eastAsia="宋体" w:hint="default"/>
          <w:spacing w:val="-45"/>
        </w:rPr>
        <w:t> </w:t>
      </w:r>
      <w:r>
        <w:rPr/>
        <w:t>元</w:t>
      </w:r>
      <w:r>
        <w:rPr>
          <w:rFonts w:ascii="宋体" w:hAnsi="宋体" w:cs="宋体" w:eastAsia="宋体" w:hint="default"/>
        </w:rPr>
        <w:t>,</w:t>
      </w:r>
      <w:r>
        <w:rPr/>
        <w:t>变更后的股本为</w:t>
      </w:r>
      <w:r>
        <w:rPr>
          <w:spacing w:val="-44"/>
        </w:rPr>
        <w:t> </w:t>
      </w:r>
      <w:r>
        <w:rPr>
          <w:rFonts w:ascii="宋体" w:hAnsi="宋体" w:cs="宋体" w:eastAsia="宋体" w:hint="default"/>
        </w:rPr>
        <w:t>108,092,830.00</w:t>
      </w:r>
      <w:r>
        <w:rPr>
          <w:rFonts w:ascii="宋体" w:hAnsi="宋体" w:cs="宋体" w:eastAsia="宋体" w:hint="default"/>
          <w:spacing w:val="-44"/>
        </w:rPr>
        <w:t> </w:t>
      </w:r>
      <w:r>
        <w:rPr/>
        <w:t>元。</w:t>
      </w:r>
    </w:p>
    <w:p>
      <w:pPr>
        <w:spacing w:line="240" w:lineRule="auto" w:before="5"/>
        <w:rPr>
          <w:rFonts w:ascii="宋体" w:hAnsi="宋体" w:cs="宋体" w:eastAsia="宋体" w:hint="default"/>
          <w:sz w:val="17"/>
          <w:szCs w:val="17"/>
        </w:rPr>
      </w:pPr>
    </w:p>
    <w:p>
      <w:pPr>
        <w:pStyle w:val="BodyText"/>
        <w:spacing w:line="240" w:lineRule="auto"/>
        <w:ind w:left="501" w:right="939"/>
        <w:jc w:val="left"/>
      </w:pPr>
      <w:r>
        <w:rPr>
          <w:rFonts w:ascii="宋体" w:hAnsi="宋体" w:cs="宋体" w:eastAsia="宋体" w:hint="default"/>
        </w:rPr>
        <w:t>2018</w:t>
      </w:r>
      <w:r>
        <w:rPr>
          <w:rFonts w:ascii="宋体" w:hAnsi="宋体" w:cs="宋体" w:eastAsia="宋体" w:hint="default"/>
          <w:spacing w:val="-47"/>
        </w:rPr>
        <w:t> </w:t>
      </w:r>
      <w:r>
        <w:rPr/>
        <w:t>年</w:t>
      </w:r>
      <w:r>
        <w:rPr>
          <w:spacing w:val="-48"/>
        </w:rPr>
        <w:t> </w:t>
      </w:r>
      <w:r>
        <w:rPr>
          <w:rFonts w:ascii="宋体" w:hAnsi="宋体" w:cs="宋体" w:eastAsia="宋体" w:hint="default"/>
        </w:rPr>
        <w:t>6</w:t>
      </w:r>
      <w:r>
        <w:rPr>
          <w:rFonts w:ascii="宋体" w:hAnsi="宋体" w:cs="宋体" w:eastAsia="宋体" w:hint="default"/>
          <w:spacing w:val="-47"/>
        </w:rPr>
        <w:t> </w:t>
      </w:r>
      <w:r>
        <w:rPr/>
        <w:t>月</w:t>
      </w:r>
      <w:r>
        <w:rPr>
          <w:spacing w:val="-47"/>
        </w:rPr>
        <w:t> </w:t>
      </w:r>
      <w:r>
        <w:rPr>
          <w:rFonts w:ascii="宋体" w:hAnsi="宋体" w:cs="宋体" w:eastAsia="宋体" w:hint="default"/>
        </w:rPr>
        <w:t>8</w:t>
      </w:r>
      <w:r>
        <w:rPr>
          <w:rFonts w:ascii="宋体" w:hAnsi="宋体" w:cs="宋体" w:eastAsia="宋体" w:hint="default"/>
          <w:spacing w:val="-47"/>
        </w:rPr>
        <w:t> </w:t>
      </w:r>
      <w:r>
        <w:rPr>
          <w:spacing w:val="-4"/>
        </w:rPr>
        <w:t>日，根据</w:t>
      </w:r>
      <w:r>
        <w:rPr>
          <w:spacing w:val="-47"/>
        </w:rPr>
        <w:t> </w:t>
      </w:r>
      <w:r>
        <w:rPr>
          <w:rFonts w:ascii="宋体" w:hAnsi="宋体" w:cs="宋体" w:eastAsia="宋体" w:hint="default"/>
        </w:rPr>
        <w:t>2017</w:t>
      </w:r>
      <w:r>
        <w:rPr>
          <w:rFonts w:ascii="宋体" w:hAnsi="宋体" w:cs="宋体" w:eastAsia="宋体" w:hint="default"/>
          <w:spacing w:val="-47"/>
        </w:rPr>
        <w:t> </w:t>
      </w:r>
      <w:r>
        <w:rPr/>
        <w:t>年股东大会会议审议通过的《关于审议 </w:t>
      </w:r>
      <w:r>
        <w:rPr>
          <w:rFonts w:ascii="宋体" w:hAnsi="宋体" w:cs="宋体" w:eastAsia="宋体" w:hint="default"/>
        </w:rPr>
        <w:t>2017</w:t>
      </w:r>
      <w:r>
        <w:rPr>
          <w:rFonts w:ascii="宋体" w:hAnsi="宋体" w:cs="宋体" w:eastAsia="宋体" w:hint="default"/>
          <w:spacing w:val="-3"/>
        </w:rPr>
        <w:t> </w:t>
      </w:r>
      <w:r>
        <w:rPr/>
        <w:t>年度利润分配及资本公积金转增股本预案的</w:t>
      </w:r>
    </w:p>
    <w:p>
      <w:pPr>
        <w:spacing w:line="240" w:lineRule="auto" w:before="11"/>
        <w:rPr>
          <w:rFonts w:ascii="宋体" w:hAnsi="宋体" w:cs="宋体" w:eastAsia="宋体" w:hint="default"/>
          <w:sz w:val="19"/>
          <w:szCs w:val="19"/>
        </w:rPr>
      </w:pPr>
    </w:p>
    <w:p>
      <w:pPr>
        <w:pStyle w:val="BodyText"/>
        <w:spacing w:line="240" w:lineRule="auto"/>
        <w:ind w:right="0"/>
        <w:jc w:val="both"/>
      </w:pPr>
      <w:r>
        <w:rPr/>
        <w:t>议案</w:t>
      </w:r>
      <w:r>
        <w:rPr>
          <w:spacing w:val="-90"/>
        </w:rPr>
        <w:t>》</w:t>
      </w:r>
      <w:r>
        <w:rPr/>
        <w:t>，以公司现</w:t>
      </w:r>
      <w:r>
        <w:rPr>
          <w:spacing w:val="14"/>
        </w:rPr>
        <w:t>有</w:t>
      </w:r>
      <w:r>
        <w:rPr/>
        <w:t>总股本</w:t>
      </w:r>
      <w:r>
        <w:rPr>
          <w:spacing w:val="2"/>
        </w:rPr>
        <w:t> </w:t>
      </w:r>
      <w:r>
        <w:rPr>
          <w:rFonts w:ascii="宋体" w:hAnsi="宋体" w:cs="宋体" w:eastAsia="宋体" w:hint="default"/>
        </w:rPr>
        <w:t>108,092,830</w:t>
      </w:r>
      <w:r>
        <w:rPr>
          <w:rFonts w:ascii="宋体" w:hAnsi="宋体" w:cs="宋体" w:eastAsia="宋体" w:hint="default"/>
          <w:spacing w:val="1"/>
        </w:rPr>
        <w:t> </w:t>
      </w:r>
      <w:r>
        <w:rPr/>
        <w:t>股</w:t>
      </w:r>
      <w:r>
        <w:rPr>
          <w:spacing w:val="14"/>
        </w:rPr>
        <w:t>为</w:t>
      </w:r>
      <w:r>
        <w:rPr/>
        <w:t>基数，以资</w:t>
      </w:r>
      <w:r>
        <w:rPr>
          <w:spacing w:val="14"/>
        </w:rPr>
        <w:t>本</w:t>
      </w:r>
      <w:r>
        <w:rPr/>
        <w:t>公积金向全</w:t>
      </w:r>
      <w:r>
        <w:rPr>
          <w:spacing w:val="14"/>
        </w:rPr>
        <w:t>体</w:t>
      </w:r>
      <w:r>
        <w:rPr/>
        <w:t>股东每</w:t>
      </w:r>
      <w:r>
        <w:rPr>
          <w:spacing w:val="4"/>
        </w:rPr>
        <w:t> </w:t>
      </w:r>
      <w:r>
        <w:rPr>
          <w:rFonts w:ascii="宋体" w:hAnsi="宋体" w:cs="宋体" w:eastAsia="宋体" w:hint="default"/>
        </w:rPr>
        <w:t>10 </w:t>
      </w:r>
      <w:r>
        <w:rPr/>
        <w:t>股</w:t>
      </w:r>
      <w:r>
        <w:rPr>
          <w:spacing w:val="14"/>
        </w:rPr>
        <w:t>转</w:t>
      </w:r>
      <w:r>
        <w:rPr/>
        <w:t>增 </w:t>
      </w:r>
      <w:r>
        <w:rPr>
          <w:rFonts w:ascii="宋体" w:hAnsi="宋体" w:cs="宋体" w:eastAsia="宋体" w:hint="default"/>
        </w:rPr>
        <w:t>8.005</w:t>
      </w:r>
      <w:r>
        <w:rPr>
          <w:rFonts w:ascii="宋体" w:hAnsi="宋体" w:cs="宋体" w:eastAsia="宋体" w:hint="default"/>
          <w:spacing w:val="1"/>
        </w:rPr>
        <w:t>0</w:t>
      </w:r>
      <w:r>
        <w:rPr>
          <w:rFonts w:ascii="宋体" w:hAnsi="宋体" w:cs="宋体" w:eastAsia="宋体" w:hint="default"/>
        </w:rPr>
        <w:t>86 </w:t>
      </w:r>
      <w:r>
        <w:rPr/>
        <w:t>股，变</w:t>
      </w:r>
      <w:r>
        <w:rPr>
          <w:spacing w:val="14"/>
        </w:rPr>
        <w:t>更</w:t>
      </w:r>
      <w:r>
        <w:rPr/>
        <w:t>后股本为</w:t>
      </w:r>
    </w:p>
    <w:p>
      <w:pPr>
        <w:spacing w:line="240" w:lineRule="auto" w:before="0"/>
        <w:rPr>
          <w:rFonts w:ascii="宋体" w:hAnsi="宋体" w:cs="宋体" w:eastAsia="宋体" w:hint="default"/>
          <w:sz w:val="21"/>
          <w:szCs w:val="21"/>
        </w:rPr>
      </w:pPr>
    </w:p>
    <w:p>
      <w:pPr>
        <w:pStyle w:val="BodyText"/>
        <w:spacing w:line="240" w:lineRule="auto"/>
        <w:ind w:right="0"/>
        <w:jc w:val="both"/>
      </w:pPr>
      <w:r>
        <w:rPr>
          <w:rFonts w:ascii="宋体" w:hAnsi="宋体" w:cs="宋体" w:eastAsia="宋体" w:hint="default"/>
        </w:rPr>
        <w:t>194,622,070.00</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left="501" w:right="939"/>
        <w:jc w:val="left"/>
      </w:pPr>
      <w:r>
        <w:rPr>
          <w:rFonts w:ascii="宋体" w:hAnsi="宋体" w:cs="宋体" w:eastAsia="宋体" w:hint="default"/>
        </w:rPr>
        <w:t>2018</w:t>
      </w:r>
      <w:r>
        <w:rPr>
          <w:rFonts w:ascii="宋体" w:hAnsi="宋体" w:cs="宋体" w:eastAsia="宋体" w:hint="default"/>
          <w:spacing w:val="-30"/>
        </w:rPr>
        <w:t> </w:t>
      </w:r>
      <w:r>
        <w:rPr/>
        <w:t>年</w:t>
      </w:r>
      <w:r>
        <w:rPr>
          <w:spacing w:val="-31"/>
        </w:rPr>
        <w:t> </w:t>
      </w:r>
      <w:r>
        <w:rPr>
          <w:rFonts w:ascii="宋体" w:hAnsi="宋体" w:cs="宋体" w:eastAsia="宋体" w:hint="default"/>
        </w:rPr>
        <w:t>10</w:t>
      </w:r>
      <w:r>
        <w:rPr>
          <w:rFonts w:ascii="宋体" w:hAnsi="宋体" w:cs="宋体" w:eastAsia="宋体" w:hint="default"/>
          <w:spacing w:val="-30"/>
        </w:rPr>
        <w:t> </w:t>
      </w:r>
      <w:r>
        <w:rPr/>
        <w:t>月</w:t>
      </w:r>
      <w:r>
        <w:rPr>
          <w:spacing w:val="-30"/>
        </w:rPr>
        <w:t> </w:t>
      </w:r>
      <w:r>
        <w:rPr>
          <w:rFonts w:ascii="宋体" w:hAnsi="宋体" w:cs="宋体" w:eastAsia="宋体" w:hint="default"/>
        </w:rPr>
        <w:t>9</w:t>
      </w:r>
      <w:r>
        <w:rPr>
          <w:rFonts w:ascii="宋体" w:hAnsi="宋体" w:cs="宋体" w:eastAsia="宋体" w:hint="default"/>
          <w:spacing w:val="-30"/>
        </w:rPr>
        <w:t> </w:t>
      </w:r>
      <w:r>
        <w:rPr/>
        <w:t>日，根据公司第三届董事会第七次会议审议通过的《关于回购注销部分已授予限制性股票的议案</w:t>
      </w:r>
      <w:r>
        <w:rPr>
          <w:spacing w:val="-90"/>
        </w:rPr>
        <w:t>》</w:t>
      </w:r>
      <w:r>
        <w:rPr/>
        <w:t>，公</w:t>
      </w:r>
    </w:p>
    <w:p>
      <w:pPr>
        <w:spacing w:line="240" w:lineRule="auto" w:before="11"/>
        <w:rPr>
          <w:rFonts w:ascii="宋体" w:hAnsi="宋体" w:cs="宋体" w:eastAsia="宋体" w:hint="default"/>
          <w:sz w:val="19"/>
          <w:szCs w:val="19"/>
        </w:rPr>
      </w:pPr>
    </w:p>
    <w:p>
      <w:pPr>
        <w:pStyle w:val="BodyText"/>
        <w:spacing w:line="240" w:lineRule="auto"/>
        <w:ind w:right="0"/>
        <w:jc w:val="both"/>
      </w:pPr>
      <w:r>
        <w:rPr/>
        <w:t>司回购注销</w:t>
      </w:r>
      <w:r>
        <w:rPr>
          <w:spacing w:val="-45"/>
        </w:rPr>
        <w:t> </w:t>
      </w:r>
      <w:r>
        <w:rPr>
          <w:rFonts w:ascii="宋体" w:hAnsi="宋体" w:cs="宋体" w:eastAsia="宋体" w:hint="default"/>
        </w:rPr>
        <w:t>32</w:t>
      </w:r>
      <w:r>
        <w:rPr>
          <w:rFonts w:ascii="宋体" w:hAnsi="宋体" w:cs="宋体" w:eastAsia="宋体" w:hint="default"/>
          <w:spacing w:val="-45"/>
        </w:rPr>
        <w:t> </w:t>
      </w:r>
      <w:r>
        <w:rPr/>
        <w:t>名激励对象已获授但尚未解锁的限制性股票共</w:t>
      </w:r>
      <w:r>
        <w:rPr>
          <w:spacing w:val="-41"/>
        </w:rPr>
        <w:t> </w:t>
      </w:r>
      <w:r>
        <w:rPr>
          <w:rFonts w:ascii="宋体" w:hAnsi="宋体" w:cs="宋体" w:eastAsia="宋体" w:hint="default"/>
        </w:rPr>
        <w:t>339,991</w:t>
      </w:r>
      <w:r>
        <w:rPr>
          <w:rFonts w:ascii="宋体" w:hAnsi="宋体" w:cs="宋体" w:eastAsia="宋体" w:hint="default"/>
          <w:spacing w:val="-45"/>
        </w:rPr>
        <w:t> </w:t>
      </w:r>
      <w:r>
        <w:rPr/>
        <w:t>股，变更后股本为</w:t>
      </w:r>
      <w:r>
        <w:rPr>
          <w:spacing w:val="-44"/>
        </w:rPr>
        <w:t> </w:t>
      </w:r>
      <w:r>
        <w:rPr>
          <w:rFonts w:ascii="宋体" w:hAnsi="宋体" w:cs="宋体" w:eastAsia="宋体" w:hint="default"/>
        </w:rPr>
        <w:t>194,282,079</w:t>
      </w:r>
      <w:r>
        <w:rPr>
          <w:rFonts w:ascii="宋体" w:hAnsi="宋体" w:cs="宋体" w:eastAsia="宋体" w:hint="default"/>
          <w:spacing w:val="-44"/>
        </w:rPr>
        <w:t> </w:t>
      </w:r>
      <w:r>
        <w:rPr/>
        <w:t>股。</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left="501" w:right="939"/>
        <w:jc w:val="left"/>
      </w:pPr>
      <w:r>
        <w:rPr>
          <w:rFonts w:ascii="宋体" w:hAnsi="宋体" w:cs="宋体" w:eastAsia="宋体" w:hint="default"/>
        </w:rPr>
        <w:t>2018</w:t>
      </w:r>
      <w:r>
        <w:rPr>
          <w:rFonts w:ascii="宋体" w:hAnsi="宋体" w:cs="宋体" w:eastAsia="宋体" w:hint="default"/>
          <w:spacing w:val="-45"/>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5"/>
        </w:rPr>
        <w:t> </w:t>
      </w:r>
      <w:r>
        <w:rPr>
          <w:rFonts w:ascii="宋体" w:hAnsi="宋体" w:cs="宋体" w:eastAsia="宋体" w:hint="default"/>
        </w:rPr>
        <w:t>30</w:t>
      </w:r>
      <w:r>
        <w:rPr>
          <w:rFonts w:ascii="宋体" w:hAnsi="宋体" w:cs="宋体" w:eastAsia="宋体" w:hint="default"/>
          <w:spacing w:val="-45"/>
        </w:rPr>
        <w:t> </w:t>
      </w:r>
      <w:r>
        <w:rPr/>
        <w:t>日</w:t>
      </w:r>
      <w:r>
        <w:rPr>
          <w:spacing w:val="-15"/>
        </w:rPr>
        <w:t>，</w:t>
      </w:r>
      <w:r>
        <w:rPr/>
        <w:t>根据公司第三届董事会第九次会议审议通过</w:t>
      </w:r>
      <w:r>
        <w:rPr>
          <w:spacing w:val="-15"/>
        </w:rPr>
        <w:t>的</w:t>
      </w:r>
      <w:r>
        <w:rPr/>
        <w:t>《关于回购注销部分已授予限制性股票的议案</w:t>
      </w:r>
      <w:r>
        <w:rPr>
          <w:spacing w:val="-90"/>
        </w:rPr>
        <w:t>》</w:t>
      </w:r>
      <w:r>
        <w:rPr>
          <w:spacing w:val="-15"/>
        </w:rPr>
        <w:t>，</w:t>
      </w:r>
      <w:r>
        <w:rPr/>
        <w:t>公</w:t>
      </w:r>
    </w:p>
    <w:p>
      <w:pPr>
        <w:spacing w:line="240" w:lineRule="auto" w:before="11"/>
        <w:rPr>
          <w:rFonts w:ascii="宋体" w:hAnsi="宋体" w:cs="宋体" w:eastAsia="宋体" w:hint="default"/>
          <w:sz w:val="19"/>
          <w:szCs w:val="19"/>
        </w:rPr>
      </w:pPr>
    </w:p>
    <w:p>
      <w:pPr>
        <w:pStyle w:val="BodyText"/>
        <w:spacing w:line="240" w:lineRule="auto"/>
        <w:ind w:right="0"/>
        <w:jc w:val="both"/>
      </w:pPr>
      <w:r>
        <w:rPr/>
        <w:t>司回购注销</w:t>
      </w:r>
      <w:r>
        <w:rPr>
          <w:spacing w:val="-45"/>
        </w:rPr>
        <w:t> </w:t>
      </w:r>
      <w:r>
        <w:rPr>
          <w:rFonts w:ascii="宋体" w:hAnsi="宋体" w:cs="宋体" w:eastAsia="宋体" w:hint="default"/>
        </w:rPr>
        <w:t>2</w:t>
      </w:r>
      <w:r>
        <w:rPr>
          <w:rFonts w:ascii="宋体" w:hAnsi="宋体" w:cs="宋体" w:eastAsia="宋体" w:hint="default"/>
          <w:spacing w:val="-45"/>
        </w:rPr>
        <w:t> </w:t>
      </w:r>
      <w:r>
        <w:rPr/>
        <w:t>名激励对象已获授但尚未解锁的限制性股票共</w:t>
      </w:r>
      <w:r>
        <w:rPr>
          <w:spacing w:val="-41"/>
        </w:rPr>
        <w:t> </w:t>
      </w:r>
      <w:r>
        <w:rPr>
          <w:rFonts w:ascii="宋体" w:hAnsi="宋体" w:cs="宋体" w:eastAsia="宋体" w:hint="default"/>
        </w:rPr>
        <w:t>61,217</w:t>
      </w:r>
      <w:r>
        <w:rPr>
          <w:rFonts w:ascii="宋体" w:hAnsi="宋体" w:cs="宋体" w:eastAsia="宋体" w:hint="default"/>
          <w:spacing w:val="-45"/>
        </w:rPr>
        <w:t> </w:t>
      </w:r>
      <w:r>
        <w:rPr/>
        <w:t>股，变更后股本为</w:t>
      </w:r>
      <w:r>
        <w:rPr>
          <w:spacing w:val="-43"/>
        </w:rPr>
        <w:t> </w:t>
      </w:r>
      <w:r>
        <w:rPr>
          <w:rFonts w:ascii="宋体" w:hAnsi="宋体" w:cs="宋体" w:eastAsia="宋体" w:hint="default"/>
        </w:rPr>
        <w:t>194,220,862</w:t>
      </w:r>
      <w:r>
        <w:rPr>
          <w:rFonts w:ascii="宋体" w:hAnsi="宋体" w:cs="宋体" w:eastAsia="宋体" w:hint="default"/>
          <w:spacing w:val="-45"/>
        </w:rPr>
        <w:t> </w:t>
      </w:r>
      <w:r>
        <w:rPr/>
        <w:t>股。</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left="501" w:right="939"/>
        <w:jc w:val="left"/>
      </w:pPr>
      <w:r>
        <w:rPr>
          <w:rFonts w:ascii="宋体" w:hAnsi="宋体" w:cs="宋体" w:eastAsia="宋体" w:hint="default"/>
        </w:rPr>
        <w:t>2019</w:t>
      </w:r>
      <w:r>
        <w:rPr>
          <w:rFonts w:ascii="宋体" w:hAnsi="宋体" w:cs="宋体" w:eastAsia="宋体" w:hint="default"/>
          <w:spacing w:val="-33"/>
        </w:rPr>
        <w:t> </w:t>
      </w:r>
      <w:r>
        <w:rPr/>
        <w:t>年</w:t>
      </w:r>
      <w:r>
        <w:rPr>
          <w:spacing w:val="-34"/>
        </w:rPr>
        <w:t> </w:t>
      </w:r>
      <w:r>
        <w:rPr>
          <w:rFonts w:ascii="宋体" w:hAnsi="宋体" w:cs="宋体" w:eastAsia="宋体" w:hint="default"/>
        </w:rPr>
        <w:t>4</w:t>
      </w:r>
      <w:r>
        <w:rPr>
          <w:rFonts w:ascii="宋体" w:hAnsi="宋体" w:cs="宋体" w:eastAsia="宋体" w:hint="default"/>
          <w:spacing w:val="-47"/>
        </w:rPr>
        <w:t> </w:t>
      </w:r>
      <w:r>
        <w:rPr/>
        <w:t>月</w:t>
      </w:r>
      <w:r>
        <w:rPr>
          <w:spacing w:val="-33"/>
        </w:rPr>
        <w:t> </w:t>
      </w:r>
      <w:r>
        <w:rPr>
          <w:rFonts w:ascii="宋体" w:hAnsi="宋体" w:cs="宋体" w:eastAsia="宋体" w:hint="default"/>
        </w:rPr>
        <w:t>23</w:t>
      </w:r>
      <w:r>
        <w:rPr>
          <w:rFonts w:ascii="宋体" w:hAnsi="宋体" w:cs="宋体" w:eastAsia="宋体" w:hint="default"/>
          <w:spacing w:val="-33"/>
        </w:rPr>
        <w:t> </w:t>
      </w:r>
      <w:r>
        <w:rPr/>
        <w:t>日，根据公司第三届董事会第十二次会议决议通过的《关于回购注销</w:t>
      </w:r>
      <w:r>
        <w:rPr>
          <w:spacing w:val="-27"/>
        </w:rPr>
        <w:t> </w:t>
      </w:r>
      <w:r>
        <w:rPr>
          <w:rFonts w:ascii="宋体" w:hAnsi="宋体" w:cs="宋体" w:eastAsia="宋体" w:hint="default"/>
        </w:rPr>
        <w:t>2015</w:t>
      </w:r>
      <w:r>
        <w:rPr>
          <w:rFonts w:ascii="宋体" w:hAnsi="宋体" w:cs="宋体" w:eastAsia="宋体" w:hint="default"/>
          <w:spacing w:val="-33"/>
        </w:rPr>
        <w:t> </w:t>
      </w:r>
      <w:r>
        <w:rPr/>
        <w:t>年限制性股票激励计划部分</w:t>
      </w:r>
    </w:p>
    <w:p>
      <w:pPr>
        <w:spacing w:line="240" w:lineRule="auto" w:before="11"/>
        <w:rPr>
          <w:rFonts w:ascii="宋体" w:hAnsi="宋体" w:cs="宋体" w:eastAsia="宋体" w:hint="default"/>
          <w:sz w:val="19"/>
          <w:szCs w:val="19"/>
        </w:rPr>
      </w:pPr>
    </w:p>
    <w:p>
      <w:pPr>
        <w:pStyle w:val="BodyText"/>
        <w:spacing w:line="240" w:lineRule="auto"/>
        <w:ind w:right="0"/>
        <w:jc w:val="both"/>
      </w:pPr>
      <w:r>
        <w:rPr/>
        <w:t>限制性股票的议案</w:t>
      </w:r>
      <w:r>
        <w:rPr>
          <w:spacing w:val="-90"/>
        </w:rPr>
        <w:t>》</w:t>
      </w:r>
      <w:r>
        <w:rPr>
          <w:spacing w:val="-121"/>
        </w:rPr>
        <w:t>，</w:t>
      </w:r>
      <w:r>
        <w:rPr/>
        <w:t>《关于回购注销</w:t>
      </w:r>
      <w:r>
        <w:rPr>
          <w:spacing w:val="-42"/>
        </w:rPr>
        <w:t> </w:t>
      </w:r>
      <w:r>
        <w:rPr>
          <w:rFonts w:ascii="宋体" w:hAnsi="宋体" w:cs="宋体" w:eastAsia="宋体" w:hint="default"/>
        </w:rPr>
        <w:t>2016</w:t>
      </w:r>
      <w:r>
        <w:rPr>
          <w:rFonts w:ascii="宋体" w:hAnsi="宋体" w:cs="宋体" w:eastAsia="宋体" w:hint="default"/>
          <w:spacing w:val="-45"/>
        </w:rPr>
        <w:t> </w:t>
      </w:r>
      <w:r>
        <w:rPr/>
        <w:t>年限制性股票激励计划部分限制性股票的议案</w:t>
      </w:r>
      <w:r>
        <w:rPr>
          <w:spacing w:val="-31"/>
        </w:rPr>
        <w:t>》及</w:t>
      </w:r>
      <w:r>
        <w:rPr/>
        <w:t>《关于回购注销</w:t>
      </w:r>
      <w:r>
        <w:rPr>
          <w:spacing w:val="-39"/>
        </w:rPr>
        <w:t> </w:t>
      </w:r>
      <w:r>
        <w:rPr>
          <w:rFonts w:ascii="宋体" w:hAnsi="宋体" w:cs="宋体" w:eastAsia="宋体" w:hint="default"/>
        </w:rPr>
        <w:t>2017</w:t>
      </w:r>
      <w:r>
        <w:rPr>
          <w:rFonts w:ascii="宋体" w:hAnsi="宋体" w:cs="宋体" w:eastAsia="宋体" w:hint="default"/>
          <w:spacing w:val="-45"/>
        </w:rPr>
        <w:t> </w:t>
      </w:r>
      <w:r>
        <w:rPr/>
        <w:t>年限制性</w:t>
      </w:r>
    </w:p>
    <w:p>
      <w:pPr>
        <w:spacing w:line="240" w:lineRule="auto" w:before="11"/>
        <w:rPr>
          <w:rFonts w:ascii="宋体" w:hAnsi="宋体" w:cs="宋体" w:eastAsia="宋体" w:hint="default"/>
          <w:sz w:val="19"/>
          <w:szCs w:val="19"/>
        </w:rPr>
      </w:pPr>
    </w:p>
    <w:p>
      <w:pPr>
        <w:pStyle w:val="BodyText"/>
        <w:spacing w:line="511" w:lineRule="auto"/>
        <w:ind w:right="1098"/>
        <w:jc w:val="both"/>
      </w:pPr>
      <w:r>
        <w:rPr/>
        <w:t>股票激励计划部分限制性股票的议案</w:t>
      </w:r>
      <w:r>
        <w:rPr>
          <w:spacing w:val="-90"/>
        </w:rPr>
        <w:t>》</w:t>
      </w:r>
      <w:r>
        <w:rPr>
          <w:spacing w:val="-31"/>
        </w:rPr>
        <w:t>，</w:t>
      </w:r>
      <w:r>
        <w:rPr/>
        <w:t>鉴于公司部分激励对象已经离职</w:t>
      </w:r>
      <w:r>
        <w:rPr>
          <w:spacing w:val="-31"/>
        </w:rPr>
        <w:t>，</w:t>
      </w:r>
      <w:r>
        <w:rPr/>
        <w:t>且</w:t>
      </w:r>
      <w:r>
        <w:rPr>
          <w:spacing w:val="-38"/>
        </w:rPr>
        <w:t> </w:t>
      </w:r>
      <w:r>
        <w:rPr>
          <w:rFonts w:ascii="宋体" w:hAnsi="宋体" w:cs="宋体" w:eastAsia="宋体" w:hint="default"/>
        </w:rPr>
        <w:t>2018</w:t>
      </w:r>
      <w:r>
        <w:rPr>
          <w:rFonts w:ascii="宋体" w:hAnsi="宋体" w:cs="宋体" w:eastAsia="宋体" w:hint="default"/>
          <w:spacing w:val="-45"/>
        </w:rPr>
        <w:t> </w:t>
      </w:r>
      <w:r>
        <w:rPr/>
        <w:t>年未达到股权激励计划的业绩要求</w:t>
      </w:r>
      <w:r>
        <w:rPr>
          <w:spacing w:val="-31"/>
        </w:rPr>
        <w:t>，</w:t>
      </w:r>
      <w:r>
        <w:rPr/>
        <w:t>根据</w:t>
      </w:r>
      <w:r>
        <w:rPr/>
        <w:t> 公司《</w:t>
      </w:r>
      <w:r>
        <w:rPr>
          <w:rFonts w:ascii="宋体" w:hAnsi="宋体" w:cs="宋体" w:eastAsia="宋体" w:hint="default"/>
        </w:rPr>
        <w:t>2017</w:t>
      </w:r>
      <w:r>
        <w:rPr>
          <w:rFonts w:ascii="宋体" w:hAnsi="宋体" w:cs="宋体" w:eastAsia="宋体" w:hint="default"/>
          <w:spacing w:val="-45"/>
        </w:rPr>
        <w:t> </w:t>
      </w:r>
      <w:r>
        <w:rPr/>
        <w:t>年限制性股票激励计划（草案</w:t>
      </w:r>
      <w:r>
        <w:rPr>
          <w:spacing w:val="-90"/>
        </w:rPr>
        <w:t>）》、</w:t>
      </w:r>
      <w:r>
        <w:rPr>
          <w:spacing w:val="3"/>
        </w:rPr>
        <w:t>《</w:t>
      </w:r>
      <w:r>
        <w:rPr>
          <w:rFonts w:ascii="宋体" w:hAnsi="宋体" w:cs="宋体" w:eastAsia="宋体" w:hint="default"/>
        </w:rPr>
        <w:t>2016</w:t>
      </w:r>
      <w:r>
        <w:rPr>
          <w:rFonts w:ascii="宋体" w:hAnsi="宋体" w:cs="宋体" w:eastAsia="宋体" w:hint="default"/>
          <w:spacing w:val="-45"/>
        </w:rPr>
        <w:t> </w:t>
      </w:r>
      <w:r>
        <w:rPr/>
        <w:t>年限制性股票激励计划（草案</w:t>
      </w:r>
      <w:r>
        <w:rPr>
          <w:spacing w:val="-105"/>
        </w:rPr>
        <w:t>）</w:t>
      </w:r>
      <w:r>
        <w:rPr/>
        <w:t>》及</w:t>
      </w:r>
      <w:r>
        <w:rPr>
          <w:spacing w:val="3"/>
        </w:rPr>
        <w:t>《</w:t>
      </w:r>
      <w:r>
        <w:rPr>
          <w:rFonts w:ascii="宋体" w:hAnsi="宋体" w:cs="宋体" w:eastAsia="宋体" w:hint="default"/>
        </w:rPr>
        <w:t>2015</w:t>
      </w:r>
      <w:r>
        <w:rPr>
          <w:rFonts w:ascii="宋体" w:hAnsi="宋体" w:cs="宋体" w:eastAsia="宋体" w:hint="default"/>
          <w:spacing w:val="-45"/>
        </w:rPr>
        <w:t> </w:t>
      </w:r>
      <w:r>
        <w:rPr/>
        <w:t>年限制性股票激励计划（草 案</w:t>
      </w:r>
      <w:r>
        <w:rPr>
          <w:spacing w:val="-90"/>
        </w:rPr>
        <w:t>）》</w:t>
      </w:r>
      <w:r>
        <w:rPr/>
        <w:t>，公司回购注销激励对象获授的共计</w:t>
      </w:r>
      <w:r>
        <w:rPr>
          <w:spacing w:val="-42"/>
        </w:rPr>
        <w:t> </w:t>
      </w:r>
      <w:r>
        <w:rPr>
          <w:rFonts w:ascii="宋体" w:hAnsi="宋体" w:cs="宋体" w:eastAsia="宋体" w:hint="default"/>
        </w:rPr>
        <w:t>5,252,601.00</w:t>
      </w:r>
      <w:r>
        <w:rPr>
          <w:rFonts w:ascii="宋体" w:hAnsi="宋体" w:cs="宋体" w:eastAsia="宋体" w:hint="default"/>
          <w:spacing w:val="-44"/>
        </w:rPr>
        <w:t> </w:t>
      </w:r>
      <w:r>
        <w:rPr/>
        <w:t>股，变更</w:t>
      </w:r>
      <w:r>
        <w:rPr>
          <w:spacing w:val="1"/>
        </w:rPr>
        <w:t>后</w:t>
      </w:r>
      <w:r>
        <w:rPr/>
        <w:t>的注册资本为</w:t>
      </w:r>
      <w:r>
        <w:rPr>
          <w:spacing w:val="-44"/>
        </w:rPr>
        <w:t> </w:t>
      </w:r>
      <w:r>
        <w:rPr>
          <w:rFonts w:ascii="宋体" w:hAnsi="宋体" w:cs="宋体" w:eastAsia="宋体" w:hint="default"/>
        </w:rPr>
        <w:t>188,968,261.00</w:t>
      </w:r>
      <w:r>
        <w:rPr>
          <w:rFonts w:ascii="宋体" w:hAnsi="宋体" w:cs="宋体" w:eastAsia="宋体" w:hint="default"/>
          <w:spacing w:val="-44"/>
        </w:rPr>
        <w:t> </w:t>
      </w:r>
      <w:r>
        <w:rPr/>
        <w:t>元。</w:t>
      </w:r>
    </w:p>
    <w:p>
      <w:pPr>
        <w:spacing w:line="240" w:lineRule="auto" w:before="7"/>
        <w:rPr>
          <w:rFonts w:ascii="宋体" w:hAnsi="宋体" w:cs="宋体" w:eastAsia="宋体" w:hint="default"/>
          <w:sz w:val="13"/>
          <w:szCs w:val="13"/>
        </w:rPr>
      </w:pPr>
    </w:p>
    <w:p>
      <w:pPr>
        <w:spacing w:line="597" w:lineRule="auto" w:before="0"/>
        <w:ind w:left="501" w:right="8409" w:hanging="361"/>
        <w:jc w:val="left"/>
        <w:rPr>
          <w:rFonts w:ascii="宋体" w:hAnsi="宋体" w:cs="宋体" w:eastAsia="宋体" w:hint="default"/>
          <w:sz w:val="18"/>
          <w:szCs w:val="18"/>
        </w:rPr>
      </w:pPr>
      <w:bookmarkStart w:name="2、公司行业性质" w:id="166"/>
      <w:bookmarkEnd w:id="166"/>
      <w:r>
        <w:rPr/>
      </w:r>
      <w:r>
        <w:rPr>
          <w:rFonts w:ascii="宋体" w:hAnsi="宋体" w:cs="宋体" w:eastAsia="宋体" w:hint="default"/>
          <w:b/>
          <w:bCs/>
          <w:sz w:val="18"/>
          <w:szCs w:val="18"/>
        </w:rPr>
        <w:t>2</w:t>
      </w:r>
      <w:r>
        <w:rPr>
          <w:rFonts w:ascii="宋体" w:hAnsi="宋体" w:cs="宋体" w:eastAsia="宋体" w:hint="default"/>
          <w:b/>
          <w:bCs/>
          <w:sz w:val="18"/>
          <w:szCs w:val="18"/>
        </w:rPr>
        <w:t>、公司行业性质</w:t>
      </w:r>
      <w:r>
        <w:rPr>
          <w:rFonts w:ascii="宋体" w:hAnsi="宋体" w:cs="宋体" w:eastAsia="宋体" w:hint="default"/>
          <w:b/>
          <w:bCs/>
          <w:w w:val="99"/>
          <w:sz w:val="18"/>
          <w:szCs w:val="18"/>
        </w:rPr>
        <w:t> </w:t>
      </w:r>
      <w:r>
        <w:rPr>
          <w:rFonts w:ascii="宋体" w:hAnsi="宋体" w:cs="宋体" w:eastAsia="宋体" w:hint="default"/>
          <w:sz w:val="18"/>
          <w:szCs w:val="18"/>
        </w:rPr>
        <w:t>软件和信息技术服务业。</w:t>
      </w:r>
    </w:p>
    <w:p>
      <w:pPr>
        <w:pStyle w:val="Heading5"/>
        <w:spacing w:line="240" w:lineRule="auto" w:before="111"/>
        <w:ind w:left="141" w:right="0"/>
        <w:jc w:val="both"/>
        <w:rPr>
          <w:b w:val="0"/>
          <w:bCs w:val="0"/>
        </w:rPr>
      </w:pPr>
      <w:bookmarkStart w:name="3、公司业务性质及主要经营活动" w:id="167"/>
      <w:bookmarkEnd w:id="167"/>
      <w:r>
        <w:rPr>
          <w:b w:val="0"/>
          <w:bCs w:val="0"/>
        </w:rPr>
      </w:r>
      <w:r>
        <w:rPr>
          <w:rFonts w:ascii="宋体" w:hAnsi="宋体" w:cs="宋体" w:eastAsia="宋体" w:hint="default"/>
        </w:rPr>
        <w:t>3</w:t>
      </w:r>
      <w:r>
        <w:rPr/>
        <w:t>、公司业务性质及主要经营活动</w:t>
      </w:r>
      <w:r>
        <w:rPr>
          <w:b w:val="0"/>
          <w:bCs w:val="0"/>
        </w:rPr>
      </w:r>
    </w:p>
    <w:p>
      <w:pPr>
        <w:spacing w:line="240" w:lineRule="auto" w:before="10"/>
        <w:rPr>
          <w:rFonts w:ascii="宋体" w:hAnsi="宋体" w:cs="宋体" w:eastAsia="宋体" w:hint="default"/>
          <w:b/>
          <w:bCs/>
          <w:sz w:val="26"/>
          <w:szCs w:val="26"/>
        </w:rPr>
      </w:pPr>
    </w:p>
    <w:p>
      <w:pPr>
        <w:pStyle w:val="BodyText"/>
        <w:spacing w:line="451" w:lineRule="auto"/>
        <w:ind w:right="1135" w:firstLine="360"/>
        <w:jc w:val="both"/>
      </w:pPr>
      <w:r>
        <w:rPr>
          <w:spacing w:val="-2"/>
        </w:rPr>
        <w:t>从事计算机软、硬件的技术开发，销售自行开发软件。增加：数据库的设计、开发和维护；计算机系统集成及其相关的</w:t>
      </w:r>
      <w:r>
        <w:rPr/>
        <w:t> </w:t>
      </w:r>
      <w:r>
        <w:rPr>
          <w:spacing w:val="-2"/>
        </w:rPr>
        <w:t>技术咨询、维护。计算机软、硬件的批发、佣金代理（不含拍卖）、进出口及相关配套业务（不涉及国营贸易管理商品，涉</w:t>
      </w:r>
      <w:r>
        <w:rPr>
          <w:spacing w:val="-72"/>
        </w:rPr>
        <w:t> </w:t>
      </w:r>
      <w:r>
        <w:rPr>
          <w:spacing w:val="-72"/>
        </w:rPr>
      </w:r>
      <w:r>
        <w:rPr>
          <w:spacing w:val="-4"/>
        </w:rPr>
        <w:t>及配额、许可证管理及其他专项规定管理的商品，按国家有关规定办理申请）；技术进出口（不含分销）。</w:t>
      </w:r>
    </w:p>
    <w:p>
      <w:pPr>
        <w:spacing w:after="0" w:line="451" w:lineRule="auto"/>
        <w:jc w:val="both"/>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5"/>
        <w:spacing w:line="240" w:lineRule="auto"/>
        <w:ind w:left="141" w:right="939"/>
        <w:jc w:val="left"/>
        <w:rPr>
          <w:b w:val="0"/>
          <w:bCs w:val="0"/>
        </w:rPr>
      </w:pPr>
      <w:bookmarkStart w:name="4、公司法定地址" w:id="168"/>
      <w:bookmarkEnd w:id="168"/>
      <w:r>
        <w:rPr>
          <w:b w:val="0"/>
          <w:bCs w:val="0"/>
        </w:rPr>
      </w:r>
      <w:r>
        <w:rPr>
          <w:rFonts w:ascii="宋体" w:hAnsi="宋体" w:cs="宋体" w:eastAsia="宋体" w:hint="default"/>
        </w:rPr>
        <w:t>4</w:t>
      </w:r>
      <w:r>
        <w:rPr/>
        <w:t>、公司法定地址</w:t>
      </w:r>
      <w:r>
        <w:rPr>
          <w:b w:val="0"/>
          <w:bCs w:val="0"/>
        </w:rPr>
      </w:r>
    </w:p>
    <w:p>
      <w:pPr>
        <w:spacing w:line="240" w:lineRule="auto" w:before="10"/>
        <w:rPr>
          <w:rFonts w:ascii="宋体" w:hAnsi="宋体" w:cs="宋体" w:eastAsia="宋体" w:hint="default"/>
          <w:b/>
          <w:bCs/>
          <w:sz w:val="26"/>
          <w:szCs w:val="26"/>
        </w:rPr>
      </w:pPr>
    </w:p>
    <w:p>
      <w:pPr>
        <w:pStyle w:val="BodyText"/>
        <w:spacing w:line="612" w:lineRule="auto"/>
        <w:ind w:right="2826" w:firstLine="360"/>
        <w:jc w:val="left"/>
        <w:rPr>
          <w:rFonts w:ascii="宋体" w:hAnsi="宋体" w:cs="宋体" w:eastAsia="宋体" w:hint="default"/>
        </w:rPr>
      </w:pPr>
      <w:r>
        <w:rPr/>
        <w:t>深圳市南山高新区科技中二路软件园</w:t>
      </w:r>
      <w:r>
        <w:rPr>
          <w:spacing w:val="-41"/>
        </w:rPr>
        <w:t> </w:t>
      </w:r>
      <w:r>
        <w:rPr>
          <w:rFonts w:ascii="宋体" w:hAnsi="宋体" w:cs="宋体" w:eastAsia="宋体" w:hint="default"/>
        </w:rPr>
        <w:t>12#</w:t>
      </w:r>
      <w:r>
        <w:rPr/>
        <w:t>楼</w:t>
      </w:r>
      <w:r>
        <w:rPr>
          <w:spacing w:val="-44"/>
        </w:rPr>
        <w:t> </w:t>
      </w:r>
      <w:r>
        <w:rPr>
          <w:rFonts w:ascii="宋体" w:hAnsi="宋体" w:cs="宋体" w:eastAsia="宋体" w:hint="default"/>
        </w:rPr>
        <w:t>402</w:t>
      </w:r>
      <w:r>
        <w:rPr/>
        <w:t>、深圳软件园（</w:t>
      </w:r>
      <w:r>
        <w:rPr>
          <w:rFonts w:ascii="宋体" w:hAnsi="宋体" w:cs="宋体" w:eastAsia="宋体" w:hint="default"/>
        </w:rPr>
        <w:t>2</w:t>
      </w:r>
      <w:r>
        <w:rPr>
          <w:rFonts w:ascii="宋体" w:hAnsi="宋体" w:cs="宋体" w:eastAsia="宋体" w:hint="default"/>
          <w:spacing w:val="-44"/>
        </w:rPr>
        <w:t> </w:t>
      </w:r>
      <w:r>
        <w:rPr/>
        <w:t>期）</w:t>
      </w:r>
      <w:r>
        <w:rPr>
          <w:rFonts w:ascii="宋体" w:hAnsi="宋体" w:cs="宋体" w:eastAsia="宋体" w:hint="default"/>
        </w:rPr>
        <w:t>13</w:t>
      </w:r>
      <w:r>
        <w:rPr>
          <w:rFonts w:ascii="宋体" w:hAnsi="宋体" w:cs="宋体" w:eastAsia="宋体" w:hint="default"/>
          <w:spacing w:val="-44"/>
        </w:rPr>
        <w:t> </w:t>
      </w:r>
      <w:r>
        <w:rPr/>
        <w:t>栋</w:t>
      </w:r>
      <w:r>
        <w:rPr>
          <w:spacing w:val="-44"/>
        </w:rPr>
        <w:t> </w:t>
      </w:r>
      <w:r>
        <w:rPr>
          <w:rFonts w:ascii="宋体" w:hAnsi="宋体" w:cs="宋体" w:eastAsia="宋体" w:hint="default"/>
        </w:rPr>
        <w:t>302</w:t>
      </w:r>
      <w:r>
        <w:rPr>
          <w:rFonts w:ascii="宋体" w:hAnsi="宋体" w:cs="宋体" w:eastAsia="宋体" w:hint="default"/>
          <w:spacing w:val="-44"/>
        </w:rPr>
        <w:t> </w:t>
      </w:r>
      <w:r>
        <w:rPr>
          <w:spacing w:val="-12"/>
        </w:rPr>
        <w:t>室（仅限办公）。</w:t>
      </w:r>
      <w:r>
        <w:rPr/>
        <w:t> </w:t>
      </w:r>
      <w:bookmarkStart w:name="5、公司总部地址" w:id="169"/>
      <w:bookmarkEnd w:id="169"/>
      <w:r>
        <w:rPr/>
      </w:r>
      <w:r>
        <w:rPr>
          <w:rFonts w:ascii="宋体" w:hAnsi="宋体" w:cs="宋体" w:eastAsia="宋体" w:hint="default"/>
          <w:b/>
          <w:bCs/>
        </w:rPr>
        <w:t>5</w:t>
      </w:r>
      <w:r>
        <w:rPr>
          <w:rFonts w:ascii="宋体" w:hAnsi="宋体" w:cs="宋体" w:eastAsia="宋体" w:hint="default"/>
          <w:b/>
          <w:bCs/>
        </w:rPr>
        <w:t>、公司总部地址</w:t>
      </w:r>
      <w:r>
        <w:rPr>
          <w:rFonts w:ascii="宋体" w:hAnsi="宋体" w:cs="宋体" w:eastAsia="宋体" w:hint="default"/>
        </w:rPr>
      </w:r>
    </w:p>
    <w:p>
      <w:pPr>
        <w:pStyle w:val="BodyText"/>
        <w:spacing w:line="626" w:lineRule="auto" w:before="71"/>
        <w:ind w:right="2826" w:firstLine="360"/>
        <w:jc w:val="left"/>
        <w:rPr>
          <w:rFonts w:ascii="宋体" w:hAnsi="宋体" w:cs="宋体" w:eastAsia="宋体" w:hint="default"/>
        </w:rPr>
      </w:pPr>
      <w:r>
        <w:rPr/>
        <w:t>深圳市南山高新区科技中二路软件园</w:t>
      </w:r>
      <w:r>
        <w:rPr>
          <w:spacing w:val="-41"/>
        </w:rPr>
        <w:t> </w:t>
      </w:r>
      <w:r>
        <w:rPr>
          <w:rFonts w:ascii="宋体" w:hAnsi="宋体" w:cs="宋体" w:eastAsia="宋体" w:hint="default"/>
        </w:rPr>
        <w:t>12#</w:t>
      </w:r>
      <w:r>
        <w:rPr/>
        <w:t>楼</w:t>
      </w:r>
      <w:r>
        <w:rPr>
          <w:spacing w:val="-44"/>
        </w:rPr>
        <w:t> </w:t>
      </w:r>
      <w:r>
        <w:rPr>
          <w:rFonts w:ascii="宋体" w:hAnsi="宋体" w:cs="宋体" w:eastAsia="宋体" w:hint="default"/>
        </w:rPr>
        <w:t>402</w:t>
      </w:r>
      <w:r>
        <w:rPr/>
        <w:t>、深圳软件园（</w:t>
      </w:r>
      <w:r>
        <w:rPr>
          <w:rFonts w:ascii="宋体" w:hAnsi="宋体" w:cs="宋体" w:eastAsia="宋体" w:hint="default"/>
        </w:rPr>
        <w:t>2</w:t>
      </w:r>
      <w:r>
        <w:rPr>
          <w:rFonts w:ascii="宋体" w:hAnsi="宋体" w:cs="宋体" w:eastAsia="宋体" w:hint="default"/>
          <w:spacing w:val="-44"/>
        </w:rPr>
        <w:t> </w:t>
      </w:r>
      <w:r>
        <w:rPr/>
        <w:t>期）</w:t>
      </w:r>
      <w:r>
        <w:rPr>
          <w:rFonts w:ascii="宋体" w:hAnsi="宋体" w:cs="宋体" w:eastAsia="宋体" w:hint="default"/>
        </w:rPr>
        <w:t>13</w:t>
      </w:r>
      <w:r>
        <w:rPr>
          <w:rFonts w:ascii="宋体" w:hAnsi="宋体" w:cs="宋体" w:eastAsia="宋体" w:hint="default"/>
          <w:spacing w:val="-44"/>
        </w:rPr>
        <w:t> </w:t>
      </w:r>
      <w:r>
        <w:rPr/>
        <w:t>栋</w:t>
      </w:r>
      <w:r>
        <w:rPr>
          <w:spacing w:val="-44"/>
        </w:rPr>
        <w:t> </w:t>
      </w:r>
      <w:r>
        <w:rPr>
          <w:rFonts w:ascii="宋体" w:hAnsi="宋体" w:cs="宋体" w:eastAsia="宋体" w:hint="default"/>
        </w:rPr>
        <w:t>302</w:t>
      </w:r>
      <w:r>
        <w:rPr>
          <w:rFonts w:ascii="宋体" w:hAnsi="宋体" w:cs="宋体" w:eastAsia="宋体" w:hint="default"/>
          <w:spacing w:val="-44"/>
        </w:rPr>
        <w:t> </w:t>
      </w:r>
      <w:r>
        <w:rPr>
          <w:spacing w:val="-12"/>
        </w:rPr>
        <w:t>室（仅限办公）。</w:t>
      </w:r>
      <w:r>
        <w:rPr/>
        <w:t> </w:t>
      </w:r>
      <w:bookmarkStart w:name="6、财务报告批准报出日" w:id="170"/>
      <w:bookmarkEnd w:id="170"/>
      <w:r>
        <w:rPr/>
      </w:r>
      <w:r>
        <w:rPr>
          <w:rFonts w:ascii="宋体" w:hAnsi="宋体" w:cs="宋体" w:eastAsia="宋体" w:hint="default"/>
          <w:b/>
          <w:bCs/>
        </w:rPr>
        <w:t>6</w:t>
      </w:r>
      <w:r>
        <w:rPr>
          <w:rFonts w:ascii="宋体" w:hAnsi="宋体" w:cs="宋体" w:eastAsia="宋体" w:hint="default"/>
          <w:b/>
          <w:bCs/>
        </w:rPr>
        <w:t>、财务报告批准报出日</w:t>
      </w:r>
      <w:r>
        <w:rPr>
          <w:rFonts w:ascii="宋体" w:hAnsi="宋体" w:cs="宋体" w:eastAsia="宋体" w:hint="default"/>
        </w:rPr>
      </w:r>
    </w:p>
    <w:p>
      <w:pPr>
        <w:pStyle w:val="BodyText"/>
        <w:spacing w:line="240" w:lineRule="auto" w:before="60"/>
        <w:ind w:left="501" w:right="939"/>
        <w:jc w:val="left"/>
      </w:pPr>
      <w:r>
        <w:rPr/>
        <w:t>本财务报表及附注经公司董事会于</w:t>
      </w:r>
      <w:r>
        <w:rPr>
          <w:spacing w:val="-42"/>
        </w:rPr>
        <w:t> </w:t>
      </w:r>
      <w:r>
        <w:rPr>
          <w:rFonts w:ascii="宋体" w:hAnsi="宋体" w:cs="宋体" w:eastAsia="宋体" w:hint="default"/>
        </w:rPr>
        <w:t>2020</w:t>
      </w:r>
      <w:r>
        <w:rPr>
          <w:rFonts w:ascii="宋体" w:hAnsi="宋体" w:cs="宋体" w:eastAsia="宋体" w:hint="default"/>
          <w:spacing w:val="-45"/>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w:t>
      </w:r>
      <w:r>
        <w:rPr>
          <w:spacing w:val="-45"/>
        </w:rPr>
        <w:t> </w:t>
      </w:r>
      <w:r>
        <w:rPr>
          <w:rFonts w:ascii="宋体" w:hAnsi="宋体" w:cs="宋体" w:eastAsia="宋体" w:hint="default"/>
        </w:rPr>
        <w:t>30</w:t>
      </w:r>
      <w:r>
        <w:rPr>
          <w:rFonts w:ascii="宋体" w:hAnsi="宋体" w:cs="宋体" w:eastAsia="宋体" w:hint="default"/>
          <w:spacing w:val="-45"/>
        </w:rPr>
        <w:t> </w:t>
      </w:r>
      <w:r>
        <w:rPr/>
        <w:t>日决议批准对外报出。</w:t>
      </w:r>
    </w:p>
    <w:p>
      <w:pPr>
        <w:spacing w:line="240" w:lineRule="auto" w:before="8"/>
        <w:rPr>
          <w:rFonts w:ascii="宋体" w:hAnsi="宋体" w:cs="宋体" w:eastAsia="宋体" w:hint="default"/>
          <w:sz w:val="20"/>
          <w:szCs w:val="20"/>
        </w:rPr>
      </w:pPr>
    </w:p>
    <w:p>
      <w:pPr>
        <w:spacing w:line="381" w:lineRule="auto" w:before="0"/>
        <w:ind w:left="621" w:right="4389" w:hanging="481"/>
        <w:jc w:val="left"/>
        <w:rPr>
          <w:rFonts w:ascii="宋体" w:hAnsi="宋体" w:cs="宋体" w:eastAsia="宋体" w:hint="default"/>
          <w:sz w:val="21"/>
          <w:szCs w:val="21"/>
        </w:rPr>
      </w:pPr>
      <w:r>
        <w:rPr>
          <w:rFonts w:ascii="宋体" w:hAnsi="宋体" w:cs="宋体" w:eastAsia="宋体" w:hint="default"/>
          <w:b/>
          <w:bCs/>
          <w:sz w:val="21"/>
          <w:szCs w:val="21"/>
        </w:rPr>
        <w:t>（二）合并财务报表范围</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截止</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日，本公司合并财务报表范围内子公司如下：</w:t>
      </w:r>
    </w:p>
    <w:p>
      <w:pPr>
        <w:spacing w:line="240" w:lineRule="auto" w:before="5"/>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5227"/>
        <w:gridCol w:w="3800"/>
      </w:tblGrid>
      <w:tr>
        <w:trPr>
          <w:trHeight w:val="330" w:hRule="exact"/>
        </w:trPr>
        <w:tc>
          <w:tcPr>
            <w:tcW w:w="52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712" w:right="0"/>
              <w:jc w:val="left"/>
              <w:rPr>
                <w:rFonts w:ascii="宋体" w:hAnsi="宋体" w:cs="宋体" w:eastAsia="宋体" w:hint="default"/>
                <w:sz w:val="21"/>
                <w:szCs w:val="21"/>
              </w:rPr>
            </w:pPr>
            <w:r>
              <w:rPr>
                <w:rFonts w:ascii="宋体" w:hAnsi="宋体" w:cs="宋体" w:eastAsia="宋体" w:hint="default"/>
                <w:b/>
                <w:bCs/>
                <w:sz w:val="21"/>
                <w:szCs w:val="21"/>
              </w:rPr>
              <w:t>子  公  司  全</w:t>
            </w:r>
            <w:r>
              <w:rPr>
                <w:rFonts w:ascii="宋体" w:hAnsi="宋体" w:cs="宋体" w:eastAsia="宋体" w:hint="default"/>
                <w:b/>
                <w:bCs/>
                <w:spacing w:val="-27"/>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351" w:right="0"/>
              <w:jc w:val="left"/>
              <w:rPr>
                <w:rFonts w:ascii="宋体" w:hAnsi="宋体" w:cs="宋体" w:eastAsia="宋体" w:hint="default"/>
                <w:sz w:val="21"/>
                <w:szCs w:val="21"/>
              </w:rPr>
            </w:pPr>
            <w:r>
              <w:rPr>
                <w:rFonts w:ascii="宋体" w:hAnsi="宋体" w:cs="宋体" w:eastAsia="宋体" w:hint="default"/>
                <w:b/>
                <w:bCs/>
                <w:sz w:val="21"/>
                <w:szCs w:val="21"/>
              </w:rPr>
              <w:t>子公司类型</w:t>
            </w:r>
            <w:r>
              <w:rPr>
                <w:rFonts w:ascii="宋体" w:hAnsi="宋体" w:cs="宋体" w:eastAsia="宋体" w:hint="default"/>
                <w:sz w:val="21"/>
                <w:szCs w:val="21"/>
              </w:rPr>
            </w:r>
          </w:p>
        </w:tc>
      </w:tr>
      <w:tr>
        <w:trPr>
          <w:trHeight w:val="345" w:hRule="exact"/>
        </w:trPr>
        <w:tc>
          <w:tcPr>
            <w:tcW w:w="52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四方精创资讯（香港）有限公司</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51"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5" w:hRule="exact"/>
        </w:trPr>
        <w:tc>
          <w:tcPr>
            <w:tcW w:w="52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四方精创信息（香港）有限公司</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51"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6" w:hRule="exact"/>
        </w:trPr>
        <w:tc>
          <w:tcPr>
            <w:tcW w:w="52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深圳前海乐寻坊区块链科技有限公司</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351"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30" w:hRule="exact"/>
        </w:trPr>
        <w:tc>
          <w:tcPr>
            <w:tcW w:w="522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四方精创</w:t>
            </w:r>
            <w:r>
              <w:rPr>
                <w:rFonts w:ascii="宋体" w:hAnsi="宋体" w:cs="宋体" w:eastAsia="宋体" w:hint="default"/>
                <w:sz w:val="21"/>
                <w:szCs w:val="21"/>
              </w:rPr>
              <w:t>(</w:t>
            </w:r>
            <w:r>
              <w:rPr>
                <w:rFonts w:ascii="宋体" w:hAnsi="宋体" w:cs="宋体" w:eastAsia="宋体" w:hint="default"/>
                <w:sz w:val="21"/>
                <w:szCs w:val="21"/>
              </w:rPr>
              <w:t>泰国</w:t>
            </w:r>
            <w:r>
              <w:rPr>
                <w:rFonts w:ascii="宋体" w:hAnsi="宋体" w:cs="宋体" w:eastAsia="宋体" w:hint="default"/>
                <w:sz w:val="21"/>
                <w:szCs w:val="21"/>
              </w:rPr>
              <w:t>)</w:t>
            </w:r>
            <w:r>
              <w:rPr>
                <w:rFonts w:ascii="宋体" w:hAnsi="宋体" w:cs="宋体" w:eastAsia="宋体" w:hint="default"/>
                <w:sz w:val="21"/>
                <w:szCs w:val="21"/>
              </w:rPr>
              <w:t>有限公司</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351" w:right="0"/>
              <w:jc w:val="left"/>
              <w:rPr>
                <w:rFonts w:ascii="宋体" w:hAnsi="宋体" w:cs="宋体" w:eastAsia="宋体" w:hint="default"/>
                <w:sz w:val="21"/>
                <w:szCs w:val="21"/>
              </w:rPr>
            </w:pPr>
            <w:r>
              <w:rPr>
                <w:rFonts w:ascii="宋体" w:hAnsi="宋体" w:cs="宋体" w:eastAsia="宋体" w:hint="default"/>
                <w:sz w:val="21"/>
                <w:szCs w:val="21"/>
              </w:rPr>
              <w:t>全资孙公司</w:t>
            </w:r>
          </w:p>
        </w:tc>
      </w:tr>
    </w:tbl>
    <w:p>
      <w:pPr>
        <w:spacing w:line="240" w:lineRule="auto" w:before="10"/>
        <w:rPr>
          <w:rFonts w:ascii="宋体" w:hAnsi="宋体" w:cs="宋体" w:eastAsia="宋体" w:hint="default"/>
          <w:sz w:val="5"/>
          <w:szCs w:val="5"/>
        </w:rPr>
      </w:pPr>
    </w:p>
    <w:p>
      <w:pPr>
        <w:pStyle w:val="BodyText"/>
        <w:spacing w:line="240" w:lineRule="auto" w:before="44"/>
        <w:ind w:left="501" w:right="939"/>
        <w:jc w:val="left"/>
      </w:pPr>
      <w:r>
        <w:rPr/>
        <w:t>报告期合并财务报表范围及其变化具体情况详见本财务报表附</w:t>
      </w:r>
      <w:r>
        <w:rPr>
          <w:spacing w:val="-76"/>
        </w:rPr>
        <w:t>注</w:t>
      </w:r>
      <w:r>
        <w:rPr/>
        <w:t>“八</w:t>
      </w:r>
      <w:r>
        <w:rPr>
          <w:spacing w:val="-76"/>
        </w:rPr>
        <w:t>、</w:t>
      </w:r>
      <w:r>
        <w:rPr/>
        <w:t>合并范围的变更</w:t>
      </w:r>
      <w:r>
        <w:rPr>
          <w:spacing w:val="-76"/>
        </w:rPr>
        <w:t>”及</w:t>
      </w:r>
      <w:r>
        <w:rPr/>
        <w:t>“九</w:t>
      </w:r>
      <w:r>
        <w:rPr>
          <w:spacing w:val="-76"/>
        </w:rPr>
        <w:t>、</w:t>
      </w:r>
      <w:r>
        <w:rPr/>
        <w:t>在其他主体中的权益</w:t>
      </w:r>
      <w:r>
        <w:rPr>
          <w:spacing w:val="-76"/>
        </w:rPr>
        <w:t>”</w:t>
      </w:r>
      <w:r>
        <w:rPr/>
        <w:t>。</w:t>
      </w:r>
    </w:p>
    <w:p>
      <w:pPr>
        <w:spacing w:line="240" w:lineRule="auto" w:before="13"/>
        <w:rPr>
          <w:rFonts w:ascii="宋体" w:hAnsi="宋体" w:cs="宋体" w:eastAsia="宋体" w:hint="default"/>
          <w:sz w:val="25"/>
          <w:szCs w:val="25"/>
        </w:rPr>
      </w:pPr>
    </w:p>
    <w:p>
      <w:pPr>
        <w:pStyle w:val="Heading2"/>
        <w:spacing w:line="240" w:lineRule="auto"/>
        <w:ind w:right="939"/>
        <w:jc w:val="left"/>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9"/>
        <w:jc w:val="left"/>
        <w:rPr>
          <w:b w:val="0"/>
          <w:bCs w:val="0"/>
        </w:rPr>
      </w:pPr>
      <w:r>
        <w:rPr>
          <w:rFonts w:ascii="宋体" w:hAnsi="宋体" w:cs="宋体" w:eastAsia="宋体" w:hint="default"/>
        </w:rPr>
        <w:t>1</w:t>
      </w:r>
      <w:r>
        <w:rPr/>
        <w:t>、编制基础</w:t>
      </w:r>
      <w:r>
        <w:rPr>
          <w:b w:val="0"/>
          <w:bCs w:val="0"/>
        </w:rPr>
      </w:r>
    </w:p>
    <w:p>
      <w:pPr>
        <w:spacing w:line="240" w:lineRule="auto" w:before="9"/>
        <w:rPr>
          <w:rFonts w:ascii="宋体" w:hAnsi="宋体" w:cs="宋体" w:eastAsia="宋体" w:hint="default"/>
          <w:b/>
          <w:bCs/>
          <w:sz w:val="28"/>
          <w:szCs w:val="28"/>
        </w:rPr>
      </w:pPr>
    </w:p>
    <w:p>
      <w:pPr>
        <w:pStyle w:val="BodyText"/>
        <w:spacing w:line="458" w:lineRule="auto"/>
        <w:ind w:right="1119" w:firstLine="360"/>
        <w:jc w:val="left"/>
      </w:pPr>
      <w:r>
        <w:rPr/>
        <w:t>本公司财务报表以持续经营为编制基础。根据实际发生的交易和事项，按照《企业会计准则</w:t>
      </w:r>
      <w:r>
        <w:rPr>
          <w:rFonts w:ascii="宋体" w:hAnsi="宋体" w:cs="宋体" w:eastAsia="宋体" w:hint="default"/>
        </w:rPr>
        <w:t>-</w:t>
      </w:r>
      <w:r>
        <w:rPr/>
        <w:t>基本准则》和其他各项具 体会计准则、应用指南及准则解释的规定进行确认和计量，在此基础上编制财务报表。</w:t>
      </w:r>
    </w:p>
    <w:p>
      <w:pPr>
        <w:pStyle w:val="Heading3"/>
        <w:spacing w:line="240" w:lineRule="auto" w:before="121"/>
        <w:ind w:right="939"/>
        <w:jc w:val="left"/>
        <w:rPr>
          <w:b w:val="0"/>
          <w:bCs w:val="0"/>
        </w:rPr>
      </w:pPr>
      <w:r>
        <w:rPr>
          <w:rFonts w:ascii="宋体" w:hAnsi="宋体" w:cs="宋体" w:eastAsia="宋体" w:hint="default"/>
        </w:rPr>
        <w:t>2</w:t>
      </w:r>
      <w:r>
        <w:rPr/>
        <w:t>、持续经营</w:t>
      </w:r>
      <w:r>
        <w:rPr>
          <w:b w:val="0"/>
          <w:bCs w:val="0"/>
        </w:rPr>
      </w:r>
    </w:p>
    <w:p>
      <w:pPr>
        <w:spacing w:line="240" w:lineRule="auto" w:before="11"/>
        <w:rPr>
          <w:rFonts w:ascii="宋体" w:hAnsi="宋体" w:cs="宋体" w:eastAsia="宋体" w:hint="default"/>
          <w:b/>
          <w:bCs/>
          <w:sz w:val="13"/>
          <w:szCs w:val="13"/>
        </w:rPr>
      </w:pPr>
    </w:p>
    <w:p>
      <w:pPr>
        <w:pStyle w:val="BodyText"/>
        <w:spacing w:line="240" w:lineRule="auto"/>
        <w:ind w:left="501" w:right="939"/>
        <w:jc w:val="left"/>
      </w:pPr>
      <w:r>
        <w:rPr/>
        <w:t>本公司承诺自报告期末起至少</w:t>
      </w:r>
      <w:r>
        <w:rPr>
          <w:rFonts w:ascii="宋体" w:hAnsi="宋体" w:cs="宋体" w:eastAsia="宋体" w:hint="default"/>
        </w:rPr>
        <w:t>12</w:t>
      </w:r>
      <w:r>
        <w:rPr/>
        <w:t>个月不存在影响公司持续经营的事项。</w:t>
      </w:r>
    </w:p>
    <w:p>
      <w:pPr>
        <w:spacing w:line="240" w:lineRule="auto" w:before="13"/>
        <w:rPr>
          <w:rFonts w:ascii="宋体" w:hAnsi="宋体" w:cs="宋体" w:eastAsia="宋体" w:hint="default"/>
          <w:sz w:val="25"/>
          <w:szCs w:val="25"/>
        </w:rPr>
      </w:pPr>
    </w:p>
    <w:p>
      <w:pPr>
        <w:pStyle w:val="Heading2"/>
        <w:spacing w:line="240" w:lineRule="auto"/>
        <w:ind w:right="939"/>
        <w:jc w:val="left"/>
        <w:rPr>
          <w:b w:val="0"/>
          <w:bCs w:val="0"/>
        </w:rPr>
      </w:pPr>
      <w:bookmarkStart w:name="五、重要会计政策及会计估计" w:id="172"/>
      <w:bookmarkEnd w:id="172"/>
      <w:r>
        <w:rPr>
          <w:b w:val="0"/>
          <w:bCs w:val="0"/>
        </w:rPr>
      </w:r>
      <w:r>
        <w:rPr/>
        <w:t>五、重要会计政策及会计估计</w:t>
      </w:r>
      <w:r>
        <w:rPr>
          <w:b w:val="0"/>
          <w:bCs w:val="0"/>
        </w:rPr>
      </w:r>
    </w:p>
    <w:p>
      <w:pPr>
        <w:pStyle w:val="BodyText"/>
        <w:spacing w:line="430" w:lineRule="atLeast" w:before="147"/>
        <w:ind w:left="411" w:right="1119" w:hanging="271"/>
        <w:jc w:val="left"/>
      </w:pPr>
      <w:r>
        <w:rPr/>
        <w:t>具体会计政策和会计估计提示： 以下披露内容已涵盖了公司根据实际生产经营特点制定的具体会计政策和会计估计。详见本附注“五</w:t>
      </w:r>
      <w:r>
        <w:rPr>
          <w:rFonts w:ascii="宋体" w:hAnsi="宋体" w:cs="宋体" w:eastAsia="宋体" w:hint="default"/>
        </w:rPr>
        <w:t>10</w:t>
      </w:r>
      <w:r>
        <w:rPr/>
        <w:t>、金融工具”、</w:t>
      </w:r>
    </w:p>
    <w:p>
      <w:pPr>
        <w:pStyle w:val="BodyText"/>
        <w:spacing w:line="240" w:lineRule="auto" w:before="79"/>
        <w:ind w:right="939"/>
        <w:jc w:val="left"/>
      </w:pPr>
      <w:r>
        <w:rPr/>
        <w:t>“五</w:t>
      </w:r>
      <w:r>
        <w:rPr>
          <w:rFonts w:ascii="宋体" w:hAnsi="宋体" w:cs="宋体" w:eastAsia="宋体" w:hint="default"/>
        </w:rPr>
        <w:t>15</w:t>
      </w:r>
      <w:r>
        <w:rPr/>
        <w:t>、固定资产”、“五</w:t>
      </w:r>
      <w:r>
        <w:rPr>
          <w:rFonts w:ascii="宋体" w:hAnsi="宋体" w:cs="宋体" w:eastAsia="宋体" w:hint="default"/>
        </w:rPr>
        <w:t>19</w:t>
      </w:r>
      <w:r>
        <w:rPr/>
        <w:t>、长期资产减值”、“五</w:t>
      </w:r>
      <w:r>
        <w:rPr>
          <w:rFonts w:ascii="宋体" w:hAnsi="宋体" w:cs="宋体" w:eastAsia="宋体" w:hint="default"/>
        </w:rPr>
        <w:t>24</w:t>
      </w:r>
      <w:r>
        <w:rPr/>
        <w:t>、收入”。</w:t>
      </w:r>
    </w:p>
    <w:p>
      <w:pPr>
        <w:spacing w:line="240" w:lineRule="auto" w:before="0"/>
        <w:rPr>
          <w:rFonts w:ascii="宋体" w:hAnsi="宋体" w:cs="宋体" w:eastAsia="宋体" w:hint="default"/>
          <w:sz w:val="18"/>
          <w:szCs w:val="18"/>
        </w:rPr>
      </w:pPr>
    </w:p>
    <w:p>
      <w:pPr>
        <w:pStyle w:val="Heading3"/>
        <w:spacing w:line="240" w:lineRule="auto" w:before="124"/>
        <w:ind w:right="939"/>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089" w:firstLine="300"/>
        <w:jc w:val="left"/>
      </w:pPr>
      <w:r>
        <w:rPr/>
        <w:t>本公司编制的财务报表符合《企业会计准则》的要求，真实、完整地反映了本公司的财务状况、经营成果和现金流量等 有关信息。</w:t>
      </w:r>
    </w:p>
    <w:p>
      <w:pPr>
        <w:spacing w:after="0" w:line="321" w:lineRule="auto"/>
        <w:jc w:val="left"/>
        <w:sectPr>
          <w:pgSz w:w="11910" w:h="16850"/>
          <w:pgMar w:header="866"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939"/>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1" w:right="939"/>
        <w:jc w:val="left"/>
      </w:pPr>
      <w:r>
        <w:rPr/>
        <w:t>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76" w:lineRule="auto"/>
        <w:ind w:right="1128" w:firstLine="360"/>
        <w:jc w:val="both"/>
      </w:pPr>
      <w:r>
        <w:rPr>
          <w:spacing w:val="-2"/>
        </w:rPr>
        <w:t>正常营业周期是指公司从购买用于加工的资产起至实现现金或现金等价物的期间。公司以</w:t>
      </w:r>
      <w:r>
        <w:rPr>
          <w:rFonts w:ascii="Times New Roman" w:hAnsi="Times New Roman" w:cs="Times New Roman" w:eastAsia="Times New Roman" w:hint="default"/>
          <w:spacing w:val="-2"/>
        </w:rPr>
        <w:t>12</w:t>
      </w:r>
      <w:r>
        <w:rPr>
          <w:spacing w:val="-2"/>
        </w:rPr>
        <w:t>个月作为一个营业周期，并</w:t>
      </w:r>
      <w:r>
        <w:rPr/>
        <w:t> 以其作为资产和负债的流动性划分标准。</w:t>
      </w:r>
    </w:p>
    <w:p>
      <w:pPr>
        <w:spacing w:line="240" w:lineRule="auto" w:before="8"/>
        <w:rPr>
          <w:rFonts w:ascii="宋体" w:hAnsi="宋体" w:cs="宋体" w:eastAsia="宋体" w:hint="default"/>
          <w:sz w:val="26"/>
          <w:szCs w:val="26"/>
        </w:rPr>
      </w:pPr>
    </w:p>
    <w:p>
      <w:pPr>
        <w:pStyle w:val="Heading3"/>
        <w:spacing w:line="240" w:lineRule="auto"/>
        <w:ind w:right="939"/>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01" w:right="939"/>
        <w:jc w:val="left"/>
      </w:pPr>
      <w:r>
        <w:rPr/>
        <w:t>公司以人民币为记账本位币</w:t>
      </w:r>
    </w:p>
    <w:p>
      <w:pPr>
        <w:spacing w:line="240" w:lineRule="auto" w:before="0"/>
        <w:rPr>
          <w:rFonts w:ascii="宋体" w:hAnsi="宋体" w:cs="宋体" w:eastAsia="宋体" w:hint="default"/>
          <w:sz w:val="18"/>
          <w:szCs w:val="18"/>
        </w:rPr>
      </w:pPr>
    </w:p>
    <w:p>
      <w:pPr>
        <w:pStyle w:val="Heading3"/>
        <w:spacing w:line="240" w:lineRule="auto" w:before="154"/>
        <w:ind w:right="939"/>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1137" w:firstLine="360"/>
        <w:jc w:val="both"/>
      </w:pPr>
      <w:r>
        <w:rPr/>
        <w:t>（</w:t>
      </w:r>
      <w:r>
        <w:rPr>
          <w:rFonts w:ascii="宋体" w:hAnsi="宋体" w:cs="宋体" w:eastAsia="宋体" w:hint="default"/>
        </w:rPr>
        <w:t>1</w:t>
      </w:r>
      <w:r>
        <w:rPr/>
        <w:t>）参与合并的企业在合并前后均受同一方或相同的多方最终控制，且该控制并非暂时性的，为同一控制下的企业合 并。在合并日取得对其他参与合并企业控制权的一方为合并方，参与合并的其他企业为被合并方。</w:t>
      </w:r>
    </w:p>
    <w:p>
      <w:pPr>
        <w:pStyle w:val="BodyText"/>
        <w:spacing w:line="316" w:lineRule="auto" w:before="48"/>
        <w:ind w:right="1128" w:firstLine="360"/>
        <w:jc w:val="both"/>
      </w:pPr>
      <w:r>
        <w:rPr>
          <w:spacing w:val="-2"/>
        </w:rPr>
        <w:t>同一控制下的企业合并，并以支付现金、转让非现金资产或承担债务方式作为合并对价的，在合并日按照取得被合并方</w:t>
      </w:r>
      <w:r>
        <w:rPr/>
        <w:t> </w:t>
      </w:r>
      <w:r>
        <w:rPr>
          <w:spacing w:val="-2"/>
        </w:rPr>
        <w:t>所有者权益在最终控制方合并财务报表中的账面价值的份额计量，为企业合并发生的直接相关费用计入当期损益。长期股权</w:t>
      </w:r>
      <w:r>
        <w:rPr>
          <w:spacing w:val="-72"/>
        </w:rPr>
        <w:t> </w:t>
      </w:r>
      <w:r>
        <w:rPr>
          <w:spacing w:val="-72"/>
        </w:rPr>
      </w:r>
      <w:r>
        <w:rPr>
          <w:spacing w:val="-2"/>
        </w:rPr>
        <w:t>投资投资成本与支付的现金、转让的非现金资产以及所承担债务账面价值之间的差额，应当调整资本公积；资本公积不足冲</w:t>
      </w:r>
      <w:r>
        <w:rPr>
          <w:spacing w:val="-75"/>
        </w:rPr>
        <w:t> </w:t>
      </w:r>
      <w:r>
        <w:rPr>
          <w:spacing w:val="-75"/>
        </w:rPr>
      </w:r>
      <w:r>
        <w:rPr/>
        <w:t>减的，调整留存收益。</w:t>
      </w:r>
    </w:p>
    <w:p>
      <w:pPr>
        <w:pStyle w:val="BodyText"/>
        <w:spacing w:line="321" w:lineRule="auto" w:before="67"/>
        <w:ind w:right="1137" w:firstLine="360"/>
        <w:jc w:val="both"/>
      </w:pPr>
      <w:r>
        <w:rPr/>
        <w:t>（</w:t>
      </w:r>
      <w:r>
        <w:rPr>
          <w:rFonts w:ascii="宋体" w:hAnsi="宋体" w:cs="宋体" w:eastAsia="宋体" w:hint="default"/>
        </w:rPr>
        <w:t>2</w:t>
      </w:r>
      <w:r>
        <w:rPr/>
        <w:t>）参与合并的企业在合并前后不受同一方或相同的多方最终控制，为非同一控制下的企业合并。在合并日取得对其 他参与合并企业控制权的一方为合并方，参与合并的其他企业为被合并方。</w:t>
      </w:r>
    </w:p>
    <w:p>
      <w:pPr>
        <w:pStyle w:val="BodyText"/>
        <w:spacing w:line="319" w:lineRule="auto" w:before="49"/>
        <w:ind w:right="1127" w:firstLine="360"/>
        <w:jc w:val="both"/>
      </w:pPr>
      <w:r>
        <w:rPr>
          <w:spacing w:val="-2"/>
        </w:rPr>
        <w:t>非同一控制下的企业合并，一次交换交易实现合并的，投资成本为公司在购买日为取得对方的控制权而付出的资产、发</w:t>
      </w:r>
      <w:r>
        <w:rPr/>
        <w:t> </w:t>
      </w:r>
      <w:r>
        <w:rPr>
          <w:spacing w:val="-2"/>
        </w:rPr>
        <w:t>生或承担的负债以及发行的权益性证券的公允价值，为进行企业合并发生的各项直接相关费用计入当期损益。通过多次交换</w:t>
      </w:r>
      <w:r>
        <w:rPr>
          <w:spacing w:val="-72"/>
        </w:rPr>
        <w:t> </w:t>
      </w:r>
      <w:r>
        <w:rPr>
          <w:spacing w:val="-72"/>
        </w:rPr>
      </w:r>
      <w:r>
        <w:rPr>
          <w:spacing w:val="-2"/>
        </w:rPr>
        <w:t>交易分步实现的企业合并的，投资成本为每一单项交易成本之和。公司为进行企业合并发生的各项直接相关费用计入当期损</w:t>
      </w:r>
      <w:r>
        <w:rPr>
          <w:spacing w:val="-72"/>
        </w:rPr>
        <w:t> </w:t>
      </w:r>
      <w:r>
        <w:rPr>
          <w:spacing w:val="-72"/>
        </w:rPr>
      </w:r>
      <w:r>
        <w:rPr>
          <w:spacing w:val="-2"/>
        </w:rPr>
        <w:t>益。在合并合同或协议中对可能影响合并成本的未来事项作出约定的，购买日如果估计未来事项很可能发生并且对合并成本</w:t>
      </w:r>
      <w:r>
        <w:rPr>
          <w:spacing w:val="-72"/>
        </w:rPr>
        <w:t> </w:t>
      </w:r>
      <w:r>
        <w:rPr>
          <w:spacing w:val="-72"/>
        </w:rPr>
      </w:r>
      <w:r>
        <w:rPr>
          <w:spacing w:val="-2"/>
        </w:rPr>
        <w:t>的影响金额能够可靠计量的，公司将其计入投资成本；购买成本超过按股权比例享有的被购买方可辨认资产、负债的公允价</w:t>
      </w:r>
      <w:r>
        <w:rPr>
          <w:spacing w:val="-66"/>
        </w:rPr>
        <w:t> </w:t>
      </w:r>
      <w:r>
        <w:rPr>
          <w:spacing w:val="-66"/>
        </w:rPr>
      </w:r>
      <w:r>
        <w:rPr>
          <w:spacing w:val="-5"/>
        </w:rPr>
        <w:t>值中所占份额的部分，确认为商誉。如果本公司取得的在被购买方可辨认资产、负债的公允价值中所占的份额超过购买成本，</w:t>
      </w:r>
      <w:r>
        <w:rPr>
          <w:spacing w:val="-85"/>
        </w:rPr>
        <w:t> </w:t>
      </w:r>
      <w:r>
        <w:rPr>
          <w:spacing w:val="-85"/>
        </w:rPr>
      </w:r>
      <w:r>
        <w:rPr/>
        <w:t>则超出的金额直接计入当期损益。</w:t>
      </w:r>
    </w:p>
    <w:p>
      <w:pPr>
        <w:spacing w:line="240" w:lineRule="auto" w:before="2"/>
        <w:rPr>
          <w:rFonts w:ascii="宋体" w:hAnsi="宋体" w:cs="宋体" w:eastAsia="宋体" w:hint="default"/>
          <w:sz w:val="24"/>
          <w:szCs w:val="24"/>
        </w:rPr>
      </w:pPr>
    </w:p>
    <w:p>
      <w:pPr>
        <w:pStyle w:val="Heading3"/>
        <w:spacing w:line="240" w:lineRule="auto"/>
        <w:ind w:right="939"/>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420" w:lineRule="atLeast" w:before="145"/>
        <w:ind w:left="501" w:right="1133" w:hanging="36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）合并范围的确定原则</w:t>
      </w:r>
      <w:r>
        <w:rPr>
          <w:rFonts w:ascii="宋体" w:hAnsi="宋体" w:cs="宋体" w:eastAsia="宋体" w:hint="default"/>
          <w:b/>
          <w:bCs/>
          <w:spacing w:val="-86"/>
        </w:rPr>
        <w:t> </w:t>
      </w:r>
      <w:r>
        <w:rPr>
          <w:rFonts w:ascii="宋体" w:hAnsi="宋体" w:cs="宋体" w:eastAsia="宋体" w:hint="default"/>
          <w:b/>
          <w:bCs/>
          <w:spacing w:val="-86"/>
        </w:rPr>
      </w:r>
      <w:r>
        <w:rPr>
          <w:spacing w:val="-2"/>
        </w:rPr>
        <w:t>以控制为基础确定合并财务报表的合并范围，母公司控制的特殊目的主体也纳入合并财务报表的合并范围。如果母公司</w:t>
      </w:r>
    </w:p>
    <w:p>
      <w:pPr>
        <w:pStyle w:val="BodyText"/>
        <w:spacing w:line="336" w:lineRule="auto" w:before="79"/>
        <w:ind w:right="1106"/>
        <w:jc w:val="left"/>
      </w:pPr>
      <w:r>
        <w:rPr>
          <w:spacing w:val="-2"/>
        </w:rPr>
        <w:t>是投资性主体，且不存在为其投资活动提供相关服务的子公司，则不应当编制合并财务报表，该母公司按照《企业会计准则</w:t>
      </w:r>
      <w:r>
        <w:rPr>
          <w:spacing w:val="-42"/>
        </w:rPr>
        <w:t> </w:t>
      </w:r>
      <w:r>
        <w:rPr>
          <w:spacing w:val="-42"/>
        </w:rPr>
      </w:r>
      <w:r>
        <w:rPr/>
        <w:t>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合并财务报表》第二十一条规定以公允价值计量其对所有子公司的投资，且公允价值变动计入当期损益。</w:t>
      </w:r>
    </w:p>
    <w:p>
      <w:pPr>
        <w:pStyle w:val="Heading5"/>
        <w:spacing w:line="240" w:lineRule="auto" w:before="91"/>
        <w:ind w:left="141" w:right="939"/>
        <w:jc w:val="left"/>
        <w:rPr>
          <w:b w:val="0"/>
          <w:bCs w:val="0"/>
        </w:rPr>
      </w:pPr>
      <w:r>
        <w:rPr/>
        <w:t>（</w:t>
      </w:r>
      <w:r>
        <w:rPr>
          <w:rFonts w:ascii="宋体" w:hAnsi="宋体" w:cs="宋体" w:eastAsia="宋体" w:hint="default"/>
        </w:rPr>
        <w:t>2</w:t>
      </w:r>
      <w:r>
        <w:rPr/>
        <w:t>）合并报表采用的会计方法</w:t>
      </w:r>
      <w:r>
        <w:rPr>
          <w:b w:val="0"/>
          <w:bCs w:val="0"/>
        </w:rPr>
      </w:r>
    </w:p>
    <w:p>
      <w:pPr>
        <w:spacing w:line="240" w:lineRule="auto" w:before="5"/>
        <w:rPr>
          <w:rFonts w:ascii="宋体" w:hAnsi="宋体" w:cs="宋体" w:eastAsia="宋体" w:hint="default"/>
          <w:b/>
          <w:bCs/>
          <w:sz w:val="16"/>
          <w:szCs w:val="16"/>
        </w:rPr>
      </w:pPr>
    </w:p>
    <w:p>
      <w:pPr>
        <w:pStyle w:val="BodyText"/>
        <w:spacing w:line="297" w:lineRule="auto"/>
        <w:ind w:right="1106" w:firstLine="360"/>
        <w:jc w:val="both"/>
      </w:pPr>
      <w:r>
        <w:rPr>
          <w:spacing w:val="-2"/>
        </w:rPr>
        <w:t>公司合并会计报表的编制方法为按照《企业会计准则第</w:t>
      </w:r>
      <w:r>
        <w:rPr>
          <w:rFonts w:ascii="Times New Roman" w:hAnsi="Times New Roman" w:cs="Times New Roman" w:eastAsia="Times New Roman" w:hint="default"/>
          <w:spacing w:val="-2"/>
        </w:rPr>
        <w:t>33</w:t>
      </w:r>
      <w:r>
        <w:rPr>
          <w:spacing w:val="-2"/>
        </w:rPr>
        <w:t>号－合并财务报表》的要求，以母公司和纳入合并范围的子公</w:t>
      </w:r>
      <w:r>
        <w:rPr/>
        <w:t> </w:t>
      </w:r>
      <w:r>
        <w:rPr>
          <w:spacing w:val="-2"/>
        </w:rPr>
        <w:t>司的个别会计报表及其他相关资料为依据，在抵销母公司与子公司、子公司相互间的债权与债务项目、内部销售收入和未实</w:t>
      </w:r>
      <w:r>
        <w:rPr>
          <w:spacing w:val="-75"/>
        </w:rPr>
        <w:t> </w:t>
      </w:r>
      <w:r>
        <w:rPr>
          <w:spacing w:val="-75"/>
        </w:rPr>
      </w:r>
      <w:r>
        <w:rPr>
          <w:spacing w:val="-2"/>
        </w:rPr>
        <w:t>现的内部销售利润等项目，以及母公司对子公司权益性资本投资项目的数额与子公司所有者权益中母公司所持有的份额的基</w:t>
      </w:r>
    </w:p>
    <w:p>
      <w:pPr>
        <w:pStyle w:val="BodyText"/>
        <w:spacing w:line="321" w:lineRule="auto" w:before="36"/>
        <w:ind w:right="939"/>
        <w:jc w:val="left"/>
      </w:pPr>
      <w:r>
        <w:rPr>
          <w:spacing w:val="-2"/>
        </w:rPr>
        <w:t>础上，合并各报表项目数额编制。少数股东权益、少数股东损益在合并报表中单独列示。子公司的主要会计政策按照母公司</w:t>
      </w:r>
      <w:r>
        <w:rPr>
          <w:spacing w:val="-42"/>
        </w:rPr>
        <w:t> </w:t>
      </w:r>
      <w:r>
        <w:rPr>
          <w:spacing w:val="-42"/>
        </w:rPr>
      </w:r>
      <w:r>
        <w:rPr/>
        <w:t>统一选用的会计政策确定。</w:t>
      </w:r>
    </w:p>
    <w:p>
      <w:pPr>
        <w:spacing w:after="0" w:line="321" w:lineRule="auto"/>
        <w:jc w:val="left"/>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Heading5"/>
        <w:spacing w:line="240" w:lineRule="auto"/>
        <w:ind w:left="141" w:right="939"/>
        <w:jc w:val="left"/>
        <w:rPr>
          <w:b w:val="0"/>
          <w:bCs w:val="0"/>
        </w:rPr>
      </w:pPr>
      <w:r>
        <w:rPr/>
        <w:t>（</w:t>
      </w:r>
      <w:r>
        <w:rPr>
          <w:rFonts w:ascii="宋体" w:hAnsi="宋体" w:cs="宋体" w:eastAsia="宋体" w:hint="default"/>
        </w:rPr>
        <w:t>3</w:t>
      </w:r>
      <w:r>
        <w:rPr/>
        <w:t>）少数股东权益和损益的列报</w:t>
      </w:r>
      <w:r>
        <w:rPr>
          <w:b w:val="0"/>
          <w:bCs w:val="0"/>
        </w:rPr>
      </w:r>
    </w:p>
    <w:p>
      <w:pPr>
        <w:spacing w:line="240" w:lineRule="auto" w:before="5"/>
        <w:rPr>
          <w:rFonts w:ascii="宋体" w:hAnsi="宋体" w:cs="宋体" w:eastAsia="宋体" w:hint="default"/>
          <w:b/>
          <w:bCs/>
          <w:sz w:val="16"/>
          <w:szCs w:val="16"/>
        </w:rPr>
      </w:pPr>
    </w:p>
    <w:p>
      <w:pPr>
        <w:pStyle w:val="BodyText"/>
        <w:spacing w:line="240" w:lineRule="auto"/>
        <w:ind w:left="561" w:right="939"/>
        <w:jc w:val="left"/>
      </w:pPr>
      <w:r>
        <w:rPr/>
        <w:t>－子公司当期净损益中属于少数股东权益的份额，在合并利润表中净利润项目下以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项列示。</w:t>
      </w:r>
    </w:p>
    <w:p>
      <w:pPr>
        <w:spacing w:line="240" w:lineRule="auto" w:before="3"/>
        <w:rPr>
          <w:rFonts w:ascii="宋体" w:hAnsi="宋体" w:cs="宋体" w:eastAsia="宋体" w:hint="default"/>
          <w:sz w:val="14"/>
          <w:szCs w:val="14"/>
        </w:rPr>
      </w:pPr>
    </w:p>
    <w:p>
      <w:pPr>
        <w:pStyle w:val="BodyText"/>
        <w:spacing w:line="240" w:lineRule="auto"/>
        <w:ind w:left="561" w:right="939"/>
        <w:jc w:val="left"/>
      </w:pPr>
      <w:r>
        <w:rPr/>
        <w:t>－子公司所有者权益中属于少数股东权益的份额，在合并资产负债表中所有者权益项目下以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p>
    <w:p>
      <w:pPr>
        <w:spacing w:line="436" w:lineRule="exact" w:before="17"/>
        <w:ind w:left="501" w:right="939"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）当期增加减少子公司的合并报表处理</w:t>
      </w:r>
      <w:r>
        <w:rPr>
          <w:rFonts w:ascii="宋体" w:hAnsi="宋体" w:cs="宋体" w:eastAsia="宋体" w:hint="default"/>
          <w:b/>
          <w:bCs/>
          <w:w w:val="99"/>
          <w:sz w:val="18"/>
          <w:szCs w:val="18"/>
        </w:rPr>
        <w:t> </w:t>
      </w:r>
      <w:r>
        <w:rPr>
          <w:rFonts w:ascii="宋体" w:hAnsi="宋体" w:cs="宋体" w:eastAsia="宋体" w:hint="default"/>
          <w:spacing w:val="-2"/>
          <w:sz w:val="18"/>
          <w:szCs w:val="18"/>
        </w:rPr>
        <w:t>在报告期内，因同一控制下企业合并增加的子公司，将该子公司在合并当期的期初至报告期末的收入、成本、费用、利</w:t>
      </w:r>
    </w:p>
    <w:p>
      <w:pPr>
        <w:pStyle w:val="BodyText"/>
        <w:spacing w:line="321" w:lineRule="auto" w:before="17"/>
        <w:ind w:right="939"/>
        <w:jc w:val="left"/>
      </w:pPr>
      <w:r>
        <w:rPr>
          <w:spacing w:val="-2"/>
        </w:rPr>
        <w:t>润纳入合并利润表。因非同一控制下企业合并增加的子公司，将该子公司自购买日至报告期末的收入、成本、费用、利润纳</w:t>
      </w:r>
      <w:r>
        <w:rPr>
          <w:spacing w:val="-57"/>
        </w:rPr>
        <w:t> </w:t>
      </w:r>
      <w:r>
        <w:rPr>
          <w:spacing w:val="-57"/>
        </w:rPr>
      </w:r>
      <w:r>
        <w:rPr/>
        <w:t>入合并利润表。</w:t>
      </w:r>
    </w:p>
    <w:p>
      <w:pPr>
        <w:pStyle w:val="BodyText"/>
        <w:spacing w:line="240" w:lineRule="auto" w:before="64"/>
        <w:ind w:left="501" w:right="939"/>
        <w:jc w:val="left"/>
      </w:pPr>
      <w:r>
        <w:rPr/>
        <w:t>在报告期内，处置子公司，将该子公司期初至处置日的收入、成本、费用、利润纳入合并利润表。</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
        <w:rPr>
          <w:rFonts w:ascii="宋体" w:hAnsi="宋体" w:cs="宋体" w:eastAsia="宋体" w:hint="default"/>
          <w:b/>
          <w:bCs/>
          <w:sz w:val="24"/>
          <w:szCs w:val="24"/>
        </w:rPr>
      </w:pPr>
    </w:p>
    <w:p>
      <w:pPr>
        <w:pStyle w:val="BodyText"/>
        <w:spacing w:line="444" w:lineRule="auto"/>
        <w:ind w:left="561" w:right="3129"/>
        <w:jc w:val="left"/>
      </w:pPr>
      <w:r>
        <w:rPr/>
        <w:t>合营安排是指一项由两个或两个以上的参与方共同控制的安排，分为共同经营和合营企业。 当公司为共同经营的合营方时，确认与共同经营利益份额相关的下列项目：</w:t>
      </w:r>
    </w:p>
    <w:p>
      <w:pPr>
        <w:pStyle w:val="BodyText"/>
        <w:spacing w:line="240" w:lineRule="auto" w:before="61"/>
        <w:ind w:left="561" w:right="939"/>
        <w:jc w:val="left"/>
      </w:pPr>
      <w:r>
        <w:rPr/>
        <w:t>（</w:t>
      </w:r>
      <w:r>
        <w:rPr>
          <w:rFonts w:ascii="Times New Roman" w:hAnsi="Times New Roman" w:cs="Times New Roman" w:eastAsia="Times New Roman" w:hint="default"/>
        </w:rPr>
        <w:t>1</w:t>
      </w:r>
      <w:r>
        <w:rPr/>
        <w:t>）</w:t>
      </w:r>
      <w:r>
        <w:rPr>
          <w:spacing w:val="-1"/>
        </w:rPr>
        <w:t> </w:t>
      </w:r>
      <w:r>
        <w:rPr/>
        <w:t>确认单独所持有的资产，以及按持有份额确认共同持有的资产；</w:t>
      </w:r>
    </w:p>
    <w:p>
      <w:pPr>
        <w:spacing w:line="240" w:lineRule="auto" w:before="1"/>
        <w:rPr>
          <w:rFonts w:ascii="宋体" w:hAnsi="宋体" w:cs="宋体" w:eastAsia="宋体" w:hint="default"/>
          <w:sz w:val="13"/>
          <w:szCs w:val="13"/>
        </w:rPr>
      </w:pPr>
    </w:p>
    <w:p>
      <w:pPr>
        <w:pStyle w:val="BodyText"/>
        <w:spacing w:line="240" w:lineRule="auto"/>
        <w:ind w:left="561" w:right="939"/>
        <w:jc w:val="left"/>
      </w:pPr>
      <w:r>
        <w:rPr/>
        <w:t>（</w:t>
      </w:r>
      <w:r>
        <w:rPr>
          <w:rFonts w:ascii="Times New Roman" w:hAnsi="Times New Roman" w:cs="Times New Roman" w:eastAsia="Times New Roman" w:hint="default"/>
        </w:rPr>
        <w:t>2</w:t>
      </w:r>
      <w:r>
        <w:rPr/>
        <w:t>）</w:t>
      </w:r>
      <w:r>
        <w:rPr>
          <w:spacing w:val="-16"/>
        </w:rPr>
        <w:t> </w:t>
      </w:r>
      <w:r>
        <w:rPr/>
        <w:t>确认单独所承担的负债，以及按持有份额确认共同承担的负债；</w:t>
      </w:r>
    </w:p>
    <w:p>
      <w:pPr>
        <w:spacing w:line="240" w:lineRule="auto" w:before="3"/>
        <w:rPr>
          <w:rFonts w:ascii="宋体" w:hAnsi="宋体" w:cs="宋体" w:eastAsia="宋体" w:hint="default"/>
          <w:sz w:val="14"/>
          <w:szCs w:val="14"/>
        </w:rPr>
      </w:pPr>
    </w:p>
    <w:p>
      <w:pPr>
        <w:pStyle w:val="BodyText"/>
        <w:spacing w:line="240" w:lineRule="auto"/>
        <w:ind w:left="561" w:right="939"/>
        <w:jc w:val="left"/>
      </w:pPr>
      <w:r>
        <w:rPr/>
        <w:t>（</w:t>
      </w:r>
      <w:r>
        <w:rPr>
          <w:rFonts w:ascii="Times New Roman" w:hAnsi="Times New Roman" w:cs="Times New Roman" w:eastAsia="Times New Roman" w:hint="default"/>
        </w:rPr>
        <w:t>3</w:t>
      </w:r>
      <w:r>
        <w:rPr/>
        <w:t>）</w:t>
      </w:r>
      <w:r>
        <w:rPr>
          <w:spacing w:val="-16"/>
        </w:rPr>
        <w:t> </w:t>
      </w:r>
      <w:r>
        <w:rPr/>
        <w:t>确认出售公司享有的共同经营产出份额所产生的收入；</w:t>
      </w:r>
    </w:p>
    <w:p>
      <w:pPr>
        <w:spacing w:line="240" w:lineRule="auto" w:before="3"/>
        <w:rPr>
          <w:rFonts w:ascii="宋体" w:hAnsi="宋体" w:cs="宋体" w:eastAsia="宋体" w:hint="default"/>
          <w:sz w:val="14"/>
          <w:szCs w:val="14"/>
        </w:rPr>
      </w:pPr>
    </w:p>
    <w:p>
      <w:pPr>
        <w:pStyle w:val="BodyText"/>
        <w:spacing w:line="240" w:lineRule="auto"/>
        <w:ind w:left="561" w:right="939"/>
        <w:jc w:val="left"/>
      </w:pPr>
      <w:r>
        <w:rPr/>
        <w:t>（</w:t>
      </w:r>
      <w:r>
        <w:rPr>
          <w:rFonts w:ascii="Times New Roman" w:hAnsi="Times New Roman" w:cs="Times New Roman" w:eastAsia="Times New Roman" w:hint="default"/>
        </w:rPr>
        <w:t>4</w:t>
      </w:r>
      <w:r>
        <w:rPr/>
        <w:t>）</w:t>
      </w:r>
      <w:r>
        <w:rPr>
          <w:spacing w:val="-16"/>
        </w:rPr>
        <w:t> </w:t>
      </w:r>
      <w:r>
        <w:rPr/>
        <w:t>按公司持有份额确认共同经营因出售资产所产生的收入；</w:t>
      </w:r>
    </w:p>
    <w:p>
      <w:pPr>
        <w:pStyle w:val="BodyText"/>
        <w:spacing w:line="400" w:lineRule="atLeast" w:before="35"/>
        <w:ind w:left="501" w:right="1133" w:firstLine="60"/>
        <w:jc w:val="left"/>
      </w:pPr>
      <w:r>
        <w:rPr/>
        <w:t>（</w:t>
      </w:r>
      <w:r>
        <w:rPr>
          <w:rFonts w:ascii="Times New Roman" w:hAnsi="Times New Roman" w:cs="Times New Roman" w:eastAsia="Times New Roman" w:hint="default"/>
        </w:rPr>
        <w:t>5</w:t>
      </w:r>
      <w:r>
        <w:rPr/>
        <w:t>）</w:t>
      </w:r>
      <w:r>
        <w:rPr>
          <w:spacing w:val="-16"/>
        </w:rPr>
        <w:t> </w:t>
      </w:r>
      <w:r>
        <w:rPr/>
        <w:t>确认单独所发生的费用，以及按公司持有份额确认共同经营发生的费用。</w:t>
      </w:r>
      <w:r>
        <w:rPr/>
        <w:t> </w:t>
      </w:r>
      <w:r>
        <w:rPr>
          <w:spacing w:val="-2"/>
        </w:rPr>
        <w:t>当公司为合营企业的合营方时，将对合营企业的投资确认为长期股权投资，并按照本财务报表附注长期股权投资所述方</w:t>
      </w:r>
    </w:p>
    <w:p>
      <w:pPr>
        <w:pStyle w:val="BodyText"/>
        <w:spacing w:line="240" w:lineRule="auto" w:before="65"/>
        <w:ind w:right="939"/>
        <w:jc w:val="left"/>
      </w:pPr>
      <w:r>
        <w:rPr/>
        <w:t>法进行核算。</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939" w:firstLine="360"/>
        <w:jc w:val="left"/>
      </w:pPr>
      <w:r>
        <w:rPr>
          <w:spacing w:val="-2"/>
        </w:rPr>
        <w:t>现金等价物是指企业持有的期限短（一般指从购买日起三个月内到期）、流动性强、易于转换为已知金额现金、价值变</w:t>
      </w:r>
      <w:r>
        <w:rPr/>
        <w:t> 动风险很小的投资。</w:t>
      </w:r>
    </w:p>
    <w:p>
      <w:pPr>
        <w:spacing w:line="240" w:lineRule="auto" w:before="0"/>
        <w:rPr>
          <w:rFonts w:ascii="宋体" w:hAnsi="宋体" w:cs="宋体" w:eastAsia="宋体" w:hint="default"/>
          <w:sz w:val="24"/>
          <w:szCs w:val="24"/>
        </w:rPr>
      </w:pPr>
    </w:p>
    <w:p>
      <w:pPr>
        <w:pStyle w:val="Heading3"/>
        <w:spacing w:line="240" w:lineRule="auto"/>
        <w:ind w:right="939"/>
        <w:jc w:val="left"/>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1111" w:firstLine="360"/>
        <w:jc w:val="both"/>
      </w:pPr>
      <w:r>
        <w:rPr>
          <w:spacing w:val="-2"/>
        </w:rPr>
        <w:t>公司日常核算外币业务按交易发生日的即期汇率将外币金额折算为记账本位币金额入账，每月末对资产负债表之货币资</w:t>
      </w:r>
      <w:r>
        <w:rPr/>
        <w:t> </w:t>
      </w:r>
      <w:r>
        <w:rPr>
          <w:spacing w:val="-1"/>
        </w:rPr>
        <w:t>金、债权债务等货币性项目的外币余额按当日国家外汇市场汇率中间价进行调整，其差额作为</w:t>
      </w:r>
      <w:r>
        <w:rPr>
          <w:rFonts w:ascii="Times New Roman" w:hAnsi="Times New Roman" w:cs="Times New Roman" w:eastAsia="Times New Roman" w:hint="default"/>
          <w:spacing w:val="-1"/>
        </w:rPr>
        <w:t>“</w:t>
      </w:r>
      <w:r>
        <w:rPr>
          <w:spacing w:val="-1"/>
        </w:rPr>
        <w:t>财务费用</w:t>
      </w:r>
      <w:r>
        <w:rPr>
          <w:rFonts w:ascii="Times New Roman" w:hAnsi="Times New Roman" w:cs="Times New Roman" w:eastAsia="Times New Roman" w:hint="default"/>
          <w:spacing w:val="-1"/>
        </w:rPr>
        <w:t>—</w:t>
      </w:r>
      <w:r>
        <w:rPr>
          <w:spacing w:val="-1"/>
        </w:rPr>
        <w:t>汇兑损益</w:t>
      </w:r>
      <w:r>
        <w:rPr>
          <w:rFonts w:ascii="Times New Roman" w:hAnsi="Times New Roman" w:cs="Times New Roman" w:eastAsia="Times New Roman" w:hint="default"/>
          <w:spacing w:val="-1"/>
        </w:rPr>
        <w:t>”</w:t>
      </w:r>
      <w:r>
        <w:rPr>
          <w:spacing w:val="-1"/>
        </w:rPr>
        <w:t>计入当</w:t>
      </w:r>
      <w:r>
        <w:rPr>
          <w:spacing w:val="-82"/>
        </w:rPr>
        <w:t> </w:t>
      </w:r>
      <w:r>
        <w:rPr/>
        <w:t>期损益；属于与购建固定资产有关的借款产生的汇兑损益，按照借款费用资本化的原则进行处理。</w:t>
      </w:r>
    </w:p>
    <w:p>
      <w:pPr>
        <w:pStyle w:val="BodyText"/>
        <w:spacing w:line="312" w:lineRule="auto" w:before="151"/>
        <w:ind w:right="1111" w:firstLine="360"/>
        <w:jc w:val="both"/>
      </w:pPr>
      <w:r>
        <w:rPr>
          <w:spacing w:val="-2"/>
        </w:rPr>
        <w:t>资产负债表中的所有资产、负债类项目均按照资产负债表日国家外汇市场汇率中间价折算为人民币金额；所有者权益类</w:t>
      </w:r>
      <w:r>
        <w:rPr/>
        <w:t> </w:t>
      </w:r>
      <w:r>
        <w:rPr>
          <w:spacing w:val="-1"/>
        </w:rPr>
        <w:t>项目除</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项目外，均按发生时的国家外汇市场汇率中间价折算为人民币金额；</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项目以折算后的利润</w:t>
      </w:r>
      <w:r>
        <w:rPr>
          <w:spacing w:val="-61"/>
        </w:rPr>
        <w:t> </w:t>
      </w:r>
      <w:r>
        <w:rPr>
          <w:spacing w:val="-2"/>
        </w:rPr>
        <w:t>分配表中该项目的人民币金额列示。折算后资产类项目与负债类项目和所有者权益项目合计数的差额，在所有者权益项目下</w:t>
      </w:r>
    </w:p>
    <w:p>
      <w:pPr>
        <w:pStyle w:val="BodyText"/>
        <w:spacing w:line="405" w:lineRule="auto" w:before="25"/>
        <w:ind w:left="501" w:right="939" w:hanging="361"/>
        <w:jc w:val="left"/>
      </w:pP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项目列示。</w:t>
      </w:r>
      <w:r>
        <w:rPr>
          <w:spacing w:val="-84"/>
        </w:rPr>
        <w:t> </w:t>
      </w:r>
      <w:r>
        <w:rPr>
          <w:spacing w:val="-2"/>
        </w:rPr>
        <w:t>利润表中所有项目和所有者权益变动表中有关反映发生数的项目采用平均汇率折算为人民币金额；所有者权益变动表中</w:t>
      </w:r>
    </w:p>
    <w:p>
      <w:pPr>
        <w:pStyle w:val="BodyText"/>
        <w:spacing w:line="220" w:lineRule="exact"/>
        <w:ind w:right="939"/>
        <w:jc w:val="left"/>
      </w:pPr>
      <w:r>
        <w:rPr>
          <w:rFonts w:ascii="Times New Roman" w:hAnsi="Times New Roman" w:cs="Times New Roman" w:eastAsia="Times New Roman" w:hint="default"/>
        </w:rPr>
        <w:t>“</w:t>
      </w:r>
      <w:r>
        <w:rPr/>
        <w:t>年初未分配利润</w:t>
      </w:r>
      <w:r>
        <w:rPr>
          <w:rFonts w:ascii="Times New Roman" w:hAnsi="Times New Roman" w:cs="Times New Roman" w:eastAsia="Times New Roman" w:hint="default"/>
        </w:rPr>
        <w:t>”</w:t>
      </w:r>
      <w:r>
        <w:rPr/>
        <w:t>项目以上一年折算后的期末</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项目的金额列示；</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项目按折算后的所有者权益变动</w:t>
      </w:r>
    </w:p>
    <w:p>
      <w:pPr>
        <w:pStyle w:val="BodyText"/>
        <w:spacing w:line="240" w:lineRule="auto" w:before="51"/>
        <w:ind w:right="939"/>
        <w:jc w:val="left"/>
      </w:pPr>
      <w:r>
        <w:rPr/>
        <w:t>表中的其他各项目的金额计算列示。</w:t>
      </w:r>
    </w:p>
    <w:p>
      <w:pPr>
        <w:spacing w:after="0" w:line="240" w:lineRule="auto"/>
        <w:jc w:val="left"/>
        <w:sectPr>
          <w:pgSz w:w="11910" w:h="16850"/>
          <w:pgMar w:header="866"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0"/>
        <w:jc w:val="both"/>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25"/>
          <w:szCs w:val="25"/>
        </w:rPr>
      </w:pPr>
    </w:p>
    <w:p>
      <w:pPr>
        <w:spacing w:line="444" w:lineRule="auto" w:before="0"/>
        <w:ind w:left="501" w:right="5169" w:firstLine="0"/>
        <w:jc w:val="left"/>
        <w:rPr>
          <w:rFonts w:ascii="宋体" w:hAnsi="宋体" w:cs="宋体" w:eastAsia="宋体" w:hint="default"/>
          <w:sz w:val="18"/>
          <w:szCs w:val="18"/>
        </w:rPr>
      </w:pPr>
      <w:r>
        <w:rPr>
          <w:rFonts w:ascii="宋体" w:hAnsi="宋体" w:cs="宋体" w:eastAsia="宋体" w:hint="default"/>
          <w:sz w:val="18"/>
          <w:szCs w:val="18"/>
        </w:rPr>
        <w:t>在公司成为金融工具合同的一方时确认一项金融资产或金融负债。 </w:t>
      </w:r>
      <w:r>
        <w:rPr>
          <w:rFonts w:ascii="宋体" w:hAnsi="宋体" w:cs="宋体" w:eastAsia="宋体" w:hint="default"/>
          <w:b/>
          <w:bCs/>
          <w:sz w:val="18"/>
          <w:szCs w:val="18"/>
        </w:rPr>
        <w:t>(1)</w:t>
      </w:r>
      <w:r>
        <w:rPr>
          <w:rFonts w:ascii="宋体" w:hAnsi="宋体" w:cs="宋体" w:eastAsia="宋体" w:hint="default"/>
          <w:b/>
          <w:bCs/>
          <w:spacing w:val="1"/>
          <w:sz w:val="18"/>
          <w:szCs w:val="18"/>
        </w:rPr>
        <w:t> </w:t>
      </w:r>
      <w:r>
        <w:rPr>
          <w:rFonts w:ascii="宋体" w:hAnsi="宋体" w:cs="宋体" w:eastAsia="宋体" w:hint="default"/>
          <w:b/>
          <w:bCs/>
          <w:sz w:val="18"/>
          <w:szCs w:val="18"/>
        </w:rPr>
        <w:t>金融资产的分类、确认及计量</w:t>
      </w:r>
      <w:r>
        <w:rPr>
          <w:rFonts w:ascii="宋体" w:hAnsi="宋体" w:cs="宋体" w:eastAsia="宋体" w:hint="default"/>
          <w:sz w:val="18"/>
          <w:szCs w:val="18"/>
        </w:rPr>
      </w:r>
    </w:p>
    <w:p>
      <w:pPr>
        <w:pStyle w:val="BodyText"/>
        <w:spacing w:line="321" w:lineRule="auto" w:before="31"/>
        <w:ind w:right="1121" w:firstLine="360"/>
        <w:jc w:val="both"/>
      </w:pPr>
      <w:r>
        <w:rPr>
          <w:spacing w:val="-2"/>
        </w:rPr>
        <w:t>公司在初始确认时根据管理金融资产的业务模式和金融资产的合同现金流量特征，将金融资产分为不同类别：以摊余成</w:t>
      </w:r>
      <w:r>
        <w:rPr/>
        <w:t> </w:t>
      </w:r>
      <w:r>
        <w:rPr>
          <w:spacing w:val="-2"/>
        </w:rPr>
        <w:t>本计量的金融资产、以公允价值计量且其变动计入其他综合收益的金融资产及以公允价值计量且其变动计入当期损益的金融</w:t>
      </w:r>
      <w:r>
        <w:rPr>
          <w:spacing w:val="-58"/>
        </w:rPr>
        <w:t> </w:t>
      </w:r>
      <w:r>
        <w:rPr>
          <w:spacing w:val="-58"/>
        </w:rPr>
      </w:r>
      <w:r>
        <w:rPr/>
        <w:t>资产。</w:t>
      </w:r>
    </w:p>
    <w:p>
      <w:pPr>
        <w:pStyle w:val="BodyText"/>
        <w:spacing w:line="321" w:lineRule="auto" w:before="138"/>
        <w:ind w:right="1137" w:firstLine="360"/>
        <w:jc w:val="both"/>
      </w:pPr>
      <w:r>
        <w:rPr>
          <w:spacing w:val="-2"/>
        </w:rPr>
        <w:t>除非公司改变管理金融资产的业务模式，在此情形下，所有受影响的相关金融资产在业务模式发生变更后的首个报告期</w:t>
      </w:r>
      <w:r>
        <w:rPr/>
        <w:t> 间的第一天进行重分类，否则金融资产在初始确认后不得进行重分类。</w:t>
      </w:r>
    </w:p>
    <w:p>
      <w:pPr>
        <w:pStyle w:val="BodyText"/>
        <w:spacing w:line="240" w:lineRule="auto" w:before="123"/>
        <w:ind w:left="501" w:right="939"/>
        <w:jc w:val="left"/>
      </w:pPr>
      <w:r>
        <w:rPr/>
        <w:t>①  以摊余成本计量的金融资产</w:t>
      </w:r>
    </w:p>
    <w:p>
      <w:pPr>
        <w:spacing w:line="240" w:lineRule="auto" w:before="3"/>
        <w:rPr>
          <w:rFonts w:ascii="宋体" w:hAnsi="宋体" w:cs="宋体" w:eastAsia="宋体" w:hint="default"/>
          <w:sz w:val="15"/>
          <w:szCs w:val="15"/>
        </w:rPr>
      </w:pPr>
    </w:p>
    <w:p>
      <w:pPr>
        <w:pStyle w:val="BodyText"/>
        <w:spacing w:line="321" w:lineRule="auto"/>
        <w:ind w:left="231" w:right="1137" w:firstLine="360"/>
        <w:jc w:val="both"/>
      </w:pPr>
      <w:r>
        <w:rPr/>
        <w:t>本公司管理以摊余成本计量的金融资产的业务模式为以收取合同现金流量为目标，且此类金融资产的合同现金流量特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征与基本借贷安排相一致，即在特定日期产生的现金流量，仅为对本金和以未偿付本金金额为基础的利息的支付。本公司 对于此类金融资产，采用实际利率法，按照摊余成本进行后续计量，其摊销或减值产生的利得或损失，计入当期损益。</w:t>
      </w:r>
    </w:p>
    <w:p>
      <w:pPr>
        <w:pStyle w:val="BodyText"/>
        <w:spacing w:line="420" w:lineRule="exact" w:before="12"/>
        <w:ind w:left="591" w:right="1119" w:hanging="90"/>
        <w:jc w:val="left"/>
      </w:pPr>
      <w:r>
        <w:rPr/>
        <w:t>② 以公允价值计量且其变动计入其他综合收益的金融资产 本公司管理此类金融资产的业务模式为既以收取合同现金流量为目标又以出售为目标，且此类金融资产的合同现金流</w:t>
      </w:r>
    </w:p>
    <w:p>
      <w:pPr>
        <w:pStyle w:val="BodyText"/>
        <w:spacing w:line="321" w:lineRule="auto" w:before="21"/>
        <w:ind w:left="231" w:right="1131"/>
        <w:jc w:val="both"/>
      </w:pPr>
      <w:r>
        <w:rPr>
          <w:spacing w:val="-4"/>
        </w:rPr>
        <w:t>量特征与基本借贷安排相一致。本公司对此类金融资产按照公允价值计量且其变动计入其他综合收益，但减值损失或利得、</w:t>
      </w:r>
      <w:r>
        <w:rPr>
          <w:spacing w:val="-49"/>
        </w:rPr>
        <w:t> </w:t>
      </w:r>
      <w:r>
        <w:rPr>
          <w:spacing w:val="-49"/>
        </w:rPr>
      </w:r>
      <w:r>
        <w:rPr/>
        <w:t>汇兑损益和按照实际利率法计算的利息收入计入当期损益。</w:t>
      </w:r>
    </w:p>
    <w:p>
      <w:pPr>
        <w:pStyle w:val="BodyText"/>
        <w:spacing w:line="316" w:lineRule="auto" w:before="138"/>
        <w:ind w:right="1121" w:firstLine="360"/>
        <w:jc w:val="both"/>
      </w:pPr>
      <w:r>
        <w:rPr>
          <w:spacing w:val="-2"/>
        </w:rPr>
        <w:t>此外，本公司将部分非交易性权益工具投资在初始确认时不可撤销地指定为以公允价值计量且其变动计入其他综合收益</w:t>
      </w:r>
      <w:r>
        <w:rPr/>
        <w:t> </w:t>
      </w:r>
      <w:r>
        <w:rPr>
          <w:spacing w:val="-2"/>
        </w:rPr>
        <w:t>的金融资产。该指定在单项投资的基础上作出，且相关投资从发行者的角度符合权益工具的定义。本公司将该类金融资产的</w:t>
      </w:r>
      <w:r>
        <w:rPr>
          <w:spacing w:val="-75"/>
        </w:rPr>
        <w:t> </w:t>
      </w:r>
      <w:r>
        <w:rPr>
          <w:spacing w:val="-75"/>
        </w:rPr>
      </w:r>
      <w:r>
        <w:rPr>
          <w:spacing w:val="-2"/>
        </w:rPr>
        <w:t>相关股利收入计入当期损益，公允价值变动计入其他综合收益。当该金融资产终止确认时，之前计入其他综合收益的累计利</w:t>
      </w:r>
      <w:r>
        <w:rPr>
          <w:spacing w:val="-75"/>
        </w:rPr>
        <w:t> </w:t>
      </w:r>
      <w:r>
        <w:rPr>
          <w:spacing w:val="-75"/>
        </w:rPr>
      </w:r>
      <w:r>
        <w:rPr/>
        <w:t>得或损失将从其他综合收益转入留存收益。</w:t>
      </w:r>
    </w:p>
    <w:p>
      <w:pPr>
        <w:pStyle w:val="BodyText"/>
        <w:spacing w:line="436" w:lineRule="exact" w:before="3"/>
        <w:ind w:left="501" w:right="939"/>
        <w:jc w:val="left"/>
      </w:pPr>
      <w:r>
        <w:rPr/>
        <w:t>③ 以公允价值计量且其变动计入当期损益的金融资产</w:t>
      </w:r>
      <w:r>
        <w:rPr>
          <w:spacing w:val="-86"/>
        </w:rPr>
        <w:t> </w:t>
      </w:r>
      <w:r>
        <w:rPr>
          <w:spacing w:val="-86"/>
        </w:rPr>
      </w:r>
      <w:r>
        <w:rPr>
          <w:spacing w:val="-2"/>
        </w:rPr>
        <w:t>本公司将上述以摊余成本计量的金融资产和以公允价值计量且其变动计入其他综合收益的金融资产之外的金融资产，分</w:t>
      </w:r>
    </w:p>
    <w:p>
      <w:pPr>
        <w:pStyle w:val="BodyText"/>
        <w:spacing w:line="314" w:lineRule="auto" w:before="18"/>
        <w:ind w:right="1106"/>
        <w:jc w:val="both"/>
      </w:pPr>
      <w:r>
        <w:rPr>
          <w:spacing w:val="-2"/>
        </w:rPr>
        <w:t>类为以公允价值计量且其变动计入当期损益的金融资产。此外，在初始确认时，本公司为了消除或显著减少会计错配，将部</w:t>
      </w:r>
      <w:r>
        <w:rPr>
          <w:spacing w:val="-42"/>
        </w:rPr>
        <w:t> </w:t>
      </w:r>
      <w:r>
        <w:rPr>
          <w:spacing w:val="-42"/>
        </w:rPr>
      </w:r>
      <w:r>
        <w:rPr>
          <w:spacing w:val="-2"/>
        </w:rPr>
        <w:t>分金融资产指定为以公允价值计量且其变动计入当期损益的金融资产。对于此类金融资产，本公司采用公允价值进行后续计</w:t>
      </w:r>
      <w:r>
        <w:rPr>
          <w:spacing w:val="-72"/>
        </w:rPr>
        <w:t> </w:t>
      </w:r>
      <w:r>
        <w:rPr>
          <w:spacing w:val="-72"/>
        </w:rPr>
      </w:r>
      <w:r>
        <w:rPr/>
        <w:t>量，公允价值变动计入当期损益。</w:t>
      </w:r>
    </w:p>
    <w:p>
      <w:pPr>
        <w:pStyle w:val="BodyText"/>
        <w:spacing w:line="321" w:lineRule="auto" w:before="143"/>
        <w:ind w:right="1131" w:firstLine="360"/>
        <w:jc w:val="both"/>
      </w:pPr>
      <w:r>
        <w:rPr>
          <w:spacing w:val="-2"/>
        </w:rPr>
        <w:t>管理金融资产的业务模式，是指公司如何管理金融资产以产生现金流量。业务模式决定公司所管理金融资产现金流量的</w:t>
      </w:r>
      <w:r>
        <w:rPr/>
        <w:t> </w:t>
      </w:r>
      <w:r>
        <w:rPr>
          <w:spacing w:val="-2"/>
        </w:rPr>
        <w:t>来源是收取合同现金流量、出售金融资产还是两者兼有。公司以客观事实为依据、以关键管理人员决定的对金融资产进行管</w:t>
      </w:r>
      <w:r>
        <w:rPr>
          <w:spacing w:val="-70"/>
        </w:rPr>
        <w:t> </w:t>
      </w:r>
      <w:r>
        <w:rPr>
          <w:spacing w:val="-70"/>
        </w:rPr>
      </w:r>
      <w:r>
        <w:rPr/>
        <w:t>理的特定业务目标为基础，确定管理金融资产的业务模式。</w:t>
      </w:r>
    </w:p>
    <w:p>
      <w:pPr>
        <w:pStyle w:val="BodyText"/>
        <w:spacing w:line="321" w:lineRule="auto" w:before="123"/>
        <w:ind w:right="1106" w:firstLine="360"/>
        <w:jc w:val="both"/>
      </w:pPr>
      <w:r>
        <w:rPr>
          <w:spacing w:val="-2"/>
        </w:rPr>
        <w:t>公司对金融资产的合同现金流量特征进行评估，以确定相关金融资产在特定日期产生的合同现金流量是否仅为对本金和</w:t>
      </w:r>
      <w:r>
        <w:rPr/>
        <w:t> </w:t>
      </w:r>
      <w:r>
        <w:rPr>
          <w:spacing w:val="-2"/>
        </w:rPr>
        <w:t>以未偿付本金金额为基础的利息的支付。其中，本金是指金融资产在初始确认时的公允价值；利息包括对货币时间价值、与</w:t>
      </w:r>
      <w:r>
        <w:rPr>
          <w:spacing w:val="-42"/>
        </w:rPr>
        <w:t> </w:t>
      </w:r>
      <w:r>
        <w:rPr>
          <w:spacing w:val="-42"/>
        </w:rPr>
      </w:r>
      <w:r>
        <w:rPr>
          <w:spacing w:val="-2"/>
        </w:rPr>
        <w:t>特定时期未偿付本金金额相关的信用风险、以及其他基本借贷风险、成本和利润的对价。此外，公司对可能导致金融资产合</w:t>
      </w:r>
      <w:r>
        <w:rPr>
          <w:spacing w:val="-42"/>
        </w:rPr>
        <w:t> </w:t>
      </w:r>
      <w:r>
        <w:rPr>
          <w:spacing w:val="-42"/>
        </w:rPr>
      </w:r>
      <w:r>
        <w:rPr/>
        <w:t>同现金流量的时间分布或金额发生变更的合同条款进行评估，以确定其是否满足上述合同现金流量特征的要求。</w:t>
      </w:r>
    </w:p>
    <w:p>
      <w:pPr>
        <w:pStyle w:val="BodyText"/>
        <w:spacing w:line="420" w:lineRule="exact" w:before="13"/>
        <w:ind w:left="501" w:right="939"/>
        <w:jc w:val="left"/>
      </w:pPr>
      <w:r>
        <w:rPr>
          <w:rFonts w:ascii="宋体" w:hAnsi="宋体" w:cs="宋体" w:eastAsia="宋体" w:hint="default"/>
          <w:b/>
          <w:bCs/>
        </w:rPr>
        <w:t>(2)</w:t>
      </w:r>
      <w:r>
        <w:rPr>
          <w:rFonts w:ascii="宋体" w:hAnsi="宋体" w:cs="宋体" w:eastAsia="宋体" w:hint="default"/>
          <w:b/>
          <w:bCs/>
          <w:spacing w:val="-2"/>
        </w:rPr>
        <w:t> </w:t>
      </w:r>
      <w:r>
        <w:rPr>
          <w:rFonts w:ascii="宋体" w:hAnsi="宋体" w:cs="宋体" w:eastAsia="宋体" w:hint="default"/>
          <w:b/>
          <w:bCs/>
        </w:rPr>
        <w:t>金融资产减值</w:t>
      </w:r>
      <w:r>
        <w:rPr>
          <w:rFonts w:ascii="宋体" w:hAnsi="宋体" w:cs="宋体" w:eastAsia="宋体" w:hint="default"/>
          <w:b/>
          <w:bCs/>
          <w:w w:val="99"/>
        </w:rPr>
        <w:t> </w:t>
      </w:r>
      <w:r>
        <w:rPr>
          <w:spacing w:val="-2"/>
        </w:rPr>
        <w:t>本公司需确认减值损失的金融资产系以摊余成本计量的金融资产、以公允价值计量且其变动计入其他综合收益的债务工</w:t>
      </w:r>
    </w:p>
    <w:p>
      <w:pPr>
        <w:pStyle w:val="BodyText"/>
        <w:spacing w:line="240" w:lineRule="auto" w:before="20"/>
        <w:ind w:right="0"/>
        <w:jc w:val="both"/>
      </w:pPr>
      <w:r>
        <w:rPr/>
        <w:t>具投资、租赁应收款，主要包括应收票据、应收账款、其他应收款、债权投资、其他债权投资、长期应收款等。</w:t>
      </w:r>
    </w:p>
    <w:p>
      <w:pPr>
        <w:spacing w:line="240" w:lineRule="auto" w:before="4"/>
        <w:rPr>
          <w:rFonts w:ascii="宋体" w:hAnsi="宋体" w:cs="宋体" w:eastAsia="宋体" w:hint="default"/>
          <w:sz w:val="15"/>
          <w:szCs w:val="15"/>
        </w:rPr>
      </w:pPr>
    </w:p>
    <w:p>
      <w:pPr>
        <w:pStyle w:val="BodyText"/>
        <w:spacing w:line="321" w:lineRule="auto"/>
        <w:ind w:right="1121" w:firstLine="360"/>
        <w:jc w:val="both"/>
      </w:pPr>
      <w:r>
        <w:rPr>
          <w:spacing w:val="-2"/>
        </w:rPr>
        <w:t>公司持有的其他以公允价值计量的金融资产不适用预期信用损失模型，包括以公允价值计量且其变动计入当期损益的权</w:t>
      </w:r>
      <w:r>
        <w:rPr/>
        <w:t> 益工具投资，以及指定为以公允价值计量且其变动计入其他综合收益的权益工具投资。</w:t>
      </w:r>
    </w:p>
    <w:p>
      <w:pPr>
        <w:spacing w:after="0" w:line="321" w:lineRule="auto"/>
        <w:jc w:val="both"/>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501" w:right="939"/>
        <w:jc w:val="left"/>
      </w:pPr>
      <w:r>
        <w:rPr/>
        <w:t>①  预期信用损失的计量</w:t>
      </w:r>
    </w:p>
    <w:p>
      <w:pPr>
        <w:spacing w:line="240" w:lineRule="auto" w:before="4"/>
        <w:rPr>
          <w:rFonts w:ascii="宋体" w:hAnsi="宋体" w:cs="宋体" w:eastAsia="宋体" w:hint="default"/>
          <w:sz w:val="15"/>
          <w:szCs w:val="15"/>
        </w:rPr>
      </w:pPr>
    </w:p>
    <w:p>
      <w:pPr>
        <w:pStyle w:val="BodyText"/>
        <w:spacing w:line="314" w:lineRule="auto"/>
        <w:ind w:left="231" w:right="1125" w:firstLine="360"/>
        <w:jc w:val="both"/>
      </w:pPr>
      <w:r>
        <w:rPr/>
        <w:t>预期信用损失，是指以发生违约的风险为权重的金融工具信用损失的加权平均值。信用损失，是指公司按照原实际利 </w:t>
      </w:r>
      <w:r>
        <w:rPr>
          <w:spacing w:val="-2"/>
        </w:rPr>
        <w:t>率折现的、根据合同应收的所有合同现金流量与预期收取的所有现金流量之间的差额，即全部现金短缺的现值。</w:t>
      </w:r>
      <w:r>
        <w:rPr>
          <w:spacing w:val="14"/>
        </w:rPr>
        <w:t> </w:t>
      </w:r>
      <w:r>
        <w:rPr/>
        <w:t>在计量预</w:t>
      </w:r>
      <w:r>
        <w:rPr>
          <w:spacing w:val="-88"/>
        </w:rPr>
        <w:t> </w:t>
      </w:r>
      <w:r>
        <w:rPr>
          <w:spacing w:val="-88"/>
        </w:rPr>
      </w:r>
      <w:r>
        <w:rPr/>
        <w:t>期信用损失时，公司需考虑的最长期限为企业面临信用风险的最长合同期限（包括考虑续约选择权）。</w:t>
      </w:r>
    </w:p>
    <w:p>
      <w:pPr>
        <w:pStyle w:val="BodyText"/>
        <w:spacing w:line="321" w:lineRule="auto" w:before="144"/>
        <w:ind w:right="1029" w:firstLine="360"/>
        <w:jc w:val="left"/>
      </w:pPr>
      <w:r>
        <w:rPr/>
        <w:t>对于由收入准则规范的交易形成的应收账款，公司始终按照相当于整个存续期内预期信用损失的金额计量其损失准备。 </w:t>
      </w:r>
      <w:r>
        <w:rPr>
          <w:spacing w:val="-2"/>
        </w:rPr>
        <w:t>公司基于历史信用损失经验、使用准备矩阵计算上述金融资产的预期信用损失，相关历史经验根据资产负债表日借款人的特</w:t>
      </w:r>
      <w:r>
        <w:rPr>
          <w:spacing w:val="-61"/>
        </w:rPr>
        <w:t> </w:t>
      </w:r>
      <w:r>
        <w:rPr>
          <w:spacing w:val="-61"/>
        </w:rPr>
      </w:r>
      <w:r>
        <w:rPr/>
        <w:t>定因素，以及对当前状况和未来经济状况预测的评估进行调整。</w:t>
      </w:r>
    </w:p>
    <w:p>
      <w:pPr>
        <w:pStyle w:val="BodyText"/>
        <w:spacing w:line="316" w:lineRule="auto" w:before="138"/>
        <w:ind w:right="1135" w:firstLine="360"/>
        <w:jc w:val="both"/>
      </w:pPr>
      <w:r>
        <w:rPr>
          <w:spacing w:val="-2"/>
        </w:rPr>
        <w:t>对于其他金融工具，除购买或源生的已发生信用减值的金融资产外，如其他应收款等，公司在每个资产负债表日评估相</w:t>
      </w:r>
      <w:r>
        <w:rPr/>
        <w:t> </w:t>
      </w:r>
      <w:r>
        <w:rPr>
          <w:spacing w:val="-2"/>
        </w:rPr>
        <w:t>关金融工具的信用风险自初始确认后的变动情况。若该金融工具的信用风险自初始确认后已显著增加，公司按照相当于该金</w:t>
      </w:r>
      <w:r>
        <w:rPr>
          <w:spacing w:val="-72"/>
        </w:rPr>
        <w:t> </w:t>
      </w:r>
      <w:r>
        <w:rPr>
          <w:spacing w:val="-72"/>
        </w:rPr>
      </w:r>
      <w:r>
        <w:rPr>
          <w:spacing w:val="-2"/>
        </w:rPr>
        <w:t>融工具整个存续期内预期信用损失的金额计量其损失准备；若该金融工具的信用风险自初始确认后并未显著增加，公司按照</w:t>
      </w:r>
      <w:r>
        <w:rPr>
          <w:spacing w:val="-72"/>
        </w:rPr>
        <w:t> </w:t>
      </w:r>
      <w:r>
        <w:rPr>
          <w:spacing w:val="-72"/>
        </w:rPr>
      </w:r>
      <w:r>
        <w:rPr>
          <w:spacing w:val="-2"/>
        </w:rPr>
        <w:t>相当于该金融工具未来</w:t>
      </w:r>
      <w:r>
        <w:rPr>
          <w:rFonts w:ascii="宋体" w:hAnsi="宋体" w:cs="宋体" w:eastAsia="宋体" w:hint="default"/>
          <w:spacing w:val="-2"/>
        </w:rPr>
        <w:t>12</w:t>
      </w:r>
      <w:r>
        <w:rPr>
          <w:spacing w:val="-2"/>
        </w:rPr>
        <w:t>个月内预期信用损失的金额计量其损失准备。信用损失准备的增加或转回金额，作为减值损失或利</w:t>
      </w:r>
      <w:r>
        <w:rPr>
          <w:spacing w:val="-68"/>
        </w:rPr>
        <w:t> </w:t>
      </w:r>
      <w:r>
        <w:rPr>
          <w:spacing w:val="-68"/>
        </w:rPr>
      </w:r>
      <w:r>
        <w:rPr>
          <w:spacing w:val="-2"/>
        </w:rPr>
        <w:t>得计入当期损益，除分类为以公允价值计量且其变动计入其他综合收益的金融资产、财务担保合同和贷款承诺外，信用损失</w:t>
      </w:r>
      <w:r>
        <w:rPr>
          <w:spacing w:val="-73"/>
        </w:rPr>
        <w:t> </w:t>
      </w:r>
      <w:r>
        <w:rPr>
          <w:spacing w:val="-73"/>
        </w:rPr>
      </w:r>
      <w:r>
        <w:rPr>
          <w:spacing w:val="-2"/>
        </w:rPr>
        <w:t>准备抵减金融资产的账面价值；对于分类为以公允价值计量且其变动计入其他综合收益的金融资产，公司在其他综合收益中</w:t>
      </w:r>
      <w:r>
        <w:rPr>
          <w:spacing w:val="-72"/>
        </w:rPr>
        <w:t> </w:t>
      </w:r>
      <w:r>
        <w:rPr>
          <w:spacing w:val="-72"/>
        </w:rPr>
      </w:r>
      <w:r>
        <w:rPr/>
        <w:t>确认其信用损失准备，不减少该金融资产在资产负债表中列示的账面价值。</w:t>
      </w:r>
    </w:p>
    <w:p>
      <w:pPr>
        <w:pStyle w:val="BodyText"/>
        <w:spacing w:line="321" w:lineRule="auto" w:before="142"/>
        <w:ind w:right="1121" w:firstLine="360"/>
        <w:jc w:val="both"/>
      </w:pPr>
      <w:r>
        <w:rPr>
          <w:spacing w:val="-2"/>
        </w:rPr>
        <w:t>公司在前一会计期间已经按照相当于金融工具整个存续期内预期信用损失的金额计量了损失准备，但在当期资产负债表</w:t>
      </w:r>
      <w:r>
        <w:rPr/>
        <w:t> </w:t>
      </w:r>
      <w:r>
        <w:rPr>
          <w:spacing w:val="-2"/>
        </w:rPr>
        <w:t>日，该金融工具已不再属于自初始确认后信用风险显著增加的情形的，公司在当期资产负债表日按照相当于未来</w:t>
      </w:r>
      <w:r>
        <w:rPr>
          <w:rFonts w:ascii="宋体" w:hAnsi="宋体" w:cs="宋体" w:eastAsia="宋体" w:hint="default"/>
          <w:spacing w:val="-2"/>
        </w:rPr>
        <w:t>12</w:t>
      </w:r>
      <w:r>
        <w:rPr>
          <w:spacing w:val="-2"/>
        </w:rPr>
        <w:t>个月内预</w:t>
      </w:r>
      <w:r>
        <w:rPr>
          <w:spacing w:val="-59"/>
        </w:rPr>
        <w:t> </w:t>
      </w:r>
      <w:r>
        <w:rPr/>
        <w:t>期信用损失的金额计量该金融工具的损失准备，由此形成的损失准备的转回金额作为减值利得计入当期损益。</w:t>
      </w:r>
    </w:p>
    <w:p>
      <w:pPr>
        <w:pStyle w:val="BodyText"/>
        <w:spacing w:line="420" w:lineRule="exact" w:before="12"/>
        <w:ind w:left="591" w:right="1119" w:hanging="90"/>
        <w:jc w:val="left"/>
      </w:pPr>
      <w:r>
        <w:rPr/>
        <w:t>② 信用风险自初始确认后是否显著增加的判断标准 公司通过比较金融工具在资产负债表日发生违约的风险与在初始确认日发生违约的风险，以确定金融工具预计存续期</w:t>
      </w:r>
    </w:p>
    <w:p>
      <w:pPr>
        <w:pStyle w:val="BodyText"/>
        <w:spacing w:line="240" w:lineRule="auto" w:before="21"/>
        <w:ind w:left="231" w:right="939"/>
        <w:jc w:val="left"/>
      </w:pPr>
      <w:r>
        <w:rPr/>
        <w:t>内发生违约风险的相对变化，进而评估金融工具的信用风险自初始确认后是否已显著增加。</w:t>
      </w:r>
    </w:p>
    <w:p>
      <w:pPr>
        <w:spacing w:line="240" w:lineRule="auto" w:before="3"/>
        <w:rPr>
          <w:rFonts w:ascii="宋体" w:hAnsi="宋体" w:cs="宋体" w:eastAsia="宋体" w:hint="default"/>
          <w:sz w:val="15"/>
          <w:szCs w:val="15"/>
        </w:rPr>
      </w:pPr>
    </w:p>
    <w:p>
      <w:pPr>
        <w:pStyle w:val="BodyText"/>
        <w:spacing w:line="321" w:lineRule="auto"/>
        <w:ind w:right="1137" w:firstLine="450"/>
        <w:jc w:val="both"/>
      </w:pPr>
      <w:r>
        <w:rPr/>
        <w:t>在确定信用风险自初始确认后是否显著增加时，公司考虑无须付出不必要的额外成本或努力即可获得的合理且有依据 的信息，包括前瞻性信息。公司在评估信用风险是否显著增加时会考虑如下因素：</w:t>
      </w:r>
    </w:p>
    <w:p>
      <w:pPr>
        <w:pStyle w:val="BodyText"/>
        <w:spacing w:line="240" w:lineRule="auto" w:before="138"/>
        <w:ind w:left="621" w:right="939"/>
        <w:jc w:val="left"/>
      </w:pPr>
      <w:r>
        <w:rPr>
          <w:rFonts w:ascii="宋体" w:hAnsi="宋体" w:cs="宋体" w:eastAsia="宋体" w:hint="default"/>
        </w:rPr>
        <w:t>A</w:t>
      </w:r>
      <w:r>
        <w:rPr>
          <w:rFonts w:ascii="宋体" w:hAnsi="宋体" w:cs="宋体" w:eastAsia="宋体" w:hint="default"/>
          <w:spacing w:val="2"/>
        </w:rPr>
        <w:t> </w:t>
      </w:r>
      <w:r>
        <w:rPr/>
        <w:t>债务人未能按合同到期日支付本金和利息的情况；</w:t>
      </w:r>
    </w:p>
    <w:p>
      <w:pPr>
        <w:spacing w:line="240" w:lineRule="auto" w:before="1"/>
        <w:rPr>
          <w:rFonts w:ascii="宋体" w:hAnsi="宋体" w:cs="宋体" w:eastAsia="宋体" w:hint="default"/>
          <w:sz w:val="14"/>
          <w:szCs w:val="14"/>
        </w:rPr>
      </w:pPr>
    </w:p>
    <w:p>
      <w:pPr>
        <w:pStyle w:val="BodyText"/>
        <w:spacing w:line="444" w:lineRule="auto"/>
        <w:ind w:left="621" w:right="4329"/>
        <w:jc w:val="left"/>
      </w:pPr>
      <w:r>
        <w:rPr>
          <w:rFonts w:ascii="宋体" w:hAnsi="宋体" w:cs="宋体" w:eastAsia="宋体" w:hint="default"/>
        </w:rPr>
        <w:t>B </w:t>
      </w:r>
      <w:r>
        <w:rPr/>
        <w:t>已发生的或预期的金融工具的外部或内部信用评级（如有）的严重恶化； </w:t>
      </w:r>
      <w:r>
        <w:rPr>
          <w:rFonts w:ascii="宋体" w:hAnsi="宋体" w:cs="宋体" w:eastAsia="宋体" w:hint="default"/>
        </w:rPr>
        <w:t>C </w:t>
      </w:r>
      <w:r>
        <w:rPr/>
        <w:t>已发生的或预期的债务人经营成果的严重恶化；</w:t>
      </w:r>
    </w:p>
    <w:p>
      <w:pPr>
        <w:pStyle w:val="BodyText"/>
        <w:spacing w:line="444" w:lineRule="auto" w:before="47"/>
        <w:ind w:left="621" w:right="1809"/>
        <w:jc w:val="left"/>
      </w:pPr>
      <w:r>
        <w:rPr>
          <w:rFonts w:ascii="宋体" w:hAnsi="宋体" w:cs="宋体" w:eastAsia="宋体" w:hint="default"/>
        </w:rPr>
        <w:t>D </w:t>
      </w:r>
      <w:r>
        <w:rPr/>
        <w:t>现存的或预期的技术、市场、经济或法律环境变化，并将对债务人对公司的还款能力产生重大不利影响。 </w:t>
      </w:r>
      <w:r>
        <w:rPr>
          <w:rFonts w:ascii="宋体" w:hAnsi="宋体" w:cs="宋体" w:eastAsia="宋体" w:hint="default"/>
        </w:rPr>
        <w:t>E </w:t>
      </w:r>
      <w:r>
        <w:rPr/>
        <w:t>金融工具外部信用评级实际或预期是否发生显著变化；</w:t>
      </w:r>
    </w:p>
    <w:p>
      <w:pPr>
        <w:pStyle w:val="BodyText"/>
        <w:spacing w:line="427" w:lineRule="auto" w:before="47"/>
        <w:ind w:left="621" w:right="3429"/>
        <w:jc w:val="left"/>
      </w:pPr>
      <w:r>
        <w:rPr>
          <w:rFonts w:ascii="宋体" w:hAnsi="宋体" w:cs="宋体" w:eastAsia="宋体" w:hint="default"/>
        </w:rPr>
        <w:t>F </w:t>
      </w:r>
      <w:r>
        <w:rPr/>
        <w:t>作为债务抵押的担保物价值或第三方提供的担保或信用增级质量是否发生显著变化； </w:t>
      </w:r>
      <w:r>
        <w:rPr>
          <w:rFonts w:ascii="宋体" w:hAnsi="宋体" w:cs="宋体" w:eastAsia="宋体" w:hint="default"/>
        </w:rPr>
        <w:t>G </w:t>
      </w:r>
      <w:r>
        <w:rPr/>
        <w:t>公司对金融工具信用管理方法是否发生变化</w:t>
      </w:r>
    </w:p>
    <w:p>
      <w:pPr>
        <w:pStyle w:val="BodyText"/>
        <w:spacing w:line="321" w:lineRule="auto" w:before="59"/>
        <w:ind w:right="1137" w:firstLine="360"/>
        <w:jc w:val="both"/>
      </w:pPr>
      <w:r>
        <w:rPr>
          <w:spacing w:val="-2"/>
        </w:rPr>
        <w:t>于资产负债表日，若公司判断金融工具只具有较低的信用风险，则公司假定该金融工具的信用风险自初始确认后并未显</w:t>
      </w:r>
      <w:r>
        <w:rPr/>
        <w:t> </w:t>
      </w:r>
      <w:r>
        <w:rPr>
          <w:spacing w:val="-2"/>
        </w:rPr>
        <w:t>著增加。如果金融工具的违约风险较低，借款人在短期内履行其合同现金流量义务的能力很强，并且即使较长时期内经济形</w:t>
      </w:r>
      <w:r>
        <w:rPr>
          <w:spacing w:val="-75"/>
        </w:rPr>
        <w:t> </w:t>
      </w:r>
      <w:r>
        <w:rPr>
          <w:spacing w:val="-75"/>
        </w:rPr>
      </w:r>
      <w:r>
        <w:rPr/>
        <w:t>势和经营环境存在不利变化但未必一定降低借款人履行其合同现金义务，则该金融工具被视为具有较低的信用风险。</w:t>
      </w:r>
    </w:p>
    <w:p>
      <w:pPr>
        <w:pStyle w:val="BodyText"/>
        <w:spacing w:line="420" w:lineRule="exact" w:before="13"/>
        <w:ind w:left="591" w:right="1119" w:hanging="90"/>
        <w:jc w:val="left"/>
      </w:pPr>
      <w:r>
        <w:rPr/>
        <w:t>③ 已发生信用减值的金融资产 公司在资产负债表日评估以摊余成本计量的金融资产和以公允价值计量且其变动计入其他综合收益的债权投资是否已</w:t>
      </w:r>
    </w:p>
    <w:p>
      <w:pPr>
        <w:pStyle w:val="BodyText"/>
        <w:spacing w:line="321" w:lineRule="auto" w:before="21"/>
        <w:ind w:left="231" w:right="1119"/>
        <w:jc w:val="left"/>
      </w:pPr>
      <w:r>
        <w:rPr/>
        <w:t>发生信用减值。当对金融资产预期未来现金流量具有不利影响的一项或多项事件发生时，该金融资产成为已发生信用减值</w:t>
      </w:r>
      <w:r>
        <w:rPr>
          <w:spacing w:val="-83"/>
        </w:rPr>
        <w:t> </w:t>
      </w:r>
      <w:r>
        <w:rPr>
          <w:spacing w:val="-83"/>
        </w:rPr>
      </w:r>
      <w:r>
        <w:rPr/>
        <w:t>的金融资产。金融资产已发生信用减值的证据包括下列可观察信息：</w:t>
      </w:r>
    </w:p>
    <w:p>
      <w:pPr>
        <w:pStyle w:val="BodyText"/>
        <w:spacing w:line="240" w:lineRule="auto" w:before="138"/>
        <w:ind w:left="621" w:right="939"/>
        <w:jc w:val="left"/>
      </w:pPr>
      <w:r>
        <w:rPr>
          <w:rFonts w:ascii="宋体" w:hAnsi="宋体" w:cs="宋体" w:eastAsia="宋体" w:hint="default"/>
        </w:rPr>
        <w:t>A </w:t>
      </w:r>
      <w:r>
        <w:rPr/>
        <w:t>发行方或债务人发生重大财务困难；</w:t>
      </w:r>
    </w:p>
    <w:p>
      <w:pPr>
        <w:spacing w:after="0" w:line="240" w:lineRule="auto"/>
        <w:jc w:val="left"/>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621" w:right="939"/>
        <w:jc w:val="left"/>
      </w:pPr>
      <w:r>
        <w:rPr>
          <w:rFonts w:ascii="宋体" w:hAnsi="宋体" w:cs="宋体" w:eastAsia="宋体" w:hint="default"/>
        </w:rPr>
        <w:t>B </w:t>
      </w:r>
      <w:r>
        <w:rPr/>
        <w:t>债务人违反合同，如偿付利息或本金违约或逾期等；</w:t>
      </w:r>
    </w:p>
    <w:p>
      <w:pPr>
        <w:spacing w:line="240" w:lineRule="auto" w:before="4"/>
        <w:rPr>
          <w:rFonts w:ascii="宋体" w:hAnsi="宋体" w:cs="宋体" w:eastAsia="宋体" w:hint="default"/>
          <w:sz w:val="15"/>
          <w:szCs w:val="15"/>
        </w:rPr>
      </w:pPr>
    </w:p>
    <w:p>
      <w:pPr>
        <w:pStyle w:val="BodyText"/>
        <w:spacing w:line="444" w:lineRule="auto"/>
        <w:ind w:left="621" w:right="1891"/>
        <w:jc w:val="left"/>
      </w:pPr>
      <w:r>
        <w:rPr>
          <w:rFonts w:ascii="宋体" w:hAnsi="宋体" w:cs="宋体" w:eastAsia="宋体" w:hint="default"/>
        </w:rPr>
        <w:t>C </w:t>
      </w:r>
      <w:r>
        <w:rPr/>
        <w:t>公司出于与债务人财务困难有关的经济或合同考虑，给予债务人在任何其他情况下都不</w:t>
      </w:r>
      <w:r>
        <w:rPr>
          <w:spacing w:val="8"/>
        </w:rPr>
        <w:t> </w:t>
      </w:r>
      <w:r>
        <w:rPr/>
        <w:t>会做出的让步；</w:t>
      </w:r>
      <w:r>
        <w:rPr/>
        <w:t> </w:t>
      </w:r>
      <w:r>
        <w:rPr>
          <w:rFonts w:ascii="宋体" w:hAnsi="宋体" w:cs="宋体" w:eastAsia="宋体" w:hint="default"/>
        </w:rPr>
        <w:t>D </w:t>
      </w:r>
      <w:r>
        <w:rPr/>
        <w:t>债务人很可能破产或进行其他财务重组；</w:t>
      </w:r>
    </w:p>
    <w:p>
      <w:pPr>
        <w:pStyle w:val="BodyText"/>
        <w:spacing w:line="240" w:lineRule="auto" w:before="32"/>
        <w:ind w:left="621" w:right="939"/>
        <w:jc w:val="left"/>
      </w:pPr>
      <w:r>
        <w:rPr>
          <w:rFonts w:ascii="宋体" w:hAnsi="宋体" w:cs="宋体" w:eastAsia="宋体" w:hint="default"/>
        </w:rPr>
        <w:t>E </w:t>
      </w:r>
      <w:r>
        <w:rPr/>
        <w:t>发行方或债务人财务困难导致该金融资产的活跃市场消失。</w:t>
      </w:r>
    </w:p>
    <w:p>
      <w:pPr>
        <w:spacing w:line="240" w:lineRule="auto" w:before="4"/>
        <w:rPr>
          <w:rFonts w:ascii="宋体" w:hAnsi="宋体" w:cs="宋体" w:eastAsia="宋体" w:hint="default"/>
          <w:sz w:val="15"/>
          <w:szCs w:val="15"/>
        </w:rPr>
      </w:pPr>
    </w:p>
    <w:p>
      <w:pPr>
        <w:pStyle w:val="BodyText"/>
        <w:spacing w:line="240" w:lineRule="auto"/>
        <w:ind w:left="621" w:right="939"/>
        <w:jc w:val="left"/>
      </w:pPr>
      <w:r>
        <w:rPr>
          <w:rFonts w:ascii="宋体" w:hAnsi="宋体" w:cs="宋体" w:eastAsia="宋体" w:hint="default"/>
        </w:rPr>
        <w:t>F </w:t>
      </w:r>
      <w:r>
        <w:rPr/>
        <w:t>以大幅折扣购买或源生一项金融资产，该折扣反映了发生信用损失的事实</w:t>
      </w:r>
    </w:p>
    <w:p>
      <w:pPr>
        <w:pStyle w:val="BodyText"/>
        <w:spacing w:line="430" w:lineRule="atLeast" w:before="5"/>
        <w:ind w:left="591" w:right="1119" w:hanging="90"/>
        <w:jc w:val="left"/>
      </w:pPr>
      <w:r>
        <w:rPr/>
        <w:t>④ 预期信用损失的确定方法 公司基于单项和组合评估金融资产的预期信用损失。对信用风险显著不同的金融资产单项评估信用风险。除了单项评</w:t>
      </w:r>
    </w:p>
    <w:p>
      <w:pPr>
        <w:pStyle w:val="BodyText"/>
        <w:spacing w:line="240" w:lineRule="auto" w:before="80"/>
        <w:ind w:left="231" w:right="939"/>
        <w:jc w:val="left"/>
      </w:pPr>
      <w:r>
        <w:rPr/>
        <w:t>估信用风险的金融资产外，本公司基于共同风险特征将金融资产划分为不同的组别，在组合的基础上评估信用风险。</w:t>
      </w:r>
    </w:p>
    <w:p>
      <w:pPr>
        <w:pStyle w:val="BodyText"/>
        <w:spacing w:line="436" w:lineRule="exact" w:before="46"/>
        <w:ind w:left="501" w:right="1133"/>
        <w:jc w:val="left"/>
      </w:pPr>
      <w:r>
        <w:rPr/>
        <w:t>⑤ 预期信用损失准备的列报 </w:t>
      </w:r>
      <w:r>
        <w:rPr>
          <w:spacing w:val="-2"/>
        </w:rPr>
        <w:t>为反映金融工具的信用风险自初始确认后的变化，公司在每个资产负债表日重新计量预期信用损失，由此形成的损失准</w:t>
      </w:r>
    </w:p>
    <w:p>
      <w:pPr>
        <w:pStyle w:val="BodyText"/>
        <w:spacing w:line="321" w:lineRule="auto" w:before="17"/>
        <w:ind w:right="939"/>
        <w:jc w:val="left"/>
      </w:pPr>
      <w:r>
        <w:rPr>
          <w:spacing w:val="-2"/>
        </w:rPr>
        <w:t>备的增加或转回金额，应当作为减值损失或利得计入当期损益。对于以摊余成本计量的金融资产，损失准备抵减该金融资产</w:t>
      </w:r>
      <w:r>
        <w:rPr>
          <w:spacing w:val="-75"/>
        </w:rPr>
        <w:t> </w:t>
      </w:r>
      <w:r>
        <w:rPr>
          <w:spacing w:val="-75"/>
        </w:rPr>
      </w:r>
      <w:r>
        <w:rPr/>
        <w:t>在资产负债表中列示的账面价值。</w:t>
      </w:r>
    </w:p>
    <w:p>
      <w:pPr>
        <w:pStyle w:val="BodyText"/>
        <w:spacing w:line="420" w:lineRule="exact" w:before="12"/>
        <w:ind w:left="501" w:right="1133"/>
        <w:jc w:val="left"/>
      </w:pPr>
      <w:r>
        <w:rPr/>
        <w:t>⑥ 预期信用损失准备的核销 </w:t>
      </w:r>
      <w:r>
        <w:rPr>
          <w:spacing w:val="-2"/>
        </w:rPr>
        <w:t>如果公司不再合理预期金融资产合同现金流量能够全部或部分收回，则直接减记该金融资产的账面余额。这种减记构成</w:t>
      </w:r>
    </w:p>
    <w:p>
      <w:pPr>
        <w:pStyle w:val="BodyText"/>
        <w:spacing w:line="321" w:lineRule="auto" w:before="21"/>
        <w:ind w:right="939"/>
        <w:jc w:val="left"/>
      </w:pPr>
      <w:r>
        <w:rPr>
          <w:spacing w:val="-2"/>
        </w:rPr>
        <w:t>相关金融资产的终止确认。这种情况通常发生在公司确定债务人没有资产或收入来源可产生足够的现金流量以偿还将被减记</w:t>
      </w:r>
      <w:r>
        <w:rPr>
          <w:spacing w:val="-58"/>
        </w:rPr>
        <w:t> </w:t>
      </w:r>
      <w:r>
        <w:rPr>
          <w:spacing w:val="-58"/>
        </w:rPr>
      </w:r>
      <w:r>
        <w:rPr/>
        <w:t>的金额。但是，按照公司收回到期款项的程序，被减记的金融资产仍可能受到执行活动的影响。</w:t>
      </w:r>
    </w:p>
    <w:p>
      <w:pPr>
        <w:spacing w:line="444" w:lineRule="auto" w:before="138"/>
        <w:ind w:left="501" w:right="4269" w:firstLine="0"/>
        <w:jc w:val="left"/>
        <w:rPr>
          <w:rFonts w:ascii="宋体" w:hAnsi="宋体" w:cs="宋体" w:eastAsia="宋体" w:hint="default"/>
          <w:sz w:val="18"/>
          <w:szCs w:val="18"/>
        </w:rPr>
      </w:pPr>
      <w:r>
        <w:rPr>
          <w:rFonts w:ascii="宋体" w:hAnsi="宋体" w:cs="宋体" w:eastAsia="宋体" w:hint="default"/>
          <w:sz w:val="18"/>
          <w:szCs w:val="18"/>
        </w:rPr>
        <w:t>已减记的金融资产以后又收回的，作为减值损失的转回计入收回当期的损益。 </w:t>
      </w:r>
      <w:r>
        <w:rPr>
          <w:rFonts w:ascii="宋体" w:hAnsi="宋体" w:cs="宋体" w:eastAsia="宋体" w:hint="default"/>
          <w:b/>
          <w:bCs/>
          <w:sz w:val="18"/>
          <w:szCs w:val="18"/>
        </w:rPr>
        <w:t>(3)</w:t>
      </w:r>
      <w:r>
        <w:rPr>
          <w:rFonts w:ascii="宋体" w:hAnsi="宋体" w:cs="宋体" w:eastAsia="宋体" w:hint="default"/>
          <w:b/>
          <w:bCs/>
          <w:spacing w:val="4"/>
          <w:sz w:val="18"/>
          <w:szCs w:val="18"/>
        </w:rPr>
        <w:t> </w:t>
      </w:r>
      <w:r>
        <w:rPr>
          <w:rFonts w:ascii="宋体" w:hAnsi="宋体" w:cs="宋体" w:eastAsia="宋体" w:hint="default"/>
          <w:b/>
          <w:bCs/>
          <w:sz w:val="18"/>
          <w:szCs w:val="18"/>
        </w:rPr>
        <w:t>金融资产的终止确认</w:t>
      </w:r>
      <w:r>
        <w:rPr>
          <w:rFonts w:ascii="宋体" w:hAnsi="宋体" w:cs="宋体" w:eastAsia="宋体" w:hint="default"/>
          <w:sz w:val="18"/>
          <w:szCs w:val="18"/>
        </w:rPr>
      </w:r>
    </w:p>
    <w:p>
      <w:pPr>
        <w:pStyle w:val="BodyText"/>
        <w:spacing w:line="240" w:lineRule="auto" w:before="32"/>
        <w:ind w:left="321" w:right="939"/>
        <w:jc w:val="left"/>
      </w:pPr>
      <w:r>
        <w:rPr/>
        <w:t>满足下列条件之一的金融资产，予以终止确认：</w:t>
      </w:r>
    </w:p>
    <w:p>
      <w:pPr>
        <w:spacing w:line="240" w:lineRule="auto" w:before="3"/>
        <w:rPr>
          <w:rFonts w:ascii="宋体" w:hAnsi="宋体" w:cs="宋体" w:eastAsia="宋体" w:hint="default"/>
          <w:sz w:val="15"/>
          <w:szCs w:val="15"/>
        </w:rPr>
      </w:pPr>
    </w:p>
    <w:p>
      <w:pPr>
        <w:pStyle w:val="BodyText"/>
        <w:spacing w:line="240" w:lineRule="auto"/>
        <w:ind w:left="501" w:right="939"/>
        <w:jc w:val="left"/>
      </w:pPr>
      <w:r>
        <w:rPr/>
        <w:t>①  收取该金融资产现金流量的合同权利终止；</w:t>
      </w:r>
    </w:p>
    <w:p>
      <w:pPr>
        <w:spacing w:line="240" w:lineRule="auto" w:before="4"/>
        <w:rPr>
          <w:rFonts w:ascii="宋体" w:hAnsi="宋体" w:cs="宋体" w:eastAsia="宋体" w:hint="default"/>
          <w:sz w:val="15"/>
          <w:szCs w:val="15"/>
        </w:rPr>
      </w:pPr>
    </w:p>
    <w:p>
      <w:pPr>
        <w:pStyle w:val="BodyText"/>
        <w:spacing w:line="240" w:lineRule="auto"/>
        <w:ind w:left="501" w:right="939"/>
        <w:jc w:val="left"/>
      </w:pPr>
      <w:r>
        <w:rPr/>
        <w:t>②  该金融资产已转移，且将金融资产所有权上几乎所有的风险和报酬转移给转入方；</w:t>
      </w:r>
    </w:p>
    <w:p>
      <w:pPr>
        <w:spacing w:line="240" w:lineRule="auto" w:before="4"/>
        <w:rPr>
          <w:rFonts w:ascii="宋体" w:hAnsi="宋体" w:cs="宋体" w:eastAsia="宋体" w:hint="default"/>
          <w:sz w:val="15"/>
          <w:szCs w:val="15"/>
        </w:rPr>
      </w:pPr>
    </w:p>
    <w:p>
      <w:pPr>
        <w:pStyle w:val="BodyText"/>
        <w:spacing w:line="321" w:lineRule="auto"/>
        <w:ind w:left="862" w:right="1118" w:hanging="361"/>
        <w:jc w:val="left"/>
      </w:pPr>
      <w:r>
        <w:rPr/>
        <w:t>③</w:t>
      </w:r>
      <w:r>
        <w:rPr>
          <w:spacing w:val="1"/>
        </w:rPr>
        <w:t> </w:t>
      </w:r>
      <w:r>
        <w:rPr/>
        <w:t>该金融资产已转移，虽然公司既没有转移也没有保留金融资产所有权上几乎所有的风险和报酬，但是未保留对该金</w:t>
      </w:r>
      <w:r>
        <w:rPr/>
        <w:t> 融资产的控制</w:t>
      </w:r>
    </w:p>
    <w:p>
      <w:pPr>
        <w:pStyle w:val="BodyText"/>
        <w:spacing w:line="321" w:lineRule="auto" w:before="123"/>
        <w:ind w:right="1137" w:firstLine="360"/>
        <w:jc w:val="both"/>
      </w:pPr>
      <w:r>
        <w:rPr>
          <w:spacing w:val="-2"/>
        </w:rPr>
        <w:t>若公司既没有转移也没有保留金融资产所有权上几乎所有的风险和报酬，且未放弃对该金融资产的控制的，则按照继续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75"/>
        </w:rPr>
        <w:t> </w:t>
      </w:r>
      <w:r>
        <w:rPr>
          <w:spacing w:val="-75"/>
        </w:rPr>
      </w:r>
      <w:r>
        <w:rPr/>
        <w:t>值变动使企业面临的风险水平。</w:t>
      </w:r>
    </w:p>
    <w:p>
      <w:pPr>
        <w:pStyle w:val="BodyText"/>
        <w:spacing w:line="316" w:lineRule="auto" w:before="139"/>
        <w:ind w:right="1113" w:firstLine="360"/>
        <w:jc w:val="both"/>
      </w:pPr>
      <w:r>
        <w:rPr>
          <w:spacing w:val="-2"/>
        </w:rPr>
        <w:t>金融资产整体转移满足终止确认条件的，针对分类为以摊余成本计量的金融资产与分类为以公允价值计量且其变动计入</w:t>
      </w:r>
      <w:r>
        <w:rPr/>
        <w:t> </w:t>
      </w:r>
      <w:r>
        <w:rPr>
          <w:spacing w:val="-2"/>
        </w:rPr>
        <w:t>其他综合收益的金融资产，将所转移金融资产的账面价值及因转移而收到的对价与原计入其他综合收益的公允价值变动累计</w:t>
      </w:r>
      <w:r>
        <w:rPr>
          <w:spacing w:val="-58"/>
        </w:rPr>
        <w:t> </w:t>
      </w:r>
      <w:r>
        <w:rPr>
          <w:spacing w:val="-58"/>
        </w:rPr>
      </w:r>
      <w:r>
        <w:rPr>
          <w:spacing w:val="-2"/>
        </w:rPr>
        <w:t>额之和的差额计入当期损益。针对被公司指定为以公允价值计量且其变动计入其他综合收益的非交易性权益工具，之前计入</w:t>
      </w:r>
      <w:r>
        <w:rPr>
          <w:spacing w:val="-72"/>
        </w:rPr>
        <w:t> </w:t>
      </w:r>
      <w:r>
        <w:rPr>
          <w:spacing w:val="-72"/>
        </w:rPr>
      </w:r>
      <w:r>
        <w:rPr/>
        <w:t>其他综合收益的累计利得或损失从其他综合收益中转出，计入留存收益。</w:t>
      </w:r>
    </w:p>
    <w:p>
      <w:pPr>
        <w:pStyle w:val="BodyText"/>
        <w:spacing w:line="321" w:lineRule="auto" w:before="142"/>
        <w:ind w:right="1111" w:firstLine="360"/>
        <w:jc w:val="both"/>
      </w:pPr>
      <w:r>
        <w:rPr>
          <w:spacing w:val="-2"/>
        </w:rPr>
        <w:t>金融资产部分转移满足终止确认条件的，将转移前金融资产整体的账面价值在终止确认部分和继续确认部分之间按照转</w:t>
      </w:r>
      <w:r>
        <w:rPr/>
        <w:t> </w:t>
      </w:r>
      <w:r>
        <w:rPr>
          <w:spacing w:val="-2"/>
        </w:rPr>
        <w:t>移日各自的相对公允价值进行分摊，并将终止确认部分收到的对价和原计入其他综合收益的公允价值变动累计额中对应终止</w:t>
      </w:r>
      <w:r>
        <w:rPr>
          <w:spacing w:val="-47"/>
        </w:rPr>
        <w:t> </w:t>
      </w:r>
      <w:r>
        <w:rPr>
          <w:spacing w:val="-47"/>
        </w:rPr>
      </w:r>
      <w:r>
        <w:rPr/>
        <w:t>确认部分的金额之和与终止确认部分在终止确认日的账面价值之差额计入当期损益或留存收益。</w:t>
      </w:r>
    </w:p>
    <w:p>
      <w:pPr>
        <w:pStyle w:val="BodyText"/>
        <w:spacing w:line="321" w:lineRule="auto" w:before="123"/>
        <w:ind w:right="1137" w:firstLine="360"/>
        <w:jc w:val="both"/>
      </w:pPr>
      <w:r>
        <w:rPr>
          <w:spacing w:val="-2"/>
        </w:rPr>
        <w:t>金融资产整体转移未满足终止确认条件的，公司继续确认所转移的金融资产整体，因资产转移而收到的对价在收到时确</w:t>
      </w:r>
      <w:r>
        <w:rPr/>
        <w:t> 认为负债。</w:t>
      </w:r>
    </w:p>
    <w:p>
      <w:pPr>
        <w:pStyle w:val="Heading5"/>
        <w:spacing w:line="240" w:lineRule="auto" w:before="138"/>
        <w:ind w:right="939"/>
        <w:jc w:val="left"/>
        <w:rPr>
          <w:b w:val="0"/>
          <w:bCs w:val="0"/>
        </w:rPr>
      </w:pPr>
      <w:r>
        <w:rPr>
          <w:rFonts w:ascii="宋体" w:hAnsi="宋体" w:cs="宋体" w:eastAsia="宋体" w:hint="default"/>
        </w:rPr>
        <w:t>(4)</w:t>
      </w:r>
      <w:r>
        <w:rPr>
          <w:rFonts w:ascii="宋体" w:hAnsi="宋体" w:cs="宋体" w:eastAsia="宋体" w:hint="default"/>
          <w:spacing w:val="1"/>
        </w:rPr>
        <w:t> </w:t>
      </w:r>
      <w:r>
        <w:rPr/>
        <w:t>金融资产的分类、确认及计量</w:t>
      </w:r>
      <w:r>
        <w:rPr>
          <w:b w:val="0"/>
          <w:bCs w:val="0"/>
        </w:rPr>
      </w:r>
    </w:p>
    <w:p>
      <w:pPr>
        <w:spacing w:after="0" w:line="240" w:lineRule="auto"/>
        <w:jc w:val="left"/>
        <w:sectPr>
          <w:pgSz w:w="11910" w:h="16850"/>
          <w:pgMar w:header="866" w:footer="981" w:top="1040" w:bottom="1180" w:left="1000" w:right="0"/>
        </w:sectPr>
      </w:pPr>
    </w:p>
    <w:p>
      <w:pPr>
        <w:spacing w:line="240" w:lineRule="auto" w:before="1"/>
        <w:rPr>
          <w:rFonts w:ascii="宋体" w:hAnsi="宋体" w:cs="宋体" w:eastAsia="宋体" w:hint="default"/>
          <w:b/>
          <w:bCs/>
          <w:sz w:val="26"/>
          <w:szCs w:val="26"/>
        </w:rPr>
      </w:pPr>
    </w:p>
    <w:p>
      <w:pPr>
        <w:pStyle w:val="BodyText"/>
        <w:spacing w:line="240" w:lineRule="auto" w:before="44"/>
        <w:ind w:left="501" w:right="939"/>
        <w:jc w:val="left"/>
      </w:pPr>
      <w:r>
        <w:rPr/>
        <w:t>公司将金融负债分类为以公允价值计量且其变动计入当期损益的金融负债及以摊余成本计量的金融负债。</w:t>
      </w:r>
    </w:p>
    <w:p>
      <w:pPr>
        <w:pStyle w:val="BodyText"/>
        <w:spacing w:line="430" w:lineRule="atLeast" w:before="5"/>
        <w:ind w:left="501" w:right="1133"/>
        <w:jc w:val="left"/>
      </w:pPr>
      <w:r>
        <w:rPr/>
        <w:t>① 以公允价值计量且其变动计入当期损益的金融负债 </w:t>
      </w:r>
      <w:r>
        <w:rPr>
          <w:spacing w:val="-2"/>
        </w:rPr>
        <w:t>以公允价值计量且其变动计入当期损益的金融负债，包括交易性金融负债（含属于金融负债的衍生工具）和初始确认时</w:t>
      </w:r>
    </w:p>
    <w:p>
      <w:pPr>
        <w:pStyle w:val="BodyText"/>
        <w:spacing w:line="321" w:lineRule="auto" w:before="65"/>
        <w:ind w:right="939"/>
        <w:jc w:val="left"/>
      </w:pPr>
      <w:r>
        <w:rPr>
          <w:spacing w:val="-2"/>
        </w:rPr>
        <w:t>指定为以公允价值计量且其变动计入当期损益的金融负债。以公允价值计量且其变动计入当期损益的金融负债采用公允价值</w:t>
      </w:r>
      <w:r>
        <w:rPr>
          <w:spacing w:val="-58"/>
        </w:rPr>
        <w:t> </w:t>
      </w:r>
      <w:r>
        <w:rPr>
          <w:spacing w:val="-58"/>
        </w:rPr>
      </w:r>
      <w:r>
        <w:rPr/>
        <w:t>进行后续计量，公允价值变动形成的利得或损失以及与该等金融负债相关的股利或利息支出计入当期损益。</w:t>
      </w:r>
    </w:p>
    <w:p>
      <w:pPr>
        <w:pStyle w:val="BodyText"/>
        <w:spacing w:line="436" w:lineRule="exact"/>
        <w:ind w:left="501" w:right="939"/>
        <w:jc w:val="left"/>
      </w:pPr>
      <w:r>
        <w:rPr/>
        <w:t>② 其他金融负债 </w:t>
      </w:r>
      <w:r>
        <w:rPr>
          <w:spacing w:val="-2"/>
        </w:rPr>
        <w:t>除金融资产转移不符合终止确认条件或继续涉入被转移金融资产所形成的金融负债、财务担保合同外的其他金融负债分</w:t>
      </w:r>
    </w:p>
    <w:p>
      <w:pPr>
        <w:pStyle w:val="BodyText"/>
        <w:spacing w:line="240" w:lineRule="auto" w:before="18"/>
        <w:ind w:right="939"/>
        <w:jc w:val="left"/>
      </w:pPr>
      <w:r>
        <w:rPr/>
        <w:t>类为以摊余成本计量的金融负债，按摊余成本进行后续计量，终止确认或摊销产生的利得或损失计入当期损益。</w:t>
      </w:r>
    </w:p>
    <w:p>
      <w:pPr>
        <w:spacing w:line="436" w:lineRule="exact" w:before="46"/>
        <w:ind w:left="501"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5</w:t>
      </w:r>
      <w:r>
        <w:rPr>
          <w:rFonts w:ascii="宋体" w:hAnsi="宋体" w:cs="宋体" w:eastAsia="宋体" w:hint="default"/>
          <w:b/>
          <w:bCs/>
          <w:sz w:val="18"/>
          <w:szCs w:val="18"/>
        </w:rPr>
        <w:t>）金融资产和金融负债的抵销</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2"/>
          <w:sz w:val="18"/>
          <w:szCs w:val="18"/>
        </w:rPr>
        <w:t>当本公司具有抵销已确认金额的金融资产和金融负债的法定权利，且该种法定权利是当前可执行的，同时本公司计划以</w:t>
      </w:r>
    </w:p>
    <w:p>
      <w:pPr>
        <w:pStyle w:val="BodyText"/>
        <w:spacing w:line="321" w:lineRule="auto" w:before="18"/>
        <w:ind w:right="939"/>
        <w:jc w:val="left"/>
      </w:pPr>
      <w:r>
        <w:rPr>
          <w:spacing w:val="-2"/>
        </w:rPr>
        <w:t>净额结算或同时变现该金融资产和清偿该金融负债时，金融资产和金融负债以相互抵销后的净额在资产负债表内列示。除此</w:t>
      </w:r>
      <w:r>
        <w:rPr>
          <w:spacing w:val="-72"/>
        </w:rPr>
        <w:t> </w:t>
      </w:r>
      <w:r>
        <w:rPr>
          <w:spacing w:val="-72"/>
        </w:rPr>
      </w:r>
      <w:r>
        <w:rPr/>
        <w:t>以外，金融资产和金融负债在资产负债表内分别列示，不予相互抵销。</w:t>
      </w:r>
    </w:p>
    <w:p>
      <w:pPr>
        <w:pStyle w:val="BodyText"/>
        <w:spacing w:line="420" w:lineRule="exact" w:before="13"/>
        <w:ind w:left="501" w:right="939"/>
        <w:jc w:val="left"/>
      </w:pPr>
      <w:r>
        <w:rPr>
          <w:rFonts w:ascii="宋体" w:hAnsi="宋体" w:cs="宋体" w:eastAsia="宋体" w:hint="default"/>
          <w:b/>
          <w:bCs/>
        </w:rPr>
        <w:t>（</w:t>
      </w:r>
      <w:r>
        <w:rPr>
          <w:rFonts w:ascii="宋体" w:hAnsi="宋体" w:cs="宋体" w:eastAsia="宋体" w:hint="default"/>
          <w:b/>
          <w:bCs/>
        </w:rPr>
        <w:t>6</w:t>
      </w:r>
      <w:r>
        <w:rPr>
          <w:rFonts w:ascii="宋体" w:hAnsi="宋体" w:cs="宋体" w:eastAsia="宋体" w:hint="default"/>
          <w:b/>
          <w:bCs/>
        </w:rPr>
        <w:t>）权益工具</w:t>
      </w:r>
      <w:r>
        <w:rPr>
          <w:rFonts w:ascii="宋体" w:hAnsi="宋体" w:cs="宋体" w:eastAsia="宋体" w:hint="default"/>
          <w:b/>
          <w:bCs/>
          <w:w w:val="99"/>
        </w:rPr>
        <w:t> </w:t>
      </w:r>
      <w:r>
        <w:rPr>
          <w:spacing w:val="-2"/>
        </w:rPr>
        <w:t>权益工具是指能证明拥有本公司在扣除所有负债后的资产中的剩余权益的合同。本公司发行（含再融资）、回购、出售</w:t>
      </w:r>
    </w:p>
    <w:p>
      <w:pPr>
        <w:pStyle w:val="BodyText"/>
        <w:spacing w:line="321" w:lineRule="auto" w:before="20"/>
        <w:ind w:right="939"/>
        <w:jc w:val="left"/>
      </w:pPr>
      <w:r>
        <w:rPr>
          <w:spacing w:val="-4"/>
        </w:rPr>
        <w:t>或注销权益工具作为权益的变动处理，与权益性交易相关的交易费用从权益中扣减。本公司不确认权益工具的公允价值变动。</w:t>
      </w:r>
      <w:r>
        <w:rPr>
          <w:spacing w:val="-50"/>
        </w:rPr>
        <w:t> </w:t>
      </w:r>
      <w:r>
        <w:rPr>
          <w:spacing w:val="-50"/>
        </w:rPr>
      </w:r>
      <w:r>
        <w:rPr/>
        <w:t>本公司权益工具在存续期间分派股利（含分类为权益工具的工具所产生的“利息”）的，作为利润分配处理。</w:t>
      </w:r>
    </w:p>
    <w:p>
      <w:pPr>
        <w:spacing w:line="240" w:lineRule="auto" w:before="13"/>
        <w:rPr>
          <w:rFonts w:ascii="宋体" w:hAnsi="宋体" w:cs="宋体" w:eastAsia="宋体" w:hint="default"/>
          <w:sz w:val="23"/>
          <w:szCs w:val="23"/>
        </w:rPr>
      </w:pPr>
    </w:p>
    <w:p>
      <w:pPr>
        <w:spacing w:line="542" w:lineRule="auto" w:before="0"/>
        <w:ind w:left="141" w:right="9309" w:firstLine="0"/>
        <w:jc w:val="left"/>
        <w:rPr>
          <w:rFonts w:ascii="宋体" w:hAnsi="宋体" w:cs="宋体" w:eastAsia="宋体" w:hint="default"/>
          <w:sz w:val="21"/>
          <w:szCs w:val="21"/>
        </w:rPr>
      </w:pPr>
      <w:bookmarkStart w:name="11、应收账款" w:id="183"/>
      <w:bookmarkEnd w:id="183"/>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18"/>
          <w:szCs w:val="18"/>
        </w:rPr>
        <w:t>详见</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 </w:t>
      </w:r>
      <w:bookmarkStart w:name="12、存货" w:id="184"/>
      <w:bookmarkEnd w:id="184"/>
      <w:r>
        <w:rPr>
          <w:rFonts w:ascii="宋体" w:hAnsi="宋体" w:cs="宋体" w:eastAsia="宋体" w:hint="default"/>
          <w:sz w:val="18"/>
          <w:szCs w:val="18"/>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444" w:lineRule="auto" w:before="36"/>
        <w:ind w:left="501" w:right="6249"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存货分为库存商品、劳务成本、低值易耗品等大类。</w:t>
      </w:r>
    </w:p>
    <w:p>
      <w:pPr>
        <w:spacing w:line="444" w:lineRule="auto" w:before="47"/>
        <w:ind w:left="501" w:right="4809"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购入库存商品等按实际成本入账，发出时的成本采用加权平均法核算。</w:t>
      </w:r>
    </w:p>
    <w:p>
      <w:pPr>
        <w:pStyle w:val="Heading5"/>
        <w:spacing w:line="240" w:lineRule="auto" w:before="47"/>
        <w:ind w:left="141" w:right="939"/>
        <w:jc w:val="left"/>
        <w:rPr>
          <w:b w:val="0"/>
          <w:bCs w:val="0"/>
        </w:rPr>
      </w:pPr>
      <w:r>
        <w:rPr/>
        <w:t>（</w:t>
      </w:r>
      <w:r>
        <w:rPr>
          <w:rFonts w:ascii="宋体" w:hAnsi="宋体" w:cs="宋体" w:eastAsia="宋体" w:hint="default"/>
        </w:rPr>
        <w:t>3</w:t>
      </w:r>
      <w:r>
        <w:rPr/>
        <w:t>）存货可变现净值的确定依据及存货跌价准备的计提方法</w:t>
      </w:r>
      <w:r>
        <w:rPr>
          <w:b w:val="0"/>
          <w:bCs w:val="0"/>
        </w:rPr>
      </w:r>
    </w:p>
    <w:p>
      <w:pPr>
        <w:spacing w:line="240" w:lineRule="auto" w:before="2"/>
        <w:rPr>
          <w:rFonts w:ascii="宋体" w:hAnsi="宋体" w:cs="宋体" w:eastAsia="宋体" w:hint="default"/>
          <w:b/>
          <w:bCs/>
          <w:sz w:val="14"/>
          <w:szCs w:val="14"/>
        </w:rPr>
      </w:pPr>
    </w:p>
    <w:p>
      <w:pPr>
        <w:pStyle w:val="BodyText"/>
        <w:spacing w:line="321" w:lineRule="auto"/>
        <w:ind w:right="1137" w:firstLine="360"/>
        <w:jc w:val="both"/>
      </w:pPr>
      <w:r>
        <w:rPr>
          <w:spacing w:val="-2"/>
        </w:rPr>
        <w:t>公司于每年中期期末及期末在对存货进行全面盘点的基础上，对遭受损失，全部或部分陈旧过时或销售价格低于成本的</w:t>
      </w:r>
      <w:r>
        <w:rPr/>
        <w:t> 存货，根据存货成本与可变现净值孰低计量。</w:t>
      </w:r>
    </w:p>
    <w:p>
      <w:pPr>
        <w:pStyle w:val="BodyText"/>
        <w:spacing w:line="321" w:lineRule="auto" w:before="138"/>
        <w:ind w:right="1106" w:firstLine="360"/>
        <w:jc w:val="both"/>
      </w:pPr>
      <w:r>
        <w:rPr>
          <w:spacing w:val="-2"/>
        </w:rPr>
        <w:t>存货跌价准备按单个存货项目的成本与可变现净值计量，但如果某些存货与在同一地区生产和销售的产品系列相关、具</w:t>
      </w:r>
      <w:r>
        <w:rPr/>
        <w:t> </w:t>
      </w:r>
      <w:r>
        <w:rPr>
          <w:spacing w:val="-2"/>
        </w:rPr>
        <w:t>有相同或类似最终用途或目的，且难以与其他项目分开计量，可以合并计量成本与可变现净值；对于数量繁多、单价较低的</w:t>
      </w:r>
      <w:r>
        <w:rPr>
          <w:spacing w:val="-42"/>
        </w:rPr>
        <w:t> </w:t>
      </w:r>
      <w:r>
        <w:rPr>
          <w:spacing w:val="-42"/>
        </w:rPr>
      </w:r>
      <w:r>
        <w:rPr/>
        <w:t>存货，可以按照存货类别计量成本与可变现净值。</w:t>
      </w:r>
    </w:p>
    <w:p>
      <w:pPr>
        <w:pStyle w:val="BodyText"/>
        <w:spacing w:line="321" w:lineRule="auto" w:before="123"/>
        <w:ind w:right="1137" w:firstLine="360"/>
        <w:jc w:val="both"/>
      </w:pPr>
      <w:r>
        <w:rPr>
          <w:spacing w:val="-2"/>
        </w:rPr>
        <w:t>可直接用于出售的存货，其可变现净值按该等存货的估计售价减去估计的销售费用和相关税费后的金额确定；用于生产</w:t>
      </w:r>
      <w:r>
        <w:rPr/>
        <w:t> </w:t>
      </w:r>
      <w:r>
        <w:rPr>
          <w:spacing w:val="-2"/>
        </w:rPr>
        <w:t>而持有的存货，其可变现净值按所生产的产成品的估计售价减去至完工时估计将要发生的成本、估计的销售费用和相关税费</w:t>
      </w:r>
      <w:r>
        <w:rPr>
          <w:spacing w:val="-72"/>
        </w:rPr>
        <w:t> </w:t>
      </w:r>
      <w:r>
        <w:rPr>
          <w:spacing w:val="-72"/>
        </w:rPr>
      </w:r>
      <w:r>
        <w:rPr>
          <w:spacing w:val="-2"/>
        </w:rPr>
        <w:t>后的金额确定；为执行销售合同或者劳务合同而持有的存货，其可变现净值以合同价格为基础计算；企业持有存货的数量多</w:t>
      </w:r>
      <w:r>
        <w:rPr>
          <w:spacing w:val="-75"/>
        </w:rPr>
        <w:t> </w:t>
      </w:r>
      <w:r>
        <w:rPr>
          <w:spacing w:val="-75"/>
        </w:rPr>
      </w:r>
      <w:r>
        <w:rPr>
          <w:spacing w:val="-2"/>
        </w:rPr>
        <w:t>于销售合同订购数量的，超出部分的存货可变现净值以一般销售价格为基础计算。对于存货因遭受毁损、全部或部分陈旧过</w:t>
      </w:r>
      <w:r>
        <w:rPr>
          <w:spacing w:val="-75"/>
        </w:rPr>
        <w:t> </w:t>
      </w:r>
      <w:r>
        <w:rPr>
          <w:spacing w:val="-75"/>
        </w:rPr>
      </w:r>
      <w:r>
        <w:rPr/>
        <w:t>时或销售价格低于成本等原因，预计其成本不可收回的部分，提取存货跌价准备。</w:t>
      </w:r>
    </w:p>
    <w:p>
      <w:pPr>
        <w:spacing w:after="0" w:line="321" w:lineRule="auto"/>
        <w:jc w:val="both"/>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Heading5"/>
        <w:spacing w:line="240" w:lineRule="auto"/>
        <w:ind w:right="939"/>
        <w:jc w:val="left"/>
        <w:rPr>
          <w:b w:val="0"/>
          <w:bCs w:val="0"/>
        </w:rPr>
      </w:pPr>
      <w:r>
        <w:rPr/>
        <w:t>（</w:t>
      </w:r>
      <w:r>
        <w:rPr>
          <w:rFonts w:ascii="宋体" w:hAnsi="宋体" w:cs="宋体" w:eastAsia="宋体" w:hint="default"/>
        </w:rPr>
        <w:t>4</w:t>
      </w:r>
      <w:r>
        <w:rPr/>
        <w:t>）存货的盘存制度</w:t>
      </w:r>
      <w:r>
        <w:rPr>
          <w:b w:val="0"/>
          <w:bCs w:val="0"/>
        </w:rPr>
      </w:r>
    </w:p>
    <w:p>
      <w:pPr>
        <w:spacing w:line="240" w:lineRule="auto" w:before="4"/>
        <w:rPr>
          <w:rFonts w:ascii="宋体" w:hAnsi="宋体" w:cs="宋体" w:eastAsia="宋体" w:hint="default"/>
          <w:b/>
          <w:bCs/>
          <w:sz w:val="15"/>
          <w:szCs w:val="15"/>
        </w:rPr>
      </w:pPr>
    </w:p>
    <w:p>
      <w:pPr>
        <w:pStyle w:val="BodyText"/>
        <w:spacing w:line="321" w:lineRule="auto"/>
        <w:ind w:right="1119" w:firstLine="360"/>
        <w:jc w:val="left"/>
      </w:pPr>
      <w:r>
        <w:rPr/>
        <w:t>采用永续盘存制，并且定期对存货进行盘点</w:t>
      </w:r>
      <w:r>
        <w:rPr>
          <w:rFonts w:ascii="宋体" w:hAnsi="宋体" w:cs="宋体" w:eastAsia="宋体" w:hint="default"/>
        </w:rPr>
        <w:t>,</w:t>
      </w:r>
      <w:r>
        <w:rPr/>
        <w:t>盘点结果如与账面记录不符，根据管理权限报经批准后，在年终结账前处 理完毕，计入当期损益。</w:t>
      </w:r>
    </w:p>
    <w:p>
      <w:pPr>
        <w:spacing w:line="444" w:lineRule="auto" w:before="123"/>
        <w:ind w:left="501" w:right="768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5</w:t>
      </w:r>
      <w:r>
        <w:rPr>
          <w:rFonts w:ascii="宋体" w:hAnsi="宋体" w:cs="宋体" w:eastAsia="宋体" w:hint="default"/>
          <w:b/>
          <w:bCs/>
          <w:sz w:val="18"/>
          <w:szCs w:val="18"/>
        </w:rPr>
        <w:t>）低值易耗品的摊销方法：</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z w:val="18"/>
          <w:szCs w:val="18"/>
        </w:rPr>
        <w:t>低值易耗品采用一次摊销法摊销。</w:t>
      </w:r>
    </w:p>
    <w:p>
      <w:pPr>
        <w:spacing w:line="240" w:lineRule="auto" w:before="12"/>
        <w:rPr>
          <w:rFonts w:ascii="宋体" w:hAnsi="宋体" w:cs="宋体" w:eastAsia="宋体" w:hint="default"/>
          <w:sz w:val="16"/>
          <w:szCs w:val="16"/>
        </w:rPr>
      </w:pPr>
    </w:p>
    <w:p>
      <w:pPr>
        <w:pStyle w:val="Heading3"/>
        <w:spacing w:line="240" w:lineRule="auto"/>
        <w:ind w:right="0"/>
        <w:jc w:val="both"/>
        <w:rPr>
          <w:b w:val="0"/>
          <w:bCs w:val="0"/>
        </w:rPr>
      </w:pPr>
      <w:bookmarkStart w:name="13、长期股权投资" w:id="185"/>
      <w:bookmarkEnd w:id="185"/>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5"/>
        <w:rPr>
          <w:rFonts w:ascii="宋体" w:hAnsi="宋体" w:cs="宋体" w:eastAsia="宋体" w:hint="default"/>
          <w:b/>
          <w:bCs/>
          <w:sz w:val="26"/>
          <w:szCs w:val="26"/>
        </w:rPr>
      </w:pPr>
    </w:p>
    <w:p>
      <w:pPr>
        <w:spacing w:line="405" w:lineRule="auto" w:before="0"/>
        <w:ind w:left="501" w:right="498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）长期股权投资的分类</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sz w:val="18"/>
          <w:szCs w:val="18"/>
        </w:rPr>
        <w:t>长期股权投资包括对子公司的投资和对合营企业、联营企业的投资。</w:t>
      </w:r>
    </w:p>
    <w:p>
      <w:pPr>
        <w:pStyle w:val="Heading5"/>
        <w:spacing w:line="240" w:lineRule="auto" w:before="75"/>
        <w:ind w:right="939"/>
        <w:jc w:val="left"/>
        <w:rPr>
          <w:b w:val="0"/>
          <w:bCs w:val="0"/>
        </w:rPr>
      </w:pPr>
      <w:r>
        <w:rPr/>
        <w:t>（</w:t>
      </w:r>
      <w:r>
        <w:rPr>
          <w:rFonts w:ascii="Times New Roman" w:hAnsi="Times New Roman" w:cs="Times New Roman" w:eastAsia="Times New Roman" w:hint="default"/>
        </w:rPr>
        <w:t>2</w:t>
      </w:r>
      <w:r>
        <w:rPr/>
        <w:t>）长期股权投资的计量：</w:t>
      </w:r>
      <w:r>
        <w:rPr>
          <w:b w:val="0"/>
          <w:bCs w:val="0"/>
        </w:rPr>
      </w:r>
    </w:p>
    <w:p>
      <w:pPr>
        <w:spacing w:line="240" w:lineRule="auto" w:before="3"/>
        <w:rPr>
          <w:rFonts w:ascii="宋体" w:hAnsi="宋体" w:cs="宋体" w:eastAsia="宋体" w:hint="default"/>
          <w:b/>
          <w:bCs/>
          <w:sz w:val="14"/>
          <w:szCs w:val="14"/>
        </w:rPr>
      </w:pPr>
    </w:p>
    <w:p>
      <w:pPr>
        <w:pStyle w:val="BodyText"/>
        <w:spacing w:line="405" w:lineRule="auto"/>
        <w:ind w:left="501" w:right="939"/>
        <w:jc w:val="left"/>
      </w:pPr>
      <w:r>
        <w:rPr>
          <w:rFonts w:ascii="Times New Roman" w:hAnsi="Times New Roman" w:cs="Times New Roman" w:eastAsia="Times New Roman" w:hint="default"/>
        </w:rPr>
        <w:t>A</w:t>
      </w:r>
      <w:r>
        <w:rPr/>
        <w:t>、企业合并形成的长期股权投资</w:t>
      </w:r>
      <w:r>
        <w:rPr>
          <w:spacing w:val="-86"/>
        </w:rPr>
        <w:t> </w:t>
      </w:r>
      <w:r>
        <w:rPr/>
        <w:t>同一控制下的企业合并形成的，合并方以支付现金、转让非现金资产、承担债务或发行权益性证券作为合并对价的，</w:t>
      </w:r>
    </w:p>
    <w:p>
      <w:pPr>
        <w:pStyle w:val="BodyText"/>
        <w:spacing w:line="191" w:lineRule="exact"/>
        <w:ind w:right="0"/>
        <w:jc w:val="both"/>
      </w:pPr>
      <w:r>
        <w:rPr/>
        <w:t>在合并日按照取得被合并方所有者权益在最终控制方合并财务报表中的账面价值的份额作为其初始投资成本。长期股权投</w:t>
      </w:r>
    </w:p>
    <w:p>
      <w:pPr>
        <w:pStyle w:val="BodyText"/>
        <w:spacing w:line="307" w:lineRule="auto" w:before="80"/>
        <w:ind w:right="1226"/>
        <w:jc w:val="both"/>
      </w:pPr>
      <w:r>
        <w:rPr/>
        <w:t>资初始投资成本与支付的现金、转让的非现金资产以及所承担债务账面价值之间的差额调整资本公积；资本公积不足冲减 的，调整留存收益。</w:t>
      </w:r>
    </w:p>
    <w:p>
      <w:pPr>
        <w:pStyle w:val="BodyText"/>
        <w:spacing w:line="321" w:lineRule="auto" w:before="149"/>
        <w:ind w:right="1219" w:firstLine="360"/>
        <w:jc w:val="right"/>
      </w:pPr>
      <w:r>
        <w:rPr/>
        <w:t>公司通过多次交易分步实现同一控制下企业合并形成的长期股权投资，在个别财务报表和合并财务报表中，将按持股 比例享有在合并日被合并方所有者权益账面价值的份额作为初始投资成本。合并日之前所持被合并方的股权投资账面价值</w:t>
      </w:r>
      <w:r>
        <w:rPr>
          <w:spacing w:val="-85"/>
        </w:rPr>
        <w:t> </w:t>
      </w:r>
      <w:r>
        <w:rPr>
          <w:spacing w:val="-85"/>
        </w:rPr>
      </w:r>
      <w:r>
        <w:rPr>
          <w:spacing w:val="-4"/>
        </w:rPr>
        <w:t>加上合并日新增投资成本，与长期股权投资初始投资成本之间的差额调整资本公积；资本公积不足冲减的，调整留存收益。</w:t>
      </w:r>
    </w:p>
    <w:p>
      <w:pPr>
        <w:pStyle w:val="BodyText"/>
        <w:spacing w:line="309" w:lineRule="auto" w:before="138"/>
        <w:ind w:right="1222" w:firstLine="360"/>
        <w:jc w:val="both"/>
      </w:pPr>
      <w:r>
        <w:rPr/>
        <w:t>非同一控制下的企业合并形成的，在购买日按照支付的合并对价的公允价值作为其初始投资成本。公司通过多次交易 分步实现非同一控制下企业合并形成的长期股权投资，</w:t>
      </w:r>
      <w:r>
        <w:rPr>
          <w:spacing w:val="12"/>
        </w:rPr>
        <w:t> </w:t>
      </w:r>
      <w:r>
        <w:rPr/>
        <w:t>区分个别财务报表和合并财务报表进行相关会计处理：</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在个别</w:t>
      </w:r>
      <w:r>
        <w:rPr>
          <w:spacing w:val="-86"/>
        </w:rPr>
        <w:t> </w:t>
      </w:r>
      <w:r>
        <w:rPr/>
        <w:t>财务报表中，以购买日之前所持被购买方的股权投资的账面价值与购买日新增投资成本之和，作为该项投资的初始投资成 本；购买日之前持有的被购买方的股权涉及其他综合收益的，在处置该项投资时将与其相关的其他综合收益转入当期投资</w:t>
      </w:r>
    </w:p>
    <w:p>
      <w:pPr>
        <w:pStyle w:val="BodyText"/>
        <w:spacing w:line="297" w:lineRule="auto" w:before="42"/>
        <w:ind w:right="1238"/>
        <w:jc w:val="both"/>
      </w:pPr>
      <w:r>
        <w:rPr>
          <w:spacing w:val="-3"/>
        </w:rPr>
        <w:t>收益。</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2"/>
        </w:rPr>
        <w:t> </w:t>
      </w:r>
      <w:r>
        <w:rPr/>
        <w:t>在合并财务报表中，对于购买日之前持有的被购买方的股权，按照该股权在购买日的公允价值进行重新计量，公 允价值与其账面价值的差额计入当期投资收益；</w:t>
      </w:r>
      <w:r>
        <w:rPr>
          <w:spacing w:val="-39"/>
        </w:rPr>
        <w:t> </w:t>
      </w:r>
      <w:r>
        <w:rPr>
          <w:spacing w:val="-2"/>
        </w:rPr>
        <w:t>购买日之前持有的被购买方的股权涉及其他综合收益的，与其相关的其他</w:t>
      </w:r>
      <w:r>
        <w:rPr/>
        <w:t> 综合收益转为购买日所属当期投资收益。</w:t>
      </w:r>
    </w:p>
    <w:p>
      <w:pPr>
        <w:spacing w:line="240" w:lineRule="auto" w:before="2"/>
        <w:rPr>
          <w:rFonts w:ascii="宋体" w:hAnsi="宋体" w:cs="宋体" w:eastAsia="宋体" w:hint="default"/>
          <w:sz w:val="13"/>
          <w:szCs w:val="13"/>
        </w:rPr>
      </w:pPr>
    </w:p>
    <w:p>
      <w:pPr>
        <w:pStyle w:val="BodyText"/>
        <w:spacing w:line="405" w:lineRule="auto"/>
        <w:ind w:left="501" w:right="1209"/>
        <w:jc w:val="left"/>
      </w:pPr>
      <w:r>
        <w:rPr>
          <w:rFonts w:ascii="Times New Roman" w:hAnsi="Times New Roman" w:cs="Times New Roman" w:eastAsia="Times New Roman" w:hint="default"/>
        </w:rPr>
        <w:t>B</w:t>
      </w:r>
      <w:r>
        <w:rPr/>
        <w:t>、企业合并以外的其他方式取得的长期股权投资 以支付现金取得的长期股权投资，按照实际支付的购买价款作为投资成本。投资成本包括与取得长期股权投资直接相</w:t>
      </w:r>
    </w:p>
    <w:p>
      <w:pPr>
        <w:pStyle w:val="BodyText"/>
        <w:spacing w:line="191" w:lineRule="exact"/>
        <w:ind w:right="0"/>
        <w:jc w:val="both"/>
      </w:pPr>
      <w:r>
        <w:rPr/>
        <w:t>关的费用、税金及其他必要支出；发行权益性证券取得的长期股权投资，按照发行权益性证券的公允价值作为投资成本；</w:t>
      </w:r>
    </w:p>
    <w:p>
      <w:pPr>
        <w:pStyle w:val="BodyText"/>
        <w:spacing w:line="307" w:lineRule="auto" w:before="79"/>
        <w:ind w:right="1152"/>
        <w:jc w:val="both"/>
      </w:pPr>
      <w:r>
        <w:rPr/>
        <w:t>通过非货币性资产交换（该项交换具有商业实质）取得的长期股权投资，其投资成本以该项投资的公允价值和应支付的相 关税费作为换入资产的成本；通过债务重组取得的长期股权投资，债权人将享有股份的公允价值确认为对债务人的投资。</w:t>
      </w:r>
    </w:p>
    <w:p>
      <w:pPr>
        <w:spacing w:line="240" w:lineRule="auto" w:before="7"/>
        <w:rPr>
          <w:rFonts w:ascii="宋体" w:hAnsi="宋体" w:cs="宋体" w:eastAsia="宋体" w:hint="default"/>
          <w:sz w:val="12"/>
          <w:szCs w:val="12"/>
        </w:rPr>
      </w:pPr>
    </w:p>
    <w:p>
      <w:pPr>
        <w:pStyle w:val="BodyText"/>
        <w:spacing w:line="405" w:lineRule="auto"/>
        <w:ind w:left="501" w:right="1209"/>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）后续计量：</w:t>
      </w:r>
      <w:r>
        <w:rPr>
          <w:rFonts w:ascii="宋体" w:hAnsi="宋体" w:cs="宋体" w:eastAsia="宋体" w:hint="default"/>
          <w:b/>
          <w:bCs/>
          <w:w w:val="99"/>
        </w:rPr>
        <w:t> </w:t>
      </w:r>
      <w:r>
        <w:rPr/>
        <w:t>对被投资单位能够实施控制的长期股权投资采用成本法核算；对具有共同控制、重大影响的长期股权投资，采用权益</w:t>
      </w:r>
    </w:p>
    <w:p>
      <w:pPr>
        <w:pStyle w:val="BodyText"/>
        <w:spacing w:line="191" w:lineRule="exact"/>
        <w:ind w:right="0"/>
        <w:jc w:val="both"/>
      </w:pPr>
      <w:r>
        <w:rPr/>
        <w:t>法核算。</w:t>
      </w:r>
    </w:p>
    <w:p>
      <w:pPr>
        <w:spacing w:line="240" w:lineRule="auto" w:before="5"/>
        <w:rPr>
          <w:rFonts w:ascii="宋体" w:hAnsi="宋体" w:cs="宋体" w:eastAsia="宋体" w:hint="default"/>
          <w:sz w:val="16"/>
          <w:szCs w:val="16"/>
        </w:rPr>
      </w:pPr>
    </w:p>
    <w:p>
      <w:pPr>
        <w:spacing w:line="391" w:lineRule="auto" w:before="0"/>
        <w:ind w:left="501" w:right="93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）确定对被投资单位具有重大影响的依据：</w:t>
      </w:r>
      <w:r>
        <w:rPr>
          <w:rFonts w:ascii="宋体" w:hAnsi="宋体" w:cs="宋体" w:eastAsia="宋体" w:hint="default"/>
          <w:b/>
          <w:bCs/>
          <w:w w:val="99"/>
          <w:sz w:val="18"/>
          <w:szCs w:val="18"/>
        </w:rPr>
        <w:t> </w:t>
      </w:r>
      <w:r>
        <w:rPr>
          <w:rFonts w:ascii="宋体" w:hAnsi="宋体" w:cs="宋体" w:eastAsia="宋体" w:hint="default"/>
          <w:sz w:val="18"/>
          <w:szCs w:val="18"/>
        </w:rPr>
        <w:t>对被投资单位的财务和经营政策有参与决策的权力，但并不能够控制或者与其他方一起共同控制这些政策的制定的，</w:t>
      </w:r>
    </w:p>
    <w:p>
      <w:pPr>
        <w:pStyle w:val="BodyText"/>
        <w:spacing w:line="202" w:lineRule="exact"/>
        <w:ind w:right="0"/>
        <w:jc w:val="both"/>
      </w:pPr>
      <w:r>
        <w:rPr/>
        <w:t>认定为重大影响。</w:t>
      </w:r>
    </w:p>
    <w:p>
      <w:pPr>
        <w:spacing w:line="240" w:lineRule="auto" w:before="6"/>
        <w:rPr>
          <w:rFonts w:ascii="宋体" w:hAnsi="宋体" w:cs="宋体" w:eastAsia="宋体" w:hint="default"/>
          <w:sz w:val="16"/>
          <w:szCs w:val="16"/>
        </w:rPr>
      </w:pPr>
    </w:p>
    <w:p>
      <w:pPr>
        <w:pStyle w:val="Heading5"/>
        <w:spacing w:line="240" w:lineRule="auto" w:before="0"/>
        <w:ind w:right="939"/>
        <w:jc w:val="left"/>
        <w:rPr>
          <w:b w:val="0"/>
          <w:bCs w:val="0"/>
        </w:rPr>
      </w:pPr>
      <w:r>
        <w:rPr/>
        <w:t>（</w:t>
      </w:r>
      <w:r>
        <w:rPr>
          <w:rFonts w:ascii="Times New Roman" w:hAnsi="Times New Roman" w:cs="Times New Roman" w:eastAsia="Times New Roman" w:hint="default"/>
        </w:rPr>
        <w:t>5</w:t>
      </w:r>
      <w:r>
        <w:rPr/>
        <w:t>）减值测试方法及减值准备计提方法：</w:t>
      </w:r>
      <w:r>
        <w:rPr>
          <w:b w:val="0"/>
          <w:bCs w:val="0"/>
        </w:rPr>
      </w:r>
    </w:p>
    <w:p>
      <w:pPr>
        <w:spacing w:after="0" w:line="240" w:lineRule="auto"/>
        <w:jc w:val="left"/>
        <w:sectPr>
          <w:pgSz w:w="11910" w:h="16850"/>
          <w:pgMar w:header="866" w:footer="981" w:top="1040" w:bottom="1180" w:left="1000" w:right="0"/>
        </w:sectPr>
      </w:pPr>
    </w:p>
    <w:p>
      <w:pPr>
        <w:spacing w:line="240" w:lineRule="auto" w:before="2"/>
        <w:rPr>
          <w:rFonts w:ascii="宋体" w:hAnsi="宋体" w:cs="宋体" w:eastAsia="宋体" w:hint="default"/>
          <w:b/>
          <w:bCs/>
          <w:sz w:val="27"/>
          <w:szCs w:val="27"/>
        </w:rPr>
      </w:pPr>
    </w:p>
    <w:p>
      <w:pPr>
        <w:pStyle w:val="BodyText"/>
        <w:spacing w:line="240" w:lineRule="auto" w:before="44"/>
        <w:ind w:left="501" w:right="939"/>
        <w:jc w:val="left"/>
        <w:rPr>
          <w:rFonts w:ascii="Times New Roman" w:hAnsi="Times New Roman" w:cs="Times New Roman" w:eastAsia="Times New Roman" w:hint="default"/>
        </w:rPr>
      </w:pPr>
      <w:r>
        <w:rPr/>
        <w:t>详见</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3"/>
        <w:spacing w:line="240" w:lineRule="auto" w:before="139"/>
        <w:ind w:right="939"/>
        <w:jc w:val="left"/>
        <w:rPr>
          <w:b w:val="0"/>
          <w:bCs w:val="0"/>
        </w:rPr>
      </w:pPr>
      <w:bookmarkStart w:name="14、投资性房地产" w:id="186"/>
      <w:bookmarkEnd w:id="186"/>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3"/>
        <w:rPr>
          <w:rFonts w:ascii="宋体" w:hAnsi="宋体" w:cs="宋体" w:eastAsia="宋体" w:hint="default"/>
          <w:b/>
          <w:bCs/>
          <w:sz w:val="25"/>
          <w:szCs w:val="25"/>
        </w:rPr>
      </w:pPr>
    </w:p>
    <w:p>
      <w:pPr>
        <w:pStyle w:val="BodyText"/>
        <w:spacing w:line="352" w:lineRule="auto"/>
        <w:ind w:right="8949"/>
        <w:jc w:val="left"/>
      </w:pPr>
      <w:r>
        <w:rPr/>
        <w:t>投资性房地产计量模式 不适用</w:t>
      </w:r>
    </w:p>
    <w:p>
      <w:pPr>
        <w:spacing w:line="240" w:lineRule="auto" w:before="4"/>
        <w:rPr>
          <w:rFonts w:ascii="宋体" w:hAnsi="宋体" w:cs="宋体" w:eastAsia="宋体" w:hint="default"/>
          <w:sz w:val="23"/>
          <w:szCs w:val="23"/>
        </w:rPr>
      </w:pPr>
    </w:p>
    <w:p>
      <w:pPr>
        <w:pStyle w:val="Heading3"/>
        <w:spacing w:line="240" w:lineRule="auto"/>
        <w:ind w:right="939"/>
        <w:jc w:val="left"/>
        <w:rPr>
          <w:b w:val="0"/>
          <w:bCs w:val="0"/>
        </w:rPr>
      </w:pPr>
      <w:bookmarkStart w:name="15、固定资产" w:id="187"/>
      <w:bookmarkEnd w:id="187"/>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939"/>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33" w:firstLine="360"/>
        <w:jc w:val="left"/>
      </w:pPr>
      <w:r>
        <w:rPr>
          <w:spacing w:val="-2"/>
        </w:rPr>
        <w:t>固定资产是指使用寿命超过一个会计年度的为生产商品、提供劳务、出租或经营管理而持有的有形资产。固定资产的确</w:t>
      </w:r>
      <w:r>
        <w:rPr/>
        <w:t> 认条件</w:t>
      </w:r>
      <w:r>
        <w:rPr>
          <w:spacing w:val="3"/>
        </w:rPr>
        <w:t> </w:t>
      </w:r>
      <w:r>
        <w:rPr/>
        <w:t>：①该固定资产包含的经济利益很可能流入企业；②该固定资产的成本能够可靠计量。</w:t>
      </w:r>
    </w:p>
    <w:p>
      <w:pPr>
        <w:spacing w:line="240" w:lineRule="auto" w:before="0"/>
        <w:rPr>
          <w:rFonts w:ascii="宋体" w:hAnsi="宋体" w:cs="宋体" w:eastAsia="宋体" w:hint="default"/>
          <w:sz w:val="24"/>
          <w:szCs w:val="24"/>
        </w:rPr>
      </w:pPr>
    </w:p>
    <w:p>
      <w:pPr>
        <w:pStyle w:val="Heading3"/>
        <w:spacing w:line="240" w:lineRule="auto"/>
        <w:ind w:right="939"/>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42.5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2.12%</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18%</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18%</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11"/>
        <w:rPr>
          <w:rFonts w:ascii="宋体" w:hAnsi="宋体" w:cs="宋体" w:eastAsia="宋体" w:hint="default"/>
          <w:b/>
          <w:bCs/>
          <w:sz w:val="19"/>
          <w:szCs w:val="19"/>
        </w:rPr>
      </w:pPr>
    </w:p>
    <w:p>
      <w:pPr>
        <w:pStyle w:val="Heading3"/>
        <w:spacing w:line="240" w:lineRule="auto" w:before="35"/>
        <w:ind w:right="939"/>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1106" w:firstLine="360"/>
        <w:jc w:val="both"/>
      </w:pPr>
      <w:r>
        <w:rPr>
          <w:spacing w:val="-2"/>
        </w:rPr>
        <w:t>融资租赁为实质上转移了资产所有权有关的全部风险和报酬的租赁，其所有权最终可能转移，也可能不转移。以融资租</w:t>
      </w:r>
      <w:r>
        <w:rPr/>
        <w:t> </w:t>
      </w:r>
      <w:r>
        <w:rPr>
          <w:spacing w:val="-2"/>
        </w:rPr>
        <w:t>赁方式租入的固定资产采用与自有固定资产相一致的政策计提租赁资产折旧。能够合理确定租赁期届满时取得租赁资产所有</w:t>
      </w:r>
      <w:r>
        <w:rPr>
          <w:spacing w:val="-58"/>
        </w:rPr>
        <w:t> </w:t>
      </w:r>
      <w:r>
        <w:rPr>
          <w:spacing w:val="-58"/>
        </w:rPr>
      </w:r>
      <w:r>
        <w:rPr>
          <w:spacing w:val="-2"/>
        </w:rPr>
        <w:t>权的，在租赁资产使用寿命内计提折旧，无法合理确定租赁期届满时，能够取得租赁资产所有权的，在租赁期与租赁资产使</w:t>
      </w:r>
      <w:r>
        <w:rPr>
          <w:spacing w:val="-42"/>
        </w:rPr>
        <w:t> </w:t>
      </w:r>
      <w:r>
        <w:rPr>
          <w:spacing w:val="-42"/>
        </w:rPr>
      </w:r>
      <w:r>
        <w:rPr/>
        <w:t>用寿命两者中较短的期间内计提折旧。</w:t>
      </w:r>
    </w:p>
    <w:p>
      <w:pPr>
        <w:spacing w:line="240" w:lineRule="auto" w:before="6"/>
        <w:rPr>
          <w:rFonts w:ascii="宋体" w:hAnsi="宋体" w:cs="宋体" w:eastAsia="宋体" w:hint="default"/>
          <w:sz w:val="25"/>
          <w:szCs w:val="25"/>
        </w:rPr>
      </w:pPr>
    </w:p>
    <w:p>
      <w:pPr>
        <w:pStyle w:val="Heading3"/>
        <w:spacing w:line="240" w:lineRule="auto"/>
        <w:ind w:right="939"/>
        <w:jc w:val="left"/>
        <w:rPr>
          <w:b w:val="0"/>
          <w:bCs w:val="0"/>
        </w:rPr>
      </w:pPr>
      <w:bookmarkStart w:name="16、在建工程" w:id="191"/>
      <w:bookmarkEnd w:id="191"/>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3"/>
        <w:rPr>
          <w:rFonts w:ascii="宋体" w:hAnsi="宋体" w:cs="宋体" w:eastAsia="宋体" w:hint="default"/>
          <w:b/>
          <w:bCs/>
          <w:sz w:val="25"/>
          <w:szCs w:val="25"/>
        </w:rPr>
      </w:pPr>
    </w:p>
    <w:p>
      <w:pPr>
        <w:pStyle w:val="BodyText"/>
        <w:spacing w:line="309" w:lineRule="auto"/>
        <w:ind w:right="1029" w:firstLine="360"/>
        <w:jc w:val="left"/>
      </w:pPr>
      <w:r>
        <w:rPr/>
        <w:t>（</w:t>
      </w:r>
      <w:r>
        <w:rPr>
          <w:rFonts w:ascii="Times New Roman" w:hAnsi="Times New Roman" w:cs="Times New Roman" w:eastAsia="Times New Roman" w:hint="default"/>
        </w:rPr>
        <w:t>1</w:t>
      </w:r>
      <w:r>
        <w:rPr/>
        <w:t>）在建工程按各项工程所发生的实际支出核算，在达到预定可使用状态时转作固定资产。所建造的固定资产已达到 预定可使用状态，但尚未办理竣工决算手续的，自达到预定可使用状态之日起，根据工程预算、造价或者工程实际成本等，</w:t>
      </w:r>
      <w:r>
        <w:rPr>
          <w:spacing w:val="-87"/>
        </w:rPr>
        <w:t> </w:t>
      </w:r>
      <w:r>
        <w:rPr>
          <w:spacing w:val="-87"/>
        </w:rPr>
      </w:r>
      <w:r>
        <w:rPr>
          <w:spacing w:val="-2"/>
        </w:rPr>
        <w:t>按估计的价值转入固定资产，并计提固定资产的折旧，待办理了竣工决算手续后再对原估计值进行调整。购建或者生产符合</w:t>
      </w:r>
      <w:r>
        <w:rPr>
          <w:spacing w:val="-75"/>
        </w:rPr>
        <w:t> </w:t>
      </w:r>
      <w:r>
        <w:rPr>
          <w:spacing w:val="-75"/>
        </w:rPr>
      </w:r>
      <w:r>
        <w:rPr>
          <w:spacing w:val="-2"/>
        </w:rPr>
        <w:t>资本化条件的资产而借入的专门借款或占用了一般借款发生的借款利息以及专门借款发生的辅助费用，在所购建或者生产的</w:t>
      </w:r>
      <w:r>
        <w:rPr>
          <w:spacing w:val="-58"/>
        </w:rPr>
        <w:t> </w:t>
      </w:r>
      <w:r>
        <w:rPr>
          <w:spacing w:val="-58"/>
        </w:rPr>
      </w:r>
      <w:r>
        <w:rPr/>
        <w:t>符合资本化条件的资产达到预定可使用或者可销售状态之前根据其发生额予以资本化。</w:t>
      </w:r>
    </w:p>
    <w:p>
      <w:pPr>
        <w:spacing w:line="240" w:lineRule="auto" w:before="6"/>
        <w:rPr>
          <w:rFonts w:ascii="宋体" w:hAnsi="宋体" w:cs="宋体" w:eastAsia="宋体" w:hint="default"/>
          <w:sz w:val="12"/>
          <w:szCs w:val="12"/>
        </w:rPr>
      </w:pPr>
    </w:p>
    <w:p>
      <w:pPr>
        <w:pStyle w:val="BodyText"/>
        <w:spacing w:line="405" w:lineRule="auto"/>
        <w:ind w:left="561" w:right="6639"/>
        <w:jc w:val="left"/>
      </w:pPr>
      <w:r>
        <w:rPr/>
        <w:t>（</w:t>
      </w:r>
      <w:r>
        <w:rPr>
          <w:rFonts w:ascii="Times New Roman" w:hAnsi="Times New Roman" w:cs="Times New Roman" w:eastAsia="Times New Roman" w:hint="default"/>
        </w:rPr>
        <w:t>2</w:t>
      </w:r>
      <w:r>
        <w:rPr/>
        <w:t>）在建工程减值准备的确认标准、计提方法 详见</w:t>
      </w:r>
      <w:r>
        <w:rPr>
          <w:rFonts w:ascii="宋体" w:hAnsi="宋体" w:cs="宋体" w:eastAsia="宋体" w:hint="default"/>
        </w:rPr>
        <w:t>19</w:t>
      </w:r>
      <w:r>
        <w:rPr/>
        <w:t>、长期资产减值</w:t>
      </w:r>
    </w:p>
    <w:p>
      <w:pPr>
        <w:spacing w:line="240" w:lineRule="auto" w:before="0"/>
        <w:rPr>
          <w:rFonts w:ascii="宋体" w:hAnsi="宋体" w:cs="宋体" w:eastAsia="宋体" w:hint="default"/>
          <w:sz w:val="18"/>
          <w:szCs w:val="18"/>
        </w:rPr>
      </w:pPr>
    </w:p>
    <w:p>
      <w:pPr>
        <w:pStyle w:val="Heading3"/>
        <w:spacing w:line="240" w:lineRule="auto"/>
        <w:ind w:right="939"/>
        <w:jc w:val="left"/>
        <w:rPr>
          <w:b w:val="0"/>
          <w:bCs w:val="0"/>
        </w:rPr>
      </w:pPr>
      <w:bookmarkStart w:name="17、借款费用" w:id="192"/>
      <w:bookmarkEnd w:id="192"/>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1" w:right="939"/>
        <w:jc w:val="left"/>
      </w:pPr>
      <w:r>
        <w:rPr>
          <w:spacing w:val="-4"/>
        </w:rPr>
        <w:t>（</w:t>
      </w:r>
      <w:r>
        <w:rPr>
          <w:rFonts w:ascii="Times New Roman" w:hAnsi="Times New Roman" w:cs="Times New Roman" w:eastAsia="Times New Roman" w:hint="default"/>
          <w:spacing w:val="-4"/>
        </w:rPr>
        <w:t>1</w:t>
      </w:r>
      <w:r>
        <w:rPr>
          <w:spacing w:val="-4"/>
        </w:rPr>
        <w:t>）公司发生的借款费用，可直接归属于符合资本化条件的资产的购建或者生产的，予以资本化，计入相关资产成本；</w:t>
      </w:r>
    </w:p>
    <w:p>
      <w:pPr>
        <w:spacing w:after="0" w:line="240" w:lineRule="auto"/>
        <w:jc w:val="left"/>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both"/>
      </w:pPr>
      <w:r>
        <w:rPr/>
        <w:t>其他借款费用，在发生时根据其发生额确认为费用，计入当期损益。</w:t>
      </w:r>
    </w:p>
    <w:p>
      <w:pPr>
        <w:spacing w:line="240" w:lineRule="auto" w:before="5"/>
        <w:rPr>
          <w:rFonts w:ascii="宋体" w:hAnsi="宋体" w:cs="宋体" w:eastAsia="宋体" w:hint="default"/>
          <w:sz w:val="16"/>
          <w:szCs w:val="16"/>
        </w:rPr>
      </w:pPr>
    </w:p>
    <w:p>
      <w:pPr>
        <w:pStyle w:val="BodyText"/>
        <w:spacing w:line="240" w:lineRule="auto"/>
        <w:ind w:left="501" w:right="939"/>
        <w:jc w:val="left"/>
      </w:pPr>
      <w:r>
        <w:rPr/>
        <w:t>（</w:t>
      </w:r>
      <w:r>
        <w:rPr>
          <w:rFonts w:ascii="Times New Roman" w:hAnsi="Times New Roman" w:cs="Times New Roman" w:eastAsia="Times New Roman" w:hint="default"/>
        </w:rPr>
        <w:t>2</w:t>
      </w:r>
      <w:r>
        <w:rPr/>
        <w:t>）借款费用同时满足以下条件时予以资本化：</w:t>
      </w:r>
    </w:p>
    <w:p>
      <w:pPr>
        <w:spacing w:line="240" w:lineRule="auto" w:before="3"/>
        <w:rPr>
          <w:rFonts w:ascii="宋体" w:hAnsi="宋体" w:cs="宋体" w:eastAsia="宋体" w:hint="default"/>
          <w:sz w:val="14"/>
          <w:szCs w:val="14"/>
        </w:rPr>
      </w:pPr>
    </w:p>
    <w:p>
      <w:pPr>
        <w:pStyle w:val="BodyText"/>
        <w:spacing w:line="276" w:lineRule="auto"/>
        <w:ind w:right="939" w:firstLine="360"/>
        <w:jc w:val="left"/>
      </w:pPr>
      <w:r>
        <w:rPr>
          <w:rFonts w:ascii="Times New Roman" w:hAnsi="Times New Roman" w:cs="Times New Roman" w:eastAsia="Times New Roman" w:hint="default"/>
          <w:spacing w:val="-1"/>
        </w:rPr>
        <w:t>a</w:t>
      </w:r>
      <w:r>
        <w:rPr>
          <w:spacing w:val="-1"/>
        </w:rPr>
        <w:t>、资产支出已经发生，资产支出包括为购建或者生产符合资本化条件的资产而以支付现金、转移非现金资产或者承担</w:t>
      </w:r>
      <w:r>
        <w:rPr/>
        <w:t> 带息债务形式发生的支出；</w:t>
      </w:r>
    </w:p>
    <w:p>
      <w:pPr>
        <w:spacing w:line="240" w:lineRule="auto" w:before="5"/>
        <w:rPr>
          <w:rFonts w:ascii="宋体" w:hAnsi="宋体" w:cs="宋体" w:eastAsia="宋体" w:hint="default"/>
          <w:sz w:val="14"/>
          <w:szCs w:val="14"/>
        </w:rPr>
      </w:pPr>
    </w:p>
    <w:p>
      <w:pPr>
        <w:pStyle w:val="BodyText"/>
        <w:spacing w:line="420" w:lineRule="auto"/>
        <w:ind w:left="501" w:right="3729"/>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spacing w:val="-1"/>
        </w:rPr>
        <w:t>c</w:t>
      </w:r>
      <w:r>
        <w:rPr>
          <w:spacing w:val="-1"/>
        </w:rPr>
        <w:t>、为使资产达到预定可使用或者可销售状态所必要的购建或者生产活动已经开始。</w:t>
      </w:r>
    </w:p>
    <w:p>
      <w:pPr>
        <w:pStyle w:val="BodyText"/>
        <w:spacing w:line="297" w:lineRule="auto" w:before="36"/>
        <w:ind w:right="1046" w:firstLine="360"/>
        <w:jc w:val="both"/>
      </w:pPr>
      <w:r>
        <w:rPr>
          <w:spacing w:val="-2"/>
        </w:rPr>
        <w:t>（</w:t>
      </w:r>
      <w:r>
        <w:rPr>
          <w:rFonts w:ascii="Times New Roman" w:hAnsi="Times New Roman" w:cs="Times New Roman" w:eastAsia="Times New Roman" w:hint="default"/>
          <w:spacing w:val="-2"/>
        </w:rPr>
        <w:t>3</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个月的，应当暂停借款费用</w:t>
      </w:r>
      <w:r>
        <w:rPr/>
        <w:t> </w:t>
      </w:r>
      <w:r>
        <w:rPr>
          <w:spacing w:val="-2"/>
        </w:rPr>
        <w:t>的资本化。在中断期间发生的借款费用应当确认为费用，计入当期损益，直至资产的购建或者生产活动重新开始。如果中断</w:t>
      </w:r>
      <w:r>
        <w:rPr>
          <w:spacing w:val="-42"/>
        </w:rPr>
        <w:t> </w:t>
      </w:r>
      <w:r>
        <w:rPr>
          <w:spacing w:val="-42"/>
        </w:rPr>
      </w:r>
      <w:r>
        <w:rPr/>
        <w:t>是所购建或者生产的符合资本化条件的资产达到预定可使用或者可销售状态必要的程序，借款费用的资本化应当继续进行。</w:t>
      </w:r>
    </w:p>
    <w:p>
      <w:pPr>
        <w:spacing w:line="240" w:lineRule="auto" w:before="2"/>
        <w:rPr>
          <w:rFonts w:ascii="宋体" w:hAnsi="宋体" w:cs="宋体" w:eastAsia="宋体" w:hint="default"/>
          <w:sz w:val="13"/>
          <w:szCs w:val="13"/>
        </w:rPr>
      </w:pPr>
    </w:p>
    <w:p>
      <w:pPr>
        <w:pStyle w:val="BodyText"/>
        <w:spacing w:line="304" w:lineRule="auto"/>
        <w:ind w:right="1137" w:firstLine="360"/>
        <w:jc w:val="both"/>
      </w:pPr>
      <w:r>
        <w:rPr/>
        <w:t>（</w:t>
      </w:r>
      <w:r>
        <w:rPr>
          <w:rFonts w:ascii="Times New Roman" w:hAnsi="Times New Roman" w:cs="Times New Roman" w:eastAsia="Times New Roman" w:hint="default"/>
        </w:rPr>
        <w:t>4</w:t>
      </w:r>
      <w:r>
        <w:rPr/>
        <w:t>）购建或者生产符合资本化条件的资产达到预定可使用或者可销售状态时，借款费用应当停止资本化。在符合资本 </w:t>
      </w:r>
      <w:r>
        <w:rPr>
          <w:spacing w:val="-2"/>
        </w:rPr>
        <w:t>化条件的资产达到预定可使用或者可销售状态之后所发生的借款费用，应当在发生时根据其发生额确认为费用，计入当期损</w:t>
      </w:r>
      <w:r>
        <w:rPr>
          <w:spacing w:val="-72"/>
        </w:rPr>
        <w:t> </w:t>
      </w:r>
      <w:r>
        <w:rPr>
          <w:spacing w:val="-72"/>
        </w:rPr>
      </w:r>
      <w:r>
        <w:rPr/>
        <w:t>益。</w:t>
      </w:r>
    </w:p>
    <w:p>
      <w:pPr>
        <w:spacing w:line="240" w:lineRule="auto" w:before="12"/>
        <w:rPr>
          <w:rFonts w:ascii="宋体" w:hAnsi="宋体" w:cs="宋体" w:eastAsia="宋体" w:hint="default"/>
          <w:sz w:val="24"/>
          <w:szCs w:val="24"/>
        </w:rPr>
      </w:pPr>
    </w:p>
    <w:p>
      <w:pPr>
        <w:pStyle w:val="Heading3"/>
        <w:spacing w:line="240" w:lineRule="auto"/>
        <w:ind w:right="0"/>
        <w:jc w:val="both"/>
        <w:rPr>
          <w:b w:val="0"/>
          <w:bCs w:val="0"/>
        </w:rPr>
      </w:pPr>
      <w:bookmarkStart w:name="18、无形资产" w:id="193"/>
      <w:bookmarkEnd w:id="193"/>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0"/>
        <w:jc w:val="both"/>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430" w:lineRule="atLeast" w:before="135"/>
        <w:ind w:left="501" w:right="1133"/>
        <w:jc w:val="left"/>
      </w:pPr>
      <w:r>
        <w:rPr>
          <w:rFonts w:ascii="宋体" w:hAnsi="宋体" w:cs="宋体" w:eastAsia="宋体" w:hint="default"/>
          <w:b/>
          <w:bCs/>
        </w:rPr>
        <w:t>-</w:t>
      </w:r>
      <w:r>
        <w:rPr>
          <w:rFonts w:ascii="宋体" w:hAnsi="宋体" w:cs="宋体" w:eastAsia="宋体" w:hint="default"/>
          <w:b/>
          <w:bCs/>
        </w:rPr>
        <w:t>无形资产的计量</w:t>
      </w:r>
      <w:r>
        <w:rPr>
          <w:rFonts w:ascii="宋体" w:hAnsi="宋体" w:cs="宋体" w:eastAsia="宋体" w:hint="default"/>
          <w:b/>
          <w:bCs/>
          <w:w w:val="99"/>
        </w:rPr>
        <w:t> </w:t>
      </w:r>
      <w:r>
        <w:rPr>
          <w:spacing w:val="-2"/>
        </w:rPr>
        <w:t>无形资产按取得时实际成本计价，其中购入的无形资产的成本，按使该项资产达到预定用途所发生的实际支出计价；内</w:t>
      </w:r>
    </w:p>
    <w:p>
      <w:pPr>
        <w:pStyle w:val="BodyText"/>
        <w:spacing w:line="319" w:lineRule="auto" w:before="80"/>
        <w:ind w:right="1106"/>
        <w:jc w:val="both"/>
      </w:pPr>
      <w:r>
        <w:rPr>
          <w:spacing w:val="-5"/>
        </w:rPr>
        <w:t>部研究开发项目研究阶段的支出，于发生时计入当期损益；开发阶段的支出，能够符合资本化条件的，确认为无形资产成本；</w:t>
      </w:r>
      <w:r>
        <w:rPr>
          <w:spacing w:val="-55"/>
        </w:rPr>
        <w:t> </w:t>
      </w:r>
      <w:r>
        <w:rPr>
          <w:spacing w:val="-55"/>
        </w:rPr>
      </w:r>
      <w:r>
        <w:rPr>
          <w:spacing w:val="-2"/>
        </w:rPr>
        <w:t>投资者投入的无形资产，应当按照投资合同或协议约定的价值确定，但合同或协议约定价值不公允的除外；接受债务人以非</w:t>
      </w:r>
      <w:r>
        <w:rPr>
          <w:spacing w:val="-75"/>
        </w:rPr>
        <w:t> </w:t>
      </w:r>
      <w:r>
        <w:rPr>
          <w:spacing w:val="-75"/>
        </w:rPr>
      </w:r>
      <w:r>
        <w:rPr>
          <w:spacing w:val="-2"/>
        </w:rPr>
        <w:t>现金资产抵偿债务方式取得的无形资产，或以应收债权换入无形资产的，按换入无形资产的公允价值入账；非货币性交易投</w:t>
      </w:r>
      <w:r>
        <w:rPr>
          <w:spacing w:val="-75"/>
        </w:rPr>
        <w:t> </w:t>
      </w:r>
      <w:r>
        <w:rPr>
          <w:spacing w:val="-75"/>
        </w:rPr>
      </w:r>
      <w:r>
        <w:rPr>
          <w:spacing w:val="-2"/>
        </w:rPr>
        <w:t>入的无形资产，以该项无形资产的公允价值和应支付的相关税费作为入账成本；接受捐赠的无形资产，捐赠方提供了有关凭</w:t>
      </w:r>
      <w:r>
        <w:rPr>
          <w:spacing w:val="-66"/>
        </w:rPr>
        <w:t> </w:t>
      </w:r>
      <w:r>
        <w:rPr>
          <w:spacing w:val="-66"/>
        </w:rPr>
      </w:r>
      <w:r>
        <w:rPr>
          <w:spacing w:val="-2"/>
        </w:rPr>
        <w:t>据的，按凭据上标明的金额加上应支付的相关税费计价；捐赠方没有提供有关凭据的，如果同类或类似无形资产存在活跃市</w:t>
      </w:r>
      <w:r>
        <w:rPr>
          <w:spacing w:val="-75"/>
        </w:rPr>
        <w:t> </w:t>
      </w:r>
      <w:r>
        <w:rPr>
          <w:spacing w:val="-75"/>
        </w:rPr>
      </w:r>
      <w:r>
        <w:rPr>
          <w:spacing w:val="-2"/>
        </w:rPr>
        <w:t>场的，按同类或类似无形资产的市场价格估计的金额，加上应支付的相关税费，作为实际成本；如果同类或类似无形资产不</w:t>
      </w:r>
      <w:r>
        <w:rPr>
          <w:spacing w:val="-42"/>
        </w:rPr>
        <w:t> </w:t>
      </w:r>
      <w:r>
        <w:rPr>
          <w:spacing w:val="-42"/>
        </w:rPr>
      </w:r>
      <w:r>
        <w:rPr/>
        <w:t>存在活跃市场的，按接受捐赠的无形资产的预计未来现金流量现值，作为实际成本。</w:t>
      </w:r>
    </w:p>
    <w:p>
      <w:pPr>
        <w:pStyle w:val="BodyText"/>
        <w:spacing w:line="240" w:lineRule="auto" w:before="140"/>
        <w:ind w:left="501" w:right="939"/>
        <w:jc w:val="left"/>
      </w:pPr>
      <w:r>
        <w:rPr/>
        <w:t>无形资产期末按照账面价值与可回收金额孰低计量。</w:t>
      </w:r>
    </w:p>
    <w:p>
      <w:pPr>
        <w:pStyle w:val="BodyText"/>
        <w:spacing w:line="436" w:lineRule="exact" w:before="46"/>
        <w:ind w:left="501" w:right="1133"/>
        <w:jc w:val="left"/>
      </w:pPr>
      <w:r>
        <w:rPr>
          <w:rFonts w:ascii="宋体" w:hAnsi="宋体" w:cs="宋体" w:eastAsia="宋体" w:hint="default"/>
          <w:b/>
          <w:bCs/>
        </w:rPr>
        <w:t>-</w:t>
      </w:r>
      <w:r>
        <w:rPr>
          <w:rFonts w:ascii="宋体" w:hAnsi="宋体" w:cs="宋体" w:eastAsia="宋体" w:hint="default"/>
          <w:b/>
          <w:bCs/>
        </w:rPr>
        <w:t>无形资产的摊销方法</w:t>
      </w:r>
      <w:r>
        <w:rPr>
          <w:rFonts w:ascii="宋体" w:hAnsi="宋体" w:cs="宋体" w:eastAsia="宋体" w:hint="default"/>
          <w:b/>
          <w:bCs/>
          <w:spacing w:val="-84"/>
        </w:rPr>
        <w:t> </w:t>
      </w:r>
      <w:r>
        <w:rPr>
          <w:rFonts w:ascii="宋体" w:hAnsi="宋体" w:cs="宋体" w:eastAsia="宋体" w:hint="default"/>
          <w:b/>
          <w:bCs/>
          <w:spacing w:val="-84"/>
        </w:rPr>
      </w:r>
      <w:r>
        <w:rPr>
          <w:spacing w:val="-2"/>
        </w:rPr>
        <w:t>使用寿命有限的无形资产，在估计该使用寿命的年限内按直线法摊销；无法预见无形资产为公司带来未来经济利益的期</w:t>
      </w:r>
    </w:p>
    <w:p>
      <w:pPr>
        <w:pStyle w:val="BodyText"/>
        <w:spacing w:line="240" w:lineRule="auto" w:before="18"/>
        <w:ind w:right="0"/>
        <w:jc w:val="both"/>
      </w:pPr>
      <w:r>
        <w:rPr/>
        <w:t>限的，视为使用寿命不确定的无形资产。使用寿命不确定的无形资产不摊销。</w:t>
      </w:r>
    </w:p>
    <w:p>
      <w:pPr>
        <w:spacing w:line="240" w:lineRule="auto" w:before="4"/>
        <w:rPr>
          <w:rFonts w:ascii="宋体" w:hAnsi="宋体" w:cs="宋体" w:eastAsia="宋体" w:hint="default"/>
          <w:sz w:val="15"/>
          <w:szCs w:val="15"/>
        </w:rPr>
      </w:pPr>
    </w:p>
    <w:p>
      <w:pPr>
        <w:spacing w:line="444" w:lineRule="auto" w:before="0"/>
        <w:ind w:left="501" w:right="7045"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无形资产减值准备的确认标准、计提方法</w:t>
      </w:r>
      <w:r>
        <w:rPr>
          <w:rFonts w:ascii="宋体" w:hAnsi="宋体" w:cs="宋体" w:eastAsia="宋体" w:hint="default"/>
          <w:b/>
          <w:bCs/>
          <w:w w:val="99"/>
          <w:sz w:val="18"/>
          <w:szCs w:val="18"/>
        </w:rPr>
        <w:t> </w:t>
      </w:r>
      <w:r>
        <w:rPr>
          <w:rFonts w:ascii="宋体" w:hAnsi="宋体" w:cs="宋体" w:eastAsia="宋体" w:hint="default"/>
          <w:sz w:val="18"/>
          <w:szCs w:val="18"/>
        </w:rPr>
        <w:t>详见</w:t>
      </w:r>
      <w:r>
        <w:rPr>
          <w:rFonts w:ascii="宋体" w:hAnsi="宋体" w:cs="宋体" w:eastAsia="宋体" w:hint="default"/>
          <w:sz w:val="18"/>
          <w:szCs w:val="18"/>
        </w:rPr>
        <w:t>19</w:t>
      </w:r>
      <w:r>
        <w:rPr>
          <w:rFonts w:ascii="宋体" w:hAnsi="宋体" w:cs="宋体" w:eastAsia="宋体" w:hint="default"/>
          <w:sz w:val="18"/>
          <w:szCs w:val="18"/>
        </w:rPr>
        <w:t>、长期资产减值</w:t>
      </w:r>
    </w:p>
    <w:p>
      <w:pPr>
        <w:spacing w:line="444" w:lineRule="auto" w:before="32"/>
        <w:ind w:left="501" w:right="426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无形资产支出满足资本化的条件：</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z w:val="18"/>
          <w:szCs w:val="18"/>
        </w:rPr>
        <w:t>公司内部研究开发项目开发阶段的支出，符合下列各项时，确认为无形资产：</w:t>
      </w:r>
    </w:p>
    <w:p>
      <w:pPr>
        <w:pStyle w:val="BodyText"/>
        <w:spacing w:line="240" w:lineRule="auto" w:before="47"/>
        <w:ind w:left="501" w:right="939"/>
        <w:jc w:val="left"/>
      </w:pPr>
      <w:r>
        <w:rPr/>
        <w:t>①从技术上来讲，完成该无形资产以使其能够使用或出售具有可行性。</w:t>
      </w:r>
    </w:p>
    <w:p>
      <w:pPr>
        <w:spacing w:line="240" w:lineRule="auto" w:before="3"/>
        <w:rPr>
          <w:rFonts w:ascii="宋体" w:hAnsi="宋体" w:cs="宋体" w:eastAsia="宋体" w:hint="default"/>
          <w:sz w:val="15"/>
          <w:szCs w:val="15"/>
        </w:rPr>
      </w:pPr>
    </w:p>
    <w:p>
      <w:pPr>
        <w:pStyle w:val="BodyText"/>
        <w:spacing w:line="240" w:lineRule="auto"/>
        <w:ind w:left="501" w:right="939"/>
        <w:jc w:val="left"/>
      </w:pPr>
      <w:r>
        <w:rPr/>
        <w:t>②具有完成该无形资产并使用或出售的意图。</w:t>
      </w:r>
    </w:p>
    <w:p>
      <w:pPr>
        <w:spacing w:line="240" w:lineRule="auto" w:before="4"/>
        <w:rPr>
          <w:rFonts w:ascii="宋体" w:hAnsi="宋体" w:cs="宋体" w:eastAsia="宋体" w:hint="default"/>
          <w:sz w:val="15"/>
          <w:szCs w:val="15"/>
        </w:rPr>
      </w:pPr>
    </w:p>
    <w:p>
      <w:pPr>
        <w:pStyle w:val="BodyText"/>
        <w:spacing w:line="307" w:lineRule="auto"/>
        <w:ind w:right="1137" w:firstLine="360"/>
        <w:jc w:val="both"/>
      </w:pPr>
      <w:r>
        <w:rPr>
          <w:spacing w:val="-2"/>
        </w:rPr>
        <w:t>③无形资产产生未来经济利益的方式，包括能够证明运用该无形资产生产的产品存在市场或无形资产自身存在市场；无</w:t>
      </w:r>
      <w:r>
        <w:rPr/>
        <w:t> 形资产将在内部使用时，证明其有用性。</w:t>
      </w:r>
    </w:p>
    <w:p>
      <w:pPr>
        <w:spacing w:after="0" w:line="307" w:lineRule="auto"/>
        <w:jc w:val="both"/>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501" w:right="939"/>
        <w:jc w:val="left"/>
      </w:pPr>
      <w:r>
        <w:rPr/>
        <w:t>④有足够的技术、财务资源和其他资源支持，以完成该无形资产的开发，并有能力使用或出售该无形资产。</w:t>
      </w:r>
    </w:p>
    <w:p>
      <w:pPr>
        <w:spacing w:line="240" w:lineRule="auto" w:before="4"/>
        <w:rPr>
          <w:rFonts w:ascii="宋体" w:hAnsi="宋体" w:cs="宋体" w:eastAsia="宋体" w:hint="default"/>
          <w:sz w:val="15"/>
          <w:szCs w:val="15"/>
        </w:rPr>
      </w:pPr>
    </w:p>
    <w:p>
      <w:pPr>
        <w:pStyle w:val="BodyText"/>
        <w:spacing w:line="240" w:lineRule="auto"/>
        <w:ind w:left="501" w:right="939"/>
        <w:jc w:val="left"/>
      </w:pPr>
      <w:r>
        <w:rPr/>
        <w:t>⑤归属于该无形资产开发阶段的支出能够可靠计量。</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
        <w:rPr>
          <w:rFonts w:ascii="宋体" w:hAnsi="宋体" w:cs="宋体" w:eastAsia="宋体" w:hint="default"/>
          <w:b/>
          <w:bCs/>
          <w:sz w:val="24"/>
          <w:szCs w:val="24"/>
        </w:rPr>
      </w:pPr>
    </w:p>
    <w:p>
      <w:pPr>
        <w:pStyle w:val="BodyText"/>
        <w:spacing w:line="360" w:lineRule="auto"/>
        <w:ind w:right="4629"/>
        <w:jc w:val="left"/>
      </w:pPr>
      <w:r>
        <w:rPr/>
        <w:t>公司内部研究开发项目的支出分为研究阶段支出和开发阶段的支出。 公司内部研究开发项目研究阶段的支出，在发生时计入当期损益。 公司内部研究开发项目开发阶段的支出，符合下列各项时，确认为无形资产：</w:t>
      </w:r>
    </w:p>
    <w:p>
      <w:pPr>
        <w:pStyle w:val="BodyText"/>
        <w:spacing w:line="240" w:lineRule="auto" w:before="35"/>
        <w:ind w:right="939"/>
        <w:jc w:val="left"/>
      </w:pPr>
      <w:r>
        <w:rPr/>
        <w:t>①从技术上来讲，完成该无形资产以使其能够使用或出售具有可行性。</w:t>
      </w:r>
    </w:p>
    <w:p>
      <w:pPr>
        <w:pStyle w:val="BodyText"/>
        <w:spacing w:line="240" w:lineRule="auto" w:before="109"/>
        <w:ind w:right="939"/>
        <w:jc w:val="left"/>
      </w:pPr>
      <w:r>
        <w:rPr/>
        <w:t>②具有完成该无形资产并使用或出售的意图。</w:t>
      </w:r>
    </w:p>
    <w:p>
      <w:pPr>
        <w:pStyle w:val="BodyText"/>
        <w:spacing w:line="321" w:lineRule="auto" w:before="125"/>
        <w:ind w:right="939"/>
        <w:jc w:val="left"/>
      </w:pPr>
      <w:r>
        <w:rPr>
          <w:spacing w:val="-2"/>
        </w:rPr>
        <w:t>③无形资产产生未来经济利益的方式，包括能够证明运用该无形资产生产的产品存在市场或无形资产自身存在市场；无形资</w:t>
      </w:r>
      <w:r>
        <w:rPr>
          <w:spacing w:val="-72"/>
        </w:rPr>
        <w:t> </w:t>
      </w:r>
      <w:r>
        <w:rPr>
          <w:spacing w:val="-72"/>
        </w:rPr>
      </w:r>
      <w:r>
        <w:rPr/>
        <w:t>产将在内部使用时，证明其有用性。</w:t>
      </w:r>
    </w:p>
    <w:p>
      <w:pPr>
        <w:pStyle w:val="BodyText"/>
        <w:spacing w:line="240" w:lineRule="auto" w:before="49"/>
        <w:ind w:right="939"/>
        <w:jc w:val="left"/>
      </w:pPr>
      <w:r>
        <w:rPr/>
        <w:t>④有足够的技术、财务资源和其他资源支持，以完成该无形资产的开发，并有能力使用或出售该无形资产。</w:t>
      </w:r>
    </w:p>
    <w:p>
      <w:pPr>
        <w:pStyle w:val="BodyText"/>
        <w:spacing w:line="350" w:lineRule="auto" w:before="125"/>
        <w:ind w:right="4269"/>
        <w:jc w:val="left"/>
      </w:pPr>
      <w:r>
        <w:rPr/>
        <w:t>⑤归属于该无形资产开发阶段的支出能够可靠计量。 无法区分研究阶段支出和开发阶段支出的，将发生的研发支出全部计入当期损益。</w:t>
      </w:r>
    </w:p>
    <w:p>
      <w:pPr>
        <w:spacing w:line="240" w:lineRule="auto" w:before="4"/>
        <w:rPr>
          <w:rFonts w:ascii="宋体" w:hAnsi="宋体" w:cs="宋体" w:eastAsia="宋体" w:hint="default"/>
          <w:sz w:val="22"/>
          <w:szCs w:val="22"/>
        </w:rPr>
      </w:pPr>
    </w:p>
    <w:p>
      <w:pPr>
        <w:pStyle w:val="Heading3"/>
        <w:spacing w:line="240" w:lineRule="auto"/>
        <w:ind w:right="939"/>
        <w:jc w:val="left"/>
        <w:rPr>
          <w:b w:val="0"/>
          <w:bCs w:val="0"/>
        </w:rPr>
      </w:pPr>
      <w:bookmarkStart w:name="19、长期资产减值" w:id="196"/>
      <w:bookmarkEnd w:id="196"/>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1029" w:firstLine="360"/>
        <w:jc w:val="left"/>
      </w:pPr>
      <w:r>
        <w:rPr/>
        <w:t>资产负债表日，公司资产中除存货、采用公允价值模式计量的投资性房地产（暂以成本模式计量）、递延所得税资产、 </w:t>
      </w:r>
      <w:r>
        <w:rPr>
          <w:spacing w:val="-2"/>
        </w:rPr>
        <w:t>金融资产等按其专门规定处理减值以外的其他资产，有迹象表明发生减值的，以单项资产为基础估计其可收回金额；难以对</w:t>
      </w:r>
      <w:r>
        <w:rPr>
          <w:spacing w:val="-72"/>
        </w:rPr>
        <w:t> </w:t>
      </w:r>
      <w:r>
        <w:rPr>
          <w:spacing w:val="-72"/>
        </w:rPr>
      </w:r>
      <w:r>
        <w:rPr>
          <w:spacing w:val="-2"/>
        </w:rPr>
        <w:t>单项资产的可收回金额进行估计的，以该资产所属的资产组或资产组组合为基础确定其可收回金额。资产的可收回金额低于</w:t>
      </w:r>
      <w:r>
        <w:rPr>
          <w:spacing w:val="-72"/>
        </w:rPr>
        <w:t> </w:t>
      </w:r>
      <w:r>
        <w:rPr>
          <w:spacing w:val="-72"/>
        </w:rPr>
      </w:r>
      <w:r>
        <w:rPr>
          <w:spacing w:val="-2"/>
        </w:rPr>
        <w:t>其账面价值的，将资产的账面价值减记至可收回金额，减记的金额确认为资产减值损失，计入当期损益，同时计提相应的资</w:t>
      </w:r>
      <w:r>
        <w:rPr>
          <w:spacing w:val="-42"/>
        </w:rPr>
        <w:t> </w:t>
      </w:r>
      <w:r>
        <w:rPr>
          <w:spacing w:val="-42"/>
        </w:rPr>
      </w:r>
      <w:r>
        <w:rPr/>
        <w:t>产减值准备。这些资产减值损失一经确认，在以后会计期间不予转回。</w:t>
      </w:r>
    </w:p>
    <w:p>
      <w:pPr>
        <w:pStyle w:val="BodyText"/>
        <w:spacing w:line="444" w:lineRule="auto" w:before="142"/>
        <w:ind w:left="501" w:right="1749"/>
        <w:jc w:val="left"/>
      </w:pPr>
      <w:r>
        <w:rPr/>
        <w:t>可收回金额根据资产的公允价值减去处置费用后的净额与资产预计未来现金流量的现值两者之间较高者确定。 因企业合并所形成的商誉和使用寿命不确定的无形资产，无论是否存在减值迹象，每年都应进行减值测试。</w:t>
      </w:r>
    </w:p>
    <w:p>
      <w:pPr>
        <w:spacing w:line="240" w:lineRule="auto" w:before="11"/>
        <w:rPr>
          <w:rFonts w:ascii="宋体" w:hAnsi="宋体" w:cs="宋体" w:eastAsia="宋体" w:hint="default"/>
          <w:sz w:val="15"/>
          <w:szCs w:val="15"/>
        </w:rPr>
      </w:pPr>
    </w:p>
    <w:p>
      <w:pPr>
        <w:pStyle w:val="Heading3"/>
        <w:spacing w:line="240" w:lineRule="auto"/>
        <w:ind w:right="939"/>
        <w:jc w:val="left"/>
        <w:rPr>
          <w:b w:val="0"/>
          <w:bCs w:val="0"/>
        </w:rPr>
      </w:pPr>
      <w:bookmarkStart w:name="20、长期待摊费用" w:id="197"/>
      <w:bookmarkEnd w:id="197"/>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05" w:firstLine="360"/>
        <w:jc w:val="both"/>
      </w:pPr>
      <w:r>
        <w:rPr>
          <w:spacing w:val="-5"/>
        </w:rPr>
        <w:t>长期待摊费用是指已经支出，但受益期限在一年以上（不含一年）的各项费用，长期待摊费用按发生时的实际成本计价，</w:t>
      </w:r>
      <w:r>
        <w:rPr/>
        <w:t> </w:t>
      </w:r>
      <w:r>
        <w:rPr>
          <w:spacing w:val="-2"/>
        </w:rPr>
        <w:t>并在受益期限内平均摊销。如果长期待摊费用项目不能使以后会计期间受益的，则将尚未摊销的该项目的摊余价值全部转入</w:t>
      </w:r>
      <w:r>
        <w:rPr>
          <w:spacing w:val="-72"/>
        </w:rPr>
        <w:t> </w:t>
      </w:r>
      <w:r>
        <w:rPr>
          <w:spacing w:val="-72"/>
        </w:rPr>
      </w:r>
      <w:r>
        <w:rPr/>
        <w:t>当期损益。</w:t>
      </w:r>
    </w:p>
    <w:p>
      <w:pPr>
        <w:spacing w:line="240" w:lineRule="auto" w:before="0"/>
        <w:rPr>
          <w:rFonts w:ascii="宋体" w:hAnsi="宋体" w:cs="宋体" w:eastAsia="宋体" w:hint="default"/>
          <w:sz w:val="24"/>
          <w:szCs w:val="24"/>
        </w:rPr>
      </w:pPr>
    </w:p>
    <w:p>
      <w:pPr>
        <w:pStyle w:val="Heading3"/>
        <w:spacing w:line="240" w:lineRule="auto"/>
        <w:ind w:right="939"/>
        <w:jc w:val="left"/>
        <w:rPr>
          <w:b w:val="0"/>
          <w:bCs w:val="0"/>
        </w:rPr>
      </w:pPr>
      <w:bookmarkStart w:name="21、职工薪酬" w:id="198"/>
      <w:bookmarkEnd w:id="198"/>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939"/>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06" w:firstLine="360"/>
        <w:jc w:val="both"/>
      </w:pPr>
      <w:r>
        <w:rPr>
          <w:spacing w:val="-2"/>
        </w:rPr>
        <w:t>短期薪酬，是指企业在职工提供相关服务的年度报告期间结束后十二个月内需要全部予以支付的职工薪酬，因解除与职</w:t>
      </w:r>
      <w:r>
        <w:rPr/>
        <w:t> </w:t>
      </w:r>
      <w:r>
        <w:rPr>
          <w:spacing w:val="-2"/>
        </w:rPr>
        <w:t>工的劳动关系给予的补偿除外。短期薪酬具体包括：职工工资、奖金、津贴、职工福利费、医疗保险费、工伤保险费和生育</w:t>
      </w:r>
      <w:r>
        <w:rPr>
          <w:spacing w:val="-73"/>
        </w:rPr>
        <w:t> </w:t>
      </w:r>
      <w:r>
        <w:rPr>
          <w:spacing w:val="-73"/>
        </w:rPr>
      </w:r>
      <w:r>
        <w:rPr>
          <w:spacing w:val="-2"/>
        </w:rPr>
        <w:t>保险费等社会保险费，住房公积金，公会经费和职工教育费，短期带薪缺勤，短期利润分享计划，非货币性福利以及其他短</w:t>
      </w:r>
      <w:r>
        <w:rPr>
          <w:spacing w:val="-57"/>
        </w:rPr>
        <w:t> </w:t>
      </w:r>
      <w:r>
        <w:rPr>
          <w:spacing w:val="-57"/>
        </w:rPr>
      </w:r>
      <w:r>
        <w:rPr>
          <w:spacing w:val="-2"/>
        </w:rPr>
        <w:t>期薪酬。公司在职工为其提供服务的会计期间，将实际发生的短期薪酬确认为负债，并计入当期损益，其他会计准则要求或</w:t>
      </w:r>
      <w:r>
        <w:rPr>
          <w:spacing w:val="-42"/>
        </w:rPr>
        <w:t> </w:t>
      </w:r>
      <w:r>
        <w:rPr>
          <w:spacing w:val="-42"/>
        </w:rPr>
      </w:r>
      <w:r>
        <w:rPr/>
        <w:t>允许计入资产成本的除外。</w:t>
      </w:r>
    </w:p>
    <w:p>
      <w:pPr>
        <w:spacing w:after="0" w:line="321" w:lineRule="auto"/>
        <w:jc w:val="both"/>
        <w:sectPr>
          <w:pgSz w:w="11910" w:h="16850"/>
          <w:pgMar w:header="866"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939"/>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right="1029" w:firstLine="360"/>
        <w:jc w:val="left"/>
      </w:pPr>
      <w:r>
        <w:rPr/>
        <w:t>离职后福利，是指企业为获得职工提供的服务而在职工退休或与企业解除劳动关系后，提供的各种形式的报酬和福利， </w:t>
      </w:r>
      <w:r>
        <w:rPr>
          <w:spacing w:val="-2"/>
        </w:rPr>
        <w:t>短期薪酬和辞退福利除外。公司在职工为其提供服务的会计期间，将根据设定的提存计划计算的应缴存金额确认为负债，并</w:t>
      </w:r>
      <w:r>
        <w:rPr>
          <w:spacing w:val="-75"/>
        </w:rPr>
        <w:t> </w:t>
      </w:r>
      <w:r>
        <w:rPr>
          <w:spacing w:val="-75"/>
        </w:rPr>
      </w:r>
      <w:r>
        <w:rPr/>
        <w:t>计入当期损益或相关资产成本。</w:t>
      </w:r>
    </w:p>
    <w:p>
      <w:pPr>
        <w:spacing w:line="240" w:lineRule="auto" w:before="5"/>
        <w:rPr>
          <w:rFonts w:ascii="宋体" w:hAnsi="宋体" w:cs="宋体" w:eastAsia="宋体" w:hint="default"/>
          <w:sz w:val="24"/>
          <w:szCs w:val="24"/>
        </w:rPr>
      </w:pPr>
    </w:p>
    <w:p>
      <w:pPr>
        <w:pStyle w:val="Heading3"/>
        <w:spacing w:line="240" w:lineRule="auto"/>
        <w:ind w:right="939"/>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939" w:firstLine="360"/>
        <w:jc w:val="left"/>
      </w:pPr>
      <w:r>
        <w:rPr>
          <w:spacing w:val="-4"/>
        </w:rPr>
        <w:t>辞退福利，是指企业在职工劳动合同到期之前解除与职工的劳动关系，或者为鼓励职工自愿接受裁减而给予职工的补偿。</w:t>
      </w:r>
      <w:r>
        <w:rPr/>
        <w:t> 公司向职工提供辞退福利的，在下列两者孰早日确认辞退福利产生的职工薪酬负债，并计入当期损益：（</w:t>
      </w:r>
      <w:r>
        <w:rPr>
          <w:rFonts w:ascii="Times New Roman" w:hAnsi="Times New Roman" w:cs="Times New Roman" w:eastAsia="Times New Roman" w:hint="default"/>
        </w:rPr>
        <w:t>1</w:t>
      </w:r>
      <w:r>
        <w:rPr/>
        <w:t>）企业不能单方</w:t>
      </w:r>
      <w:r>
        <w:rPr>
          <w:spacing w:val="-80"/>
        </w:rPr>
        <w:t> </w:t>
      </w:r>
      <w:r>
        <w:rPr/>
        <w:t>面撤回因解除劳动关系计划或裁减建议所提供的辞退福利时。（</w:t>
      </w:r>
      <w:r>
        <w:rPr>
          <w:rFonts w:ascii="Times New Roman" w:hAnsi="Times New Roman" w:cs="Times New Roman" w:eastAsia="Times New Roman" w:hint="default"/>
        </w:rPr>
        <w:t>2</w:t>
      </w:r>
      <w:r>
        <w:rPr/>
        <w:t>）企业确认与涉及支付辞退福利的重组相关的成本或费用</w:t>
      </w:r>
    </w:p>
    <w:p>
      <w:pPr>
        <w:pStyle w:val="BodyText"/>
        <w:spacing w:line="221" w:lineRule="exact"/>
        <w:ind w:right="939"/>
        <w:jc w:val="left"/>
      </w:pPr>
      <w:r>
        <w:rPr/>
        <w:t>时。</w:t>
      </w:r>
    </w:p>
    <w:p>
      <w:pPr>
        <w:spacing w:line="240" w:lineRule="auto" w:before="0"/>
        <w:rPr>
          <w:rFonts w:ascii="宋体" w:hAnsi="宋体" w:cs="宋体" w:eastAsia="宋体" w:hint="default"/>
          <w:sz w:val="18"/>
          <w:szCs w:val="18"/>
        </w:rPr>
      </w:pPr>
    </w:p>
    <w:p>
      <w:pPr>
        <w:pStyle w:val="Heading3"/>
        <w:spacing w:line="240" w:lineRule="auto" w:before="124"/>
        <w:ind w:right="939"/>
        <w:jc w:val="left"/>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05" w:firstLine="360"/>
        <w:jc w:val="both"/>
      </w:pPr>
      <w:r>
        <w:rPr>
          <w:spacing w:val="-5"/>
        </w:rPr>
        <w:t>其他长期职工福利，是指除短期薪酬、离职后福利、辞退福利之外所有的职工薪酬，包括长期带薪缺勤、长期残疾福利、</w:t>
      </w:r>
      <w:r>
        <w:rPr/>
        <w:t> </w:t>
      </w:r>
      <w:r>
        <w:rPr>
          <w:spacing w:val="-2"/>
        </w:rPr>
        <w:t>长期利润分享计划等。公司向职工提供的其他长期职工福利，符合设定提存条件的，将根据设定的提存计划计算的应缴存金</w:t>
      </w:r>
      <w:r>
        <w:rPr>
          <w:spacing w:val="-75"/>
        </w:rPr>
        <w:t> </w:t>
      </w:r>
      <w:r>
        <w:rPr>
          <w:spacing w:val="-75"/>
        </w:rPr>
      </w:r>
      <w:r>
        <w:rPr>
          <w:spacing w:val="-2"/>
        </w:rPr>
        <w:t>额确认为负债，并计入当期损益或相关资产成本。除此以外，企业将其他长期职工福利产生的职工薪酬成本确认为下列组成</w:t>
      </w:r>
    </w:p>
    <w:p>
      <w:pPr>
        <w:pStyle w:val="BodyText"/>
        <w:spacing w:line="273" w:lineRule="auto" w:before="34"/>
        <w:ind w:right="1119"/>
        <w:jc w:val="left"/>
      </w:pPr>
      <w:r>
        <w:rPr/>
        <w:t>部分：（</w:t>
      </w:r>
      <w:r>
        <w:rPr>
          <w:rFonts w:ascii="Times New Roman" w:hAnsi="Times New Roman" w:cs="Times New Roman" w:eastAsia="Times New Roman" w:hint="default"/>
        </w:rPr>
        <w:t>1</w:t>
      </w:r>
      <w:r>
        <w:rPr/>
        <w:t>）服务成本。（</w:t>
      </w:r>
      <w:r>
        <w:rPr>
          <w:rFonts w:ascii="Times New Roman" w:hAnsi="Times New Roman" w:cs="Times New Roman" w:eastAsia="Times New Roman" w:hint="default"/>
        </w:rPr>
        <w:t>2</w:t>
      </w:r>
      <w:r>
        <w:rPr/>
        <w:t>）其他长期职工福利净负债或净资产的利息净额。（</w:t>
      </w:r>
      <w:r>
        <w:rPr>
          <w:rFonts w:ascii="Times New Roman" w:hAnsi="Times New Roman" w:cs="Times New Roman" w:eastAsia="Times New Roman" w:hint="default"/>
        </w:rPr>
        <w:t>3</w:t>
      </w:r>
      <w:r>
        <w:rPr/>
        <w:t>）重新计量其他长期职工净负债或净资产</w:t>
      </w:r>
      <w:r>
        <w:rPr>
          <w:spacing w:val="-82"/>
        </w:rPr>
        <w:t> </w:t>
      </w:r>
      <w:r>
        <w:rPr>
          <w:spacing w:val="-82"/>
        </w:rPr>
      </w:r>
      <w:r>
        <w:rPr/>
        <w:t>所产生的变动。上述项目的总净额计入当期损益或相关资产成本。</w:t>
      </w:r>
    </w:p>
    <w:p>
      <w:pPr>
        <w:spacing w:line="240" w:lineRule="auto" w:before="9"/>
        <w:rPr>
          <w:rFonts w:ascii="宋体" w:hAnsi="宋体" w:cs="宋体" w:eastAsia="宋体" w:hint="default"/>
          <w:sz w:val="26"/>
          <w:szCs w:val="26"/>
        </w:rPr>
      </w:pPr>
    </w:p>
    <w:p>
      <w:pPr>
        <w:pStyle w:val="Heading3"/>
        <w:spacing w:line="240" w:lineRule="auto"/>
        <w:ind w:right="939"/>
        <w:jc w:val="left"/>
        <w:rPr>
          <w:b w:val="0"/>
          <w:bCs w:val="0"/>
        </w:rPr>
      </w:pPr>
      <w:bookmarkStart w:name="22、预计负债" w:id="203"/>
      <w:bookmarkEnd w:id="203"/>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939"/>
        <w:jc w:val="left"/>
        <w:rPr>
          <w:b w:val="0"/>
          <w:bCs w:val="0"/>
        </w:rPr>
      </w:pPr>
      <w:r>
        <w:rPr/>
        <w:t>（</w:t>
      </w:r>
      <w:r>
        <w:rPr>
          <w:rFonts w:ascii="宋体" w:hAnsi="宋体" w:cs="宋体" w:eastAsia="宋体" w:hint="default"/>
        </w:rPr>
        <w:t>1</w:t>
      </w:r>
      <w:r>
        <w:rPr>
          <w:rFonts w:ascii="宋体" w:hAnsi="宋体" w:cs="宋体" w:eastAsia="宋体" w:hint="default"/>
          <w:spacing w:val="-20"/>
        </w:rPr>
        <w:t> </w:t>
      </w:r>
      <w:r>
        <w:rPr>
          <w:spacing w:val="4"/>
        </w:rPr>
        <w:t>）预计负债的确认标准</w:t>
      </w:r>
      <w:r>
        <w:rPr>
          <w:b w:val="0"/>
          <w:bCs w:val="0"/>
          <w:spacing w:val="4"/>
        </w:rPr>
      </w:r>
    </w:p>
    <w:p>
      <w:pPr>
        <w:spacing w:line="240" w:lineRule="auto" w:before="0"/>
        <w:rPr>
          <w:rFonts w:ascii="宋体" w:hAnsi="宋体" w:cs="宋体" w:eastAsia="宋体" w:hint="default"/>
          <w:b/>
          <w:bCs/>
          <w:sz w:val="14"/>
          <w:szCs w:val="14"/>
        </w:rPr>
      </w:pPr>
    </w:p>
    <w:p>
      <w:pPr>
        <w:pStyle w:val="BodyText"/>
        <w:spacing w:line="321" w:lineRule="auto"/>
        <w:ind w:right="1135" w:firstLine="360"/>
        <w:jc w:val="both"/>
      </w:pPr>
      <w:r>
        <w:rPr>
          <w:spacing w:val="-2"/>
        </w:rPr>
        <w:t>当与对外担保、未决诉讼或仲裁、产品质量保证、裁员计划、亏损合同、重组义务、固定资产弃置义务等或有事项相关</w:t>
      </w:r>
      <w:r>
        <w:rPr/>
        <w:t> </w:t>
      </w:r>
      <w:r>
        <w:rPr>
          <w:spacing w:val="-2"/>
        </w:rPr>
        <w:t>的业务同时符合以下条件时，确认为负债：①该义务是本公司承担的现时义务；②该义务的履行很可能导致经济利益流出企</w:t>
      </w:r>
      <w:r>
        <w:rPr>
          <w:spacing w:val="-75"/>
        </w:rPr>
        <w:t> </w:t>
      </w:r>
      <w:r>
        <w:rPr>
          <w:spacing w:val="-75"/>
        </w:rPr>
      </w:r>
      <w:r>
        <w:rPr/>
        <w:t>业；③该义务的金额能够可靠地计量。</w:t>
      </w:r>
    </w:p>
    <w:p>
      <w:pPr>
        <w:pStyle w:val="Heading4"/>
        <w:spacing w:line="240" w:lineRule="auto" w:before="127"/>
        <w:ind w:right="939"/>
        <w:jc w:val="left"/>
        <w:rPr>
          <w:b w:val="0"/>
          <w:bCs w:val="0"/>
        </w:rPr>
      </w:pPr>
      <w:r>
        <w:rPr/>
        <w:t>（</w:t>
      </w:r>
      <w:r>
        <w:rPr>
          <w:rFonts w:ascii="宋体" w:hAnsi="宋体" w:cs="宋体" w:eastAsia="宋体" w:hint="default"/>
        </w:rPr>
        <w:t>2</w:t>
      </w:r>
      <w:r>
        <w:rPr>
          <w:rFonts w:ascii="宋体" w:hAnsi="宋体" w:cs="宋体" w:eastAsia="宋体" w:hint="default"/>
          <w:spacing w:val="-20"/>
        </w:rPr>
        <w:t> </w:t>
      </w:r>
      <w:r>
        <w:rPr>
          <w:spacing w:val="4"/>
        </w:rPr>
        <w:t>）预计负债的计量方法</w:t>
      </w:r>
      <w:r>
        <w:rPr>
          <w:b w:val="0"/>
          <w:bCs w:val="0"/>
          <w:spacing w:val="4"/>
        </w:rPr>
      </w:r>
    </w:p>
    <w:p>
      <w:pPr>
        <w:spacing w:line="240" w:lineRule="auto" w:before="0"/>
        <w:rPr>
          <w:rFonts w:ascii="宋体" w:hAnsi="宋体" w:cs="宋体" w:eastAsia="宋体" w:hint="default"/>
          <w:b/>
          <w:bCs/>
          <w:sz w:val="14"/>
          <w:szCs w:val="14"/>
        </w:rPr>
      </w:pPr>
    </w:p>
    <w:p>
      <w:pPr>
        <w:pStyle w:val="BodyText"/>
        <w:spacing w:line="316" w:lineRule="auto"/>
        <w:ind w:right="1135" w:firstLine="360"/>
        <w:jc w:val="both"/>
      </w:pPr>
      <w:r>
        <w:rPr>
          <w:spacing w:val="-2"/>
        </w:rPr>
        <w:t>预计负债按照履行现时义务所需支出的最佳估计数进行精算并初始计量。所需支出存在一个连续范围，且该范围内各种</w:t>
      </w:r>
      <w:r>
        <w:rPr/>
        <w:t> </w:t>
      </w:r>
      <w:r>
        <w:rPr>
          <w:spacing w:val="-2"/>
        </w:rPr>
        <w:t>结果发生的可能性相同的最佳估计数按该范围的中间值确定；在其他情况下，最佳估计数按如下方法确定：①或有事项涉及</w:t>
      </w:r>
      <w:r>
        <w:rPr>
          <w:spacing w:val="-74"/>
        </w:rPr>
        <w:t> </w:t>
      </w:r>
      <w:r>
        <w:rPr>
          <w:spacing w:val="-74"/>
        </w:rPr>
      </w:r>
      <w:r>
        <w:rPr>
          <w:spacing w:val="-2"/>
        </w:rPr>
        <w:t>单个项目时，最佳估计数按最可能发生金额确定；②或有事项涉及多个项目时，最佳估计数按各种可能发生额及其发生概率</w:t>
      </w:r>
      <w:r>
        <w:rPr>
          <w:spacing w:val="-75"/>
        </w:rPr>
        <w:t> </w:t>
      </w:r>
      <w:r>
        <w:rPr>
          <w:spacing w:val="-75"/>
        </w:rPr>
      </w:r>
      <w:r>
        <w:rPr>
          <w:spacing w:val="-2"/>
        </w:rPr>
        <w:t>计算确定；③公司清偿预计负债所需支出全部或部分预期由第三方或其他方补偿的，则补偿金额在基本确定能收到时，作为</w:t>
      </w:r>
      <w:r>
        <w:rPr>
          <w:spacing w:val="-75"/>
        </w:rPr>
        <w:t> </w:t>
      </w:r>
      <w:r>
        <w:rPr>
          <w:spacing w:val="-75"/>
        </w:rPr>
      </w:r>
      <w:r>
        <w:rPr/>
        <w:t>资产单独确认。确认的补偿金额不超过所确认预计负债的账面价值。</w:t>
      </w:r>
    </w:p>
    <w:p>
      <w:pPr>
        <w:spacing w:line="240" w:lineRule="auto" w:before="3"/>
        <w:rPr>
          <w:rFonts w:ascii="宋体" w:hAnsi="宋体" w:cs="宋体" w:eastAsia="宋体" w:hint="default"/>
          <w:sz w:val="24"/>
          <w:szCs w:val="24"/>
        </w:rPr>
      </w:pPr>
    </w:p>
    <w:p>
      <w:pPr>
        <w:pStyle w:val="Heading3"/>
        <w:spacing w:line="240" w:lineRule="auto"/>
        <w:ind w:right="939"/>
        <w:jc w:val="left"/>
        <w:rPr>
          <w:b w:val="0"/>
          <w:bCs w:val="0"/>
        </w:rPr>
      </w:pPr>
      <w:bookmarkStart w:name="23、股份支付" w:id="204"/>
      <w:bookmarkEnd w:id="204"/>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37" w:firstLine="360"/>
        <w:jc w:val="both"/>
      </w:pPr>
      <w:r>
        <w:rPr>
          <w:spacing w:val="-2"/>
        </w:rPr>
        <w:t>股份支付，是指企业为获取职工和其他方提供服务而授予权益工具或者承担以权益工具为基础确定的负债的交易。按结</w:t>
      </w:r>
      <w:r>
        <w:rPr/>
        <w:t> 算方式的不同，股份支付可以分为以权益结算的股份支付和以现金结算的股份支付。</w:t>
      </w:r>
    </w:p>
    <w:p>
      <w:pPr>
        <w:pStyle w:val="Heading5"/>
        <w:spacing w:line="240" w:lineRule="auto" w:before="138"/>
        <w:ind w:right="939"/>
        <w:jc w:val="left"/>
        <w:rPr>
          <w:b w:val="0"/>
          <w:bCs w:val="0"/>
        </w:rPr>
      </w:pPr>
      <w:r>
        <w:rPr/>
        <w:t>（</w:t>
      </w:r>
      <w:r>
        <w:rPr>
          <w:rFonts w:ascii="宋体" w:hAnsi="宋体" w:cs="宋体" w:eastAsia="宋体" w:hint="default"/>
        </w:rPr>
        <w:t>1</w:t>
      </w:r>
      <w:r>
        <w:rPr/>
        <w:t>）以权益结算的股份支付</w:t>
      </w:r>
      <w:r>
        <w:rPr>
          <w:b w:val="0"/>
          <w:bCs w:val="0"/>
        </w:rPr>
      </w:r>
    </w:p>
    <w:p>
      <w:pPr>
        <w:pStyle w:val="BodyText"/>
        <w:spacing w:line="436" w:lineRule="exact" w:before="46"/>
        <w:ind w:left="501" w:right="1133"/>
        <w:jc w:val="left"/>
      </w:pPr>
      <w:r>
        <w:rPr/>
        <w:t>①初始确认与计量 </w:t>
      </w:r>
      <w:r>
        <w:rPr>
          <w:spacing w:val="-2"/>
        </w:rPr>
        <w:t>可立即行权的换取职工服务的以权益结算的股份支付，应当在授予日，即股份支付协议获得批准的日期，按照权益工具</w:t>
      </w:r>
    </w:p>
    <w:p>
      <w:pPr>
        <w:pStyle w:val="BodyText"/>
        <w:spacing w:line="240" w:lineRule="auto" w:before="18"/>
        <w:ind w:right="939"/>
        <w:jc w:val="left"/>
      </w:pPr>
      <w:r>
        <w:rPr/>
        <w:t>的公允价值计入相关成本或费用，相应增加资本公积。</w:t>
      </w:r>
    </w:p>
    <w:p>
      <w:pPr>
        <w:spacing w:after="0" w:line="240" w:lineRule="auto"/>
        <w:jc w:val="left"/>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33" w:firstLine="360"/>
        <w:jc w:val="left"/>
      </w:pPr>
      <w:r>
        <w:rPr>
          <w:spacing w:val="-2"/>
        </w:rPr>
        <w:t>等待行权的换取职工服务的以权益结算的股份支付，在等待期内的每个资产负债表日，应当以对可行权权益工具数量的</w:t>
      </w:r>
      <w:r>
        <w:rPr/>
        <w:t> 最佳估计为基础，按照权益工具授予日的公允价值，将当期取得的服务计入相关成本或费用和资本公积。</w:t>
      </w:r>
    </w:p>
    <w:p>
      <w:pPr>
        <w:pStyle w:val="BodyText"/>
        <w:spacing w:line="420" w:lineRule="exact" w:before="13"/>
        <w:ind w:left="501" w:right="1133"/>
        <w:jc w:val="left"/>
      </w:pPr>
      <w:r>
        <w:rPr/>
        <w:t>②后续计量 </w:t>
      </w:r>
      <w:r>
        <w:rPr>
          <w:spacing w:val="-2"/>
        </w:rPr>
        <w:t>在资产负债表日，后续信息表明可行权权益工具的数量与以前估计不同的，应当进行调整，并在可行权日调整至实际可</w:t>
      </w:r>
    </w:p>
    <w:p>
      <w:pPr>
        <w:pStyle w:val="BodyText"/>
        <w:spacing w:line="240" w:lineRule="auto" w:before="21"/>
        <w:ind w:right="939"/>
        <w:jc w:val="left"/>
      </w:pPr>
      <w:r>
        <w:rPr/>
        <w:t>行权的权益工具数量。在行权日，企业根据实际行权的权益工具数量，计算确定应转入股本的金额，将其转入股本。</w:t>
      </w:r>
    </w:p>
    <w:p>
      <w:pPr>
        <w:spacing w:line="240" w:lineRule="auto" w:before="3"/>
        <w:rPr>
          <w:rFonts w:ascii="宋体" w:hAnsi="宋体" w:cs="宋体" w:eastAsia="宋体" w:hint="default"/>
          <w:sz w:val="15"/>
          <w:szCs w:val="15"/>
        </w:rPr>
      </w:pPr>
    </w:p>
    <w:p>
      <w:pPr>
        <w:pStyle w:val="Heading5"/>
        <w:spacing w:line="240" w:lineRule="auto" w:before="0"/>
        <w:ind w:right="939"/>
        <w:jc w:val="left"/>
        <w:rPr>
          <w:b w:val="0"/>
          <w:bCs w:val="0"/>
        </w:rPr>
      </w:pPr>
      <w:r>
        <w:rPr/>
        <w:t>（</w:t>
      </w:r>
      <w:r>
        <w:rPr>
          <w:rFonts w:ascii="宋体" w:hAnsi="宋体" w:cs="宋体" w:eastAsia="宋体" w:hint="default"/>
        </w:rPr>
        <w:t>2</w:t>
      </w:r>
      <w:r>
        <w:rPr/>
        <w:t>）以现金结算的股份支付</w:t>
      </w:r>
      <w:r>
        <w:rPr>
          <w:b w:val="0"/>
          <w:bCs w:val="0"/>
        </w:rPr>
      </w:r>
    </w:p>
    <w:p>
      <w:pPr>
        <w:pStyle w:val="BodyText"/>
        <w:spacing w:line="436" w:lineRule="exact" w:before="61"/>
        <w:ind w:left="501" w:right="939"/>
        <w:jc w:val="left"/>
      </w:pPr>
      <w:r>
        <w:rPr/>
        <w:t>①初始确认与计量 </w:t>
      </w:r>
      <w:r>
        <w:rPr>
          <w:spacing w:val="-2"/>
        </w:rPr>
        <w:t>授予后立即可行权的以现金结算的股份支付，应当在授予日以企业承担负债的公允价值计入相关成本或费用，相应增加</w:t>
      </w:r>
    </w:p>
    <w:p>
      <w:pPr>
        <w:pStyle w:val="BodyText"/>
        <w:spacing w:line="321" w:lineRule="auto" w:before="2"/>
        <w:ind w:right="1029"/>
        <w:jc w:val="left"/>
      </w:pPr>
      <w:r>
        <w:rPr/>
        <w:t>负债。完成等待期内的服务或达到规定业绩条件以后才可行权的以现金结算的股份支付，在等待期内的每个资产负债表日， </w:t>
      </w:r>
      <w:r>
        <w:rPr>
          <w:spacing w:val="-2"/>
        </w:rPr>
        <w:t>应当以对可行权情况的最佳估计为基础，按照企业承担负债的公允价值金额，将当期取得的服务计入成本或费用和相应的负</w:t>
      </w:r>
      <w:r>
        <w:rPr>
          <w:spacing w:val="-72"/>
        </w:rPr>
        <w:t> </w:t>
      </w:r>
      <w:r>
        <w:rPr>
          <w:spacing w:val="-72"/>
        </w:rPr>
      </w:r>
      <w:r>
        <w:rPr/>
        <w:t>债。</w:t>
      </w:r>
    </w:p>
    <w:p>
      <w:pPr>
        <w:pStyle w:val="BodyText"/>
        <w:spacing w:line="436" w:lineRule="exact"/>
        <w:ind w:left="501" w:right="1133"/>
        <w:jc w:val="left"/>
      </w:pPr>
      <w:r>
        <w:rPr/>
        <w:t>②后续计量 </w:t>
      </w:r>
      <w:r>
        <w:rPr>
          <w:spacing w:val="-2"/>
        </w:rPr>
        <w:t>在资产负债表日，后续信息表明企业当期承担债务的公允价值与以前估计不同的，应当进行调整，并在可行权日调整至</w:t>
      </w:r>
    </w:p>
    <w:p>
      <w:pPr>
        <w:pStyle w:val="BodyText"/>
        <w:spacing w:line="321" w:lineRule="auto" w:before="3"/>
        <w:ind w:right="939"/>
        <w:jc w:val="left"/>
      </w:pPr>
      <w:r>
        <w:rPr>
          <w:spacing w:val="-2"/>
        </w:rPr>
        <w:t>实际可行权水平。企业应当在相关负债结算前的每个资产负债表日以及结算日，对负债的公允价值重新计量，其变动计入当</w:t>
      </w:r>
      <w:r>
        <w:rPr>
          <w:spacing w:val="-75"/>
        </w:rPr>
        <w:t> </w:t>
      </w:r>
      <w:r>
        <w:rPr>
          <w:spacing w:val="-75"/>
        </w:rPr>
      </w:r>
      <w:r>
        <w:rPr/>
        <w:t>期损益。</w:t>
      </w:r>
    </w:p>
    <w:p>
      <w:pPr>
        <w:spacing w:line="436" w:lineRule="exact" w:before="0"/>
        <w:ind w:left="501"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）权益工具公允价值的确定</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2"/>
          <w:sz w:val="18"/>
          <w:szCs w:val="18"/>
        </w:rPr>
        <w:t>对于授予职工的股份，其公允价值应按企业股份的市场价格计量，同时考虑授予股份所依据的条款和条件（不包括市场</w:t>
      </w:r>
    </w:p>
    <w:p>
      <w:pPr>
        <w:pStyle w:val="BodyText"/>
        <w:spacing w:line="240" w:lineRule="auto" w:before="17"/>
        <w:ind w:right="939"/>
        <w:jc w:val="left"/>
      </w:pPr>
      <w:r>
        <w:rPr/>
        <w:t>条件之外的可行权条件）进行调整。</w:t>
      </w:r>
    </w:p>
    <w:p>
      <w:pPr>
        <w:spacing w:line="436" w:lineRule="exact" w:before="46"/>
        <w:ind w:left="501" w:right="11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）确认可行权权益工具最佳估计的依据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在等待期内每个资产负债表日，公司根据最新取得的可行权职工人数变动等后续信息做出最佳估计，修正预计可行权的</w:t>
      </w:r>
    </w:p>
    <w:p>
      <w:pPr>
        <w:pStyle w:val="BodyText"/>
        <w:spacing w:line="240" w:lineRule="auto" w:before="17"/>
        <w:ind w:right="939"/>
        <w:jc w:val="left"/>
      </w:pPr>
      <w:r>
        <w:rPr/>
        <w:t>权益工具数量。</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24、收入" w:id="205"/>
      <w:bookmarkEnd w:id="205"/>
      <w:r>
        <w:rPr>
          <w:b w:val="0"/>
          <w:bCs w:val="0"/>
        </w:rPr>
      </w:r>
      <w:r>
        <w:rPr>
          <w:rFonts w:ascii="Times New Roman" w:hAnsi="Times New Roman" w:cs="Times New Roman" w:eastAsia="Times New Roman" w:hint="default"/>
        </w:rPr>
        <w:t>24</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
        <w:rPr>
          <w:rFonts w:ascii="宋体" w:hAnsi="宋体" w:cs="宋体" w:eastAsia="宋体" w:hint="default"/>
          <w:sz w:val="13"/>
          <w:szCs w:val="13"/>
        </w:rPr>
      </w:pPr>
    </w:p>
    <w:p>
      <w:pPr>
        <w:pStyle w:val="BodyText"/>
        <w:spacing w:line="429" w:lineRule="auto"/>
        <w:ind w:left="501" w:right="1749"/>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）销售商品</w:t>
      </w:r>
      <w:r>
        <w:rPr>
          <w:rFonts w:ascii="宋体" w:hAnsi="宋体" w:cs="宋体" w:eastAsia="宋体" w:hint="default"/>
          <w:b/>
          <w:bCs/>
          <w:w w:val="99"/>
        </w:rPr>
        <w:t> </w:t>
      </w:r>
      <w:r>
        <w:rPr/>
        <w:t>公司销售的商品在同时满足下列条件时，按从购货方已收或应收的合同或协议价款的金额确认销售商品收入：</w:t>
      </w:r>
    </w:p>
    <w:p>
      <w:pPr>
        <w:pStyle w:val="BodyText"/>
        <w:spacing w:line="240" w:lineRule="auto" w:before="58"/>
        <w:ind w:left="501" w:right="939"/>
        <w:jc w:val="left"/>
      </w:pPr>
      <w:r>
        <w:rPr/>
        <w:t>①已将商品所有权上的主要风险和报酬转移给购货方；</w:t>
      </w:r>
    </w:p>
    <w:p>
      <w:pPr>
        <w:spacing w:line="240" w:lineRule="auto" w:before="3"/>
        <w:rPr>
          <w:rFonts w:ascii="宋体" w:hAnsi="宋体" w:cs="宋体" w:eastAsia="宋体" w:hint="default"/>
          <w:sz w:val="15"/>
          <w:szCs w:val="15"/>
        </w:rPr>
      </w:pPr>
    </w:p>
    <w:p>
      <w:pPr>
        <w:pStyle w:val="BodyText"/>
        <w:spacing w:line="240" w:lineRule="auto"/>
        <w:ind w:left="501" w:right="939"/>
        <w:jc w:val="left"/>
      </w:pPr>
      <w:r>
        <w:rPr/>
        <w:t>②既没有保留通常与所有权相联系的继续管理权，也没有对已售出的商品实施有效控制；</w:t>
      </w:r>
    </w:p>
    <w:p>
      <w:pPr>
        <w:spacing w:line="240" w:lineRule="auto" w:before="4"/>
        <w:rPr>
          <w:rFonts w:ascii="宋体" w:hAnsi="宋体" w:cs="宋体" w:eastAsia="宋体" w:hint="default"/>
          <w:sz w:val="15"/>
          <w:szCs w:val="15"/>
        </w:rPr>
      </w:pPr>
    </w:p>
    <w:p>
      <w:pPr>
        <w:pStyle w:val="BodyText"/>
        <w:spacing w:line="240" w:lineRule="auto"/>
        <w:ind w:left="501" w:right="939"/>
        <w:jc w:val="left"/>
      </w:pPr>
      <w:r>
        <w:rPr/>
        <w:t>③收入的金额能够可靠地计量；</w:t>
      </w:r>
    </w:p>
    <w:p>
      <w:pPr>
        <w:spacing w:line="240" w:lineRule="auto" w:before="2"/>
        <w:rPr>
          <w:rFonts w:ascii="宋体" w:hAnsi="宋体" w:cs="宋体" w:eastAsia="宋体" w:hint="default"/>
          <w:sz w:val="14"/>
          <w:szCs w:val="14"/>
        </w:rPr>
      </w:pPr>
    </w:p>
    <w:p>
      <w:pPr>
        <w:pStyle w:val="BodyText"/>
        <w:spacing w:line="240" w:lineRule="auto"/>
        <w:ind w:left="501" w:right="939"/>
        <w:jc w:val="left"/>
      </w:pPr>
      <w:r>
        <w:rPr/>
        <w:t>④相关的经济利益很可能流入企业；</w:t>
      </w:r>
    </w:p>
    <w:p>
      <w:pPr>
        <w:spacing w:line="240" w:lineRule="auto" w:before="4"/>
        <w:rPr>
          <w:rFonts w:ascii="宋体" w:hAnsi="宋体" w:cs="宋体" w:eastAsia="宋体" w:hint="default"/>
          <w:sz w:val="15"/>
          <w:szCs w:val="15"/>
        </w:rPr>
      </w:pPr>
    </w:p>
    <w:p>
      <w:pPr>
        <w:pStyle w:val="BodyText"/>
        <w:spacing w:line="240" w:lineRule="auto"/>
        <w:ind w:left="501" w:right="939"/>
        <w:jc w:val="left"/>
      </w:pPr>
      <w:r>
        <w:rPr/>
        <w:t>⑤相关的已发生或将发生的成本能够可靠地计量。</w:t>
      </w:r>
    </w:p>
    <w:p>
      <w:pPr>
        <w:pStyle w:val="BodyText"/>
        <w:spacing w:line="436" w:lineRule="exact" w:before="61"/>
        <w:ind w:left="501" w:right="1133"/>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）提供劳务</w:t>
      </w:r>
      <w:r>
        <w:rPr>
          <w:rFonts w:ascii="宋体" w:hAnsi="宋体" w:cs="宋体" w:eastAsia="宋体" w:hint="default"/>
          <w:b/>
          <w:bCs/>
          <w:w w:val="99"/>
        </w:rPr>
        <w:t> </w:t>
      </w:r>
      <w:r>
        <w:rPr>
          <w:spacing w:val="-2"/>
        </w:rPr>
        <w:t>在提供劳务交易的结果能够可靠估计的情况下，公司于资产负债表日按完工进度确认相关的劳务收入。如提供劳务交易</w:t>
      </w:r>
    </w:p>
    <w:p>
      <w:pPr>
        <w:pStyle w:val="BodyText"/>
        <w:spacing w:line="240" w:lineRule="auto" w:before="18"/>
        <w:ind w:right="939"/>
        <w:jc w:val="left"/>
      </w:pPr>
      <w:r>
        <w:rPr/>
        <w:t>结果不能够可靠估计的，应当分别处理：</w:t>
      </w:r>
    </w:p>
    <w:p>
      <w:pPr>
        <w:spacing w:line="240" w:lineRule="auto" w:before="2"/>
        <w:rPr>
          <w:rFonts w:ascii="宋体" w:hAnsi="宋体" w:cs="宋体" w:eastAsia="宋体" w:hint="default"/>
          <w:sz w:val="14"/>
          <w:szCs w:val="14"/>
        </w:rPr>
      </w:pPr>
    </w:p>
    <w:p>
      <w:pPr>
        <w:pStyle w:val="BodyText"/>
        <w:spacing w:line="240" w:lineRule="auto"/>
        <w:ind w:left="501" w:right="939"/>
        <w:jc w:val="left"/>
      </w:pPr>
      <w:r>
        <w:rPr/>
        <w:t>①已经发生的劳务成本预计能够得到补偿的，按照已经发生的劳务成本金额确认提供劳务收入，并按相同金额结转劳务</w:t>
      </w:r>
    </w:p>
    <w:p>
      <w:pPr>
        <w:spacing w:after="0" w:line="240" w:lineRule="auto"/>
        <w:jc w:val="left"/>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939"/>
        <w:jc w:val="left"/>
      </w:pPr>
      <w:r>
        <w:rPr/>
        <w:t>成本；</w:t>
      </w:r>
    </w:p>
    <w:p>
      <w:pPr>
        <w:spacing w:line="240" w:lineRule="auto" w:before="4"/>
        <w:rPr>
          <w:rFonts w:ascii="宋体" w:hAnsi="宋体" w:cs="宋体" w:eastAsia="宋体" w:hint="default"/>
          <w:sz w:val="15"/>
          <w:szCs w:val="15"/>
        </w:rPr>
      </w:pPr>
    </w:p>
    <w:p>
      <w:pPr>
        <w:pStyle w:val="BodyText"/>
        <w:spacing w:line="444" w:lineRule="auto"/>
        <w:ind w:left="501" w:right="1389"/>
        <w:jc w:val="left"/>
      </w:pPr>
      <w:r>
        <w:rPr/>
        <w:t>②已经发生的劳务成本预计不能够得到补偿的，应当将已经发生的劳务成本计入当期损益，不确认提供劳务收入。 提供劳务交易的结果能够可靠估计是指：</w:t>
      </w:r>
    </w:p>
    <w:p>
      <w:pPr>
        <w:pStyle w:val="BodyText"/>
        <w:spacing w:line="240" w:lineRule="auto" w:before="32"/>
        <w:ind w:left="501" w:right="939"/>
        <w:jc w:val="left"/>
      </w:pPr>
      <w:r>
        <w:rPr/>
        <w:t>①收入金额能够可靠计量；</w:t>
      </w:r>
    </w:p>
    <w:p>
      <w:pPr>
        <w:spacing w:line="240" w:lineRule="auto" w:before="4"/>
        <w:rPr>
          <w:rFonts w:ascii="宋体" w:hAnsi="宋体" w:cs="宋体" w:eastAsia="宋体" w:hint="default"/>
          <w:sz w:val="15"/>
          <w:szCs w:val="15"/>
        </w:rPr>
      </w:pPr>
    </w:p>
    <w:p>
      <w:pPr>
        <w:pStyle w:val="BodyText"/>
        <w:spacing w:line="240" w:lineRule="auto"/>
        <w:ind w:left="501" w:right="939"/>
        <w:jc w:val="left"/>
      </w:pPr>
      <w:r>
        <w:rPr/>
        <w:t>②相关经济利益很可能流入公司；</w:t>
      </w:r>
    </w:p>
    <w:p>
      <w:pPr>
        <w:spacing w:line="240" w:lineRule="auto" w:before="4"/>
        <w:rPr>
          <w:rFonts w:ascii="宋体" w:hAnsi="宋体" w:cs="宋体" w:eastAsia="宋体" w:hint="default"/>
          <w:sz w:val="15"/>
          <w:szCs w:val="15"/>
        </w:rPr>
      </w:pPr>
    </w:p>
    <w:p>
      <w:pPr>
        <w:pStyle w:val="BodyText"/>
        <w:spacing w:line="240" w:lineRule="auto"/>
        <w:ind w:left="501" w:right="939"/>
        <w:jc w:val="left"/>
      </w:pPr>
      <w:r>
        <w:rPr/>
        <w:t>③交易的完工进度能够可靠地确定；</w:t>
      </w:r>
    </w:p>
    <w:p>
      <w:pPr>
        <w:spacing w:line="240" w:lineRule="auto" w:before="3"/>
        <w:rPr>
          <w:rFonts w:ascii="宋体" w:hAnsi="宋体" w:cs="宋体" w:eastAsia="宋体" w:hint="default"/>
          <w:sz w:val="15"/>
          <w:szCs w:val="15"/>
        </w:rPr>
      </w:pPr>
    </w:p>
    <w:p>
      <w:pPr>
        <w:pStyle w:val="BodyText"/>
        <w:spacing w:line="240" w:lineRule="auto"/>
        <w:ind w:left="501" w:right="939"/>
        <w:jc w:val="left"/>
      </w:pPr>
      <w:r>
        <w:rPr/>
        <w:t>④交易已发生和将发生的成本能够可靠计量。</w:t>
      </w:r>
    </w:p>
    <w:p>
      <w:pPr>
        <w:spacing w:line="240" w:lineRule="auto" w:before="4"/>
        <w:rPr>
          <w:rFonts w:ascii="宋体" w:hAnsi="宋体" w:cs="宋体" w:eastAsia="宋体" w:hint="default"/>
          <w:sz w:val="15"/>
          <w:szCs w:val="15"/>
        </w:rPr>
      </w:pPr>
    </w:p>
    <w:p>
      <w:pPr>
        <w:pStyle w:val="BodyText"/>
        <w:spacing w:line="427" w:lineRule="auto"/>
        <w:ind w:left="501" w:right="939"/>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）让渡资产使用权</w:t>
      </w:r>
      <w:r>
        <w:rPr>
          <w:rFonts w:ascii="宋体" w:hAnsi="宋体" w:cs="宋体" w:eastAsia="宋体" w:hint="default"/>
          <w:b/>
          <w:bCs/>
          <w:spacing w:val="-84"/>
        </w:rPr>
        <w:t> </w:t>
      </w:r>
      <w:r>
        <w:rPr>
          <w:rFonts w:ascii="宋体" w:hAnsi="宋体" w:cs="宋体" w:eastAsia="宋体" w:hint="default"/>
          <w:b/>
          <w:bCs/>
          <w:spacing w:val="-84"/>
        </w:rPr>
      </w:r>
      <w:r>
        <w:rPr/>
        <w:t>本公司在与让渡资产使用权相关的经济利益能够流入和收入的金额能够可靠的计量时确认让渡资产使用权收入。</w:t>
      </w:r>
    </w:p>
    <w:p>
      <w:pPr>
        <w:pStyle w:val="BodyText"/>
        <w:spacing w:line="321" w:lineRule="auto" w:before="59"/>
        <w:ind w:right="1133" w:firstLine="360"/>
        <w:jc w:val="left"/>
      </w:pPr>
      <w:r>
        <w:rPr>
          <w:spacing w:val="-2"/>
        </w:rPr>
        <w:t>利息收入按使用货币资金的使用时间和适用利率计算确定。使用费收入金额，按照有关合同或协议约定的收费时间和方</w:t>
      </w:r>
      <w:r>
        <w:rPr/>
        <w:t> 法计算确定。</w:t>
      </w:r>
    </w:p>
    <w:p>
      <w:pPr>
        <w:pStyle w:val="Heading5"/>
        <w:spacing w:line="240" w:lineRule="auto" w:before="139"/>
        <w:ind w:right="939"/>
        <w:jc w:val="left"/>
        <w:rPr>
          <w:b w:val="0"/>
          <w:bCs w:val="0"/>
        </w:rPr>
      </w:pPr>
      <w:r>
        <w:rPr/>
        <w:t>（</w:t>
      </w:r>
      <w:r>
        <w:rPr>
          <w:rFonts w:ascii="宋体" w:hAnsi="宋体" w:cs="宋体" w:eastAsia="宋体" w:hint="default"/>
        </w:rPr>
        <w:t>4</w:t>
      </w:r>
      <w:r>
        <w:rPr/>
        <w:t>）按各收入类别的具体确认原则及方法如下：</w:t>
      </w:r>
      <w:r>
        <w:rPr>
          <w:b w:val="0"/>
          <w:bCs w:val="0"/>
        </w:rPr>
      </w:r>
    </w:p>
    <w:p>
      <w:pPr>
        <w:pStyle w:val="BodyText"/>
        <w:spacing w:line="420" w:lineRule="atLeast" w:before="15"/>
        <w:ind w:left="501" w:right="1029"/>
        <w:jc w:val="left"/>
      </w:pPr>
      <w:r>
        <w:rPr/>
        <w:t>①软件开发收入的确认原则及方法 软件开发收入是指接受客户委托，根据客户的需要，对应用软件技术进行研究开发，由此开发出来的软件为定制软件、</w:t>
      </w:r>
    </w:p>
    <w:p>
      <w:pPr>
        <w:pStyle w:val="BodyText"/>
        <w:spacing w:line="444" w:lineRule="auto" w:before="79"/>
        <w:ind w:left="501" w:right="6789" w:hanging="361"/>
        <w:jc w:val="left"/>
      </w:pPr>
      <w:r>
        <w:rPr/>
        <w:t>不具有通用性。 软件开发收入的确认原则及方法分为两大类：</w:t>
      </w:r>
    </w:p>
    <w:p>
      <w:pPr>
        <w:pStyle w:val="BodyText"/>
        <w:spacing w:line="240" w:lineRule="auto" w:before="47"/>
        <w:ind w:left="501" w:right="939"/>
        <w:jc w:val="left"/>
      </w:pPr>
      <w:r>
        <w:rPr>
          <w:rFonts w:ascii="宋体" w:hAnsi="宋体" w:cs="宋体" w:eastAsia="宋体" w:hint="default"/>
        </w:rPr>
        <w:t>A:</w:t>
      </w:r>
      <w:r>
        <w:rPr/>
        <w:t>根据合同按每月实际工作量（人</w:t>
      </w:r>
      <w:r>
        <w:rPr>
          <w:rFonts w:ascii="宋体" w:hAnsi="宋体" w:cs="宋体" w:eastAsia="宋体" w:hint="default"/>
        </w:rPr>
        <w:t>/</w:t>
      </w:r>
      <w:r>
        <w:rPr/>
        <w:t>天数）收费，经客户确认实际工作量后确认软件开发收入。</w:t>
      </w:r>
    </w:p>
    <w:p>
      <w:pPr>
        <w:spacing w:line="240" w:lineRule="auto" w:before="3"/>
        <w:rPr>
          <w:rFonts w:ascii="宋体" w:hAnsi="宋体" w:cs="宋体" w:eastAsia="宋体" w:hint="default"/>
          <w:sz w:val="15"/>
          <w:szCs w:val="15"/>
        </w:rPr>
      </w:pPr>
    </w:p>
    <w:p>
      <w:pPr>
        <w:pStyle w:val="BodyText"/>
        <w:spacing w:line="307" w:lineRule="auto"/>
        <w:ind w:right="939" w:firstLine="360"/>
        <w:jc w:val="left"/>
      </w:pPr>
      <w:r>
        <w:rPr>
          <w:rFonts w:ascii="宋体" w:hAnsi="宋体" w:cs="宋体" w:eastAsia="宋体" w:hint="default"/>
          <w:spacing w:val="-2"/>
        </w:rPr>
        <w:t>B:</w:t>
      </w:r>
      <w:r>
        <w:rPr>
          <w:spacing w:val="-2"/>
        </w:rPr>
        <w:t>公司软件开发业务按照合同约定提交软件开发成果并经客户验收后确认收入，该业务若存在分阶段多次验收情况，则</w:t>
      </w:r>
      <w:r>
        <w:rPr/>
        <w:t> 按该业务完成各阶段工作并经客户验收时，分别确认相应阶段工作成果的收入。</w:t>
      </w:r>
    </w:p>
    <w:p>
      <w:pPr>
        <w:pStyle w:val="BodyText"/>
        <w:spacing w:line="444" w:lineRule="auto" w:before="149"/>
        <w:ind w:left="501" w:right="4629"/>
        <w:jc w:val="left"/>
      </w:pPr>
      <w:r>
        <w:rPr/>
        <w:t>②维护服务收入的确认原则及方法 维护服务收入是指公司为客户提供专业的技术应用维护服务实现的收入。</w:t>
      </w:r>
    </w:p>
    <w:p>
      <w:pPr>
        <w:pStyle w:val="BodyText"/>
        <w:spacing w:line="240" w:lineRule="auto" w:before="47"/>
        <w:ind w:left="501" w:right="939"/>
        <w:jc w:val="left"/>
      </w:pPr>
      <w:r>
        <w:rPr/>
        <w:t>具体确认依据、时点和确认金额：每个报告期末按合同金额和已提供服务期间占合同期间的比例确定的金额确认收入。</w:t>
      </w:r>
    </w:p>
    <w:p>
      <w:pPr>
        <w:pStyle w:val="BodyText"/>
        <w:spacing w:line="420" w:lineRule="atLeast" w:before="15"/>
        <w:ind w:left="501" w:right="1133"/>
        <w:jc w:val="left"/>
      </w:pPr>
      <w:r>
        <w:rPr/>
        <w:t>③计算机信息系统集成收入的确认原则及方法 </w:t>
      </w:r>
      <w:r>
        <w:rPr>
          <w:spacing w:val="-2"/>
        </w:rPr>
        <w:t>计算机信息系统集成收入是指针对客户的集成需求制订集成解决方案，向客户提供构成集成化系统的第三方产品，如操</w:t>
      </w:r>
    </w:p>
    <w:p>
      <w:pPr>
        <w:pStyle w:val="BodyText"/>
        <w:spacing w:line="240" w:lineRule="auto" w:before="79"/>
        <w:ind w:right="939"/>
        <w:jc w:val="left"/>
      </w:pPr>
      <w:r>
        <w:rPr/>
        <w:t>作系统、数据库等系统软件以及服务器、网络设备等硬件。</w:t>
      </w:r>
    </w:p>
    <w:p>
      <w:pPr>
        <w:spacing w:line="240" w:lineRule="auto" w:before="4"/>
        <w:rPr>
          <w:rFonts w:ascii="宋体" w:hAnsi="宋体" w:cs="宋体" w:eastAsia="宋体" w:hint="default"/>
          <w:sz w:val="15"/>
          <w:szCs w:val="15"/>
        </w:rPr>
      </w:pPr>
    </w:p>
    <w:p>
      <w:pPr>
        <w:pStyle w:val="BodyText"/>
        <w:spacing w:line="321" w:lineRule="auto"/>
        <w:ind w:right="1133" w:firstLine="360"/>
        <w:jc w:val="left"/>
      </w:pPr>
      <w:r>
        <w:rPr>
          <w:spacing w:val="-2"/>
        </w:rPr>
        <w:t>具体确认原则及方法为：计算机信息系统集成业务以客户签收送货单为确认收入的依据。具体的确认时点为软硬件设备</w:t>
      </w:r>
      <w:r>
        <w:rPr/>
        <w:t> 交付客户指定地点及现场调试后，并取得客户签字确认的送货单，确认金额为对应的销售合同不含税金额。</w:t>
      </w:r>
    </w:p>
    <w:p>
      <w:pPr>
        <w:spacing w:line="240" w:lineRule="auto" w:before="13"/>
        <w:rPr>
          <w:rFonts w:ascii="宋体" w:hAnsi="宋体" w:cs="宋体" w:eastAsia="宋体" w:hint="default"/>
          <w:sz w:val="23"/>
          <w:szCs w:val="23"/>
        </w:rPr>
      </w:pPr>
    </w:p>
    <w:p>
      <w:pPr>
        <w:pStyle w:val="Heading3"/>
        <w:spacing w:line="240" w:lineRule="auto"/>
        <w:ind w:right="939"/>
        <w:jc w:val="left"/>
        <w:rPr>
          <w:b w:val="0"/>
          <w:bCs w:val="0"/>
        </w:rPr>
      </w:pPr>
      <w:bookmarkStart w:name="25、政府补助" w:id="206"/>
      <w:bookmarkEnd w:id="206"/>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1"/>
        <w:rPr>
          <w:rFonts w:ascii="宋体" w:hAnsi="宋体" w:cs="宋体" w:eastAsia="宋体" w:hint="default"/>
          <w:b/>
          <w:bCs/>
          <w:sz w:val="24"/>
          <w:szCs w:val="24"/>
        </w:rPr>
      </w:pPr>
    </w:p>
    <w:p>
      <w:pPr>
        <w:pStyle w:val="BodyText"/>
        <w:spacing w:line="444" w:lineRule="auto"/>
        <w:ind w:left="501" w:right="2469"/>
        <w:jc w:val="left"/>
      </w:pPr>
      <w:r>
        <w:rPr/>
        <w:t>政府补助是指公司从政府无偿取得货币性资产和非货币性资产，不包括政府作为所有者投入的资本。 本公司在能够满足政府补助所附条件且能够收到政府补助时确认政府补助。其中：</w:t>
      </w:r>
    </w:p>
    <w:p>
      <w:pPr>
        <w:pStyle w:val="BodyText"/>
        <w:spacing w:line="290" w:lineRule="auto" w:before="61"/>
        <w:ind w:right="1119" w:firstLine="360"/>
        <w:jc w:val="left"/>
      </w:pPr>
      <w:r>
        <w:rPr/>
        <w:t>（</w:t>
      </w:r>
      <w:r>
        <w:rPr>
          <w:rFonts w:ascii="Times New Roman" w:hAnsi="Times New Roman" w:cs="Times New Roman" w:eastAsia="Times New Roman" w:hint="default"/>
        </w:rPr>
        <w:t>1</w:t>
      </w:r>
      <w:r>
        <w:rPr/>
        <w:t>）政府补助为货币性资产的，按收到或应收的金额计量；政府补助为非货币性资产的，按公允价值计量，如公允价 值不能可靠取得，则按名义金额计量。</w:t>
      </w:r>
    </w:p>
    <w:p>
      <w:pPr>
        <w:spacing w:line="240" w:lineRule="auto" w:before="7"/>
        <w:rPr>
          <w:rFonts w:ascii="宋体" w:hAnsi="宋体" w:cs="宋体" w:eastAsia="宋体" w:hint="default"/>
          <w:sz w:val="13"/>
          <w:szCs w:val="13"/>
        </w:rPr>
      </w:pPr>
    </w:p>
    <w:p>
      <w:pPr>
        <w:pStyle w:val="BodyText"/>
        <w:spacing w:line="240" w:lineRule="auto"/>
        <w:ind w:left="501" w:right="939"/>
        <w:jc w:val="left"/>
      </w:pPr>
      <w:r>
        <w:rPr>
          <w:spacing w:val="-4"/>
        </w:rPr>
        <w:t>（</w:t>
      </w:r>
      <w:r>
        <w:rPr>
          <w:rFonts w:ascii="Times New Roman" w:hAnsi="Times New Roman" w:cs="Times New Roman" w:eastAsia="Times New Roman" w:hint="default"/>
          <w:spacing w:val="-4"/>
        </w:rPr>
        <w:t>2</w:t>
      </w:r>
      <w:r>
        <w:rPr>
          <w:spacing w:val="-4"/>
        </w:rPr>
        <w:t>）与资产相关的政府补助，冲减相关资产的账面价值或确认为递延收益。与资产相关的政府补助确认为递延收益的，</w:t>
      </w:r>
    </w:p>
    <w:p>
      <w:pPr>
        <w:spacing w:after="0" w:line="240" w:lineRule="auto"/>
        <w:jc w:val="left"/>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06"/>
        <w:jc w:val="both"/>
      </w:pPr>
      <w:r>
        <w:rPr>
          <w:spacing w:val="-2"/>
        </w:rPr>
        <w:t>在相关资产使用寿命内按照合理、系统的方法分期计入损益。按照名义金额计量的政府补助，直接计入当期损益。与收益相</w:t>
      </w:r>
      <w:r>
        <w:rPr>
          <w:spacing w:val="-42"/>
        </w:rPr>
        <w:t> </w:t>
      </w:r>
      <w:r>
        <w:rPr>
          <w:spacing w:val="-42"/>
        </w:rPr>
      </w:r>
      <w:r>
        <w:rPr>
          <w:spacing w:val="-2"/>
        </w:rPr>
        <w:t>关的政府补助，用于补偿以后期间的相关费用和损失的，确认为递延收益，并在确认相关费用的期间计入当期损益或冲减相</w:t>
      </w:r>
      <w:r>
        <w:rPr>
          <w:spacing w:val="-75"/>
        </w:rPr>
        <w:t> </w:t>
      </w:r>
      <w:r>
        <w:rPr>
          <w:spacing w:val="-75"/>
        </w:rPr>
      </w:r>
      <w:r>
        <w:rPr/>
        <w:t>关成本；用于补偿已经发生的相关费用和损失的，直接计入当期损益或冲减相关成本。</w:t>
      </w:r>
    </w:p>
    <w:p>
      <w:pPr>
        <w:pStyle w:val="BodyText"/>
        <w:spacing w:line="288" w:lineRule="auto" w:before="138"/>
        <w:ind w:right="1119" w:firstLine="360"/>
        <w:jc w:val="left"/>
      </w:pPr>
      <w:r>
        <w:rPr/>
        <w:t>（</w:t>
      </w:r>
      <w:r>
        <w:rPr>
          <w:rFonts w:ascii="Times New Roman" w:hAnsi="Times New Roman" w:cs="Times New Roman" w:eastAsia="Times New Roman" w:hint="default"/>
        </w:rPr>
        <w:t>3</w:t>
      </w:r>
      <w:r>
        <w:rPr/>
        <w:t>）与企业日常活动相关的政府补助，按照经济业务实质，计入其他收益或冲减相关成本费用。与企业日常活动无关 的政府补助，计入营业外收支。</w:t>
      </w:r>
    </w:p>
    <w:p>
      <w:pPr>
        <w:spacing w:line="240" w:lineRule="auto" w:before="9"/>
        <w:rPr>
          <w:rFonts w:ascii="宋体" w:hAnsi="宋体" w:cs="宋体" w:eastAsia="宋体" w:hint="default"/>
          <w:sz w:val="13"/>
          <w:szCs w:val="13"/>
        </w:rPr>
      </w:pPr>
    </w:p>
    <w:p>
      <w:pPr>
        <w:pStyle w:val="BodyText"/>
        <w:spacing w:line="304" w:lineRule="auto"/>
        <w:ind w:right="1119" w:firstLine="360"/>
        <w:jc w:val="left"/>
      </w:pPr>
      <w:r>
        <w:rPr/>
        <w:t>已确认的政府补助需要退回的，应当在需要退回的当期分情况按照以下规定进行会计处理：（</w:t>
      </w:r>
      <w:r>
        <w:rPr>
          <w:rFonts w:ascii="Times New Roman" w:hAnsi="Times New Roman" w:cs="Times New Roman" w:eastAsia="Times New Roman" w:hint="default"/>
        </w:rPr>
        <w:t>1</w:t>
      </w:r>
      <w:r>
        <w:rPr/>
        <w:t>）初始确认时冲减相关 资产账面价值的，调整资产账面价值；（</w:t>
      </w:r>
      <w:r>
        <w:rPr>
          <w:rFonts w:ascii="Times New Roman" w:hAnsi="Times New Roman" w:cs="Times New Roman" w:eastAsia="Times New Roman" w:hint="default"/>
        </w:rPr>
        <w:t>2</w:t>
      </w:r>
      <w:r>
        <w:rPr/>
        <w:t>）存在相关递延收益的，冲减相关递延收益账面余额，超出部分计入当期损益；</w:t>
      </w:r>
    </w:p>
    <w:p>
      <w:pPr>
        <w:pStyle w:val="BodyText"/>
        <w:spacing w:line="240" w:lineRule="auto" w:before="12"/>
        <w:ind w:right="0"/>
        <w:jc w:val="both"/>
      </w:pPr>
      <w:r>
        <w:rPr/>
        <w:t>（</w:t>
      </w:r>
      <w:r>
        <w:rPr>
          <w:rFonts w:ascii="Times New Roman" w:hAnsi="Times New Roman" w:cs="Times New Roman" w:eastAsia="Times New Roman" w:hint="default"/>
        </w:rPr>
        <w:t>3</w:t>
      </w:r>
      <w:r>
        <w:rPr/>
        <w:t>）属于其他情况的，直接计入当期损益。</w:t>
      </w:r>
    </w:p>
    <w:p>
      <w:pPr>
        <w:spacing w:line="240" w:lineRule="auto" w:before="4"/>
        <w:rPr>
          <w:rFonts w:ascii="宋体" w:hAnsi="宋体" w:cs="宋体" w:eastAsia="宋体" w:hint="default"/>
          <w:sz w:val="25"/>
          <w:szCs w:val="25"/>
        </w:rPr>
      </w:pPr>
    </w:p>
    <w:p>
      <w:pPr>
        <w:pStyle w:val="Heading3"/>
        <w:spacing w:line="240" w:lineRule="auto"/>
        <w:ind w:right="0"/>
        <w:jc w:val="both"/>
        <w:rPr>
          <w:b w:val="0"/>
          <w:bCs w:val="0"/>
        </w:rPr>
      </w:pPr>
      <w:bookmarkStart w:name="26、递延所得税资产/递延所得税负债" w:id="207"/>
      <w:bookmarkEnd w:id="207"/>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25" w:firstLine="360"/>
        <w:jc w:val="both"/>
      </w:pPr>
      <w:r>
        <w:rPr>
          <w:spacing w:val="-2"/>
        </w:rPr>
        <w:t>所得税费用的会计处理采用资产负债表债务法核算。资产负债表日，公司按照可抵扣暂时性差异与适用所得税税率计算</w:t>
      </w:r>
      <w:r>
        <w:rPr/>
        <w:t> </w:t>
      </w:r>
      <w:r>
        <w:rPr>
          <w:spacing w:val="-2"/>
        </w:rPr>
        <w:t>的结果，确认递延所得税资产及相应的递延所得税收益；按照应纳税暂时性差异与适用企业所得税税率计算的结果，确认递</w:t>
      </w:r>
      <w:r>
        <w:rPr>
          <w:spacing w:val="-64"/>
        </w:rPr>
        <w:t> </w:t>
      </w:r>
      <w:r>
        <w:rPr>
          <w:spacing w:val="-64"/>
        </w:rPr>
      </w:r>
      <w:r>
        <w:rPr/>
        <w:t>延所得税负债及相应的递延所得税费用。</w:t>
      </w:r>
    </w:p>
    <w:p>
      <w:pPr>
        <w:spacing w:line="420" w:lineRule="exact" w:before="13"/>
        <w:ind w:left="501" w:right="102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）递延所得税资产的确认</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公司以很可能取得用来抵扣可抵扣暂时性差异的应纳税所得额为限，确认由可抵扣暂时性差异产生的递延所得税资产。</w:t>
      </w:r>
    </w:p>
    <w:p>
      <w:pPr>
        <w:pStyle w:val="BodyText"/>
        <w:spacing w:line="321" w:lineRule="auto" w:before="20"/>
        <w:ind w:right="1110"/>
        <w:jc w:val="both"/>
      </w:pPr>
      <w:r>
        <w:rPr>
          <w:spacing w:val="-2"/>
        </w:rPr>
        <w:t>但是同时具有下列特征的交易中因资产或负债的初始确认所产生的递延所得税资产会计处理采用资产负债表债务法核算。资</w:t>
      </w:r>
      <w:r>
        <w:rPr>
          <w:spacing w:val="-58"/>
        </w:rPr>
        <w:t> </w:t>
      </w:r>
      <w:r>
        <w:rPr>
          <w:spacing w:val="-58"/>
        </w:rPr>
      </w:r>
      <w:r>
        <w:rPr>
          <w:spacing w:val="-2"/>
        </w:rPr>
        <w:t>产负债表日，公司按照可抵扣暂时性差异与适用所得税税率计算的结果产不予确认：</w:t>
      </w:r>
      <w:r>
        <w:rPr>
          <w:rFonts w:ascii="宋体" w:hAnsi="宋体" w:cs="宋体" w:eastAsia="宋体" w:hint="default"/>
          <w:spacing w:val="-2"/>
        </w:rPr>
        <w:t>A</w:t>
      </w:r>
      <w:r>
        <w:rPr>
          <w:spacing w:val="-2"/>
        </w:rPr>
        <w:t>：该项交易不是企业合并；</w:t>
      </w:r>
      <w:r>
        <w:rPr>
          <w:rFonts w:ascii="宋体" w:hAnsi="宋体" w:cs="宋体" w:eastAsia="宋体" w:hint="default"/>
          <w:spacing w:val="-2"/>
        </w:rPr>
        <w:t>B</w:t>
      </w:r>
      <w:r>
        <w:rPr>
          <w:spacing w:val="-2"/>
        </w:rPr>
        <w:t>：交易发</w:t>
      </w:r>
      <w:r>
        <w:rPr>
          <w:spacing w:val="-45"/>
        </w:rPr>
        <w:t> </w:t>
      </w:r>
      <w:r>
        <w:rPr>
          <w:spacing w:val="-45"/>
        </w:rPr>
      </w:r>
      <w:r>
        <w:rPr/>
        <w:t>生时既不影响会计利润也不影响应纳税所得额（或可抵扣亏损）。</w:t>
      </w:r>
    </w:p>
    <w:p>
      <w:pPr>
        <w:pStyle w:val="BodyText"/>
        <w:spacing w:line="307" w:lineRule="auto" w:before="138"/>
        <w:ind w:right="939" w:firstLine="360"/>
        <w:jc w:val="left"/>
      </w:pPr>
      <w:r>
        <w:rPr>
          <w:spacing w:val="-2"/>
        </w:rPr>
        <w:t>公司对与子公司、联营公司及合营企业投资相关的可抵扣暂时性差异，同时满足下列条件的，确认相应的递延所得税资</w:t>
      </w:r>
      <w:r>
        <w:rPr/>
        <w:t> 产：暂时性差异在可预见的未来很可能转回；未来很可能获得用来抵扣暂时性差异的应纳税所得额。</w:t>
      </w:r>
    </w:p>
    <w:p>
      <w:pPr>
        <w:pStyle w:val="BodyText"/>
        <w:spacing w:line="321" w:lineRule="auto" w:before="149"/>
        <w:ind w:right="939" w:firstLine="360"/>
        <w:jc w:val="left"/>
      </w:pPr>
      <w:r>
        <w:rPr>
          <w:spacing w:val="-2"/>
        </w:rPr>
        <w:t>公司对于能够结转以后年度的可抵扣亏损和税款抵减，以很可能获得用来抵扣可抵扣亏损和税款抵减的未来应纳税所得</w:t>
      </w:r>
      <w:r>
        <w:rPr/>
        <w:t> 额为限，确认相应的递延所得税资产。</w:t>
      </w:r>
    </w:p>
    <w:p>
      <w:pPr>
        <w:spacing w:line="444" w:lineRule="auto" w:before="138"/>
        <w:ind w:left="501" w:right="2469"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）递延所得税负债的确认</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除下列情况产生的递延所得税负债以外，本公司确认所有应纳税暂时性差异产生的递延所得税负债：</w:t>
      </w:r>
    </w:p>
    <w:p>
      <w:pPr>
        <w:pStyle w:val="BodyText"/>
        <w:spacing w:line="240" w:lineRule="auto" w:before="31"/>
        <w:ind w:left="501" w:right="939"/>
        <w:jc w:val="left"/>
      </w:pPr>
      <w:r>
        <w:rPr/>
        <w:t>①商誉的初始确认；</w:t>
      </w:r>
    </w:p>
    <w:p>
      <w:pPr>
        <w:spacing w:line="240" w:lineRule="auto" w:before="4"/>
        <w:rPr>
          <w:rFonts w:ascii="宋体" w:hAnsi="宋体" w:cs="宋体" w:eastAsia="宋体" w:hint="default"/>
          <w:sz w:val="15"/>
          <w:szCs w:val="15"/>
        </w:rPr>
      </w:pPr>
    </w:p>
    <w:p>
      <w:pPr>
        <w:pStyle w:val="BodyText"/>
        <w:spacing w:line="444" w:lineRule="auto"/>
        <w:ind w:left="501" w:right="5169"/>
        <w:jc w:val="left"/>
      </w:pPr>
      <w:r>
        <w:rPr/>
        <w:t>②同时满足具有下列特征的交易中产生的资产或负债的初始确认： </w:t>
      </w:r>
      <w:r>
        <w:rPr>
          <w:rFonts w:ascii="宋体" w:hAnsi="宋体" w:cs="宋体" w:eastAsia="宋体" w:hint="default"/>
        </w:rPr>
        <w:t>A </w:t>
      </w:r>
      <w:r>
        <w:rPr/>
        <w:t>该项交易不是企业合并；</w:t>
      </w:r>
    </w:p>
    <w:p>
      <w:pPr>
        <w:pStyle w:val="BodyText"/>
        <w:spacing w:line="240" w:lineRule="auto" w:before="47"/>
        <w:ind w:left="501" w:right="939"/>
        <w:jc w:val="left"/>
      </w:pPr>
      <w:r>
        <w:rPr>
          <w:rFonts w:ascii="宋体" w:hAnsi="宋体" w:cs="宋体" w:eastAsia="宋体" w:hint="default"/>
        </w:rPr>
        <w:t>B </w:t>
      </w:r>
      <w:r>
        <w:rPr/>
        <w:t>交易发生时既不影响会计利润也不影响应纳税所得额（或可抵扣亏损）。</w:t>
      </w:r>
    </w:p>
    <w:p>
      <w:pPr>
        <w:spacing w:line="240" w:lineRule="auto" w:before="4"/>
        <w:rPr>
          <w:rFonts w:ascii="宋体" w:hAnsi="宋体" w:cs="宋体" w:eastAsia="宋体" w:hint="default"/>
          <w:sz w:val="15"/>
          <w:szCs w:val="15"/>
        </w:rPr>
      </w:pPr>
    </w:p>
    <w:p>
      <w:pPr>
        <w:pStyle w:val="BodyText"/>
        <w:spacing w:line="439" w:lineRule="auto"/>
        <w:ind w:left="501" w:right="3909"/>
        <w:jc w:val="left"/>
      </w:pPr>
      <w:r>
        <w:rPr/>
        <w:t>③与子公司、联营企业、合营企业投资等相关的应纳税暂时性差异，一般应确认相 关的递延所得税负债，但同时满足以下两个条件的除外： </w:t>
      </w:r>
      <w:r>
        <w:rPr>
          <w:rFonts w:ascii="宋体" w:hAnsi="宋体" w:cs="宋体" w:eastAsia="宋体" w:hint="default"/>
        </w:rPr>
        <w:t>A</w:t>
      </w:r>
      <w:r>
        <w:rPr/>
        <w:t>投资企业能够控制暂时性差异的转回的时间； </w:t>
      </w:r>
      <w:r>
        <w:rPr>
          <w:rFonts w:ascii="宋体" w:hAnsi="宋体" w:cs="宋体" w:eastAsia="宋体" w:hint="default"/>
        </w:rPr>
        <w:t>B</w:t>
      </w:r>
      <w:r>
        <w:rPr/>
        <w:t>该暂时性差异在可预见的未来很可能不会转回。</w:t>
      </w:r>
    </w:p>
    <w:p>
      <w:pPr>
        <w:pStyle w:val="Heading5"/>
        <w:spacing w:line="240" w:lineRule="auto" w:before="50"/>
        <w:ind w:right="939"/>
        <w:jc w:val="left"/>
        <w:rPr>
          <w:b w:val="0"/>
          <w:bCs w:val="0"/>
        </w:rPr>
      </w:pPr>
      <w:r>
        <w:rPr/>
        <w:t>（</w:t>
      </w:r>
      <w:r>
        <w:rPr>
          <w:rFonts w:ascii="宋体" w:hAnsi="宋体" w:cs="宋体" w:eastAsia="宋体" w:hint="default"/>
        </w:rPr>
        <w:t>3</w:t>
      </w:r>
      <w:r>
        <w:rPr/>
        <w:t>）所得税费用计量</w:t>
      </w:r>
      <w:r>
        <w:rPr>
          <w:b w:val="0"/>
          <w:bCs w:val="0"/>
        </w:rPr>
      </w:r>
    </w:p>
    <w:p>
      <w:pPr>
        <w:spacing w:line="240" w:lineRule="auto" w:before="3"/>
        <w:rPr>
          <w:rFonts w:ascii="宋体" w:hAnsi="宋体" w:cs="宋体" w:eastAsia="宋体" w:hint="default"/>
          <w:b/>
          <w:bCs/>
          <w:sz w:val="15"/>
          <w:szCs w:val="15"/>
        </w:rPr>
      </w:pPr>
    </w:p>
    <w:p>
      <w:pPr>
        <w:pStyle w:val="BodyText"/>
        <w:spacing w:line="307" w:lineRule="auto"/>
        <w:ind w:right="939" w:firstLine="360"/>
        <w:jc w:val="left"/>
      </w:pPr>
      <w:r>
        <w:rPr>
          <w:spacing w:val="-4"/>
        </w:rPr>
        <w:t>公司将当期所得税和递延所得税作为所得税费用或收益计入当期损益，但不包括下列情况产生的所得税：</w:t>
      </w:r>
      <w:r>
        <w:rPr>
          <w:rFonts w:ascii="宋体" w:hAnsi="宋体" w:cs="宋体" w:eastAsia="宋体" w:hint="default"/>
          <w:spacing w:val="-4"/>
        </w:rPr>
        <w:t>A</w:t>
      </w:r>
      <w:r>
        <w:rPr>
          <w:spacing w:val="-4"/>
        </w:rPr>
        <w:t>：企业合并；</w:t>
      </w:r>
      <w:r>
        <w:rPr/>
        <w:t> </w:t>
      </w:r>
      <w:r>
        <w:rPr>
          <w:rFonts w:ascii="宋体" w:hAnsi="宋体" w:cs="宋体" w:eastAsia="宋体" w:hint="default"/>
        </w:rPr>
        <w:t>B</w:t>
      </w:r>
      <w:r>
        <w:rPr/>
        <w:t>：直接在所有者权益中确认的交易或事项。</w:t>
      </w:r>
    </w:p>
    <w:p>
      <w:pPr>
        <w:spacing w:after="0" w:line="307" w:lineRule="auto"/>
        <w:jc w:val="left"/>
        <w:sectPr>
          <w:pgSz w:w="11910" w:h="16850"/>
          <w:pgMar w:header="866"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939"/>
        <w:jc w:val="left"/>
        <w:rPr>
          <w:b w:val="0"/>
          <w:bCs w:val="0"/>
        </w:rPr>
      </w:pPr>
      <w:bookmarkStart w:name="27、租赁" w:id="208"/>
      <w:bookmarkEnd w:id="208"/>
      <w:r>
        <w:rPr>
          <w:b w:val="0"/>
          <w:bCs w:val="0"/>
        </w:rPr>
      </w:r>
      <w:r>
        <w:rPr>
          <w:rFonts w:ascii="Times New Roman" w:hAnsi="Times New Roman" w:cs="Times New Roman" w:eastAsia="Times New Roman" w:hint="default"/>
        </w:rPr>
        <w:t>27</w:t>
      </w:r>
      <w:r>
        <w:rPr/>
        <w:t>、租赁</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03" w:firstLine="360"/>
        <w:jc w:val="both"/>
      </w:pPr>
      <w:r>
        <w:rPr>
          <w:spacing w:val="-2"/>
        </w:rPr>
        <w:t>对于经营租赁的租金，出租人、承租人在租赁期内各个期间按照直线法确认为当期损益。出租人、承租人发生的初始直</w:t>
      </w:r>
      <w:r>
        <w:rPr/>
        <w:t> 接费用，计入当期损益。或有租金在实际发生时计入当期损益。</w:t>
      </w:r>
    </w:p>
    <w:p>
      <w:pPr>
        <w:spacing w:line="240" w:lineRule="auto" w:before="11"/>
        <w:rPr>
          <w:rFonts w:ascii="宋体" w:hAnsi="宋体" w:cs="宋体" w:eastAsia="宋体" w:hint="default"/>
          <w:sz w:val="22"/>
          <w:szCs w:val="22"/>
        </w:rPr>
      </w:pPr>
    </w:p>
    <w:p>
      <w:pPr>
        <w:pStyle w:val="Heading3"/>
        <w:spacing w:line="240" w:lineRule="auto"/>
        <w:ind w:right="939"/>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1046" w:firstLine="360"/>
        <w:jc w:val="both"/>
      </w:pPr>
      <w:r>
        <w:rPr>
          <w:spacing w:val="-2"/>
        </w:rPr>
        <w:t>承租人的会计处理：在租赁期开始日，将租赁开始日租赁资产公允价值与最低租赁付款额现值两者中较低者作为租入资</w:t>
      </w:r>
      <w:r>
        <w:rPr/>
        <w:t> </w:t>
      </w:r>
      <w:r>
        <w:rPr>
          <w:spacing w:val="-2"/>
        </w:rPr>
        <w:t>产的入账价值，将最低租赁付款额作为长期应付款的入账价值，其差额作为未确认融资费用。在租赁谈判和签订租赁合同过</w:t>
      </w:r>
      <w:r>
        <w:rPr>
          <w:spacing w:val="-75"/>
        </w:rPr>
        <w:t> </w:t>
      </w:r>
      <w:r>
        <w:rPr>
          <w:spacing w:val="-75"/>
        </w:rPr>
      </w:r>
      <w:r>
        <w:rPr>
          <w:spacing w:val="-2"/>
        </w:rPr>
        <w:t>程中发生的，可归属于租赁项目的手续费、律师费、差旅费、印花税等初始直接费用（下同），计入租入资产价值。在计算</w:t>
      </w:r>
      <w:r>
        <w:rPr>
          <w:spacing w:val="-73"/>
        </w:rPr>
        <w:t> </w:t>
      </w:r>
      <w:r>
        <w:rPr>
          <w:spacing w:val="-73"/>
        </w:rPr>
      </w:r>
      <w:r>
        <w:rPr>
          <w:spacing w:val="-2"/>
        </w:rPr>
        <w:t>最低租赁付款额的现值时，能够取得出租人租赁内含利率的，采用租赁内含利率作为折现率；否则，采用租赁合同规定的利</w:t>
      </w:r>
      <w:r>
        <w:rPr>
          <w:spacing w:val="-42"/>
        </w:rPr>
        <w:t> </w:t>
      </w:r>
      <w:r>
        <w:rPr>
          <w:spacing w:val="-42"/>
        </w:rPr>
      </w:r>
      <w:r>
        <w:rPr>
          <w:spacing w:val="-2"/>
        </w:rPr>
        <w:t>率作为折现率。无法取得出租人的租赁内含利率且租赁合同没有规定利率的，采用同期银行贷款利率作为折现率。未确认融</w:t>
      </w:r>
      <w:r>
        <w:rPr>
          <w:spacing w:val="-66"/>
        </w:rPr>
        <w:t> </w:t>
      </w:r>
      <w:r>
        <w:rPr>
          <w:spacing w:val="-66"/>
        </w:rPr>
      </w:r>
      <w:r>
        <w:rPr>
          <w:spacing w:val="-2"/>
        </w:rPr>
        <w:t>资费用在租赁期内按照实际利率法计算确认当期的融资费用。本公司采用与自有固定资产相一致的折旧政策计提租赁资产折</w:t>
      </w:r>
      <w:r>
        <w:rPr>
          <w:spacing w:val="-58"/>
        </w:rPr>
        <w:t> </w:t>
      </w:r>
      <w:r>
        <w:rPr>
          <w:spacing w:val="-58"/>
        </w:rPr>
      </w:r>
      <w:r>
        <w:rPr>
          <w:spacing w:val="-2"/>
        </w:rPr>
        <w:t>旧。能够合理确定租赁期届满时取得租赁资产所有权的，在租赁资产使用寿命内计提折旧。无法合理确定租赁期届满时能够</w:t>
      </w:r>
      <w:r>
        <w:rPr>
          <w:spacing w:val="-75"/>
        </w:rPr>
        <w:t> </w:t>
      </w:r>
      <w:r>
        <w:rPr>
          <w:spacing w:val="-75"/>
        </w:rPr>
      </w:r>
      <w:r>
        <w:rPr>
          <w:spacing w:val="-4"/>
        </w:rPr>
        <w:t>取得租赁资产所有权的，在租赁期与租赁资产使用寿命两者中较短的期间内计提折旧。或有租金在实际发生时计入当期损益。</w:t>
      </w:r>
    </w:p>
    <w:p>
      <w:pPr>
        <w:pStyle w:val="BodyText"/>
        <w:spacing w:line="314" w:lineRule="auto" w:before="140"/>
        <w:ind w:right="1130" w:firstLine="360"/>
        <w:jc w:val="both"/>
      </w:pPr>
      <w:r>
        <w:rPr>
          <w:spacing w:val="-2"/>
        </w:rPr>
        <w:t>出租人的会计处理：在租赁期开始日，出租人将租赁开始日最低租赁收款额与初始直接费用之和作为应收融资租赁款的</w:t>
      </w:r>
      <w:r>
        <w:rPr/>
        <w:t> </w:t>
      </w:r>
      <w:r>
        <w:rPr>
          <w:spacing w:val="-2"/>
        </w:rPr>
        <w:t>入账价值，同时记录未担保余值；将最低租赁收款额、初始直接费用及未担保余值之和与其现值之和的差额确认为未实现融</w:t>
      </w:r>
      <w:r>
        <w:rPr>
          <w:spacing w:val="-69"/>
        </w:rPr>
        <w:t> </w:t>
      </w:r>
      <w:r>
        <w:rPr>
          <w:spacing w:val="-69"/>
        </w:rPr>
      </w:r>
      <w:r>
        <w:rPr/>
        <w:t>资收益。未实现融资收益在租赁期内按照实际利率法计算确认当期的融资收入。或有租金在实际发生时计入当期损益。</w:t>
      </w:r>
    </w:p>
    <w:p>
      <w:pPr>
        <w:spacing w:line="240" w:lineRule="auto" w:before="5"/>
        <w:rPr>
          <w:rFonts w:ascii="宋体" w:hAnsi="宋体" w:cs="宋体" w:eastAsia="宋体" w:hint="default"/>
          <w:sz w:val="24"/>
          <w:szCs w:val="24"/>
        </w:rPr>
      </w:pPr>
    </w:p>
    <w:p>
      <w:pPr>
        <w:pStyle w:val="Heading3"/>
        <w:spacing w:line="240" w:lineRule="auto"/>
        <w:ind w:right="939"/>
        <w:jc w:val="left"/>
        <w:rPr>
          <w:b w:val="0"/>
          <w:bCs w:val="0"/>
        </w:rPr>
      </w:pPr>
      <w:bookmarkStart w:name="28、其他重要的会计政策和会计估计" w:id="211"/>
      <w:bookmarkEnd w:id="211"/>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98"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年，财政部颁布了修订的《企业会</w:t>
            </w:r>
          </w:p>
          <w:p>
            <w:pPr>
              <w:pStyle w:val="TableParagraph"/>
              <w:spacing w:line="304" w:lineRule="auto" w:before="51"/>
              <w:ind w:left="15" w:right="43"/>
              <w:jc w:val="left"/>
              <w:rPr>
                <w:rFonts w:ascii="宋体" w:hAnsi="宋体" w:cs="宋体" w:eastAsia="宋体" w:hint="default"/>
                <w:sz w:val="18"/>
                <w:szCs w:val="18"/>
              </w:rPr>
            </w:pPr>
            <w:r>
              <w:rPr>
                <w:rFonts w:ascii="宋体" w:hAnsi="宋体" w:cs="宋体" w:eastAsia="宋体" w:hint="default"/>
                <w:sz w:val="18"/>
                <w:szCs w:val="18"/>
              </w:rPr>
              <w:t>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 </w:t>
            </w:r>
            <w:r>
              <w:rPr>
                <w:rFonts w:ascii="宋体" w:hAnsi="宋体" w:cs="宋体" w:eastAsia="宋体" w:hint="default"/>
                <w:spacing w:val="-20"/>
                <w:sz w:val="18"/>
                <w:szCs w:val="18"/>
              </w:rPr>
              <w:t>量》、《企业会计准</w:t>
            </w:r>
            <w:r>
              <w:rPr>
                <w:rFonts w:ascii="宋体" w:hAnsi="宋体" w:cs="宋体" w:eastAsia="宋体" w:hint="default"/>
                <w:sz w:val="18"/>
                <w:szCs w:val="18"/>
              </w:rPr>
              <w:t> 则第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 </w:t>
            </w:r>
            <w:r>
              <w:rPr>
                <w:rFonts w:ascii="宋体" w:hAnsi="宋体" w:cs="宋体" w:eastAsia="宋体" w:hint="default"/>
                <w:spacing w:val="-17"/>
                <w:sz w:val="18"/>
                <w:szCs w:val="18"/>
              </w:rPr>
              <w:t>产转移》、《企业会计准</w:t>
            </w:r>
            <w:r>
              <w:rPr>
                <w:rFonts w:ascii="宋体" w:hAnsi="宋体" w:cs="宋体" w:eastAsia="宋体" w:hint="default"/>
                <w:sz w:val="18"/>
                <w:szCs w:val="18"/>
              </w:rPr>
              <w:t> 则第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 </w:t>
            </w:r>
            <w:r>
              <w:rPr>
                <w:rFonts w:ascii="宋体" w:hAnsi="宋体" w:cs="宋体" w:eastAsia="宋体" w:hint="default"/>
                <w:spacing w:val="-3"/>
                <w:sz w:val="18"/>
                <w:szCs w:val="18"/>
              </w:rPr>
              <w:t>期保值》以及《企业会计准则 </w:t>
            </w:r>
            <w:r>
              <w:rPr>
                <w:rFonts w:ascii="宋体" w:hAnsi="宋体" w:cs="宋体" w:eastAsia="宋体" w:hint="default"/>
                <w:sz w:val="18"/>
                <w:szCs w:val="18"/>
              </w:rPr>
              <w:t>第 </w:t>
            </w:r>
            <w:r>
              <w:rPr>
                <w:rFonts w:ascii="Times New Roman" w:hAnsi="Times New Roman" w:cs="Times New Roman" w:eastAsia="Times New Roman" w:hint="default"/>
                <w:sz w:val="18"/>
                <w:szCs w:val="18"/>
              </w:rPr>
              <w:t>37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p>
          <w:p>
            <w:pPr>
              <w:pStyle w:val="TableParagraph"/>
              <w:spacing w:line="304" w:lineRule="auto"/>
              <w:ind w:left="15" w:right="77"/>
              <w:jc w:val="both"/>
              <w:rPr>
                <w:rFonts w:ascii="宋体" w:hAnsi="宋体" w:cs="宋体" w:eastAsia="宋体" w:hint="default"/>
                <w:sz w:val="18"/>
                <w:szCs w:val="18"/>
              </w:rPr>
            </w:pP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金融工具列报》，并要求境内上市的企</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业自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日起施行新金融</w:t>
            </w:r>
            <w:r>
              <w:rPr>
                <w:rFonts w:ascii="宋体" w:hAnsi="宋体" w:cs="宋体" w:eastAsia="宋体" w:hint="default"/>
                <w:w w:val="99"/>
                <w:sz w:val="18"/>
                <w:szCs w:val="18"/>
              </w:rPr>
              <w:t> </w:t>
            </w:r>
            <w:r>
              <w:rPr>
                <w:rFonts w:ascii="宋体" w:hAnsi="宋体" w:cs="宋体" w:eastAsia="宋体" w:hint="default"/>
                <w:sz w:val="18"/>
                <w:szCs w:val="18"/>
              </w:rPr>
              <w:t>工具相关会计准则。本公司自规定之日</w:t>
            </w:r>
            <w:r>
              <w:rPr>
                <w:rFonts w:ascii="宋体" w:hAnsi="宋体" w:cs="宋体" w:eastAsia="宋体" w:hint="default"/>
                <w:w w:val="99"/>
                <w:sz w:val="18"/>
                <w:szCs w:val="18"/>
              </w:rPr>
              <w:t> </w:t>
            </w:r>
            <w:r>
              <w:rPr>
                <w:rFonts w:ascii="宋体" w:hAnsi="宋体" w:cs="宋体" w:eastAsia="宋体" w:hint="default"/>
                <w:sz w:val="18"/>
                <w:szCs w:val="18"/>
              </w:rPr>
              <w:t>起开始执行。</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已经董事会审议批准</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详见其他说明①</w:t>
            </w:r>
          </w:p>
        </w:tc>
      </w:tr>
    </w:tbl>
    <w:p>
      <w:pPr>
        <w:spacing w:after="0" w:line="240" w:lineRule="auto"/>
        <w:jc w:val="left"/>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2582"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月发布的《关于</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年度一般企业财务报表格</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式的通知</w:t>
            </w:r>
            <w:r>
              <w:rPr>
                <w:rFonts w:ascii="宋体" w:hAnsi="宋体" w:cs="宋体" w:eastAsia="宋体" w:hint="default"/>
                <w:spacing w:val="-150"/>
                <w:sz w:val="18"/>
                <w:szCs w:val="18"/>
              </w:rPr>
              <w:t>》</w:t>
            </w:r>
            <w:r>
              <w:rPr>
                <w:rFonts w:ascii="宋体" w:hAnsi="宋体" w:cs="宋体" w:eastAsia="宋体" w:hint="default"/>
                <w:sz w:val="18"/>
                <w:szCs w:val="18"/>
              </w:rPr>
              <w:t>（财</w:t>
            </w:r>
            <w:r>
              <w:rPr>
                <w:rFonts w:ascii="宋体" w:hAnsi="宋体" w:cs="宋体" w:eastAsia="宋体" w:hint="default"/>
                <w:spacing w:val="1"/>
                <w:sz w:val="18"/>
                <w:szCs w:val="18"/>
              </w:rPr>
              <w:t>会</w:t>
            </w:r>
            <w:r>
              <w:rPr>
                <w:rFonts w:ascii="Times New Roman" w:hAnsi="Times New Roman" w:cs="Times New Roman" w:eastAsia="Times New Roman" w:hint="default"/>
                <w:sz w:val="18"/>
                <w:szCs w:val="18"/>
              </w:rPr>
              <w:t>[2019]6 </w:t>
            </w:r>
            <w:r>
              <w:rPr>
                <w:rFonts w:ascii="宋体" w:hAnsi="宋体" w:cs="宋体" w:eastAsia="宋体" w:hint="default"/>
                <w:sz w:val="18"/>
                <w:szCs w:val="18"/>
              </w:rPr>
              <w:t>号</w:t>
            </w:r>
            <w:r>
              <w:rPr>
                <w:rFonts w:ascii="宋体" w:hAnsi="宋体" w:cs="宋体" w:eastAsia="宋体" w:hint="default"/>
                <w:spacing w:val="-60"/>
                <w:sz w:val="18"/>
                <w:szCs w:val="18"/>
              </w:rPr>
              <w:t>）</w:t>
            </w:r>
            <w:r>
              <w:rPr>
                <w:rFonts w:ascii="宋体" w:hAnsi="宋体" w:cs="宋体" w:eastAsia="宋体" w:hint="default"/>
                <w:sz w:val="18"/>
                <w:szCs w:val="18"/>
              </w:rPr>
              <w:t>文件和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00" w:lineRule="auto" w:before="66"/>
              <w:ind w:left="15" w:right="3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月发布的《关于修订印发合并财务 报表格式（</w:t>
            </w:r>
            <w:r>
              <w:rPr>
                <w:rFonts w:ascii="Times New Roman" w:hAnsi="Times New Roman" w:cs="Times New Roman" w:eastAsia="Times New Roman" w:hint="default"/>
                <w:sz w:val="18"/>
                <w:szCs w:val="18"/>
              </w:rPr>
              <w:t>2019 </w:t>
            </w:r>
            <w:r>
              <w:rPr>
                <w:rFonts w:ascii="宋体" w:hAnsi="宋体" w:cs="宋体" w:eastAsia="宋体" w:hint="default"/>
                <w:spacing w:val="-10"/>
                <w:sz w:val="18"/>
                <w:szCs w:val="18"/>
              </w:rPr>
              <w:t>版）的通知》（财会</w:t>
            </w:r>
            <w:r>
              <w:rPr>
                <w:rFonts w:ascii="宋体" w:hAnsi="宋体" w:cs="宋体" w:eastAsia="宋体" w:hint="default"/>
                <w:sz w:val="18"/>
                <w:szCs w:val="18"/>
              </w:rPr>
              <w:t> </w:t>
            </w:r>
            <w:r>
              <w:rPr>
                <w:rFonts w:ascii="Times New Roman" w:hAnsi="Times New Roman" w:cs="Times New Roman" w:eastAsia="Times New Roman" w:hint="default"/>
                <w:sz w:val="18"/>
                <w:szCs w:val="18"/>
              </w:rPr>
              <w:t>[2019]16</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号），本公司对财务报表格式进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行修订，并采用追溯调整法变更了相关 财务报表列报。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已经董事会审议批准</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详见其他说明②</w:t>
            </w:r>
          </w:p>
        </w:tc>
      </w:tr>
      <w:tr>
        <w:trPr>
          <w:trHeight w:val="2282"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月，财政部发布《企业会计准</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宋体" w:hAnsi="宋体" w:cs="宋体" w:eastAsia="宋体" w:hint="default"/>
                <w:spacing w:val="-90"/>
                <w:sz w:val="18"/>
                <w:szCs w:val="18"/>
              </w:rPr>
              <w:t>》</w:t>
            </w:r>
            <w:r>
              <w:rPr>
                <w:rFonts w:ascii="宋体" w:hAnsi="宋体" w:cs="宋体" w:eastAsia="宋体" w:hint="default"/>
                <w:sz w:val="18"/>
                <w:szCs w:val="18"/>
              </w:rPr>
              <w:t>（财会</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[2019]8 </w:t>
            </w:r>
            <w:r>
              <w:rPr>
                <w:rFonts w:ascii="宋体" w:hAnsi="宋体" w:cs="宋体" w:eastAsia="宋体" w:hint="default"/>
                <w:w w:val="99"/>
                <w:sz w:val="18"/>
                <w:szCs w:val="18"/>
              </w:rPr>
              <w:t>号</w:t>
            </w:r>
            <w:r>
              <w:rPr>
                <w:rFonts w:ascii="宋体" w:hAnsi="宋体" w:cs="宋体" w:eastAsia="宋体" w:hint="default"/>
                <w:spacing w:val="-90"/>
                <w:w w:val="99"/>
                <w:sz w:val="18"/>
                <w:szCs w:val="18"/>
              </w:rPr>
              <w:t>）</w:t>
            </w:r>
            <w:r>
              <w:rPr>
                <w:rFonts w:ascii="宋体" w:hAnsi="宋体" w:cs="宋体" w:eastAsia="宋体" w:hint="default"/>
                <w:w w:val="99"/>
                <w:sz w:val="18"/>
                <w:szCs w:val="18"/>
              </w:rPr>
              <w:t>，本公司于</w:t>
            </w:r>
            <w:r>
              <w:rPr>
                <w:rFonts w:ascii="宋体" w:hAnsi="宋体" w:cs="宋体" w:eastAsia="宋体" w:hint="default"/>
                <w:spacing w:val="-44"/>
                <w:w w:val="99"/>
                <w:sz w:val="18"/>
                <w:szCs w:val="18"/>
              </w:rPr>
              <w:t> </w:t>
            </w:r>
            <w:r>
              <w:rPr>
                <w:rFonts w:ascii="Times New Roman" w:hAnsi="Times New Roman" w:cs="Times New Roman" w:eastAsia="Times New Roman" w:hint="default"/>
                <w:w w:val="99"/>
                <w:sz w:val="18"/>
                <w:szCs w:val="18"/>
              </w:rPr>
              <w:t>2019 </w:t>
            </w:r>
            <w:r>
              <w:rPr>
                <w:rFonts w:ascii="宋体" w:hAnsi="宋体" w:cs="宋体" w:eastAsia="宋体" w:hint="default"/>
                <w:w w:val="99"/>
                <w:sz w:val="18"/>
                <w:szCs w:val="18"/>
              </w:rPr>
              <w:t>年</w:t>
            </w:r>
            <w:r>
              <w:rPr>
                <w:rFonts w:ascii="宋体" w:hAnsi="宋体" w:cs="宋体" w:eastAsia="宋体" w:hint="default"/>
                <w:spacing w:val="-45"/>
                <w:w w:val="99"/>
                <w:sz w:val="18"/>
                <w:szCs w:val="18"/>
              </w:rPr>
              <w:t> </w:t>
            </w:r>
            <w:r>
              <w:rPr>
                <w:rFonts w:ascii="Times New Roman" w:hAnsi="Times New Roman" w:cs="Times New Roman" w:eastAsia="Times New Roman" w:hint="default"/>
                <w:w w:val="99"/>
                <w:sz w:val="18"/>
                <w:szCs w:val="18"/>
              </w:rPr>
              <w:t>6 </w:t>
            </w:r>
            <w:r>
              <w:rPr>
                <w:rFonts w:ascii="宋体" w:hAnsi="宋体" w:cs="宋体" w:eastAsia="宋体" w:hint="default"/>
                <w:w w:val="99"/>
                <w:sz w:val="18"/>
                <w:szCs w:val="18"/>
              </w:rPr>
              <w:t>月</w:t>
            </w:r>
            <w:r>
              <w:rPr>
                <w:rFonts w:ascii="宋体" w:hAnsi="宋体" w:cs="宋体" w:eastAsia="宋体" w:hint="default"/>
                <w:spacing w:val="-45"/>
                <w:w w:val="99"/>
                <w:sz w:val="18"/>
                <w:szCs w:val="18"/>
              </w:rPr>
              <w:t> </w:t>
            </w:r>
            <w:r>
              <w:rPr>
                <w:rFonts w:ascii="Times New Roman" w:hAnsi="Times New Roman" w:cs="Times New Roman" w:eastAsia="Times New Roman" w:hint="default"/>
                <w:w w:val="99"/>
                <w:sz w:val="18"/>
                <w:szCs w:val="18"/>
              </w:rPr>
              <w:t>10</w:t>
            </w:r>
            <w:r>
              <w:rPr>
                <w:rFonts w:ascii="Times New Roman" w:hAnsi="Times New Roman" w:cs="Times New Roman" w:eastAsia="Times New Roman" w:hint="default"/>
                <w:sz w:val="18"/>
                <w:szCs w:val="18"/>
              </w:rPr>
            </w:r>
          </w:p>
          <w:p>
            <w:pPr>
              <w:pStyle w:val="TableParagraph"/>
              <w:spacing w:line="312" w:lineRule="auto" w:before="66"/>
              <w:ind w:left="15" w:right="28"/>
              <w:jc w:val="left"/>
              <w:rPr>
                <w:rFonts w:ascii="宋体" w:hAnsi="宋体" w:cs="宋体" w:eastAsia="宋体" w:hint="default"/>
                <w:sz w:val="18"/>
                <w:szCs w:val="18"/>
              </w:rPr>
            </w:pPr>
            <w:r>
              <w:rPr>
                <w:rFonts w:ascii="宋体" w:hAnsi="宋体" w:cs="宋体" w:eastAsia="宋体" w:hint="default"/>
                <w:sz w:val="18"/>
                <w:szCs w:val="18"/>
              </w:rPr>
              <w:t>日起执行该准则，并对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至执行日之间发生的非货币性资产交换 </w:t>
            </w:r>
            <w:r>
              <w:rPr>
                <w:rFonts w:ascii="宋体" w:hAnsi="宋体" w:cs="宋体" w:eastAsia="宋体" w:hint="default"/>
                <w:spacing w:val="-3"/>
                <w:sz w:val="18"/>
                <w:szCs w:val="18"/>
              </w:rPr>
              <w:t>进行调整，对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w:t>
            </w:r>
          </w:p>
          <w:p>
            <w:pPr>
              <w:pStyle w:val="TableParagraph"/>
              <w:spacing w:line="227" w:lineRule="exact"/>
              <w:ind w:left="15" w:right="0"/>
              <w:jc w:val="left"/>
              <w:rPr>
                <w:rFonts w:ascii="宋体" w:hAnsi="宋体" w:cs="宋体" w:eastAsia="宋体" w:hint="default"/>
                <w:sz w:val="18"/>
                <w:szCs w:val="18"/>
              </w:rPr>
            </w:pPr>
            <w:r>
              <w:rPr>
                <w:rFonts w:ascii="宋体" w:hAnsi="宋体" w:cs="宋体" w:eastAsia="宋体" w:hint="default"/>
                <w:sz w:val="18"/>
                <w:szCs w:val="18"/>
              </w:rPr>
              <w:t>的非货币性资产交换，不进行追溯调整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已经董事会审议批准</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本项会计政策变更对公司报表无影响</w:t>
            </w:r>
          </w:p>
        </w:tc>
      </w:tr>
      <w:tr>
        <w:trPr>
          <w:trHeight w:val="2267"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月，财政部发布《企业会计准 则第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债务重组》（财会</w:t>
            </w:r>
            <w:r>
              <w:rPr>
                <w:rFonts w:ascii="Times New Roman" w:hAnsi="Times New Roman" w:cs="Times New Roman" w:eastAsia="Times New Roman" w:hint="default"/>
                <w:spacing w:val="-10"/>
                <w:sz w:val="18"/>
                <w:szCs w:val="18"/>
              </w:rPr>
              <w:t>[2019]9</w:t>
            </w:r>
            <w:r>
              <w:rPr>
                <w:rFonts w:ascii="Times New Roman" w:hAnsi="Times New Roman" w:cs="Times New Roman" w:eastAsia="Times New Roman" w:hint="default"/>
                <w:spacing w:val="-15"/>
                <w:sz w:val="18"/>
                <w:szCs w:val="18"/>
              </w:rPr>
              <w:t> </w:t>
            </w:r>
            <w:r>
              <w:rPr>
                <w:rFonts w:ascii="宋体" w:hAnsi="宋体" w:cs="宋体" w:eastAsia="宋体" w:hint="default"/>
                <w:spacing w:val="-30"/>
                <w:sz w:val="18"/>
                <w:szCs w:val="18"/>
              </w:rPr>
              <w:t>号），</w:t>
            </w:r>
            <w:r>
              <w:rPr>
                <w:rFonts w:ascii="宋体" w:hAnsi="宋体" w:cs="宋体" w:eastAsia="宋体" w:hint="default"/>
                <w:sz w:val="18"/>
                <w:szCs w:val="18"/>
              </w:rPr>
              <w:t> 本公司于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日起执行该准</w:t>
            </w:r>
          </w:p>
          <w:p>
            <w:pPr>
              <w:pStyle w:val="TableParagraph"/>
              <w:spacing w:line="240" w:lineRule="auto" w:before="18"/>
              <w:ind w:left="15" w:right="0"/>
              <w:jc w:val="left"/>
              <w:rPr>
                <w:rFonts w:ascii="宋体" w:hAnsi="宋体" w:cs="宋体" w:eastAsia="宋体" w:hint="default"/>
                <w:sz w:val="18"/>
                <w:szCs w:val="18"/>
              </w:rPr>
            </w:pPr>
            <w:r>
              <w:rPr>
                <w:rFonts w:ascii="宋体" w:hAnsi="宋体" w:cs="宋体" w:eastAsia="宋体" w:hint="default"/>
                <w:spacing w:val="-4"/>
                <w:sz w:val="18"/>
                <w:szCs w:val="18"/>
              </w:rPr>
              <w:t>则，并对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日至执行日之间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发生的债务重组进行调整，对</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90" w:lineRule="auto" w:before="51"/>
              <w:ind w:left="15" w:right="10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日之前发生的债务重组，不进行追 溯调整。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已经董事会审议批准</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本项会计政策变更对公司报表无影响</w:t>
            </w:r>
          </w:p>
        </w:tc>
      </w:tr>
    </w:tbl>
    <w:p>
      <w:pPr>
        <w:spacing w:line="240" w:lineRule="auto" w:before="13"/>
        <w:rPr>
          <w:rFonts w:ascii="宋体" w:hAnsi="宋体" w:cs="宋体" w:eastAsia="宋体" w:hint="default"/>
          <w:sz w:val="4"/>
          <w:szCs w:val="4"/>
        </w:rPr>
      </w:pPr>
    </w:p>
    <w:p>
      <w:pPr>
        <w:spacing w:before="35"/>
        <w:ind w:left="141" w:right="939" w:firstLine="0"/>
        <w:jc w:val="left"/>
        <w:rPr>
          <w:rFonts w:ascii="宋体" w:hAnsi="宋体" w:cs="宋体" w:eastAsia="宋体" w:hint="default"/>
          <w:sz w:val="21"/>
          <w:szCs w:val="21"/>
        </w:rPr>
      </w:pPr>
      <w:r>
        <w:rPr/>
        <w:pict>
          <v:group style="position:absolute;margin-left:217.029999pt;margin-top:-163.916321pt;width:159.2pt;height:93.9pt;mso-position-horizontal-relative:page;mso-position-vertical-relative:paragraph;z-index:-1163488" coordorigin="4341,-3278" coordsize="3184,1878">
            <v:group style="position:absolute;left:4341;top:-3278;width:3184;height:931" coordorigin="4341,-3278" coordsize="3184,931">
              <v:shape style="position:absolute;left:4341;top:-3278;width:3184;height:931" coordorigin="4341,-3278" coordsize="3184,931" path="m4341,-2347l7525,-2347,7525,-3278,4341,-3278,4341,-2347xe" filled="true" fillcolor="#ffffff" stroked="false">
                <v:path arrowok="t"/>
                <v:fill type="solid"/>
              </v:shape>
            </v:group>
            <v:group style="position:absolute;left:4341;top:-2332;width:3184;height:931" coordorigin="4341,-2332" coordsize="3184,931">
              <v:shape style="position:absolute;left:4341;top:-2332;width:3184;height:931" coordorigin="4341,-2332" coordsize="3184,931" path="m4341,-1401l7525,-1401,7525,-2332,4341,-2332,4341,-1401xe" filled="true" fillcolor="#ffffff" stroked="false">
                <v:path arrowok="t"/>
                <v:fill type="solid"/>
              </v:shape>
            </v:group>
            <w10:wrap type="none"/>
          </v:group>
        </w:pict>
      </w:r>
      <w:r>
        <w:rPr>
          <w:rFonts w:ascii="宋体" w:hAnsi="宋体" w:cs="宋体" w:eastAsia="宋体" w:hint="default"/>
          <w:sz w:val="21"/>
          <w:szCs w:val="21"/>
        </w:rPr>
        <w:t>其他说明：</w:t>
      </w:r>
    </w:p>
    <w:p>
      <w:pPr>
        <w:spacing w:line="240" w:lineRule="auto" w:before="10"/>
        <w:rPr>
          <w:rFonts w:ascii="宋体" w:hAnsi="宋体" w:cs="宋体" w:eastAsia="宋体" w:hint="default"/>
          <w:sz w:val="13"/>
          <w:szCs w:val="13"/>
        </w:rPr>
      </w:pPr>
    </w:p>
    <w:p>
      <w:pPr>
        <w:pStyle w:val="BodyText"/>
        <w:spacing w:line="316" w:lineRule="auto"/>
        <w:ind w:left="501" w:right="1126" w:hanging="361"/>
        <w:jc w:val="both"/>
      </w:pPr>
      <w:r>
        <w:rPr/>
        <w:t>①</w:t>
      </w:r>
      <w:r>
        <w:rPr>
          <w:spacing w:val="9"/>
        </w:rPr>
        <w:t> </w:t>
      </w:r>
      <w:r>
        <w:rPr/>
        <w:t>财政部</w:t>
      </w:r>
      <w:r>
        <w:rPr>
          <w:rFonts w:ascii="宋体" w:hAnsi="宋体" w:cs="宋体" w:eastAsia="宋体" w:hint="default"/>
        </w:rPr>
        <w:t>2017</w:t>
      </w:r>
      <w:r>
        <w:rPr/>
        <w:t>年</w:t>
      </w:r>
      <w:r>
        <w:rPr>
          <w:rFonts w:ascii="宋体" w:hAnsi="宋体" w:cs="宋体" w:eastAsia="宋体" w:hint="default"/>
        </w:rPr>
        <w:t>3</w:t>
      </w:r>
      <w:r>
        <w:rPr/>
        <w:t>月发布了《企业会计准则第</w:t>
      </w:r>
      <w:r>
        <w:rPr>
          <w:rFonts w:ascii="宋体" w:hAnsi="宋体" w:cs="宋体" w:eastAsia="宋体" w:hint="default"/>
        </w:rPr>
        <w:t>22</w:t>
      </w:r>
      <w:r>
        <w:rPr/>
        <w:t>号—金融工具确认和计量》（财会</w:t>
      </w:r>
      <w:r>
        <w:rPr>
          <w:rFonts w:ascii="宋体" w:hAnsi="宋体" w:cs="宋体" w:eastAsia="宋体" w:hint="default"/>
        </w:rPr>
        <w:t>[2017]7</w:t>
      </w:r>
      <w:r>
        <w:rPr/>
        <w:t>号）、《企业会计准则第</w:t>
      </w:r>
      <w:r>
        <w:rPr>
          <w:rFonts w:ascii="宋体" w:hAnsi="宋体" w:cs="宋体" w:eastAsia="宋体" w:hint="default"/>
        </w:rPr>
        <w:t>23</w:t>
      </w:r>
      <w:r>
        <w:rPr/>
        <w:t>号— </w:t>
      </w:r>
      <w:r>
        <w:rPr>
          <w:spacing w:val="-2"/>
        </w:rPr>
        <w:t>金融资产转移》（财会</w:t>
      </w:r>
      <w:r>
        <w:rPr>
          <w:rFonts w:ascii="宋体" w:hAnsi="宋体" w:cs="宋体" w:eastAsia="宋体" w:hint="default"/>
          <w:spacing w:val="-2"/>
        </w:rPr>
        <w:t>[2017]8</w:t>
      </w:r>
      <w:r>
        <w:rPr>
          <w:spacing w:val="-2"/>
        </w:rPr>
        <w:t>号）、《企业会计准则第</w:t>
      </w:r>
      <w:r>
        <w:rPr>
          <w:rFonts w:ascii="宋体" w:hAnsi="宋体" w:cs="宋体" w:eastAsia="宋体" w:hint="default"/>
          <w:spacing w:val="-2"/>
        </w:rPr>
        <w:t>24</w:t>
      </w:r>
      <w:r>
        <w:rPr>
          <w:spacing w:val="-2"/>
        </w:rPr>
        <w:t>号—套期会计》</w:t>
      </w:r>
      <w:r>
        <w:rPr>
          <w:spacing w:val="11"/>
        </w:rPr>
        <w:t> </w:t>
      </w:r>
      <w:r>
        <w:rPr>
          <w:rFonts w:ascii="宋体" w:hAnsi="宋体" w:cs="宋体" w:eastAsia="宋体" w:hint="default"/>
          <w:spacing w:val="-1"/>
        </w:rPr>
        <w:t>(</w:t>
      </w:r>
      <w:r>
        <w:rPr>
          <w:spacing w:val="-1"/>
        </w:rPr>
        <w:t>财会</w:t>
      </w:r>
      <w:r>
        <w:rPr>
          <w:rFonts w:ascii="宋体" w:hAnsi="宋体" w:cs="宋体" w:eastAsia="宋体" w:hint="default"/>
          <w:spacing w:val="-1"/>
        </w:rPr>
        <w:t>[2017]9</w:t>
      </w:r>
      <w:r>
        <w:rPr>
          <w:spacing w:val="-1"/>
        </w:rPr>
        <w:t>号</w:t>
      </w:r>
      <w:r>
        <w:rPr>
          <w:rFonts w:ascii="宋体" w:hAnsi="宋体" w:cs="宋体" w:eastAsia="宋体" w:hint="default"/>
          <w:spacing w:val="-1"/>
        </w:rPr>
        <w:t>)</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月发布了《企业</w:t>
      </w:r>
      <w:r>
        <w:rPr/>
        <w:t> 会计准则第</w:t>
      </w:r>
      <w:r>
        <w:rPr>
          <w:rFonts w:ascii="宋体" w:hAnsi="宋体" w:cs="宋体" w:eastAsia="宋体" w:hint="default"/>
        </w:rPr>
        <w:t>37</w:t>
      </w:r>
      <w:r>
        <w:rPr/>
        <w:t>号—金融工具列报》（财会</w:t>
      </w:r>
      <w:r>
        <w:rPr>
          <w:rFonts w:ascii="宋体" w:hAnsi="宋体" w:cs="宋体" w:eastAsia="宋体" w:hint="default"/>
        </w:rPr>
        <w:t>[2017]14</w:t>
      </w:r>
      <w:r>
        <w:rPr/>
        <w:t>号），公司自</w:t>
      </w:r>
      <w:r>
        <w:rPr>
          <w:spacing w:val="4"/>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日起执行新金融工具准则，并按新金融工 </w:t>
      </w:r>
      <w:r>
        <w:rPr>
          <w:spacing w:val="-2"/>
        </w:rPr>
        <w:t>具准则的要求列报金融工具相关信息，不对比较财务报表追溯调整，此项会计政策变更已经公司董事会审议通过。相应</w:t>
      </w:r>
      <w:r>
        <w:rPr/>
        <w:t> 会计报表项目变动详见附注</w:t>
      </w:r>
      <w:r>
        <w:rPr>
          <w:spacing w:val="2"/>
        </w:rPr>
        <w:t> </w:t>
      </w:r>
      <w:r>
        <w:rPr/>
        <w:t>五、</w:t>
      </w:r>
      <w:r>
        <w:rPr>
          <w:rFonts w:ascii="宋体" w:hAnsi="宋体" w:cs="宋体" w:eastAsia="宋体" w:hint="default"/>
        </w:rPr>
        <w:t>28</w:t>
      </w:r>
      <w:r>
        <w:rPr/>
        <w:t>、（</w:t>
      </w:r>
      <w:r>
        <w:rPr>
          <w:rFonts w:ascii="宋体" w:hAnsi="宋体" w:cs="宋体" w:eastAsia="宋体" w:hint="default"/>
        </w:rPr>
        <w:t>3</w:t>
      </w:r>
      <w:r>
        <w:rPr/>
        <w:t>）</w:t>
      </w:r>
      <w:r>
        <w:rPr>
          <w:rFonts w:ascii="宋体" w:hAnsi="宋体" w:cs="宋体" w:eastAsia="宋体" w:hint="default"/>
        </w:rPr>
        <w:t>.</w:t>
      </w:r>
      <w:r>
        <w:rPr/>
        <w:t>首次执行新金融工具准则调整首次执行当年年初财务报表相关项目情况。</w:t>
      </w:r>
    </w:p>
    <w:p>
      <w:pPr>
        <w:pStyle w:val="BodyText"/>
        <w:spacing w:line="321" w:lineRule="auto" w:before="142"/>
        <w:ind w:left="501" w:right="1040" w:hanging="361"/>
        <w:jc w:val="both"/>
      </w:pPr>
      <w:r>
        <w:rPr/>
        <w:t>②</w:t>
      </w:r>
      <w:r>
        <w:rPr>
          <w:spacing w:val="36"/>
        </w:rPr>
        <w:t> </w:t>
      </w:r>
      <w:r>
        <w:rPr/>
        <w:t>本次报表格式会计政策变更，除上述准则涉及项目变更外，将“应收票据及应收账款”拆分为“应收账款”与“应收票</w:t>
      </w:r>
      <w:r>
        <w:rPr/>
        <w:t> </w:t>
      </w:r>
      <w:r>
        <w:rPr>
          <w:spacing w:val="-2"/>
        </w:rPr>
        <w:t>据”列示，将“应付票据及应付账款”拆分为“应付账款”与“应付票据”列示。此项会计政策变更已经公司董事会审</w:t>
      </w:r>
      <w:r>
        <w:rPr/>
        <w:t> </w:t>
      </w:r>
      <w:r>
        <w:rPr>
          <w:spacing w:val="-4"/>
        </w:rPr>
        <w:t>议通过。公司对上述会计政策变更采用追溯调整法，对</w:t>
      </w:r>
      <w:r>
        <w:rPr>
          <w:rFonts w:ascii="宋体" w:hAnsi="宋体" w:cs="宋体" w:eastAsia="宋体" w:hint="default"/>
          <w:spacing w:val="-4"/>
        </w:rPr>
        <w:t>2018</w:t>
      </w:r>
      <w:r>
        <w:rPr>
          <w:spacing w:val="-4"/>
        </w:rPr>
        <w:t>年度的财务报表列报项目的期末余额进行追溯调整具体如下：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313"/>
        <w:gridCol w:w="2312"/>
        <w:gridCol w:w="2313"/>
        <w:gridCol w:w="2313"/>
      </w:tblGrid>
      <w:tr>
        <w:trPr>
          <w:trHeight w:val="360" w:hRule="exact"/>
        </w:trPr>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3" w:right="0"/>
              <w:jc w:val="center"/>
              <w:rPr>
                <w:rFonts w:ascii="宋体" w:hAnsi="宋体" w:cs="宋体" w:eastAsia="宋体" w:hint="default"/>
                <w:sz w:val="16"/>
                <w:szCs w:val="16"/>
              </w:rPr>
            </w:pPr>
            <w:r>
              <w:rPr>
                <w:rFonts w:ascii="宋体" w:hAnsi="宋体" w:cs="宋体" w:eastAsia="宋体" w:hint="default"/>
                <w:w w:val="105"/>
                <w:sz w:val="16"/>
                <w:szCs w:val="16"/>
              </w:rPr>
              <w:t>项目</w:t>
            </w:r>
            <w:r>
              <w:rPr>
                <w:rFonts w:ascii="宋体" w:hAnsi="宋体" w:cs="宋体" w:eastAsia="宋体" w:hint="default"/>
                <w:sz w:val="16"/>
                <w:szCs w:val="16"/>
              </w:rPr>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750" w:right="0"/>
              <w:jc w:val="left"/>
              <w:rPr>
                <w:rFonts w:ascii="宋体" w:hAnsi="宋体" w:cs="宋体" w:eastAsia="宋体" w:hint="default"/>
                <w:sz w:val="16"/>
                <w:szCs w:val="16"/>
              </w:rPr>
            </w:pPr>
            <w:r>
              <w:rPr>
                <w:rFonts w:ascii="宋体" w:hAnsi="宋体" w:cs="宋体" w:eastAsia="宋体" w:hint="default"/>
                <w:spacing w:val="-3"/>
                <w:w w:val="105"/>
                <w:sz w:val="16"/>
                <w:szCs w:val="16"/>
              </w:rPr>
              <w:t>调整前金额</w:t>
            </w:r>
            <w:r>
              <w:rPr>
                <w:rFonts w:ascii="宋体" w:hAnsi="宋体" w:cs="宋体" w:eastAsia="宋体" w:hint="default"/>
                <w:spacing w:val="-3"/>
                <w:sz w:val="16"/>
                <w:szCs w:val="16"/>
              </w:rPr>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750" w:right="0"/>
              <w:jc w:val="left"/>
              <w:rPr>
                <w:rFonts w:ascii="宋体" w:hAnsi="宋体" w:cs="宋体" w:eastAsia="宋体" w:hint="default"/>
                <w:sz w:val="16"/>
                <w:szCs w:val="16"/>
              </w:rPr>
            </w:pPr>
            <w:r>
              <w:rPr>
                <w:rFonts w:ascii="宋体" w:hAnsi="宋体" w:cs="宋体" w:eastAsia="宋体" w:hint="default"/>
                <w:spacing w:val="-3"/>
                <w:w w:val="105"/>
                <w:sz w:val="16"/>
                <w:szCs w:val="16"/>
              </w:rPr>
              <w:t>调整后金额</w:t>
            </w:r>
            <w:r>
              <w:rPr>
                <w:rFonts w:ascii="宋体" w:hAnsi="宋体" w:cs="宋体" w:eastAsia="宋体" w:hint="default"/>
                <w:spacing w:val="-3"/>
                <w:sz w:val="16"/>
                <w:szCs w:val="16"/>
              </w:rPr>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w w:val="105"/>
                <w:sz w:val="16"/>
                <w:szCs w:val="16"/>
              </w:rPr>
              <w:t>变动额</w:t>
            </w:r>
            <w:r>
              <w:rPr>
                <w:rFonts w:ascii="宋体" w:hAnsi="宋体" w:cs="宋体" w:eastAsia="宋体" w:hint="default"/>
                <w:sz w:val="16"/>
                <w:szCs w:val="16"/>
              </w:rPr>
            </w:r>
          </w:p>
        </w:tc>
      </w:tr>
      <w:tr>
        <w:trPr>
          <w:trHeight w:val="346" w:hRule="exact"/>
        </w:trPr>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left"/>
              <w:rPr>
                <w:rFonts w:ascii="宋体" w:hAnsi="宋体" w:cs="宋体" w:eastAsia="宋体" w:hint="default"/>
                <w:sz w:val="16"/>
                <w:szCs w:val="16"/>
              </w:rPr>
            </w:pPr>
            <w:r>
              <w:rPr>
                <w:rFonts w:ascii="宋体" w:hAnsi="宋体" w:cs="宋体" w:eastAsia="宋体" w:hint="default"/>
                <w:spacing w:val="-4"/>
                <w:w w:val="105"/>
                <w:sz w:val="16"/>
                <w:szCs w:val="16"/>
              </w:rPr>
              <w:t>应收票据及应收账款</w:t>
            </w:r>
            <w:r>
              <w:rPr>
                <w:rFonts w:ascii="宋体" w:hAnsi="宋体" w:cs="宋体" w:eastAsia="宋体" w:hint="default"/>
                <w:spacing w:val="-4"/>
                <w:sz w:val="16"/>
                <w:szCs w:val="16"/>
              </w:rPr>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3"/>
                <w:sz w:val="16"/>
              </w:rPr>
              <w:t>193,508,351.03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3"/>
              <w:jc w:val="right"/>
              <w:rPr>
                <w:rFonts w:ascii="Times New Roman" w:hAnsi="Times New Roman" w:cs="Times New Roman" w:eastAsia="Times New Roman" w:hint="default"/>
                <w:sz w:val="16"/>
                <w:szCs w:val="16"/>
              </w:rPr>
            </w:pPr>
            <w:r>
              <w:rPr>
                <w:rFonts w:ascii="Times New Roman"/>
                <w:w w:val="103"/>
                <w:sz w:val="16"/>
              </w:rPr>
              <w:t>-</w:t>
            </w:r>
            <w:r>
              <w:rPr>
                <w:rFonts w:ascii="Times New Roman"/>
                <w:sz w:val="16"/>
              </w:rPr>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3"/>
                <w:sz w:val="16"/>
              </w:rPr>
              <w:t>-193,508,351.03</w:t>
            </w:r>
          </w:p>
        </w:tc>
      </w:tr>
      <w:tr>
        <w:trPr>
          <w:trHeight w:val="360" w:hRule="exact"/>
        </w:trPr>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left"/>
              <w:rPr>
                <w:rFonts w:ascii="宋体" w:hAnsi="宋体" w:cs="宋体" w:eastAsia="宋体" w:hint="default"/>
                <w:sz w:val="16"/>
                <w:szCs w:val="16"/>
              </w:rPr>
            </w:pPr>
            <w:r>
              <w:rPr>
                <w:rFonts w:ascii="宋体" w:hAnsi="宋体" w:cs="宋体" w:eastAsia="宋体" w:hint="default"/>
                <w:w w:val="105"/>
                <w:sz w:val="16"/>
                <w:szCs w:val="16"/>
              </w:rPr>
              <w:t>应收账款</w:t>
            </w:r>
            <w:r>
              <w:rPr>
                <w:rFonts w:ascii="宋体" w:hAnsi="宋体" w:cs="宋体" w:eastAsia="宋体" w:hint="default"/>
                <w:sz w:val="16"/>
                <w:szCs w:val="16"/>
              </w:rPr>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
              <w:jc w:val="right"/>
              <w:rPr>
                <w:rFonts w:ascii="Times New Roman" w:hAnsi="Times New Roman" w:cs="Times New Roman" w:eastAsia="Times New Roman" w:hint="default"/>
                <w:sz w:val="16"/>
                <w:szCs w:val="16"/>
              </w:rPr>
            </w:pPr>
            <w:r>
              <w:rPr>
                <w:rFonts w:ascii="Times New Roman"/>
                <w:w w:val="103"/>
                <w:sz w:val="16"/>
              </w:rPr>
              <w:t>-</w:t>
            </w:r>
            <w:r>
              <w:rPr>
                <w:rFonts w:ascii="Times New Roman"/>
                <w:sz w:val="16"/>
              </w:rPr>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6"/>
              <w:jc w:val="right"/>
              <w:rPr>
                <w:rFonts w:ascii="Times New Roman" w:hAnsi="Times New Roman" w:cs="Times New Roman" w:eastAsia="Times New Roman" w:hint="default"/>
                <w:sz w:val="16"/>
                <w:szCs w:val="16"/>
              </w:rPr>
            </w:pPr>
            <w:r>
              <w:rPr>
                <w:rFonts w:ascii="Times New Roman"/>
                <w:spacing w:val="-3"/>
                <w:sz w:val="16"/>
              </w:rPr>
              <w:t>193,508,351.03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6"/>
              <w:jc w:val="right"/>
              <w:rPr>
                <w:rFonts w:ascii="Times New Roman" w:hAnsi="Times New Roman" w:cs="Times New Roman" w:eastAsia="Times New Roman" w:hint="default"/>
                <w:sz w:val="16"/>
                <w:szCs w:val="16"/>
              </w:rPr>
            </w:pPr>
            <w:r>
              <w:rPr>
                <w:rFonts w:ascii="Times New Roman"/>
                <w:spacing w:val="-3"/>
                <w:sz w:val="16"/>
              </w:rPr>
              <w:t>+193,508,351.03</w:t>
            </w:r>
          </w:p>
        </w:tc>
      </w:tr>
      <w:tr>
        <w:trPr>
          <w:trHeight w:val="345" w:hRule="exact"/>
        </w:trPr>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left"/>
              <w:rPr>
                <w:rFonts w:ascii="宋体" w:hAnsi="宋体" w:cs="宋体" w:eastAsia="宋体" w:hint="default"/>
                <w:sz w:val="16"/>
                <w:szCs w:val="16"/>
              </w:rPr>
            </w:pPr>
            <w:r>
              <w:rPr>
                <w:rFonts w:ascii="宋体" w:hAnsi="宋体" w:cs="宋体" w:eastAsia="宋体" w:hint="default"/>
                <w:spacing w:val="-4"/>
                <w:w w:val="105"/>
                <w:sz w:val="16"/>
                <w:szCs w:val="16"/>
              </w:rPr>
              <w:t>应付票据及应付账款</w:t>
            </w:r>
            <w:r>
              <w:rPr>
                <w:rFonts w:ascii="宋体" w:hAnsi="宋体" w:cs="宋体" w:eastAsia="宋体" w:hint="default"/>
                <w:spacing w:val="-4"/>
                <w:sz w:val="16"/>
                <w:szCs w:val="16"/>
              </w:rPr>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3"/>
                <w:sz w:val="16"/>
              </w:rPr>
              <w:t>566,782.47</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3"/>
              <w:jc w:val="right"/>
              <w:rPr>
                <w:rFonts w:ascii="Times New Roman" w:hAnsi="Times New Roman" w:cs="Times New Roman" w:eastAsia="Times New Roman" w:hint="default"/>
                <w:sz w:val="16"/>
                <w:szCs w:val="16"/>
              </w:rPr>
            </w:pPr>
            <w:r>
              <w:rPr>
                <w:rFonts w:ascii="Times New Roman"/>
                <w:w w:val="103"/>
                <w:sz w:val="16"/>
              </w:rPr>
              <w:t>-</w:t>
            </w:r>
            <w:r>
              <w:rPr>
                <w:rFonts w:ascii="Times New Roman"/>
                <w:sz w:val="16"/>
              </w:rPr>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2"/>
                <w:sz w:val="16"/>
              </w:rPr>
              <w:t>-566,782.47</w:t>
            </w:r>
          </w:p>
        </w:tc>
      </w:tr>
      <w:tr>
        <w:trPr>
          <w:trHeight w:val="360" w:hRule="exact"/>
        </w:trPr>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left"/>
              <w:rPr>
                <w:rFonts w:ascii="宋体" w:hAnsi="宋体" w:cs="宋体" w:eastAsia="宋体" w:hint="default"/>
                <w:sz w:val="16"/>
                <w:szCs w:val="16"/>
              </w:rPr>
            </w:pPr>
            <w:r>
              <w:rPr>
                <w:rFonts w:ascii="宋体" w:hAnsi="宋体" w:cs="宋体" w:eastAsia="宋体" w:hint="default"/>
                <w:w w:val="105"/>
                <w:sz w:val="16"/>
                <w:szCs w:val="16"/>
              </w:rPr>
              <w:t>应付账款</w:t>
            </w:r>
            <w:r>
              <w:rPr>
                <w:rFonts w:ascii="宋体" w:hAnsi="宋体" w:cs="宋体" w:eastAsia="宋体" w:hint="default"/>
                <w:sz w:val="16"/>
                <w:szCs w:val="16"/>
              </w:rPr>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
              <w:jc w:val="right"/>
              <w:rPr>
                <w:rFonts w:ascii="Times New Roman" w:hAnsi="Times New Roman" w:cs="Times New Roman" w:eastAsia="Times New Roman" w:hint="default"/>
                <w:sz w:val="16"/>
                <w:szCs w:val="16"/>
              </w:rPr>
            </w:pPr>
            <w:r>
              <w:rPr>
                <w:rFonts w:ascii="Times New Roman"/>
                <w:w w:val="103"/>
                <w:sz w:val="16"/>
              </w:rPr>
              <w:t>-</w:t>
            </w:r>
            <w:r>
              <w:rPr>
                <w:rFonts w:ascii="Times New Roman"/>
                <w:sz w:val="16"/>
              </w:rPr>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6"/>
              <w:jc w:val="right"/>
              <w:rPr>
                <w:rFonts w:ascii="Times New Roman" w:hAnsi="Times New Roman" w:cs="Times New Roman" w:eastAsia="Times New Roman" w:hint="default"/>
                <w:sz w:val="16"/>
                <w:szCs w:val="16"/>
              </w:rPr>
            </w:pPr>
            <w:r>
              <w:rPr>
                <w:rFonts w:ascii="Times New Roman"/>
                <w:spacing w:val="-3"/>
                <w:sz w:val="16"/>
              </w:rPr>
              <w:t>566,782.47</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6"/>
              <w:jc w:val="right"/>
              <w:rPr>
                <w:rFonts w:ascii="Times New Roman" w:hAnsi="Times New Roman" w:cs="Times New Roman" w:eastAsia="Times New Roman" w:hint="default"/>
                <w:sz w:val="16"/>
                <w:szCs w:val="16"/>
              </w:rPr>
            </w:pPr>
            <w:r>
              <w:rPr>
                <w:rFonts w:ascii="Times New Roman"/>
                <w:spacing w:val="-3"/>
                <w:sz w:val="16"/>
              </w:rPr>
              <w:t>+566,782.47</w:t>
            </w:r>
          </w:p>
        </w:tc>
      </w:tr>
    </w:tbl>
    <w:p>
      <w:pPr>
        <w:spacing w:after="0" w:line="240" w:lineRule="auto"/>
        <w:jc w:val="right"/>
        <w:rPr>
          <w:rFonts w:ascii="Times New Roman" w:hAnsi="Times New Roman" w:cs="Times New Roman" w:eastAsia="Times New Roman" w:hint="default"/>
          <w:sz w:val="16"/>
          <w:szCs w:val="16"/>
        </w:rPr>
        <w:sectPr>
          <w:pgSz w:w="11910" w:h="16850"/>
          <w:pgMar w:header="866"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939"/>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3）2019年起执行新金融工具准则、新收入准则或新租赁准则调整执行当年年初财务" w:id="214"/>
      <w:bookmarkEnd w:id="214"/>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866" w:footer="981" w:top="1040" w:bottom="1180" w:left="1000" w:right="0"/>
        </w:sectPr>
      </w:pPr>
    </w:p>
    <w:p>
      <w:pPr>
        <w:pStyle w:val="BodyText"/>
        <w:spacing w:line="319"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1538" w:space="7398"/>
            <w:col w:w="1974"/>
          </w:cols>
        </w:sectPr>
      </w:pP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534,347,564.35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535,723,015.95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1,375,451.60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193,508,351.03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193,508,351.03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4,482,111.97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4,482,111.97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4,472,103.38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3,096,651.78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-1,375,451.60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1,375,451.60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-1,375,451.60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5,852,198.13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5,852,198.13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4,668,278.73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4,668,278.73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747,330,607.59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747,330,607.59</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88,579,565.00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-88,579,565.00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48,095,753.10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48,095,753.10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48,896,306.76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48,896,306.76</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285,952,429.70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285,952,429.70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30,887,754.50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30,887,754.50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29,172,094.30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29,172,094.30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2,351,029.35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2,351,029.35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823,621.89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6,776,110.63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5,952,488.74</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485,862,247.84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452,131,478.34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1,233,192,855.43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1,199,462,085.93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566,782.47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566,782.47</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338,122.03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338,122.03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8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66,918,346.66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66,918,346.66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2,504,426.70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2,504,426.70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106,558,162.68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106,558,162.68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1,897,336.86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1,897,336.86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176,885,840.54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176,885,840.54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2,102,469.18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2,102,469.18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2,102,469.18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2,102,469.18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178,988,309.72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178,988,309.72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200"/>
        <w:gridCol w:w="2471"/>
        <w:gridCol w:w="2448"/>
        <w:gridCol w:w="2463"/>
      </w:tblGrid>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194,282,079.00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194,282,079.00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9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595,996,446.74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595,996,446.74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104,047,153.71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104,047,153.71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1,895,202.84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-31,835,566.66</w:t>
            </w:r>
            <w:r>
              <w:rPr>
                <w:rFonts w:ascii="Times New Roman"/>
                <w:sz w:val="18"/>
              </w:rPr>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58,410,201.45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58,410,201.45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307,667,769.39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307,667,769.39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87"/>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1,054,204,545.71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1,020,473,776.21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1,054,204,545.71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1,020,473,776.21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1,233,192,855.43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1,199,462,085.93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bl>
    <w:p>
      <w:pPr>
        <w:pStyle w:val="BodyText"/>
        <w:spacing w:line="240" w:lineRule="auto" w:before="44"/>
        <w:ind w:right="939"/>
        <w:jc w:val="left"/>
      </w:pPr>
      <w:r>
        <w:rPr/>
        <w:t>调整情况说明</w:t>
      </w:r>
    </w:p>
    <w:p>
      <w:pPr>
        <w:spacing w:line="240" w:lineRule="auto" w:before="5"/>
        <w:rPr>
          <w:rFonts w:ascii="宋体" w:hAnsi="宋体" w:cs="宋体" w:eastAsia="宋体" w:hint="default"/>
          <w:sz w:val="16"/>
          <w:szCs w:val="16"/>
        </w:rPr>
      </w:pPr>
    </w:p>
    <w:p>
      <w:pPr>
        <w:pStyle w:val="BodyText"/>
        <w:spacing w:line="304" w:lineRule="auto"/>
        <w:ind w:right="939"/>
        <w:jc w:val="left"/>
      </w:pPr>
      <w:r>
        <w:rPr>
          <w:spacing w:val="-2"/>
        </w:rPr>
        <w:t>在首次执行日，公司原金融工具账面价值调整为按照新金融工具准则的规定进行分类和计量的新金融工具账面价值的调节表</w:t>
      </w:r>
      <w:r>
        <w:rPr>
          <w:spacing w:val="-58"/>
        </w:rPr>
        <w:t> </w:t>
      </w:r>
      <w:r>
        <w:rPr>
          <w:spacing w:val="-58"/>
        </w:rPr>
      </w:r>
      <w:r>
        <w:rPr/>
        <w:t>如下：</w:t>
      </w:r>
    </w:p>
    <w:p>
      <w:pPr>
        <w:spacing w:line="240" w:lineRule="auto" w:before="8"/>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892"/>
        <w:gridCol w:w="1877"/>
        <w:gridCol w:w="1893"/>
        <w:gridCol w:w="1877"/>
        <w:gridCol w:w="1892"/>
      </w:tblGrid>
      <w:tr>
        <w:trPr>
          <w:trHeight w:val="646"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14"/>
              <w:ind w:left="841" w:right="30" w:hanging="81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日账面价 值</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7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日账面</w:t>
            </w:r>
          </w:p>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价值</w:t>
            </w:r>
          </w:p>
        </w:tc>
      </w:tr>
      <w:tr>
        <w:trPr>
          <w:trHeight w:val="360"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sz w:val="18"/>
              </w:rPr>
              <w:t>534,347,564.35</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5"/>
              <w:jc w:val="right"/>
              <w:rPr>
                <w:rFonts w:ascii="Times New Roman" w:hAnsi="Times New Roman" w:cs="Times New Roman" w:eastAsia="Times New Roman" w:hint="default"/>
                <w:sz w:val="18"/>
                <w:szCs w:val="18"/>
              </w:rPr>
            </w:pPr>
            <w:r>
              <w:rPr>
                <w:rFonts w:ascii="Times New Roman"/>
                <w:sz w:val="18"/>
              </w:rPr>
              <w:t>1,375,451.60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sz w:val="18"/>
              </w:rPr>
              <w:t>535,723,015.95</w:t>
            </w:r>
          </w:p>
        </w:tc>
      </w:tr>
      <w:tr>
        <w:trPr>
          <w:trHeight w:val="345"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1,375,451.60</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w w:val="95"/>
                <w:sz w:val="18"/>
              </w:rPr>
              <w:t>-1,375,451.60</w:t>
            </w:r>
            <w:r>
              <w:rPr>
                <w:rFonts w:ascii="Times New Roman"/>
                <w:sz w:val="18"/>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88,579,565.00</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w w:val="95"/>
                <w:sz w:val="18"/>
              </w:rPr>
              <w:t>-88,579,565.00</w:t>
            </w:r>
            <w:r>
              <w:rPr>
                <w:rFonts w:ascii="Times New Roman"/>
                <w:sz w:val="18"/>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5"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4"/>
              <w:jc w:val="right"/>
              <w:rPr>
                <w:rFonts w:ascii="Times New Roman" w:hAnsi="Times New Roman" w:cs="Times New Roman" w:eastAsia="Times New Roman" w:hint="default"/>
                <w:sz w:val="18"/>
                <w:szCs w:val="18"/>
              </w:rPr>
            </w:pPr>
            <w:r>
              <w:rPr>
                <w:rFonts w:ascii="Times New Roman"/>
                <w:sz w:val="18"/>
              </w:rPr>
              <w:t>88,579,565.00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w w:val="95"/>
                <w:sz w:val="18"/>
              </w:rPr>
              <w:t>-39,683,258.24</w:t>
            </w:r>
            <w:r>
              <w:rPr>
                <w:rFonts w:ascii="Times New Roman"/>
                <w:sz w:val="18"/>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8"/>
                <w:szCs w:val="18"/>
              </w:rPr>
            </w:pPr>
            <w:r>
              <w:rPr>
                <w:rFonts w:ascii="Times New Roman"/>
                <w:sz w:val="18"/>
              </w:rPr>
              <w:t>48,896,306.76</w:t>
            </w:r>
          </w:p>
        </w:tc>
      </w:tr>
      <w:tr>
        <w:trPr>
          <w:trHeight w:val="345"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823,621.89</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5,952,488.74</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6,776,110.63</w:t>
            </w:r>
          </w:p>
        </w:tc>
      </w:tr>
      <w:tr>
        <w:trPr>
          <w:trHeight w:val="346"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1,895,202.84</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-31,835,566.66</w:t>
            </w:r>
            <w:r>
              <w:rPr>
                <w:rFonts w:ascii="Times New Roman"/>
                <w:sz w:val="18"/>
              </w:rPr>
            </w:r>
          </w:p>
        </w:tc>
      </w:tr>
    </w:tbl>
    <w:p>
      <w:pPr>
        <w:spacing w:line="240" w:lineRule="auto" w:before="2"/>
        <w:rPr>
          <w:rFonts w:ascii="宋体" w:hAnsi="宋体" w:cs="宋体" w:eastAsia="宋体" w:hint="default"/>
          <w:sz w:val="24"/>
          <w:szCs w:val="24"/>
        </w:rPr>
      </w:pPr>
    </w:p>
    <w:p>
      <w:pPr>
        <w:pStyle w:val="BodyText"/>
        <w:spacing w:line="240" w:lineRule="auto" w:before="44"/>
        <w:ind w:right="939"/>
        <w:jc w:val="left"/>
      </w:pPr>
      <w:r>
        <w:rPr/>
        <w:t>母公司资产负债表</w:t>
      </w:r>
    </w:p>
    <w:p>
      <w:pPr>
        <w:pStyle w:val="BodyText"/>
        <w:spacing w:line="240" w:lineRule="auto" w:before="109"/>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307" w:right="0"/>
              <w:jc w:val="left"/>
              <w:rPr>
                <w:rFonts w:ascii="Times New Roman" w:hAnsi="Times New Roman" w:cs="Times New Roman" w:eastAsia="Times New Roman" w:hint="default"/>
                <w:sz w:val="18"/>
                <w:szCs w:val="18"/>
              </w:rPr>
            </w:pPr>
            <w:r>
              <w:rPr>
                <w:rFonts w:ascii="Times New Roman"/>
                <w:sz w:val="18"/>
              </w:rPr>
              <w:t>411,063,959.91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91" w:right="0"/>
              <w:jc w:val="left"/>
              <w:rPr>
                <w:rFonts w:ascii="Times New Roman" w:hAnsi="Times New Roman" w:cs="Times New Roman" w:eastAsia="Times New Roman" w:hint="default"/>
                <w:sz w:val="18"/>
                <w:szCs w:val="18"/>
              </w:rPr>
            </w:pPr>
            <w:r>
              <w:rPr>
                <w:rFonts w:ascii="Times New Roman"/>
                <w:sz w:val="18"/>
              </w:rPr>
              <w:t>412,439,411.51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86" w:right="0"/>
              <w:jc w:val="left"/>
              <w:rPr>
                <w:rFonts w:ascii="Times New Roman" w:hAnsi="Times New Roman" w:cs="Times New Roman" w:eastAsia="Times New Roman" w:hint="default"/>
                <w:sz w:val="18"/>
                <w:szCs w:val="18"/>
              </w:rPr>
            </w:pPr>
            <w:r>
              <w:rPr>
                <w:rFonts w:ascii="Times New Roman"/>
                <w:sz w:val="18"/>
              </w:rPr>
              <w:t>1,375,451.60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10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288,143,423.03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288,143,423.03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2,822,895.86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2,822,895.86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3,919,890.36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2,544,438.76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-1,375,451.60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1,375,451.60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-1,375,451.60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5,852,198.13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5,852,198.13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4,536,171.15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4,536,171.15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716,338,538.44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716,338,538.44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88,579,565.00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-88,579,565.00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54,826,991.32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54,826,991.32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48,896,306.76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48,896,306.76</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284,248,786.83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284,248,786.83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30,887,754.50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30,887,754.50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29,172,094.30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29,172,094.30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1,340,935.27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1,340,935.27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823,621.89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6,776,110.63</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5,952,488.74</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489,879,749.11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456,148,979.61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1,206,218,287.55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1,172,487,518.05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566,782.47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566,782.47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338,122.03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338,122.03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62,442,964.58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62,442,964.58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2,504,426.70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2,504,426.70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106,518,639.43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106,518,639.43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7"/>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66"/>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1,897,336.86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1,897,336.86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172,370,935.21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172,370,935.21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7"/>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14"/>
          <w:pgSz w:w="11910" w:h="16850"/>
          <w:pgMar w:footer="981" w:header="866" w:top="1040" w:bottom="1180" w:left="1000" w:right="0"/>
          <w:pgNumType w:start="13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172,370,935.21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172,370,935.21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194,282,079.00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194,282,079.00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596,002,606.82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596,002,606.82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104,047,153.71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104,047,153.71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58,410,201.45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58,410,201.45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289,199,618.78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289,199,618.78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1,033,847,352.34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1,000,116,582.84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1,206,218,287.55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1,172,487,518.05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bl>
    <w:p>
      <w:pPr>
        <w:pStyle w:val="BodyText"/>
        <w:spacing w:line="240" w:lineRule="auto" w:before="44"/>
        <w:ind w:right="939"/>
        <w:jc w:val="left"/>
      </w:pPr>
      <w:r>
        <w:rPr/>
        <w:t>调整情况说明</w:t>
      </w:r>
    </w:p>
    <w:p>
      <w:pPr>
        <w:spacing w:line="240" w:lineRule="auto" w:before="4"/>
        <w:rPr>
          <w:rFonts w:ascii="宋体" w:hAnsi="宋体" w:cs="宋体" w:eastAsia="宋体" w:hint="default"/>
          <w:sz w:val="15"/>
          <w:szCs w:val="15"/>
        </w:rPr>
      </w:pPr>
    </w:p>
    <w:p>
      <w:pPr>
        <w:pStyle w:val="BodyText"/>
        <w:spacing w:line="307" w:lineRule="auto"/>
        <w:ind w:right="939"/>
        <w:jc w:val="left"/>
      </w:pPr>
      <w:r>
        <w:rPr>
          <w:spacing w:val="-2"/>
        </w:rPr>
        <w:t>在首次执行日，公司原金融工具账面价值调整为按照新金融工具准则的规定进行分类和计量的新金融工具账面价值的调节表</w:t>
      </w:r>
      <w:r>
        <w:rPr>
          <w:spacing w:val="-58"/>
        </w:rPr>
        <w:t> </w:t>
      </w:r>
      <w:r>
        <w:rPr>
          <w:spacing w:val="-58"/>
        </w:rPr>
      </w:r>
      <w:r>
        <w:rPr/>
        <w:t>如下：</w:t>
      </w:r>
    </w:p>
    <w:p>
      <w:pPr>
        <w:spacing w:line="240" w:lineRule="auto" w:before="5"/>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892"/>
        <w:gridCol w:w="1877"/>
        <w:gridCol w:w="1893"/>
        <w:gridCol w:w="1877"/>
        <w:gridCol w:w="1892"/>
      </w:tblGrid>
      <w:tr>
        <w:trPr>
          <w:trHeight w:val="661"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0"/>
              <w:ind w:left="841" w:right="30" w:hanging="81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日账面价 值</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7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日账面</w:t>
            </w:r>
          </w:p>
          <w:p>
            <w:pPr>
              <w:pStyle w:val="TableParagraph"/>
              <w:spacing w:line="240" w:lineRule="auto" w:before="36"/>
              <w:ind w:left="15" w:right="0"/>
              <w:jc w:val="center"/>
              <w:rPr>
                <w:rFonts w:ascii="宋体" w:hAnsi="宋体" w:cs="宋体" w:eastAsia="宋体" w:hint="default"/>
                <w:sz w:val="18"/>
                <w:szCs w:val="18"/>
              </w:rPr>
            </w:pPr>
            <w:r>
              <w:rPr>
                <w:rFonts w:ascii="宋体" w:hAnsi="宋体" w:cs="宋体" w:eastAsia="宋体" w:hint="default"/>
                <w:sz w:val="18"/>
                <w:szCs w:val="18"/>
              </w:rPr>
              <w:t>价值</w:t>
            </w:r>
          </w:p>
        </w:tc>
      </w:tr>
      <w:tr>
        <w:trPr>
          <w:trHeight w:val="345"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411,063,959.91</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1,375,451.60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412,439,411.51</w:t>
            </w:r>
          </w:p>
        </w:tc>
      </w:tr>
      <w:tr>
        <w:trPr>
          <w:trHeight w:val="346"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1,375,451.60</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w w:val="95"/>
                <w:sz w:val="18"/>
              </w:rPr>
              <w:t>-1,375,451.60</w:t>
            </w:r>
            <w:r>
              <w:rPr>
                <w:rFonts w:ascii="Times New Roman"/>
                <w:sz w:val="18"/>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5"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88,579,565.00</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w w:val="95"/>
                <w:sz w:val="18"/>
              </w:rPr>
              <w:t>-88,579,565.00</w:t>
            </w:r>
            <w:r>
              <w:rPr>
                <w:rFonts w:ascii="Times New Roman"/>
                <w:sz w:val="18"/>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5"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88,579,565.00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w w:val="95"/>
                <w:sz w:val="18"/>
              </w:rPr>
              <w:t>-39,683,258.24</w:t>
            </w:r>
            <w:r>
              <w:rPr>
                <w:rFonts w:ascii="Times New Roman"/>
                <w:sz w:val="18"/>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48,896,306.76</w:t>
            </w:r>
          </w:p>
        </w:tc>
      </w:tr>
      <w:tr>
        <w:trPr>
          <w:trHeight w:val="360"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823,621.89</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5,952,488.74</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6,776,110.63</w:t>
            </w:r>
          </w:p>
        </w:tc>
      </w:tr>
      <w:tr>
        <w:trPr>
          <w:trHeight w:val="346"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5"/>
                <w:sz w:val="18"/>
              </w:rPr>
              <w:t>-33,730,769.50</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4）2019年起执行新金融工具准则或新租赁准则追溯调整前期比较数据说明" w:id="215"/>
      <w:bookmarkEnd w:id="215"/>
      <w:r>
        <w:rPr>
          <w:b w:val="0"/>
          <w:bCs w:val="0"/>
        </w:rPr>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8"/>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939"/>
        <w:jc w:val="left"/>
        <w:rPr>
          <w:b w:val="0"/>
          <w:bCs w:val="0"/>
        </w:rPr>
      </w:pPr>
      <w:bookmarkStart w:name="六、税项" w:id="216"/>
      <w:bookmarkEnd w:id="216"/>
      <w:r>
        <w:rPr>
          <w:b w:val="0"/>
          <w:bCs w:val="0"/>
        </w:rPr>
      </w:r>
      <w:r>
        <w:rPr/>
        <w:t>六、税项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9"/>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税种</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1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50"/>
              <w:ind w:right="29"/>
              <w:jc w:val="center"/>
              <w:rPr>
                <w:rFonts w:ascii="宋体" w:hAnsi="宋体" w:cs="宋体" w:eastAsia="宋体" w:hint="default"/>
                <w:sz w:val="18"/>
                <w:szCs w:val="18"/>
              </w:rPr>
            </w:pPr>
            <w:r>
              <w:rPr>
                <w:rFonts w:ascii="宋体" w:hAnsi="宋体" w:cs="宋体" w:eastAsia="宋体" w:hint="default"/>
                <w:sz w:val="18"/>
                <w:szCs w:val="18"/>
              </w:rPr>
              <w:t>应税收入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51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50"/>
              <w:ind w:right="31"/>
              <w:jc w:val="center"/>
              <w:rPr>
                <w:rFonts w:ascii="宋体" w:hAnsi="宋体" w:cs="宋体" w:eastAsia="宋体" w:hint="default"/>
                <w:sz w:val="18"/>
                <w:szCs w:val="18"/>
              </w:rPr>
            </w:pPr>
            <w:r>
              <w:rPr>
                <w:rFonts w:ascii="宋体" w:hAnsi="宋体" w:cs="宋体" w:eastAsia="宋体" w:hint="default"/>
                <w:sz w:val="18"/>
                <w:szCs w:val="18"/>
              </w:rPr>
              <w:t>应缴流转税额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r>
      <w:tr>
        <w:trPr>
          <w:trHeight w:val="51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50"/>
              <w:ind w:right="31"/>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r>
      <w:tr>
        <w:trPr>
          <w:trHeight w:val="390" w:hRule="exact"/>
        </w:trPr>
        <w:tc>
          <w:tcPr>
            <w:tcW w:w="3199" w:type="dxa"/>
            <w:tcBorders>
              <w:top w:val="single" w:sz="30" w:space="0" w:color="D2D2D2"/>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教育附加费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center"/>
              <w:rPr>
                <w:rFonts w:ascii="宋体" w:hAnsi="宋体" w:cs="宋体" w:eastAsia="宋体" w:hint="default"/>
                <w:sz w:val="18"/>
                <w:szCs w:val="18"/>
              </w:rPr>
            </w:pPr>
            <w:r>
              <w:rPr>
                <w:rFonts w:ascii="宋体" w:hAnsi="宋体" w:cs="宋体" w:eastAsia="宋体" w:hint="default"/>
                <w:sz w:val="18"/>
                <w:szCs w:val="18"/>
              </w:rPr>
              <w:t>应缴流转税额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Times New Roman" w:hAnsi="Times New Roman" w:cs="Times New Roman" w:eastAsia="Times New Roman" w:hint="default"/>
                <w:sz w:val="18"/>
                <w:szCs w:val="18"/>
              </w:rPr>
            </w:pPr>
            <w:r>
              <w:rPr>
                <w:rFonts w:ascii="Times New Roman"/>
                <w:sz w:val="18"/>
              </w:rPr>
              <w:t>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center"/>
              <w:rPr>
                <w:rFonts w:ascii="宋体" w:hAnsi="宋体" w:cs="宋体" w:eastAsia="宋体" w:hint="default"/>
                <w:sz w:val="18"/>
                <w:szCs w:val="18"/>
              </w:rPr>
            </w:pPr>
            <w:r>
              <w:rPr>
                <w:rFonts w:ascii="宋体" w:hAnsi="宋体" w:cs="宋体" w:eastAsia="宋体" w:hint="default"/>
                <w:sz w:val="18"/>
                <w:szCs w:val="18"/>
              </w:rPr>
              <w:t>应缴流转税额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利得税</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应评税利润</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bl>
    <w:p>
      <w:pPr>
        <w:pStyle w:val="BodyText"/>
        <w:spacing w:line="240" w:lineRule="auto" w:before="45"/>
        <w:ind w:right="939"/>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深圳前海乐寻坊区块链科技有限公司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四方精创</w:t>
            </w:r>
            <w:r>
              <w:rPr>
                <w:rFonts w:ascii="宋体" w:hAnsi="宋体" w:cs="宋体" w:eastAsia="宋体" w:hint="default"/>
                <w:sz w:val="18"/>
                <w:szCs w:val="18"/>
              </w:rPr>
              <w:t>(</w:t>
            </w:r>
            <w:r>
              <w:rPr>
                <w:rFonts w:ascii="宋体" w:hAnsi="宋体" w:cs="宋体" w:eastAsia="宋体" w:hint="default"/>
                <w:sz w:val="18"/>
                <w:szCs w:val="18"/>
              </w:rPr>
              <w:t>泰国</w:t>
            </w:r>
            <w:r>
              <w:rPr>
                <w:rFonts w:ascii="宋体" w:hAnsi="宋体" w:cs="宋体" w:eastAsia="宋体" w:hint="default"/>
                <w:sz w:val="18"/>
                <w:szCs w:val="18"/>
              </w:rPr>
              <w:t>)</w:t>
            </w:r>
            <w:r>
              <w:rPr>
                <w:rFonts w:ascii="宋体" w:hAnsi="宋体" w:cs="宋体" w:eastAsia="宋体" w:hint="default"/>
                <w:sz w:val="18"/>
                <w:szCs w:val="18"/>
              </w:rPr>
              <w:t>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27" w:firstLine="360"/>
        <w:jc w:val="both"/>
      </w:pPr>
      <w:r>
        <w:rPr>
          <w:spacing w:val="-2"/>
        </w:rPr>
        <w:t>本公司于</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16</w:t>
      </w:r>
      <w:r>
        <w:rPr>
          <w:spacing w:val="-2"/>
        </w:rPr>
        <w:t>日取得深圳市科技创新委员会、深圳市财政委员会、国家税务总局深圳市税务局联合颁发的编号</w:t>
      </w:r>
      <w:r>
        <w:rPr/>
        <w:t> 为</w:t>
      </w:r>
      <w:r>
        <w:rPr>
          <w:rFonts w:ascii="宋体" w:hAnsi="宋体" w:cs="宋体" w:eastAsia="宋体" w:hint="default"/>
        </w:rPr>
        <w:t>GR201844201776</w:t>
      </w:r>
      <w:r>
        <w:rPr/>
        <w:t>的《高新技术企业证书》，有效期为三年。根据企业所得税法有关规定，本公司</w:t>
      </w:r>
      <w:r>
        <w:rPr>
          <w:rFonts w:ascii="宋体" w:hAnsi="宋体" w:cs="宋体" w:eastAsia="宋体" w:hint="default"/>
        </w:rPr>
        <w:t>2018-2020</w:t>
      </w:r>
      <w:r>
        <w:rPr/>
        <w:t>年度享受国家</w:t>
      </w:r>
      <w:r>
        <w:rPr>
          <w:spacing w:val="-81"/>
        </w:rPr>
        <w:t> </w:t>
      </w:r>
      <w:r>
        <w:rPr/>
        <w:t>重点扶持的高新技术企业所得税的优惠政策，企业所得税减按</w:t>
      </w:r>
      <w:r>
        <w:rPr>
          <w:rFonts w:ascii="宋体" w:hAnsi="宋体" w:cs="宋体" w:eastAsia="宋体" w:hint="default"/>
        </w:rPr>
        <w:t>15%</w:t>
      </w:r>
      <w:r>
        <w:rPr/>
        <w:t>征收。</w:t>
      </w:r>
    </w:p>
    <w:p>
      <w:pPr>
        <w:spacing w:line="240" w:lineRule="auto" w:before="13"/>
        <w:rPr>
          <w:rFonts w:ascii="宋体" w:hAnsi="宋体" w:cs="宋体" w:eastAsia="宋体" w:hint="default"/>
          <w:sz w:val="23"/>
          <w:szCs w:val="23"/>
        </w:rPr>
      </w:pPr>
    </w:p>
    <w:p>
      <w:pPr>
        <w:pStyle w:val="Heading3"/>
        <w:spacing w:line="240" w:lineRule="auto"/>
        <w:ind w:right="939"/>
        <w:jc w:val="left"/>
        <w:rPr>
          <w:b w:val="0"/>
          <w:bCs w:val="0"/>
        </w:rPr>
      </w:pPr>
      <w:bookmarkStart w:name="3、其他" w:id="219"/>
      <w:bookmarkEnd w:id="219"/>
      <w:r>
        <w:rPr>
          <w:b w:val="0"/>
          <w:bCs w:val="0"/>
        </w:rPr>
      </w:r>
      <w:r>
        <w:rPr>
          <w:rFonts w:ascii="Times New Roman" w:hAnsi="Times New Roman" w:cs="Times New Roman" w:eastAsia="Times New Roman" w:hint="default"/>
        </w:rPr>
        <w:t>3</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1094" w:firstLine="360"/>
        <w:jc w:val="both"/>
      </w:pPr>
      <w:r>
        <w:rPr>
          <w:spacing w:val="-6"/>
        </w:rPr>
        <w:t>（</w:t>
      </w:r>
      <w:r>
        <w:rPr>
          <w:rFonts w:ascii="宋体" w:hAnsi="宋体" w:cs="宋体" w:eastAsia="宋体" w:hint="default"/>
          <w:spacing w:val="-6"/>
        </w:rPr>
        <w:t>1</w:t>
      </w:r>
      <w:r>
        <w:rPr>
          <w:spacing w:val="-6"/>
        </w:rPr>
        <w:t>）根据国家税务总局深圳市税务局《财政部</w:t>
      </w:r>
      <w:r>
        <w:rPr>
          <w:spacing w:val="30"/>
        </w:rPr>
        <w:t> </w:t>
      </w:r>
      <w:r>
        <w:rPr>
          <w:spacing w:val="-4"/>
        </w:rPr>
        <w:t>国家税务总局关于全面推开营业税改征增值税试点的通知》财税（</w:t>
      </w:r>
      <w:r>
        <w:rPr>
          <w:rFonts w:ascii="宋体" w:hAnsi="宋体" w:cs="宋体" w:eastAsia="宋体" w:hint="default"/>
          <w:spacing w:val="-4"/>
        </w:rPr>
        <w:t>2016</w:t>
      </w:r>
      <w:r>
        <w:rPr>
          <w:spacing w:val="-4"/>
        </w:rPr>
        <w:t>）</w:t>
      </w:r>
      <w:r>
        <w:rPr/>
        <w:t> </w:t>
      </w:r>
      <w:r>
        <w:rPr>
          <w:rFonts w:ascii="宋体" w:hAnsi="宋体" w:cs="宋体" w:eastAsia="宋体" w:hint="default"/>
        </w:rPr>
        <w:t>36</w:t>
      </w:r>
      <w:r>
        <w:rPr/>
        <w:t>号附件</w:t>
      </w:r>
      <w:r>
        <w:rPr>
          <w:rFonts w:ascii="宋体" w:hAnsi="宋体" w:cs="宋体" w:eastAsia="宋体" w:hint="default"/>
        </w:rPr>
        <w:t>3</w:t>
      </w:r>
      <w:r>
        <w:rPr/>
        <w:t>第一条第（二十六）款对公司技术转让、技术开发业务取得的收入，如实申报可享受免征增值税。</w:t>
      </w:r>
    </w:p>
    <w:p>
      <w:pPr>
        <w:pStyle w:val="BodyText"/>
        <w:spacing w:line="321" w:lineRule="auto" w:before="151"/>
        <w:ind w:right="1096" w:firstLine="360"/>
        <w:jc w:val="both"/>
      </w:pPr>
      <w:r>
        <w:rPr>
          <w:spacing w:val="-1"/>
        </w:rPr>
        <w:t>（</w:t>
      </w:r>
      <w:r>
        <w:rPr>
          <w:rFonts w:ascii="宋体" w:hAnsi="宋体" w:cs="宋体" w:eastAsia="宋体" w:hint="default"/>
          <w:spacing w:val="-1"/>
        </w:rPr>
        <w:t>2</w:t>
      </w:r>
      <w:r>
        <w:rPr>
          <w:spacing w:val="-1"/>
        </w:rPr>
        <w:t>）根据香港新修订的税务条例，对于</w:t>
      </w:r>
      <w:r>
        <w:rPr>
          <w:rFonts w:ascii="宋体" w:hAnsi="宋体" w:cs="宋体" w:eastAsia="宋体" w:hint="default"/>
          <w:spacing w:val="-1"/>
        </w:rPr>
        <w:t>2018</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w:t>
      </w:r>
      <w:r>
        <w:rPr>
          <w:spacing w:val="-1"/>
        </w:rPr>
        <w:t>日之后开始的课税年度，首</w:t>
      </w:r>
      <w:r>
        <w:rPr>
          <w:rFonts w:ascii="宋体" w:hAnsi="宋体" w:cs="宋体" w:eastAsia="宋体" w:hint="default"/>
          <w:spacing w:val="-1"/>
        </w:rPr>
        <w:t>200</w:t>
      </w:r>
      <w:r>
        <w:rPr>
          <w:spacing w:val="-1"/>
        </w:rPr>
        <w:t>万利润利得税税率为</w:t>
      </w:r>
      <w:r>
        <w:rPr>
          <w:rFonts w:ascii="宋体" w:hAnsi="宋体" w:cs="宋体" w:eastAsia="宋体" w:hint="default"/>
          <w:spacing w:val="-1"/>
        </w:rPr>
        <w:t>8.25%</w:t>
      </w:r>
      <w:r>
        <w:rPr>
          <w:spacing w:val="-1"/>
        </w:rPr>
        <w:t>，超过</w:t>
      </w:r>
      <w:r>
        <w:rPr>
          <w:rFonts w:ascii="宋体" w:hAnsi="宋体" w:cs="宋体" w:eastAsia="宋体" w:hint="default"/>
          <w:spacing w:val="-1"/>
        </w:rPr>
        <w:t>200</w:t>
      </w:r>
      <w:r>
        <w:rPr>
          <w:rFonts w:ascii="宋体" w:hAnsi="宋体" w:cs="宋体" w:eastAsia="宋体" w:hint="default"/>
        </w:rPr>
        <w:t> </w:t>
      </w:r>
      <w:r>
        <w:rPr/>
        <w:t>万部分利润按照</w:t>
      </w:r>
      <w:r>
        <w:rPr>
          <w:rFonts w:ascii="宋体" w:hAnsi="宋体" w:cs="宋体" w:eastAsia="宋体" w:hint="default"/>
        </w:rPr>
        <w:t>16.5%</w:t>
      </w:r>
      <w:r>
        <w:rPr/>
        <w:t>征税。本公司之子公司四方精创资讯</w:t>
      </w:r>
      <w:r>
        <w:rPr>
          <w:rFonts w:ascii="宋体" w:hAnsi="宋体" w:cs="宋体" w:eastAsia="宋体" w:hint="default"/>
        </w:rPr>
        <w:t>(</w:t>
      </w:r>
      <w:r>
        <w:rPr/>
        <w:t>香港</w:t>
      </w:r>
      <w:r>
        <w:rPr>
          <w:rFonts w:ascii="宋体" w:hAnsi="宋体" w:cs="宋体" w:eastAsia="宋体" w:hint="default"/>
        </w:rPr>
        <w:t>)</w:t>
      </w:r>
      <w:r>
        <w:rPr/>
        <w:t>有限公司适用该利得税条例。</w:t>
      </w:r>
    </w:p>
    <w:p>
      <w:pPr>
        <w:pStyle w:val="BodyText"/>
        <w:spacing w:line="316" w:lineRule="auto" w:before="138"/>
        <w:ind w:right="1126" w:firstLine="360"/>
        <w:jc w:val="both"/>
      </w:pPr>
      <w:r>
        <w:rPr>
          <w:spacing w:val="-2"/>
        </w:rPr>
        <w:t>（</w:t>
      </w:r>
      <w:r>
        <w:rPr>
          <w:rFonts w:ascii="宋体" w:hAnsi="宋体" w:cs="宋体" w:eastAsia="宋体" w:hint="default"/>
          <w:spacing w:val="-2"/>
        </w:rPr>
        <w:t>3</w:t>
      </w:r>
      <w:r>
        <w:rPr>
          <w:spacing w:val="-2"/>
        </w:rPr>
        <w:t>）根据泰国所得税相关条例，注册资本少于</w:t>
      </w:r>
      <w:r>
        <w:rPr>
          <w:rFonts w:ascii="宋体" w:hAnsi="宋体" w:cs="宋体" w:eastAsia="宋体" w:hint="default"/>
          <w:spacing w:val="-2"/>
        </w:rPr>
        <w:t>500</w:t>
      </w:r>
      <w:r>
        <w:rPr>
          <w:spacing w:val="-2"/>
        </w:rPr>
        <w:t>万泰铢及收入少于</w:t>
      </w:r>
      <w:r>
        <w:rPr>
          <w:rFonts w:ascii="宋体" w:hAnsi="宋体" w:cs="宋体" w:eastAsia="宋体" w:hint="default"/>
          <w:spacing w:val="-2"/>
        </w:rPr>
        <w:t>3000</w:t>
      </w:r>
      <w:r>
        <w:rPr>
          <w:spacing w:val="-2"/>
        </w:rPr>
        <w:t>万泰铢的公司视为中小企业，执行中小企业所</w:t>
      </w:r>
      <w:r>
        <w:rPr/>
        <w:t> </w:t>
      </w:r>
      <w:r>
        <w:rPr>
          <w:spacing w:val="-3"/>
        </w:rPr>
        <w:t>得税税率。若中小企业利润总额小于等于</w:t>
      </w:r>
      <w:r>
        <w:rPr>
          <w:rFonts w:ascii="宋体" w:hAnsi="宋体" w:cs="宋体" w:eastAsia="宋体" w:hint="default"/>
          <w:spacing w:val="-3"/>
        </w:rPr>
        <w:t>30</w:t>
      </w:r>
      <w:r>
        <w:rPr>
          <w:spacing w:val="-3"/>
        </w:rPr>
        <w:t>万泰铢，税率所得税税率为</w:t>
      </w:r>
      <w:r>
        <w:rPr>
          <w:rFonts w:ascii="宋体" w:hAnsi="宋体" w:cs="宋体" w:eastAsia="宋体" w:hint="default"/>
          <w:spacing w:val="-3"/>
        </w:rPr>
        <w:t>0</w:t>
      </w:r>
      <w:r>
        <w:rPr>
          <w:spacing w:val="-3"/>
        </w:rPr>
        <w:t>，利润总额为</w:t>
      </w:r>
      <w:r>
        <w:rPr>
          <w:rFonts w:ascii="宋体" w:hAnsi="宋体" w:cs="宋体" w:eastAsia="宋体" w:hint="default"/>
          <w:spacing w:val="-3"/>
        </w:rPr>
        <w:t>30</w:t>
      </w:r>
      <w:r>
        <w:rPr>
          <w:spacing w:val="-3"/>
        </w:rPr>
        <w:t>万至</w:t>
      </w:r>
      <w:r>
        <w:rPr>
          <w:rFonts w:ascii="宋体" w:hAnsi="宋体" w:cs="宋体" w:eastAsia="宋体" w:hint="default"/>
          <w:spacing w:val="-3"/>
        </w:rPr>
        <w:t>300</w:t>
      </w:r>
      <w:r>
        <w:rPr>
          <w:spacing w:val="-3"/>
        </w:rPr>
        <w:t>万泰铢，所得税税率为</w:t>
      </w:r>
      <w:r>
        <w:rPr>
          <w:rFonts w:ascii="宋体" w:hAnsi="宋体" w:cs="宋体" w:eastAsia="宋体" w:hint="default"/>
          <w:spacing w:val="-3"/>
        </w:rPr>
        <w:t>15%</w:t>
      </w:r>
      <w:r>
        <w:rPr>
          <w:spacing w:val="-3"/>
        </w:rPr>
        <w:t>，</w:t>
      </w:r>
      <w:r>
        <w:rPr>
          <w:spacing w:val="-82"/>
        </w:rPr>
        <w:t> </w:t>
      </w:r>
      <w:r>
        <w:rPr/>
        <w:t>利润总额大于</w:t>
      </w:r>
      <w:r>
        <w:rPr>
          <w:rFonts w:ascii="宋体" w:hAnsi="宋体" w:cs="宋体" w:eastAsia="宋体" w:hint="default"/>
        </w:rPr>
        <w:t>300</w:t>
      </w:r>
      <w:r>
        <w:rPr/>
        <w:t>万泰铢，所得税税率为</w:t>
      </w:r>
      <w:r>
        <w:rPr>
          <w:rFonts w:ascii="宋体" w:hAnsi="宋体" w:cs="宋体" w:eastAsia="宋体" w:hint="default"/>
        </w:rPr>
        <w:t>20%</w:t>
      </w:r>
      <w:r>
        <w:rPr/>
        <w:t>。四方精创</w:t>
      </w:r>
      <w:r>
        <w:rPr>
          <w:rFonts w:ascii="宋体" w:hAnsi="宋体" w:cs="宋体" w:eastAsia="宋体" w:hint="default"/>
        </w:rPr>
        <w:t>(</w:t>
      </w:r>
      <w:r>
        <w:rPr/>
        <w:t>泰国</w:t>
      </w:r>
      <w:r>
        <w:rPr>
          <w:rFonts w:ascii="宋体" w:hAnsi="宋体" w:cs="宋体" w:eastAsia="宋体" w:hint="default"/>
        </w:rPr>
        <w:t>)</w:t>
      </w:r>
      <w:r>
        <w:rPr/>
        <w:t>有限公司注册资本为</w:t>
      </w:r>
      <w:r>
        <w:rPr>
          <w:rFonts w:ascii="宋体" w:hAnsi="宋体" w:cs="宋体" w:eastAsia="宋体" w:hint="default"/>
        </w:rPr>
        <w:t>400</w:t>
      </w:r>
      <w:r>
        <w:rPr/>
        <w:t>万泰铢且</w:t>
      </w:r>
      <w:r>
        <w:rPr>
          <w:rFonts w:ascii="宋体" w:hAnsi="宋体" w:cs="宋体" w:eastAsia="宋体" w:hint="default"/>
        </w:rPr>
        <w:t>2019</w:t>
      </w:r>
      <w:r>
        <w:rPr/>
        <w:t>年没有收入，因此</w:t>
      </w:r>
      <w:r>
        <w:rPr>
          <w:rFonts w:ascii="宋体" w:hAnsi="宋体" w:cs="宋体" w:eastAsia="宋体" w:hint="default"/>
        </w:rPr>
        <w:t>2019</w:t>
      </w:r>
      <w:r>
        <w:rPr>
          <w:rFonts w:ascii="宋体" w:hAnsi="宋体" w:cs="宋体" w:eastAsia="宋体" w:hint="default"/>
          <w:spacing w:val="-82"/>
        </w:rPr>
        <w:t> </w:t>
      </w:r>
      <w:r>
        <w:rPr/>
        <w:t>年按照中小企业所得税税率纳税。</w:t>
      </w:r>
    </w:p>
    <w:p>
      <w:pPr>
        <w:spacing w:after="0" w:line="316" w:lineRule="auto"/>
        <w:jc w:val="both"/>
        <w:sectPr>
          <w:pgSz w:w="11910" w:h="16850"/>
          <w:pgMar w:header="866"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939"/>
        <w:jc w:val="left"/>
        <w:rPr>
          <w:b w:val="0"/>
          <w:bCs w:val="0"/>
        </w:rPr>
      </w:pPr>
      <w:bookmarkStart w:name="七、合并财务报表项目注释" w:id="220"/>
      <w:bookmarkEnd w:id="220"/>
      <w:r>
        <w:rPr>
          <w:b w:val="0"/>
          <w:bCs w:val="0"/>
        </w:rPr>
      </w:r>
      <w:r>
        <w:rPr/>
        <w:t>七、合并财务报表项目注释</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货币资金" w:id="221"/>
      <w:bookmarkEnd w:id="22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72,481.24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56,880.43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525,975,672.30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533,573,535.52</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873,899.00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2,092,600.00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526,922,052.54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535,723,015.95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177,544,174.38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121,366,650.62</w:t>
            </w:r>
          </w:p>
        </w:tc>
      </w:tr>
    </w:tbl>
    <w:p>
      <w:pPr>
        <w:pStyle w:val="BodyText"/>
        <w:spacing w:line="240" w:lineRule="auto" w:before="44"/>
        <w:ind w:right="939"/>
        <w:jc w:val="left"/>
      </w:pPr>
      <w:r>
        <w:rPr/>
        <w:t>其他说明</w:t>
      </w:r>
    </w:p>
    <w:p>
      <w:pPr>
        <w:spacing w:line="240" w:lineRule="auto" w:before="4"/>
        <w:rPr>
          <w:rFonts w:ascii="宋体" w:hAnsi="宋体" w:cs="宋体" w:eastAsia="宋体" w:hint="default"/>
          <w:sz w:val="15"/>
          <w:szCs w:val="15"/>
        </w:rPr>
      </w:pPr>
    </w:p>
    <w:p>
      <w:pPr>
        <w:pStyle w:val="BodyText"/>
        <w:spacing w:line="240" w:lineRule="auto"/>
        <w:ind w:left="621" w:right="939"/>
        <w:jc w:val="left"/>
      </w:pPr>
      <w:r>
        <w:rPr/>
        <w:t>因抵押、质押或冻结等对使用有限制，以及放在境外且资金汇回受到限制的货币资金明细如下：</w:t>
      </w:r>
    </w:p>
    <w:p>
      <w:pPr>
        <w:spacing w:line="240" w:lineRule="auto" w:before="1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0" w:lineRule="exact"/>
              <w:ind w:left="15"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2"/>
              <w:ind w:right="59"/>
              <w:jc w:val="right"/>
              <w:rPr>
                <w:rFonts w:ascii="Times New Roman" w:hAnsi="Times New Roman" w:cs="Times New Roman" w:eastAsia="Times New Roman" w:hint="default"/>
                <w:sz w:val="18"/>
                <w:szCs w:val="18"/>
              </w:rPr>
            </w:pPr>
            <w:r>
              <w:rPr>
                <w:rFonts w:ascii="Times New Roman"/>
                <w:sz w:val="18"/>
              </w:rPr>
              <w:t>873,899.00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59"/>
              <w:jc w:val="right"/>
              <w:rPr>
                <w:rFonts w:ascii="Times New Roman" w:hAnsi="Times New Roman" w:cs="Times New Roman" w:eastAsia="Times New Roman" w:hint="default"/>
                <w:sz w:val="18"/>
                <w:szCs w:val="18"/>
              </w:rPr>
            </w:pPr>
            <w:r>
              <w:rPr>
                <w:rFonts w:ascii="Times New Roman"/>
                <w:sz w:val="18"/>
              </w:rPr>
              <w:t>2,092,600.00</w:t>
            </w:r>
          </w:p>
        </w:tc>
      </w:tr>
      <w:tr>
        <w:trPr>
          <w:trHeight w:val="31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7"/>
              <w:ind w:right="59"/>
              <w:jc w:val="right"/>
              <w:rPr>
                <w:rFonts w:ascii="Times New Roman" w:hAnsi="Times New Roman" w:cs="Times New Roman" w:eastAsia="Times New Roman" w:hint="default"/>
                <w:sz w:val="18"/>
                <w:szCs w:val="18"/>
              </w:rPr>
            </w:pPr>
            <w:r>
              <w:rPr>
                <w:rFonts w:ascii="Times New Roman"/>
                <w:sz w:val="18"/>
              </w:rPr>
              <w:t>873,899.00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59"/>
              <w:jc w:val="right"/>
              <w:rPr>
                <w:rFonts w:ascii="Times New Roman" w:hAnsi="Times New Roman" w:cs="Times New Roman" w:eastAsia="Times New Roman" w:hint="default"/>
                <w:sz w:val="18"/>
                <w:szCs w:val="18"/>
              </w:rPr>
            </w:pPr>
            <w:r>
              <w:rPr>
                <w:rFonts w:ascii="Times New Roman"/>
                <w:sz w:val="18"/>
              </w:rPr>
              <w:t>2,092,600.00</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应收账款" w:id="222"/>
      <w:bookmarkEnd w:id="222"/>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应收账款分类披露" w:id="223"/>
      <w:bookmarkEnd w:id="22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391"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6"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73"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left="82" w:right="0"/>
              <w:jc w:val="left"/>
              <w:rPr>
                <w:rFonts w:ascii="Times New Roman" w:hAnsi="Times New Roman" w:cs="Times New Roman" w:eastAsia="Times New Roman" w:hint="default"/>
                <w:sz w:val="18"/>
                <w:szCs w:val="18"/>
              </w:rPr>
            </w:pPr>
            <w:r>
              <w:rPr>
                <w:rFonts w:ascii="Times New Roman"/>
                <w:sz w:val="18"/>
              </w:rPr>
              <w:t>1,962,60</w:t>
            </w:r>
          </w:p>
          <w:p>
            <w:pPr>
              <w:pStyle w:val="TableParagraph"/>
              <w:spacing w:line="240" w:lineRule="auto" w:before="108"/>
              <w:ind w:left="397" w:right="0"/>
              <w:jc w:val="left"/>
              <w:rPr>
                <w:rFonts w:ascii="Times New Roman" w:hAnsi="Times New Roman" w:cs="Times New Roman" w:eastAsia="Times New Roman" w:hint="default"/>
                <w:sz w:val="18"/>
                <w:szCs w:val="18"/>
              </w:rPr>
            </w:pPr>
            <w:r>
              <w:rPr>
                <w:rFonts w:ascii="Times New Roman"/>
                <w:sz w:val="18"/>
              </w:rPr>
              <w:t>2.53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1.07%</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9" w:right="0"/>
              <w:jc w:val="left"/>
              <w:rPr>
                <w:rFonts w:ascii="Times New Roman" w:hAnsi="Times New Roman" w:cs="Times New Roman" w:eastAsia="Times New Roman" w:hint="default"/>
                <w:sz w:val="18"/>
                <w:szCs w:val="18"/>
              </w:rPr>
            </w:pPr>
            <w:r>
              <w:rPr>
                <w:rFonts w:ascii="Times New Roman"/>
                <w:sz w:val="18"/>
              </w:rPr>
              <w:t>1,962,60</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2.53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1,962,602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0.98%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1,962,602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180,652,</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557.94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98.93%</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4,756,93</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7.16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175,895,6</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20.78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198,621,9</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27.95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99.02%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5,113,576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2.57%</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193,508,35</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1.03</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国内客户组合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122,004,</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179.11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66.81%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3,583,96</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9.58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2.94%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118,420,2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09.53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left"/>
              <w:rPr>
                <w:rFonts w:ascii="Times New Roman" w:hAnsi="Times New Roman" w:cs="Times New Roman" w:eastAsia="Times New Roman" w:hint="default"/>
                <w:sz w:val="18"/>
                <w:szCs w:val="18"/>
              </w:rPr>
            </w:pPr>
            <w:r>
              <w:rPr>
                <w:rFonts w:ascii="Times New Roman"/>
                <w:sz w:val="18"/>
              </w:rPr>
              <w:t>111,170,3</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75.38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55.42%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3,364,545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3.03%</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107,805,82</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9.51</w:t>
            </w: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国外客户组合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58,648,3</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78.83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32.12%</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1,172,96</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7.58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57,475,41</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1.25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87,451,55</w:t>
            </w:r>
          </w:p>
          <w:p>
            <w:pPr>
              <w:pStyle w:val="TableParagraph"/>
              <w:spacing w:line="240" w:lineRule="auto" w:before="108"/>
              <w:ind w:left="420" w:right="0"/>
              <w:jc w:val="left"/>
              <w:rPr>
                <w:rFonts w:ascii="Times New Roman" w:hAnsi="Times New Roman" w:cs="Times New Roman" w:eastAsia="Times New Roman" w:hint="default"/>
                <w:sz w:val="18"/>
                <w:szCs w:val="18"/>
              </w:rPr>
            </w:pPr>
            <w:r>
              <w:rPr>
                <w:rFonts w:ascii="Times New Roman"/>
                <w:sz w:val="18"/>
              </w:rPr>
              <w:t>2.57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43.60%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1,749,031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85,702,521.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52</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182,615,</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160.47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6,719,53</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9.69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3.68%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175,895,6</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20.78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200,584,5</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30.48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7,076,179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3.53%</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193,508,35</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1.03</w:t>
            </w:r>
          </w:p>
        </w:tc>
      </w:tr>
    </w:tbl>
    <w:p>
      <w:pPr>
        <w:pStyle w:val="BodyText"/>
        <w:spacing w:line="240" w:lineRule="auto" w:before="44"/>
        <w:ind w:right="939"/>
        <w:jc w:val="left"/>
      </w:pPr>
      <w:r>
        <w:rPr/>
        <w:t>按单项计提坏账准备：</w:t>
      </w:r>
    </w:p>
    <w:p>
      <w:pPr>
        <w:pStyle w:val="BodyText"/>
        <w:spacing w:line="240" w:lineRule="auto" w:before="110"/>
        <w:ind w:left="0" w:right="1109"/>
        <w:jc w:val="right"/>
      </w:pPr>
      <w:r>
        <w:rPr/>
        <w:t>单位： 元</w:t>
      </w:r>
    </w:p>
    <w:p>
      <w:pPr>
        <w:spacing w:after="0" w:line="240" w:lineRule="auto"/>
        <w:jc w:val="right"/>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1,569,400.00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1,569,400.00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163,202.53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163,202.53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1,962,602.53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1,962,602.53</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939"/>
        <w:jc w:val="left"/>
      </w:pPr>
      <w:r>
        <w:rPr/>
        <w:t>按组合计提坏账准备：国内客户组合</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115,811,203.34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1,984,658.86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1.71%</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5,294,200.81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813,388.58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15.36%</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198,774.96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85,922.14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43.23%</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122,004,179.11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3,583,969.58</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939"/>
        <w:jc w:val="left"/>
      </w:pPr>
      <w:r>
        <w:rPr/>
        <w:t>组合计提坏账准备：国外客户组合</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58,648,378.83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1,172,967.58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58,648,378.83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1,172,967.58</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939"/>
        <w:jc w:val="left"/>
      </w:pPr>
      <w:r>
        <w:rPr/>
        <w:t>如是按照预期信用损失一般模型计提应收账款坏账准备，请参照其他应收款的披露方式披露坏账准备的相关信息：</w:t>
      </w:r>
    </w:p>
    <w:p>
      <w:pPr>
        <w:pStyle w:val="BodyText"/>
        <w:spacing w:line="319"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按账龄披露</w:t>
      </w:r>
    </w:p>
    <w:p>
      <w:pPr>
        <w:pStyle w:val="BodyText"/>
        <w:spacing w:line="240" w:lineRule="auto" w:before="65"/>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84"/>
        <w:gridCol w:w="4791"/>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174,459,582.17</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6,863,600.81</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428,774.96</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863,202.53</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182,615,160.47</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本期计提、收回或转回的坏账准备情况" w:id="224"/>
      <w:bookmarkEnd w:id="2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939"/>
        <w:jc w:val="left"/>
      </w:pPr>
      <w:r>
        <w:rPr/>
        <w:t>本期计提坏账准备情况：</w:t>
      </w:r>
    </w:p>
    <w:p>
      <w:pPr>
        <w:spacing w:after="0" w:line="240" w:lineRule="auto"/>
        <w:jc w:val="left"/>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类别</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7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6"/>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计提</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60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单项计提客户</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1,962,602.53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1,962,602.53</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国内客户组合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3,364,545.87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219,423.71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3,583,969.58</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国外客户组合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1,749,031.05</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576,063.47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1,172,967.58</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7,076,179.45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219,423.71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576,063.47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6,719,539.69</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本期实际核销的应收账款情况" w:id="225"/>
      <w:bookmarkEnd w:id="22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本报告期无实际核销的应收账款。</w:t>
      </w:r>
    </w:p>
    <w:p>
      <w:pPr>
        <w:spacing w:line="240" w:lineRule="auto" w:before="0"/>
        <w:rPr>
          <w:rFonts w:ascii="宋体" w:hAnsi="宋体" w:cs="宋体" w:eastAsia="宋体" w:hint="default"/>
          <w:sz w:val="18"/>
          <w:szCs w:val="18"/>
        </w:rPr>
      </w:pPr>
    </w:p>
    <w:p>
      <w:pPr>
        <w:pStyle w:val="Heading3"/>
        <w:spacing w:line="240" w:lineRule="auto" w:before="140"/>
        <w:ind w:right="939"/>
        <w:jc w:val="left"/>
        <w:rPr>
          <w:b w:val="0"/>
          <w:bCs w:val="0"/>
        </w:rPr>
      </w:pPr>
      <w:bookmarkStart w:name="（4）按欠款方归集的期末余额前五名的应收账款情况" w:id="226"/>
      <w:bookmarkEnd w:id="22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72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066" w:right="92"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86,519,023.88</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47.38%</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3,025,180.83</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32,192,135.71</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17.63%</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643,842.71</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11,335,659.23</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6.21%</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226,713.18</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4,315,076.44</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2.36%</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86,301.53</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4,071,126.09</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2.23%</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514,325.20</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138,433,021.35</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75.81%</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5）因金融资产转移而终止确认的应收账款" w:id="227"/>
      <w:bookmarkEnd w:id="22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本报告期无因金融资产转移而终止确认的应收账款。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939"/>
        <w:jc w:val="left"/>
        <w:rPr>
          <w:b w:val="0"/>
          <w:bCs w:val="0"/>
        </w:rPr>
      </w:pPr>
      <w:bookmarkStart w:name="（6）转移应收账款且继续涉入形成的资产、负债金额" w:id="228"/>
      <w:bookmarkEnd w:id="22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939"/>
        <w:jc w:val="left"/>
      </w:pPr>
      <w:r>
        <w:rPr/>
        <w:t>本报告期无转移应收账款且继续涉入形成的资产、负债金额。</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3、预付款项" w:id="229"/>
      <w:bookmarkEnd w:id="229"/>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预付款项按账龄列示" w:id="230"/>
      <w:bookmarkEnd w:id="23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08"/>
        <w:gridCol w:w="1922"/>
        <w:gridCol w:w="1922"/>
      </w:tblGrid>
      <w:tr>
        <w:trPr>
          <w:trHeight w:val="405"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3,091,440.25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65.72%</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4,482,111.97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46" w:right="0"/>
              <w:jc w:val="left"/>
              <w:rPr>
                <w:rFonts w:ascii="Times New Roman" w:hAnsi="Times New Roman" w:cs="Times New Roman" w:eastAsia="Times New Roman" w:hint="default"/>
                <w:sz w:val="18"/>
                <w:szCs w:val="18"/>
              </w:rPr>
            </w:pPr>
            <w:r>
              <w:rPr>
                <w:rFonts w:ascii="Times New Roman"/>
                <w:sz w:val="18"/>
              </w:rPr>
              <w:t>100.00%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1,612,440.00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34.28%</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4,703,880.25</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4,482,111.97</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按预付对象归集的期末余额前五名的预付款情况" w:id="231"/>
      <w:bookmarkEnd w:id="23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1982"/>
        <w:gridCol w:w="4085"/>
        <w:gridCol w:w="3409"/>
      </w:tblGrid>
      <w:tr>
        <w:trPr>
          <w:trHeight w:val="406"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40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89"/>
              <w:jc w:val="right"/>
              <w:rPr>
                <w:rFonts w:ascii="宋体" w:hAnsi="宋体" w:cs="宋体" w:eastAsia="宋体" w:hint="default"/>
                <w:sz w:val="18"/>
                <w:szCs w:val="18"/>
              </w:rPr>
            </w:pPr>
            <w:r>
              <w:rPr>
                <w:rFonts w:ascii="宋体" w:hAnsi="宋体" w:cs="宋体" w:eastAsia="宋体" w:hint="default"/>
                <w:sz w:val="18"/>
                <w:szCs w:val="18"/>
              </w:rPr>
              <w:t>占预付账款期末余额合计数的比例（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4"/>
              <w:jc w:val="right"/>
              <w:rPr>
                <w:rFonts w:ascii="宋体" w:hAnsi="宋体" w:cs="宋体" w:eastAsia="宋体" w:hint="default"/>
                <w:sz w:val="18"/>
                <w:szCs w:val="18"/>
              </w:rPr>
            </w:pPr>
            <w:r>
              <w:rPr>
                <w:rFonts w:ascii="宋体"/>
                <w:sz w:val="18"/>
              </w:rPr>
              <w:t>1,612,440.00</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4"/>
              <w:jc w:val="right"/>
              <w:rPr>
                <w:rFonts w:ascii="宋体" w:hAnsi="宋体" w:cs="宋体" w:eastAsia="宋体" w:hint="default"/>
                <w:sz w:val="18"/>
                <w:szCs w:val="18"/>
              </w:rPr>
            </w:pPr>
            <w:r>
              <w:rPr>
                <w:rFonts w:ascii="宋体"/>
                <w:sz w:val="18"/>
              </w:rPr>
              <w:t>34.29%</w:t>
            </w:r>
          </w:p>
        </w:tc>
      </w:tr>
      <w:tr>
        <w:trPr>
          <w:trHeight w:val="31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44"/>
              <w:jc w:val="right"/>
              <w:rPr>
                <w:rFonts w:ascii="宋体" w:hAnsi="宋体" w:cs="宋体" w:eastAsia="宋体" w:hint="default"/>
                <w:sz w:val="18"/>
                <w:szCs w:val="18"/>
              </w:rPr>
            </w:pPr>
            <w:r>
              <w:rPr>
                <w:rFonts w:ascii="宋体"/>
                <w:sz w:val="18"/>
              </w:rPr>
              <w:t>1,235,900.00</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44"/>
              <w:jc w:val="right"/>
              <w:rPr>
                <w:rFonts w:ascii="宋体" w:hAnsi="宋体" w:cs="宋体" w:eastAsia="宋体" w:hint="default"/>
                <w:sz w:val="18"/>
                <w:szCs w:val="18"/>
              </w:rPr>
            </w:pPr>
            <w:r>
              <w:rPr>
                <w:rFonts w:ascii="宋体"/>
                <w:sz w:val="18"/>
              </w:rPr>
              <w:t>26.27%</w:t>
            </w:r>
          </w:p>
        </w:tc>
      </w:tr>
      <w:tr>
        <w:trPr>
          <w:trHeight w:val="33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4"/>
              <w:jc w:val="right"/>
              <w:rPr>
                <w:rFonts w:ascii="宋体" w:hAnsi="宋体" w:cs="宋体" w:eastAsia="宋体" w:hint="default"/>
                <w:sz w:val="18"/>
                <w:szCs w:val="18"/>
              </w:rPr>
            </w:pPr>
            <w:r>
              <w:rPr>
                <w:rFonts w:ascii="宋体"/>
                <w:sz w:val="18"/>
              </w:rPr>
              <w:t>354,400.00</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4"/>
              <w:jc w:val="right"/>
              <w:rPr>
                <w:rFonts w:ascii="宋体" w:hAnsi="宋体" w:cs="宋体" w:eastAsia="宋体" w:hint="default"/>
                <w:sz w:val="18"/>
                <w:szCs w:val="18"/>
              </w:rPr>
            </w:pPr>
            <w:r>
              <w:rPr>
                <w:rFonts w:ascii="宋体"/>
                <w:sz w:val="18"/>
              </w:rPr>
              <w:t>7.53%</w:t>
            </w:r>
          </w:p>
        </w:tc>
      </w:tr>
      <w:tr>
        <w:trPr>
          <w:trHeight w:val="31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44"/>
              <w:jc w:val="right"/>
              <w:rPr>
                <w:rFonts w:ascii="宋体" w:hAnsi="宋体" w:cs="宋体" w:eastAsia="宋体" w:hint="default"/>
                <w:sz w:val="18"/>
                <w:szCs w:val="18"/>
              </w:rPr>
            </w:pPr>
            <w:r>
              <w:rPr>
                <w:rFonts w:ascii="宋体"/>
                <w:sz w:val="18"/>
              </w:rPr>
              <w:t>247,000.00</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44"/>
              <w:jc w:val="right"/>
              <w:rPr>
                <w:rFonts w:ascii="宋体" w:hAnsi="宋体" w:cs="宋体" w:eastAsia="宋体" w:hint="default"/>
                <w:sz w:val="18"/>
                <w:szCs w:val="18"/>
              </w:rPr>
            </w:pPr>
            <w:r>
              <w:rPr>
                <w:rFonts w:ascii="宋体"/>
                <w:sz w:val="18"/>
              </w:rPr>
              <w:t>5.25%</w:t>
            </w:r>
          </w:p>
        </w:tc>
      </w:tr>
      <w:tr>
        <w:trPr>
          <w:trHeight w:val="33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4"/>
              <w:jc w:val="right"/>
              <w:rPr>
                <w:rFonts w:ascii="宋体" w:hAnsi="宋体" w:cs="宋体" w:eastAsia="宋体" w:hint="default"/>
                <w:sz w:val="18"/>
                <w:szCs w:val="18"/>
              </w:rPr>
            </w:pPr>
            <w:r>
              <w:rPr>
                <w:rFonts w:ascii="宋体"/>
                <w:sz w:val="18"/>
              </w:rPr>
              <w:t>191,176.05</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4"/>
              <w:jc w:val="right"/>
              <w:rPr>
                <w:rFonts w:ascii="宋体" w:hAnsi="宋体" w:cs="宋体" w:eastAsia="宋体" w:hint="default"/>
                <w:sz w:val="18"/>
                <w:szCs w:val="18"/>
              </w:rPr>
            </w:pPr>
            <w:r>
              <w:rPr>
                <w:rFonts w:ascii="宋体"/>
                <w:sz w:val="18"/>
              </w:rPr>
              <w:t>4.06%</w:t>
            </w:r>
          </w:p>
        </w:tc>
      </w:tr>
      <w:tr>
        <w:trPr>
          <w:trHeight w:val="316"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tabs>
                <w:tab w:pos="1201" w:val="left" w:leader="none"/>
              </w:tabs>
              <w:spacing w:line="221" w:lineRule="exact"/>
              <w:ind w:left="57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085"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4"/>
              <w:jc w:val="right"/>
              <w:rPr>
                <w:rFonts w:ascii="宋体" w:hAnsi="宋体" w:cs="宋体" w:eastAsia="宋体" w:hint="default"/>
                <w:sz w:val="18"/>
                <w:szCs w:val="18"/>
              </w:rPr>
            </w:pPr>
            <w:r>
              <w:rPr>
                <w:rFonts w:ascii="宋体"/>
                <w:sz w:val="18"/>
              </w:rPr>
              <w:t>3,640,916.05</w:t>
            </w:r>
          </w:p>
        </w:tc>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right="44"/>
              <w:jc w:val="right"/>
              <w:rPr>
                <w:rFonts w:ascii="宋体" w:hAnsi="宋体" w:cs="宋体" w:eastAsia="宋体" w:hint="default"/>
                <w:sz w:val="18"/>
                <w:szCs w:val="18"/>
              </w:rPr>
            </w:pPr>
            <w:r>
              <w:rPr>
                <w:rFonts w:ascii="宋体"/>
                <w:sz w:val="18"/>
              </w:rPr>
              <w:t>77.40%</w:t>
            </w:r>
          </w:p>
        </w:tc>
      </w:tr>
    </w:tbl>
    <w:p>
      <w:pPr>
        <w:spacing w:line="240" w:lineRule="auto" w:before="11"/>
        <w:rPr>
          <w:rFonts w:ascii="宋体" w:hAnsi="宋体" w:cs="宋体" w:eastAsia="宋体" w:hint="default"/>
          <w:b/>
          <w:bCs/>
          <w:sz w:val="19"/>
          <w:szCs w:val="19"/>
        </w:rPr>
      </w:pPr>
    </w:p>
    <w:p>
      <w:pPr>
        <w:pStyle w:val="Heading3"/>
        <w:spacing w:line="240" w:lineRule="auto" w:before="35"/>
        <w:ind w:right="939"/>
        <w:jc w:val="left"/>
        <w:rPr>
          <w:b w:val="0"/>
          <w:bCs w:val="0"/>
        </w:rPr>
      </w:pPr>
      <w:bookmarkStart w:name="（3）账龄超过1年的重要预付账款" w:id="232"/>
      <w:bookmarkEnd w:id="232"/>
      <w:r>
        <w:rPr>
          <w:b w:val="0"/>
          <w:bCs w:val="0"/>
        </w:rPr>
      </w:r>
      <w:r>
        <w:rPr/>
        <w:t>（</w:t>
      </w:r>
      <w:r>
        <w:rPr>
          <w:rFonts w:ascii="Times New Roman" w:hAnsi="Times New Roman" w:cs="Times New Roman" w:eastAsia="Times New Roman" w:hint="default"/>
        </w:rPr>
        <w:t>3</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年的重要预付账款</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079"/>
        <w:gridCol w:w="3093"/>
        <w:gridCol w:w="3079"/>
      </w:tblGrid>
      <w:tr>
        <w:trPr>
          <w:trHeight w:val="34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未结转原因</w:t>
            </w:r>
          </w:p>
        </w:tc>
      </w:tr>
      <w:tr>
        <w:trPr>
          <w:trHeight w:val="360"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5"/>
              <w:jc w:val="right"/>
              <w:rPr>
                <w:rFonts w:ascii="Times New Roman" w:hAnsi="Times New Roman" w:cs="Times New Roman" w:eastAsia="Times New Roman" w:hint="default"/>
                <w:sz w:val="18"/>
                <w:szCs w:val="18"/>
              </w:rPr>
            </w:pPr>
            <w:r>
              <w:rPr>
                <w:rFonts w:ascii="Times New Roman"/>
                <w:sz w:val="18"/>
              </w:rPr>
              <w:t>1,612,440.00</w:t>
            </w:r>
          </w:p>
        </w:tc>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61"/>
              <w:jc w:val="center"/>
              <w:rPr>
                <w:rFonts w:ascii="宋体" w:hAnsi="宋体" w:cs="宋体" w:eastAsia="宋体" w:hint="default"/>
                <w:sz w:val="18"/>
                <w:szCs w:val="18"/>
              </w:rPr>
            </w:pPr>
            <w:r>
              <w:rPr>
                <w:rFonts w:ascii="宋体" w:hAnsi="宋体" w:cs="宋体" w:eastAsia="宋体" w:hint="default"/>
                <w:sz w:val="18"/>
                <w:szCs w:val="18"/>
              </w:rPr>
              <w:t>未达约定结算时点</w:t>
            </w:r>
          </w:p>
        </w:tc>
      </w:tr>
    </w:tbl>
    <w:p>
      <w:pPr>
        <w:spacing w:line="240" w:lineRule="auto" w:before="11"/>
        <w:rPr>
          <w:rFonts w:ascii="宋体" w:hAnsi="宋体" w:cs="宋体" w:eastAsia="宋体" w:hint="default"/>
          <w:b/>
          <w:bCs/>
          <w:sz w:val="19"/>
          <w:szCs w:val="19"/>
        </w:rPr>
      </w:pPr>
    </w:p>
    <w:p>
      <w:pPr>
        <w:pStyle w:val="Heading3"/>
        <w:spacing w:line="240" w:lineRule="auto" w:before="35"/>
        <w:ind w:right="939"/>
        <w:jc w:val="left"/>
        <w:rPr>
          <w:b w:val="0"/>
          <w:bCs w:val="0"/>
        </w:rPr>
      </w:pPr>
      <w:bookmarkStart w:name="4、其他应收款" w:id="233"/>
      <w:bookmarkEnd w:id="233"/>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3,999,241.41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3,096,651.78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3,999,241.41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3,096,651.78</w:t>
            </w:r>
          </w:p>
        </w:tc>
      </w:tr>
    </w:tbl>
    <w:p>
      <w:pPr>
        <w:spacing w:line="240" w:lineRule="auto" w:before="11"/>
        <w:rPr>
          <w:rFonts w:ascii="宋体" w:hAnsi="宋体" w:cs="宋体" w:eastAsia="宋体" w:hint="default"/>
          <w:sz w:val="19"/>
          <w:szCs w:val="19"/>
        </w:rPr>
      </w:pPr>
    </w:p>
    <w:p>
      <w:pPr>
        <w:pStyle w:val="Heading3"/>
        <w:spacing w:line="508" w:lineRule="auto" w:before="35"/>
        <w:ind w:right="7481"/>
        <w:jc w:val="left"/>
        <w:rPr>
          <w:b w:val="0"/>
          <w:bCs w:val="0"/>
        </w:rPr>
      </w:pPr>
      <w:bookmarkStart w:name="（1）其他应收款" w:id="234"/>
      <w:bookmarkEnd w:id="234"/>
      <w:r>
        <w:rPr>
          <w:b w:val="0"/>
          <w:bCs w:val="0"/>
        </w:rPr>
      </w:r>
      <w:r>
        <w:rPr/>
        <w:t>（</w:t>
      </w:r>
      <w:r>
        <w:rPr>
          <w:rFonts w:ascii="Times New Roman" w:hAnsi="Times New Roman" w:cs="Times New Roman" w:eastAsia="Times New Roman" w:hint="default"/>
        </w:rPr>
        <w:t>1</w:t>
      </w:r>
      <w:r>
        <w:rPr/>
        <w:t>）其他应收款</w:t>
      </w:r>
      <w:r>
        <w:rPr>
          <w:w w:val="99"/>
        </w:rPr>
        <w:t> </w:t>
      </w:r>
      <w:bookmarkStart w:name="1）其他应收款按款项性质分类情况" w:id="235"/>
      <w:bookmarkEnd w:id="235"/>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押金及备用金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3,999,241.41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3,096,651.78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3,999,241.41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3,096,651.78</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坏账准备计提情况" w:id="236"/>
      <w:bookmarkEnd w:id="23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37"/>
        <w:gridCol w:w="2118"/>
        <w:gridCol w:w="2102"/>
        <w:gridCol w:w="180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5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72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59"/>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405"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40,396.37</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40,396.37</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40,396.37</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40,396.37</w:t>
            </w:r>
          </w:p>
        </w:tc>
      </w:tr>
    </w:tbl>
    <w:p>
      <w:pPr>
        <w:pStyle w:val="BodyText"/>
        <w:spacing w:line="240" w:lineRule="auto" w:before="44"/>
        <w:ind w:right="939"/>
        <w:jc w:val="left"/>
      </w:pPr>
      <w:r>
        <w:rPr/>
        <w:t>损失准备本期变动金额重大的账面余额变动情况</w:t>
      </w:r>
    </w:p>
    <w:p>
      <w:pPr>
        <w:pStyle w:val="BodyText"/>
        <w:spacing w:line="240" w:lineRule="auto" w:before="125"/>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939"/>
        <w:jc w:val="left"/>
      </w:pPr>
      <w:r>
        <w:rPr/>
        <w:t>按账龄披露</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4,039,637.78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4,039,637.78</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本期计提、收回或转回的坏账准备情况" w:id="237"/>
      <w:bookmarkEnd w:id="23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right="939"/>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727"/>
        <w:gridCol w:w="1337"/>
        <w:gridCol w:w="1457"/>
        <w:gridCol w:w="1592"/>
        <w:gridCol w:w="1336"/>
        <w:gridCol w:w="2133"/>
      </w:tblGrid>
      <w:tr>
        <w:trPr>
          <w:trHeight w:val="390" w:hRule="exact"/>
        </w:trPr>
        <w:tc>
          <w:tcPr>
            <w:tcW w:w="17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类别</w:t>
            </w:r>
          </w:p>
        </w:tc>
        <w:tc>
          <w:tcPr>
            <w:tcW w:w="13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8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3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0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727" w:type="dxa"/>
            <w:vMerge/>
            <w:tcBorders>
              <w:left w:val="single" w:sz="6" w:space="0" w:color="000000"/>
              <w:bottom w:val="single" w:sz="6" w:space="0" w:color="000000"/>
              <w:right w:val="single" w:sz="6" w:space="0" w:color="000000"/>
            </w:tcBorders>
            <w:shd w:val="clear" w:color="auto" w:fill="D2D2D2"/>
          </w:tcPr>
          <w:p>
            <w:pPr/>
          </w:p>
        </w:tc>
        <w:tc>
          <w:tcPr>
            <w:tcW w:w="1337" w:type="dxa"/>
            <w:vMerge/>
            <w:tcBorders>
              <w:left w:val="single" w:sz="6" w:space="0" w:color="000000"/>
              <w:bottom w:val="single" w:sz="6" w:space="0" w:color="000000"/>
              <w:right w:val="single" w:sz="6" w:space="0" w:color="000000"/>
            </w:tcBorders>
            <w:shd w:val="clear" w:color="auto" w:fill="D2D2D2"/>
          </w:tcPr>
          <w:p>
            <w:pP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2133"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押金及备用金</w:t>
            </w:r>
          </w:p>
        </w:tc>
        <w:tc>
          <w:tcPr>
            <w:tcW w:w="133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40,396.37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40,396.37</w:t>
            </w:r>
          </w:p>
        </w:tc>
      </w:tr>
      <w:tr>
        <w:trPr>
          <w:trHeight w:val="390" w:hRule="exact"/>
        </w:trPr>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6" w:space="0" w:color="000000"/>
              <w:left w:val="single" w:sz="18" w:space="0" w:color="D2D2D2"/>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40,396.37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40,396.37</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4）本期实际核销的其他应收款情况" w:id="238"/>
      <w:bookmarkEnd w:id="23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报告期内无需要核销的其他应收款。</w:t>
      </w:r>
    </w:p>
    <w:p>
      <w:pPr>
        <w:spacing w:after="0" w:line="240" w:lineRule="auto"/>
        <w:jc w:val="left"/>
        <w:sectPr>
          <w:pgSz w:w="11910" w:h="16850"/>
          <w:pgMar w:header="866"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939"/>
        <w:jc w:val="left"/>
        <w:rPr>
          <w:b w:val="0"/>
          <w:bCs w:val="0"/>
        </w:rPr>
      </w:pPr>
      <w:bookmarkStart w:name="5）按欠款方归集的期末余额前五名的其他应收款情况" w:id="239"/>
      <w:bookmarkEnd w:id="23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932,027.49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23.07%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9,320.27</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551,254.20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13.65%</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5,512.54</w:t>
            </w: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415,670.91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10.29%</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4,156.71</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258,695.50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6.40%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2,586.96</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253,404.80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6.27%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2,534.05</w:t>
            </w: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2,411,052.90</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59.68%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24,110.53</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6）涉及政府补助的应收款项" w:id="240"/>
      <w:bookmarkEnd w:id="240"/>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报告期内公司无涉及政府补助的应收款项。</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7）因金融资产转移而终止确认的其他应收款" w:id="241"/>
      <w:bookmarkEnd w:id="241"/>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报告期内公司无因金融资产转移而终止确认的其他应收款。</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8）转移其他应收款且继续涉入形成的资产、负债金额" w:id="242"/>
      <w:bookmarkEnd w:id="242"/>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报告期内公司无转移其他应收款且继续涉入形成的资产、负债。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24"/>
        <w:ind w:right="939"/>
        <w:jc w:val="left"/>
        <w:rPr>
          <w:b w:val="0"/>
          <w:bCs w:val="0"/>
        </w:rPr>
      </w:pPr>
      <w:bookmarkStart w:name="5、存货" w:id="243"/>
      <w:bookmarkEnd w:id="243"/>
      <w:r>
        <w:rPr>
          <w:b w:val="0"/>
          <w:bCs w:val="0"/>
        </w:rPr>
      </w:r>
      <w:r>
        <w:rPr>
          <w:rFonts w:ascii="Times New Roman" w:hAnsi="Times New Roman" w:cs="Times New Roman" w:eastAsia="Times New Roman" w:hint="default"/>
        </w:rPr>
        <w:t>5</w:t>
      </w:r>
      <w:r>
        <w:rPr/>
        <w:t>、存货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是否已执行新收入准则</w:t>
      </w:r>
    </w:p>
    <w:p>
      <w:pPr>
        <w:pStyle w:val="BodyText"/>
        <w:spacing w:line="240" w:lineRule="auto" w:before="140"/>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1）存货分类" w:id="244"/>
      <w:bookmarkEnd w:id="24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5" w:right="59"/>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0" w:right="59"/>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5,983,550.99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5,983,550.99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5,852,198.13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5,852,198.13</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5,983,550.99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5,983,550.99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5,852,198.13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5,852,198.13</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939"/>
        <w:jc w:val="left"/>
        <w:rPr>
          <w:b w:val="0"/>
          <w:bCs w:val="0"/>
        </w:rPr>
      </w:pPr>
      <w:bookmarkStart w:name="6、其他流动资产" w:id="245"/>
      <w:bookmarkEnd w:id="245"/>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6"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待抵扣的增值税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36,822.59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282,082.92</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5,900,435.76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4,386,195.81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5,937,258.35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4,668,278.73</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7、长期股权投资" w:id="246"/>
      <w:bookmarkEnd w:id="246"/>
      <w:r>
        <w:rPr>
          <w:b w:val="0"/>
          <w:bCs w:val="0"/>
        </w:rPr>
      </w:r>
      <w:r>
        <w:rPr>
          <w:rFonts w:ascii="Times New Roman" w:hAnsi="Times New Roman" w:cs="Times New Roman" w:eastAsia="Times New Roman" w:hint="default"/>
        </w:rPr>
        <w:t>7</w:t>
      </w:r>
      <w:r>
        <w:rPr/>
        <w:t>、长期股权投资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390"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54"/>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54"/>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6"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0"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12"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钱方好近 金融科技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32,982,46</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7.11</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-193,771.</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-1,476.01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32,787,21</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9.74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北京优智 汇咨询有 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15,113,28</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5.99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742,890.0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15,606,17</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6.08</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48,095,75</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3.10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549,118.7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-1,476.01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48,393,39</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5.82</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48,095,75</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3.10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549,118.7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-1,476.01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48,393,39</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5.82</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8、其他权益工具投资" w:id="247"/>
      <w:bookmarkEnd w:id="247"/>
      <w:r>
        <w:rPr>
          <w:b w:val="0"/>
          <w:bCs w:val="0"/>
        </w:rPr>
      </w:r>
      <w:r>
        <w:rPr>
          <w:rFonts w:ascii="Times New Roman" w:hAnsi="Times New Roman" w:cs="Times New Roman" w:eastAsia="Times New Roman" w:hint="default"/>
        </w:rPr>
        <w:t>8</w:t>
      </w:r>
      <w:r>
        <w:rPr/>
        <w:t>、其他权益工具投资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非上市权益工具投资</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54,841,508.99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48,896,306.76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54,841,508.99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48,896,306.76</w:t>
            </w:r>
          </w:p>
        </w:tc>
      </w:tr>
    </w:tbl>
    <w:p>
      <w:pPr>
        <w:pStyle w:val="BodyText"/>
        <w:spacing w:line="240" w:lineRule="auto" w:before="45"/>
        <w:ind w:right="939"/>
        <w:jc w:val="left"/>
      </w:pPr>
      <w:r>
        <w:rPr/>
        <w:t>分项披露本期非交易性权益工具投资</w:t>
      </w:r>
    </w:p>
    <w:p>
      <w:pPr>
        <w:spacing w:after="0" w:line="240" w:lineRule="auto"/>
        <w:jc w:val="left"/>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35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30" w:right="59"/>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10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深圳南山宝生村 镇银行股份有限 公司</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格罗斯产业链服 务（深圳）有限 公司</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36" w:lineRule="auto" w:before="45"/>
        <w:ind w:right="939"/>
        <w:jc w:val="left"/>
      </w:pPr>
      <w:r>
        <w:rPr/>
        <w:t>其他说明： </w:t>
      </w:r>
      <w:r>
        <w:rPr>
          <w:spacing w:val="-2"/>
        </w:rPr>
        <w:t>注：本公司的非上市权益工具投资是本公司出于战略目的而计划长期持有的投资，因此本公司在新金融工具准则首次执行日</w:t>
      </w:r>
      <w:r>
        <w:rPr>
          <w:spacing w:val="-72"/>
        </w:rPr>
        <w:t> </w:t>
      </w:r>
      <w:r>
        <w:rPr>
          <w:spacing w:val="-72"/>
        </w:rPr>
      </w:r>
      <w:r>
        <w:rPr/>
        <w:t>将其指定为以公允价值计量且其变动计入其他综合收益的金融资产。</w:t>
      </w:r>
    </w:p>
    <w:p>
      <w:pPr>
        <w:spacing w:line="240" w:lineRule="auto" w:before="4"/>
        <w:rPr>
          <w:rFonts w:ascii="宋体" w:hAnsi="宋体" w:cs="宋体" w:eastAsia="宋体" w:hint="default"/>
          <w:sz w:val="24"/>
          <w:szCs w:val="24"/>
        </w:rPr>
      </w:pPr>
    </w:p>
    <w:p>
      <w:pPr>
        <w:pStyle w:val="Heading3"/>
        <w:spacing w:line="240" w:lineRule="auto"/>
        <w:ind w:right="939"/>
        <w:jc w:val="left"/>
        <w:rPr>
          <w:b w:val="0"/>
          <w:bCs w:val="0"/>
        </w:rPr>
      </w:pPr>
      <w:bookmarkStart w:name="9、投资性房地产" w:id="248"/>
      <w:bookmarkEnd w:id="248"/>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939"/>
        <w:jc w:val="left"/>
        <w:rPr>
          <w:b w:val="0"/>
          <w:bCs w:val="0"/>
        </w:rPr>
      </w:pPr>
      <w:bookmarkStart w:name="（1）采用成本计量模式的投资性房地产" w:id="249"/>
      <w:bookmarkEnd w:id="24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2）采用公允价值计量模式的投资性房地产" w:id="250"/>
      <w:bookmarkEnd w:id="25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939"/>
        <w:jc w:val="left"/>
        <w:rPr>
          <w:b w:val="0"/>
          <w:bCs w:val="0"/>
        </w:rPr>
      </w:pPr>
      <w:bookmarkStart w:name="10、固定资产" w:id="251"/>
      <w:bookmarkEnd w:id="251"/>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302,285,456.43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285,952,429.70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302,285,456.43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285,952,429.70</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1）固定资产情况" w:id="252"/>
      <w:bookmarkEnd w:id="25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266,298,069.24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1,287,577.65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37,394,038.78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3,731,063.89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308,710,749.56</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19,097,442.76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1,344,193.10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6,591,049.39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382,877.30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27,415,562.55</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1,344,193.10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6,591,049.39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382,877.30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8,318,119.79</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70"/>
        <w:gridCol w:w="1630"/>
        <w:gridCol w:w="1592"/>
        <w:gridCol w:w="1592"/>
        <w:gridCol w:w="1592"/>
        <w:gridCol w:w="1607"/>
      </w:tblGrid>
      <w:tr>
        <w:trPr>
          <w:trHeight w:val="72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19,097,442.76</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19,097,442.76</w:t>
            </w:r>
          </w:p>
        </w:tc>
      </w:tr>
      <w:tr>
        <w:trPr>
          <w:trHeight w:val="7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642,061.96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37,405.97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26,487.28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705,955.21</w:t>
            </w:r>
          </w:p>
        </w:tc>
      </w:tr>
      <w:tr>
        <w:trPr>
          <w:trHeight w:val="7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642,061.96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37,405.97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26,487.28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705,955.21</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285,395,512.00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1,989,708.79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43,947,682.20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4,087,453.91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335,420,356.90</w:t>
            </w: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832,335.86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19,682,629.76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2,243,354.24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22,758,319.86</w:t>
            </w: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5,963,436.15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192,347.78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4,554,212.88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301,943.50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11,011,940.31</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5,963,436.15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192,347.78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4,554,212.88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301,943.50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11,011,940.31</w:t>
            </w: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577,855.77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33,665.38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23,838.55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635,359.70</w:t>
            </w:r>
          </w:p>
        </w:tc>
      </w:tr>
      <w:tr>
        <w:trPr>
          <w:trHeight w:val="7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577,855.77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33,665.38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23,838.55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635,359.70</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5,963,436.15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446,827.87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24,203,177.26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2,521,459.19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33,134,900.47</w:t>
            </w: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279,432,075.85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1,542,880.92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19,744,504.94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1,565,994.72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302,285,456.43</w:t>
            </w: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266,298,069.24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455,241.79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17,711,409.02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1,487,709.65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285,952,429.70</w:t>
            </w:r>
          </w:p>
        </w:tc>
      </w:tr>
    </w:tbl>
    <w:p>
      <w:pPr>
        <w:spacing w:line="240" w:lineRule="auto" w:before="12"/>
        <w:rPr>
          <w:rFonts w:ascii="宋体" w:hAnsi="宋体" w:cs="宋体" w:eastAsia="宋体" w:hint="default"/>
          <w:sz w:val="6"/>
          <w:szCs w:val="6"/>
        </w:rPr>
      </w:pPr>
    </w:p>
    <w:p>
      <w:pPr>
        <w:pStyle w:val="BodyText"/>
        <w:spacing w:line="240" w:lineRule="auto" w:before="44"/>
        <w:ind w:right="939"/>
        <w:jc w:val="left"/>
      </w:pPr>
      <w:r>
        <w:rPr/>
        <w:t>（</w:t>
      </w:r>
      <w:r>
        <w:rPr>
          <w:rFonts w:ascii="Times New Roman" w:hAnsi="Times New Roman" w:cs="Times New Roman" w:eastAsia="Times New Roman" w:hint="default"/>
        </w:rPr>
        <w:t>2</w:t>
      </w:r>
      <w:r>
        <w:rPr/>
        <w:t>）本期计提的折旧额为</w:t>
      </w:r>
      <w:r>
        <w:rPr>
          <w:rFonts w:ascii="Times New Roman" w:hAnsi="Times New Roman" w:cs="Times New Roman" w:eastAsia="Times New Roman" w:hint="default"/>
        </w:rPr>
        <w:t>11,011,940.31</w:t>
      </w:r>
      <w:r>
        <w:rPr/>
        <w:t>元。</w:t>
      </w:r>
    </w:p>
    <w:p>
      <w:pPr>
        <w:spacing w:line="240" w:lineRule="auto" w:before="3"/>
        <w:rPr>
          <w:rFonts w:ascii="宋体" w:hAnsi="宋体" w:cs="宋体" w:eastAsia="宋体" w:hint="default"/>
          <w:sz w:val="14"/>
          <w:szCs w:val="14"/>
        </w:rPr>
      </w:pPr>
    </w:p>
    <w:p>
      <w:pPr>
        <w:pStyle w:val="BodyText"/>
        <w:spacing w:line="240" w:lineRule="auto"/>
        <w:ind w:right="939"/>
        <w:jc w:val="left"/>
      </w:pPr>
      <w:r>
        <w:rPr/>
        <w:t>（</w:t>
      </w:r>
      <w:r>
        <w:rPr>
          <w:rFonts w:ascii="Times New Roman" w:hAnsi="Times New Roman" w:cs="Times New Roman" w:eastAsia="Times New Roman" w:hint="default"/>
        </w:rPr>
        <w:t>3</w:t>
      </w:r>
      <w:r>
        <w:rPr/>
        <w:t>）本期公司无暂时闲置的固定资产情况。</w:t>
      </w:r>
    </w:p>
    <w:p>
      <w:pPr>
        <w:spacing w:after="0" w:line="240" w:lineRule="auto"/>
        <w:jc w:val="left"/>
        <w:sectPr>
          <w:pgSz w:w="11910" w:h="16850"/>
          <w:pgMar w:header="866"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939"/>
        <w:jc w:val="left"/>
      </w:pPr>
      <w:r>
        <w:rPr/>
        <w:t>（</w:t>
      </w:r>
      <w:r>
        <w:rPr>
          <w:rFonts w:ascii="Times New Roman" w:hAnsi="Times New Roman" w:cs="Times New Roman" w:eastAsia="Times New Roman" w:hint="default"/>
        </w:rPr>
        <w:t>4</w:t>
      </w:r>
      <w:r>
        <w:rPr/>
        <w:t>）本期公司无通过融资租赁租入的固定资产情况。</w:t>
      </w:r>
    </w:p>
    <w:p>
      <w:pPr>
        <w:spacing w:line="240" w:lineRule="auto" w:before="3"/>
        <w:rPr>
          <w:rFonts w:ascii="宋体" w:hAnsi="宋体" w:cs="宋体" w:eastAsia="宋体" w:hint="default"/>
          <w:sz w:val="14"/>
          <w:szCs w:val="14"/>
        </w:rPr>
      </w:pPr>
    </w:p>
    <w:p>
      <w:pPr>
        <w:pStyle w:val="BodyText"/>
        <w:spacing w:line="240" w:lineRule="auto"/>
        <w:ind w:right="939"/>
        <w:jc w:val="left"/>
      </w:pPr>
      <w:r>
        <w:rPr/>
        <w:t>（</w:t>
      </w:r>
      <w:r>
        <w:rPr>
          <w:rFonts w:ascii="Times New Roman" w:hAnsi="Times New Roman" w:cs="Times New Roman" w:eastAsia="Times New Roman" w:hint="default"/>
        </w:rPr>
        <w:t>5</w:t>
      </w:r>
      <w:r>
        <w:rPr/>
        <w:t>）本期公司无通过经营租赁租出的固定资产。</w:t>
      </w:r>
    </w:p>
    <w:p>
      <w:pPr>
        <w:spacing w:line="240" w:lineRule="auto" w:before="3"/>
        <w:rPr>
          <w:rFonts w:ascii="宋体" w:hAnsi="宋体" w:cs="宋体" w:eastAsia="宋体" w:hint="default"/>
          <w:sz w:val="14"/>
          <w:szCs w:val="14"/>
        </w:rPr>
      </w:pPr>
    </w:p>
    <w:p>
      <w:pPr>
        <w:pStyle w:val="BodyText"/>
        <w:spacing w:line="240" w:lineRule="auto"/>
        <w:ind w:right="939"/>
        <w:jc w:val="left"/>
      </w:pPr>
      <w:r>
        <w:rPr/>
        <w:t>（</w:t>
      </w:r>
      <w:r>
        <w:rPr>
          <w:rFonts w:ascii="Times New Roman" w:hAnsi="Times New Roman" w:cs="Times New Roman" w:eastAsia="Times New Roman" w:hint="default"/>
        </w:rPr>
        <w:t>6</w:t>
      </w:r>
      <w:r>
        <w:rPr/>
        <w:t>）本期公司无持有待售的固定资产情况。</w:t>
      </w:r>
    </w:p>
    <w:p>
      <w:pPr>
        <w:spacing w:line="240" w:lineRule="auto" w:before="1"/>
        <w:rPr>
          <w:rFonts w:ascii="宋体" w:hAnsi="宋体" w:cs="宋体" w:eastAsia="宋体" w:hint="default"/>
          <w:sz w:val="13"/>
          <w:szCs w:val="13"/>
        </w:rPr>
      </w:pPr>
    </w:p>
    <w:p>
      <w:pPr>
        <w:pStyle w:val="BodyText"/>
        <w:spacing w:line="240" w:lineRule="auto"/>
        <w:ind w:right="939"/>
        <w:jc w:val="left"/>
      </w:pPr>
      <w:r>
        <w:rPr/>
        <w:t>（</w:t>
      </w:r>
      <w:r>
        <w:rPr>
          <w:rFonts w:ascii="Times New Roman" w:hAnsi="Times New Roman" w:cs="Times New Roman" w:eastAsia="Times New Roman" w:hint="default"/>
        </w:rPr>
        <w:t>7</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日止，公司无未办妥产权证书的固定资产情况。</w:t>
      </w:r>
    </w:p>
    <w:p>
      <w:pPr>
        <w:spacing w:line="240" w:lineRule="auto" w:before="3"/>
        <w:rPr>
          <w:rFonts w:ascii="宋体" w:hAnsi="宋体" w:cs="宋体" w:eastAsia="宋体" w:hint="default"/>
          <w:sz w:val="14"/>
          <w:szCs w:val="14"/>
        </w:rPr>
      </w:pPr>
    </w:p>
    <w:p>
      <w:pPr>
        <w:pStyle w:val="BodyText"/>
        <w:spacing w:line="240" w:lineRule="auto"/>
        <w:ind w:right="939"/>
        <w:jc w:val="left"/>
      </w:pPr>
      <w:r>
        <w:rPr/>
        <w:t>（</w:t>
      </w:r>
      <w:r>
        <w:rPr>
          <w:rFonts w:ascii="Times New Roman" w:hAnsi="Times New Roman" w:cs="Times New Roman" w:eastAsia="Times New Roman" w:hint="default"/>
        </w:rPr>
        <w:t>8</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日止，本公司不存在固定资产可收回金额低于账面价值而需计提减值准备的情形。</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11、在建工程" w:id="253"/>
      <w:bookmarkEnd w:id="253"/>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19,379,842.84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30,887,754.50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19,379,842.84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30,887,754.50</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1）在建工程情况" w:id="254"/>
      <w:bookmarkEnd w:id="25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办公大楼工程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19,379,842.84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19,379,842.84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30,887,754.50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30,887,754.50</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19,379,842.84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19,379,842.84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30,887,754.50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30,887,754.50</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重要在建工程项目本期变动情况" w:id="255"/>
      <w:bookmarkEnd w:id="25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1336"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5"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10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105"/>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90"/>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90"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90" w:right="90"/>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8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8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14"/>
              <w:jc w:val="center"/>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z w:val="18"/>
                <w:szCs w:val="18"/>
              </w:rPr>
              <w:t> 期利息 资本化 金额</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105"/>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3" w:hanging="181"/>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2"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15" w:right="165"/>
              <w:jc w:val="left"/>
              <w:rPr>
                <w:rFonts w:ascii="宋体" w:hAnsi="宋体" w:cs="宋体" w:eastAsia="宋体" w:hint="default"/>
                <w:sz w:val="18"/>
                <w:szCs w:val="18"/>
              </w:rPr>
            </w:pPr>
            <w:r>
              <w:rPr>
                <w:rFonts w:ascii="宋体" w:hAnsi="宋体" w:cs="宋体" w:eastAsia="宋体" w:hint="default"/>
                <w:sz w:val="18"/>
                <w:szCs w:val="18"/>
              </w:rPr>
              <w:t>办公大 楼工程</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亿</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30,887,7</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54.50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7,589,53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1.10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19,097,4</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42.76</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19,379,8</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42.84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101.59%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3"/>
              <w:jc w:val="left"/>
              <w:rPr>
                <w:rFonts w:ascii="宋体" w:hAnsi="宋体" w:cs="宋体" w:eastAsia="宋体" w:hint="default"/>
                <w:sz w:val="18"/>
                <w:szCs w:val="18"/>
              </w:rPr>
            </w:pPr>
            <w:r>
              <w:rPr>
                <w:rFonts w:ascii="宋体" w:hAnsi="宋体" w:cs="宋体" w:eastAsia="宋体" w:hint="default"/>
                <w:sz w:val="18"/>
                <w:szCs w:val="18"/>
              </w:rPr>
              <w:t>已完成 主体工 </w:t>
            </w:r>
            <w:r>
              <w:rPr>
                <w:rFonts w:ascii="宋体" w:hAnsi="宋体" w:cs="宋体" w:eastAsia="宋体" w:hint="default"/>
                <w:spacing w:val="-12"/>
                <w:sz w:val="18"/>
                <w:szCs w:val="18"/>
              </w:rPr>
              <w:t>程，剩余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部分内 部装修</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15" w:right="163"/>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05"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30,887,7</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54.50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7,589,53</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1.10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19,097,4</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42.76</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19,379,8</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42.84</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939"/>
        <w:jc w:val="left"/>
        <w:rPr>
          <w:b w:val="0"/>
          <w:bCs w:val="0"/>
        </w:rPr>
      </w:pPr>
      <w:bookmarkStart w:name="12、无形资产" w:id="256"/>
      <w:bookmarkEnd w:id="256"/>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无形资产情况" w:id="257"/>
      <w:bookmarkEnd w:id="25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5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26,037,679.00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8,173,772.05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34,211,451.05</w:t>
            </w: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5,298,181.47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5,298,181.47</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5,298,181.47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5,298,181.47</w:t>
            </w: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5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26,037,679.00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13,471,953.52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39,509,632.52</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3,893,214.96</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1,146,141.79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5,039,356.75</w:t>
            </w:r>
          </w:p>
        </w:tc>
      </w:tr>
      <w:tr>
        <w:trPr>
          <w:trHeight w:val="7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521,046.12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2,200,237.20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2,721,283.32</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521,046.12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2,200,237.20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2,721,283.32</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4,414,261.08</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3,346,378.99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7,760,640.07</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85"/>
        <w:gridCol w:w="1615"/>
        <w:gridCol w:w="1592"/>
        <w:gridCol w:w="1592"/>
        <w:gridCol w:w="1592"/>
        <w:gridCol w:w="1607"/>
      </w:tblGrid>
      <w:tr>
        <w:trPr>
          <w:trHeight w:val="72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21,623,417.92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10,125,574.53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31,748,992.45</w:t>
            </w:r>
          </w:p>
        </w:tc>
      </w:tr>
      <w:tr>
        <w:trPr>
          <w:trHeight w:val="72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22,144,464.04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7,027,630.26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29,172,094.30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44"/>
        <w:ind w:right="939"/>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日止，公司不存在需计提无形资产减值准备的情形。</w:t>
      </w:r>
    </w:p>
    <w:p>
      <w:pPr>
        <w:spacing w:line="240" w:lineRule="auto" w:before="1"/>
        <w:rPr>
          <w:rFonts w:ascii="宋体" w:hAnsi="宋体" w:cs="宋体" w:eastAsia="宋体" w:hint="default"/>
          <w:sz w:val="13"/>
          <w:szCs w:val="13"/>
        </w:rPr>
      </w:pPr>
    </w:p>
    <w:p>
      <w:pPr>
        <w:pStyle w:val="BodyText"/>
        <w:spacing w:line="240" w:lineRule="auto"/>
        <w:ind w:right="939"/>
        <w:jc w:val="left"/>
      </w:pPr>
      <w:r>
        <w:rPr/>
        <w:t>（</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日止，公司不存在未办妥产权证书的土地使用权情况。</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13、长期待摊费用" w:id="258"/>
      <w:bookmarkEnd w:id="258"/>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租赁办公楼装修费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2,351,029.35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1,489,558.96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1,677,640.32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2,162,947.99</w:t>
            </w: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2,351,029.35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1,489,558.96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1,677,640.32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2,162,947.99</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14、递延所得税资产/递延所得税负债" w:id="259"/>
      <w:bookmarkEnd w:id="259"/>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未经抵销的递延所得税资产" w:id="260"/>
      <w:bookmarkEnd w:id="26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922"/>
        <w:gridCol w:w="1923"/>
        <w:gridCol w:w="1907"/>
        <w:gridCol w:w="1922"/>
      </w:tblGrid>
      <w:tr>
        <w:trPr>
          <w:trHeight w:val="202"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384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0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00" w:type="dxa"/>
            <w:vMerge/>
            <w:tcBorders>
              <w:left w:val="single" w:sz="6" w:space="0" w:color="000000"/>
              <w:bottom w:val="nil" w:sz="6" w:space="0" w:color="auto"/>
              <w:right w:val="single" w:sz="6" w:space="0" w:color="000000"/>
            </w:tcBorders>
            <w:shd w:val="clear" w:color="auto" w:fill="D2D2D2"/>
          </w:tcPr>
          <w:p>
            <w:pP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3"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5,575,458.40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836,318.76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5,327,148.40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799,072.24</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43,424,571.07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6,513,685.66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163,664.33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24,549.65</w:t>
            </w:r>
          </w:p>
        </w:tc>
      </w:tr>
      <w:tr>
        <w:trPr>
          <w:trHeight w:val="706" w:hRule="exact"/>
        </w:trPr>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7" w:right="75"/>
              <w:jc w:val="left"/>
              <w:rPr>
                <w:rFonts w:ascii="宋体" w:hAnsi="宋体" w:cs="宋体" w:eastAsia="宋体" w:hint="default"/>
                <w:sz w:val="18"/>
                <w:szCs w:val="18"/>
              </w:rPr>
            </w:pPr>
            <w:r>
              <w:rPr>
                <w:rFonts w:ascii="宋体" w:hAnsi="宋体" w:cs="宋体" w:eastAsia="宋体" w:hint="default"/>
                <w:sz w:val="18"/>
                <w:szCs w:val="18"/>
              </w:rPr>
              <w:t>其他权益工具公允价值 变动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33,738,056.01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5,060,708.42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39,683,258.24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5,952,488.74</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82,738,085.48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12,410,712.84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45,174,070.97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6,776,110.63</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未经抵销的递延所得税负债" w:id="261"/>
      <w:bookmarkEnd w:id="26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3845"/>
        <w:gridCol w:w="3830"/>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境外未分配利润影响</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27,742,804.47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2,358,138.38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24,734,931.47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2,102,469.18</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27,742,804.47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2,358,138.38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24,734,931.47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2,102,469.18</w:t>
            </w:r>
          </w:p>
        </w:tc>
      </w:tr>
    </w:tbl>
    <w:p>
      <w:pPr>
        <w:spacing w:line="240" w:lineRule="auto" w:before="11"/>
        <w:rPr>
          <w:rFonts w:ascii="宋体" w:hAnsi="宋体" w:cs="宋体" w:eastAsia="宋体" w:hint="default"/>
          <w:sz w:val="19"/>
          <w:szCs w:val="19"/>
        </w:rPr>
      </w:pPr>
    </w:p>
    <w:p>
      <w:pPr>
        <w:pStyle w:val="Heading3"/>
        <w:spacing w:line="240" w:lineRule="auto" w:before="35"/>
        <w:ind w:left="161" w:right="0"/>
        <w:jc w:val="left"/>
        <w:rPr>
          <w:b w:val="0"/>
          <w:bCs w:val="0"/>
        </w:rPr>
      </w:pPr>
      <w:bookmarkStart w:name="（3）以抵销后净额列示的递延所得税资产或负债" w:id="262"/>
      <w:bookmarkEnd w:id="26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158"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413" w:right="46"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330" w:right="46"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405" w:right="45"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330" w:right="45"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6"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23"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c>
          <w:tcPr>
            <w:tcW w:w="1922" w:type="dxa"/>
            <w:vMerge/>
            <w:tcBorders>
              <w:left w:val="single" w:sz="6" w:space="0" w:color="000000"/>
              <w:right w:val="single" w:sz="6" w:space="0" w:color="000000"/>
            </w:tcBorders>
            <w:shd w:val="clear" w:color="auto" w:fill="D2D2D2"/>
          </w:tcPr>
          <w:p>
            <w:pPr/>
          </w:p>
        </w:tc>
      </w:tr>
      <w:tr>
        <w:trPr>
          <w:trHeight w:val="15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12,410,712.84</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6,776,110.63</w:t>
            </w:r>
          </w:p>
        </w:tc>
      </w:tr>
      <w:tr>
        <w:trPr>
          <w:trHeight w:val="391"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2,358,612.83</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2,102,469.18</w:t>
            </w:r>
          </w:p>
        </w:tc>
      </w:tr>
    </w:tbl>
    <w:p>
      <w:pPr>
        <w:spacing w:line="240" w:lineRule="auto" w:before="11"/>
        <w:rPr>
          <w:rFonts w:ascii="宋体" w:hAnsi="宋体" w:cs="宋体" w:eastAsia="宋体" w:hint="default"/>
          <w:sz w:val="19"/>
          <w:szCs w:val="19"/>
        </w:rPr>
      </w:pPr>
    </w:p>
    <w:p>
      <w:pPr>
        <w:pStyle w:val="Heading3"/>
        <w:spacing w:line="240" w:lineRule="auto" w:before="35"/>
        <w:ind w:left="161" w:right="0"/>
        <w:jc w:val="left"/>
        <w:rPr>
          <w:b w:val="0"/>
          <w:bCs w:val="0"/>
        </w:rPr>
      </w:pPr>
      <w:bookmarkStart w:name="（4）未确认递延所得税资产明细" w:id="263"/>
      <w:bookmarkEnd w:id="26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53" w:type="dxa"/>
        <w:tblLayout w:type="fixed"/>
        <w:tblCellMar>
          <w:top w:w="0" w:type="dxa"/>
          <w:left w:w="0" w:type="dxa"/>
          <w:bottom w:w="0" w:type="dxa"/>
          <w:right w:w="0" w:type="dxa"/>
        </w:tblCellMar>
        <w:tblLook w:val="01E0"/>
      </w:tblPr>
      <w:tblGrid>
        <w:gridCol w:w="3169"/>
        <w:gridCol w:w="3207"/>
        <w:gridCol w:w="3199"/>
      </w:tblGrid>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979.87</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2,496,867.41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81,905.34</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2,497,847.28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81,905.34</w:t>
            </w:r>
          </w:p>
        </w:tc>
      </w:tr>
    </w:tbl>
    <w:p>
      <w:pPr>
        <w:spacing w:line="240" w:lineRule="auto" w:before="11"/>
        <w:rPr>
          <w:rFonts w:ascii="宋体" w:hAnsi="宋体" w:cs="宋体" w:eastAsia="宋体" w:hint="default"/>
          <w:sz w:val="19"/>
          <w:szCs w:val="19"/>
        </w:rPr>
      </w:pPr>
    </w:p>
    <w:p>
      <w:pPr>
        <w:pStyle w:val="Heading3"/>
        <w:spacing w:line="240" w:lineRule="auto" w:before="35"/>
        <w:ind w:left="161" w:right="0"/>
        <w:jc w:val="left"/>
        <w:rPr>
          <w:b w:val="0"/>
          <w:bCs w:val="0"/>
        </w:rPr>
      </w:pPr>
      <w:bookmarkStart w:name="（5）未确认递延所得税资产的可抵扣亏损将于以下年度到期" w:id="264"/>
      <w:bookmarkEnd w:id="26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81,905.34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81,905.34</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2,414,962.07</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2,496,867.41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81,905.34</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left="161" w:right="0"/>
        <w:jc w:val="left"/>
        <w:rPr>
          <w:b w:val="0"/>
          <w:bCs w:val="0"/>
        </w:rPr>
      </w:pPr>
      <w:bookmarkStart w:name="15、其他非流动资产" w:id="265"/>
      <w:bookmarkEnd w:id="265"/>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6" w:footer="981" w:top="1040" w:bottom="1180" w:left="980" w:right="0"/>
        </w:sectPr>
      </w:pPr>
    </w:p>
    <w:p>
      <w:pPr>
        <w:pStyle w:val="BodyText"/>
        <w:spacing w:line="240" w:lineRule="auto" w:before="44"/>
        <w:ind w:left="161" w:right="-20"/>
        <w:jc w:val="left"/>
      </w:pPr>
      <w:r>
        <w:rPr/>
        <w:t>是否已执行新收入准则</w:t>
      </w:r>
    </w:p>
    <w:p>
      <w:pPr>
        <w:pStyle w:val="BodyText"/>
        <w:spacing w:line="240" w:lineRule="auto" w:before="124"/>
        <w:ind w:left="161"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61" w:right="0"/>
        <w:jc w:val="left"/>
      </w:pPr>
      <w:r>
        <w:rPr/>
        <w:t>单位： 元</w:t>
      </w:r>
    </w:p>
    <w:p>
      <w:pPr>
        <w:spacing w:after="0" w:line="240" w:lineRule="auto"/>
        <w:jc w:val="left"/>
        <w:sectPr>
          <w:type w:val="continuous"/>
          <w:pgSz w:w="11910" w:h="16850"/>
          <w:pgMar w:top="1040" w:bottom="1180" w:left="980" w:right="0"/>
          <w:cols w:num="2" w:equalWidth="0">
            <w:col w:w="1962" w:space="6884"/>
            <w:col w:w="2084"/>
          </w:cols>
        </w:sectPr>
      </w:pP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2,747,480.86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2,747,480.86</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980" w:right="0"/>
        </w:sectPr>
      </w:pPr>
    </w:p>
    <w:p>
      <w:pPr>
        <w:spacing w:line="240" w:lineRule="auto" w:before="5"/>
        <w:rPr>
          <w:rFonts w:ascii="宋体" w:hAnsi="宋体" w:cs="宋体" w:eastAsia="宋体" w:hint="default"/>
          <w:sz w:val="26"/>
          <w:szCs w:val="26"/>
        </w:rPr>
      </w:pPr>
    </w:p>
    <w:p>
      <w:pPr>
        <w:pStyle w:val="Heading3"/>
        <w:spacing w:line="240" w:lineRule="auto" w:before="35"/>
        <w:ind w:right="939"/>
        <w:jc w:val="left"/>
        <w:rPr>
          <w:b w:val="0"/>
          <w:bCs w:val="0"/>
        </w:rPr>
      </w:pPr>
      <w:bookmarkStart w:name="16、应付账款" w:id="266"/>
      <w:bookmarkEnd w:id="266"/>
      <w:r>
        <w:rPr>
          <w:b w:val="0"/>
          <w:bCs w:val="0"/>
        </w:rPr>
      </w:r>
      <w:r>
        <w:rPr>
          <w:rFonts w:ascii="Times New Roman" w:hAnsi="Times New Roman" w:cs="Times New Roman" w:eastAsia="Times New Roman" w:hint="default"/>
        </w:rPr>
        <w:t>16</w:t>
      </w:r>
      <w:r>
        <w:rPr/>
        <w:t>、应付账款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应付账款列示" w:id="267"/>
      <w:bookmarkEnd w:id="26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222,430.90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566,782.47</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222,430.90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566,782.47</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17、预收款项" w:id="268"/>
      <w:bookmarkEnd w:id="268"/>
      <w:r>
        <w:rPr>
          <w:b w:val="0"/>
          <w:bCs w:val="0"/>
        </w:rPr>
      </w:r>
      <w:r>
        <w:rPr>
          <w:rFonts w:ascii="Times New Roman" w:hAnsi="Times New Roman" w:cs="Times New Roman" w:eastAsia="Times New Roman" w:hint="default"/>
        </w:rPr>
        <w:t>17</w:t>
      </w:r>
      <w:r>
        <w:rPr/>
        <w:t>、预收款项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是否已执行新收入准则</w:t>
      </w:r>
    </w:p>
    <w:p>
      <w:pPr>
        <w:pStyle w:val="BodyText"/>
        <w:spacing w:line="240" w:lineRule="auto" w:before="140"/>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1）预收款项列示" w:id="269"/>
      <w:bookmarkEnd w:id="26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120,244.66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338,122.03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120,244.66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338,122.03</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18、应付职工薪酬" w:id="270"/>
      <w:bookmarkEnd w:id="270"/>
      <w:r>
        <w:rPr>
          <w:b w:val="0"/>
          <w:bCs w:val="0"/>
        </w:rPr>
      </w:r>
      <w:r>
        <w:rPr>
          <w:rFonts w:ascii="Times New Roman" w:hAnsi="Times New Roman" w:cs="Times New Roman" w:eastAsia="Times New Roman" w:hint="default"/>
        </w:rPr>
        <w:t>18</w:t>
      </w:r>
      <w:r>
        <w:rPr/>
        <w:t>、应付职工薪酬</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应付职工薪酬列示" w:id="271"/>
      <w:bookmarkEnd w:id="27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66,876,605.46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360,631,365.09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372,467,762.00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55,040,208.55</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41,741.20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16,026,847.18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16,001,887.56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66,700.82</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457,895.99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457,895.99</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66,918,346.66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377,116,108.26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388,927,545.55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55,106,909.37</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短期薪酬列示" w:id="272"/>
      <w:bookmarkEnd w:id="27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61,684,306.72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341,931,275.01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350,209,034.29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53,406,547.44</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3,495,292.53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2,285,936.20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5,781,228.73</w:t>
            </w: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8,662,371.38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8,662,371.38</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7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7,930,950.98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7,930,950.98</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168,041.42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168,041.42</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4"/>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554,876.32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554,876.32</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hAnsi="宋体" w:cs="宋体" w:eastAsia="宋体" w:hint="default"/>
                <w:sz w:val="18"/>
                <w:szCs w:val="18"/>
              </w:rPr>
              <w:t>档案管理服务费</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8,502.66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8,502.66</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7,751,782.50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7,751,782.50</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1,697,006.21</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63,345.10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1,633,661.11</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66,876,605.46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360,631,365.09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372,467,762.00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55,040,208.55</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设定提存计划列示" w:id="273"/>
      <w:bookmarkEnd w:id="27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41,741.20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15,678,624.63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15,653,665.01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66,700.82</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348,222.55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348,222.55</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41,741.20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16,026,847.18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16,001,887.56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66,700.82</w:t>
            </w:r>
          </w:p>
        </w:tc>
      </w:tr>
    </w:tbl>
    <w:p>
      <w:pPr>
        <w:pStyle w:val="BodyText"/>
        <w:spacing w:line="240" w:lineRule="auto" w:before="44"/>
        <w:ind w:right="939"/>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19、应交税费" w:id="274"/>
      <w:bookmarkEnd w:id="274"/>
      <w:r>
        <w:rPr>
          <w:b w:val="0"/>
          <w:bCs w:val="0"/>
        </w:rPr>
      </w:r>
      <w:r>
        <w:rPr>
          <w:rFonts w:ascii="Times New Roman" w:hAnsi="Times New Roman" w:cs="Times New Roman" w:eastAsia="Times New Roman" w:hint="default"/>
        </w:rPr>
        <w:t>19</w:t>
      </w:r>
      <w:r>
        <w:rPr/>
        <w:t>、应交税费</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77"/>
        <w:gridCol w:w="3199"/>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1,423,799.68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921,750.79</w:t>
            </w:r>
          </w:p>
        </w:tc>
      </w:tr>
      <w:tr>
        <w:trPr>
          <w:trHeight w:val="391"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82,922.01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1,783,986.44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1,413,614.71</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97,518.00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64,522.56</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41,793.43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27,652.52</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27,862.29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18,435.02</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57,446.60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58,451.10</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3,515,328.45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2,504,426.70</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0、其他应付款" w:id="275"/>
      <w:bookmarkEnd w:id="275"/>
      <w:r>
        <w:rPr>
          <w:b w:val="0"/>
          <w:bCs w:val="0"/>
        </w:rPr>
      </w:r>
      <w:r>
        <w:rPr>
          <w:rFonts w:ascii="Times New Roman" w:hAnsi="Times New Roman" w:cs="Times New Roman" w:eastAsia="Times New Roman" w:hint="default"/>
        </w:rPr>
        <w:t>20</w:t>
      </w:r>
      <w:r>
        <w:rPr/>
        <w:t>、其他应付款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817,262.64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1,897,336.86</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32,835,536.34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104,660,825.82</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33,652,798.98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106,558,162.68</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1）应付股利" w:id="276"/>
      <w:bookmarkEnd w:id="276"/>
      <w:r>
        <w:rPr>
          <w:b w:val="0"/>
          <w:bCs w:val="0"/>
        </w:rPr>
      </w:r>
      <w:r>
        <w:rPr/>
        <w:t>（</w:t>
      </w:r>
      <w:r>
        <w:rPr>
          <w:rFonts w:ascii="Times New Roman" w:hAnsi="Times New Roman" w:cs="Times New Roman" w:eastAsia="Times New Roman" w:hint="default"/>
        </w:rPr>
        <w:t>1</w:t>
      </w:r>
      <w:r>
        <w:rPr/>
        <w:t>）应付股利</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817,262.64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1,897,336.86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817,262.64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1,897,336.86</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其他应付款" w:id="277"/>
      <w:bookmarkEnd w:id="277"/>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31,647,375.64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104,047,153.71</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1,188,160.70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613,672.11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32,835,536.34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104,660,825.82</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1、股本" w:id="278"/>
      <w:bookmarkEnd w:id="278"/>
      <w:r>
        <w:rPr>
          <w:b w:val="0"/>
          <w:bCs w:val="0"/>
        </w:rPr>
      </w:r>
      <w:r>
        <w:rPr>
          <w:rFonts w:ascii="Times New Roman" w:hAnsi="Times New Roman" w:cs="Times New Roman" w:eastAsia="Times New Roman" w:hint="default"/>
        </w:rPr>
        <w:t>21</w:t>
      </w:r>
      <w:r>
        <w:rPr/>
        <w:t>、股本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94"/>
        <w:gridCol w:w="1194"/>
        <w:gridCol w:w="1194"/>
        <w:gridCol w:w="1202"/>
        <w:gridCol w:w="1201"/>
        <w:gridCol w:w="1186"/>
        <w:gridCol w:w="1194"/>
        <w:gridCol w:w="1209"/>
      </w:tblGrid>
      <w:tr>
        <w:trPr>
          <w:trHeight w:val="203"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5977"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7" w:type="dxa"/>
            <w:gridSpan w:val="5"/>
            <w:vMerge/>
            <w:tcBorders>
              <w:left w:val="single" w:sz="6" w:space="0" w:color="000000"/>
              <w:bottom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194,282,079.00</w:t>
            </w:r>
          </w:p>
        </w:tc>
        <w:tc>
          <w:tcPr>
            <w:tcW w:w="119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0" w:right="0"/>
              <w:jc w:val="left"/>
              <w:rPr>
                <w:rFonts w:ascii="Times New Roman" w:hAnsi="Times New Roman" w:cs="Times New Roman" w:eastAsia="Times New Roman" w:hint="default"/>
                <w:sz w:val="18"/>
                <w:szCs w:val="18"/>
              </w:rPr>
            </w:pPr>
            <w:r>
              <w:rPr>
                <w:rFonts w:ascii="Times New Roman"/>
                <w:sz w:val="18"/>
              </w:rPr>
              <w:t>-5,313,818.00</w:t>
            </w:r>
          </w:p>
        </w:tc>
        <w:tc>
          <w:tcPr>
            <w:tcW w:w="1194" w:type="dxa"/>
            <w:tcBorders>
              <w:top w:val="single" w:sz="6" w:space="0" w:color="000000"/>
              <w:left w:val="single" w:sz="6" w:space="0" w:color="000000"/>
              <w:bottom w:val="single" w:sz="6" w:space="0" w:color="000000"/>
              <w:right w:val="single" w:sz="6" w:space="0" w:color="000000"/>
            </w:tcBorders>
          </w:tcPr>
          <w:p>
            <w:pP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188,968,261.00</w:t>
            </w:r>
          </w:p>
        </w:tc>
      </w:tr>
    </w:tbl>
    <w:p>
      <w:pPr>
        <w:spacing w:line="240" w:lineRule="auto" w:before="7"/>
        <w:rPr>
          <w:rFonts w:ascii="宋体" w:hAnsi="宋体" w:cs="宋体" w:eastAsia="宋体" w:hint="default"/>
          <w:sz w:val="19"/>
          <w:szCs w:val="19"/>
        </w:rPr>
      </w:pPr>
    </w:p>
    <w:p>
      <w:pPr>
        <w:pStyle w:val="BodyText"/>
        <w:spacing w:line="240" w:lineRule="auto" w:before="44"/>
        <w:ind w:left="321" w:right="939"/>
        <w:jc w:val="left"/>
      </w:pPr>
      <w:r>
        <w:rPr/>
        <w:t>报告期公司股份变动情况详见“三、</w:t>
      </w:r>
      <w:r>
        <w:rPr>
          <w:rFonts w:ascii="Times New Roman" w:hAnsi="Times New Roman" w:cs="Times New Roman" w:eastAsia="Times New Roman" w:hint="default"/>
        </w:rPr>
        <w:t>1</w:t>
      </w:r>
      <w:r>
        <w:rPr/>
        <w:t>、公司历史沿革”说明。</w:t>
      </w:r>
    </w:p>
    <w:p>
      <w:pPr>
        <w:spacing w:line="240" w:lineRule="auto" w:before="0"/>
        <w:rPr>
          <w:rFonts w:ascii="宋体" w:hAnsi="宋体" w:cs="宋体" w:eastAsia="宋体" w:hint="default"/>
          <w:sz w:val="18"/>
          <w:szCs w:val="18"/>
        </w:rPr>
      </w:pPr>
    </w:p>
    <w:p>
      <w:pPr>
        <w:pStyle w:val="Heading3"/>
        <w:spacing w:line="240" w:lineRule="auto" w:before="141"/>
        <w:ind w:right="939"/>
        <w:jc w:val="left"/>
        <w:rPr>
          <w:b w:val="0"/>
          <w:bCs w:val="0"/>
        </w:rPr>
      </w:pPr>
      <w:bookmarkStart w:name="22、资本公积" w:id="279"/>
      <w:bookmarkEnd w:id="279"/>
      <w:r>
        <w:rPr>
          <w:b w:val="0"/>
          <w:bCs w:val="0"/>
        </w:rPr>
      </w:r>
      <w:r>
        <w:rPr>
          <w:rFonts w:ascii="Times New Roman" w:hAnsi="Times New Roman" w:cs="Times New Roman" w:eastAsia="Times New Roman" w:hint="default"/>
        </w:rPr>
        <w:t>22</w:t>
      </w:r>
      <w:r>
        <w:rPr/>
        <w:t>、资本公积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589,101,898.02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68,165,654.84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520,936,243.18</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6,894,548.72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8,694,866.37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1,476.01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15,587,939.08</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595,996,446.74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8,694,866.37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68,167,130.85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536,524,182.26</w:t>
            </w:r>
          </w:p>
        </w:tc>
      </w:tr>
    </w:tbl>
    <w:p>
      <w:pPr>
        <w:pStyle w:val="BodyText"/>
        <w:spacing w:line="240" w:lineRule="auto" w:before="44"/>
        <w:ind w:left="501" w:right="939"/>
        <w:jc w:val="left"/>
      </w:pPr>
      <w:r>
        <w:rPr/>
        <w:t>股本溢价本期变动说明：</w:t>
      </w:r>
    </w:p>
    <w:p>
      <w:pPr>
        <w:pStyle w:val="BodyText"/>
        <w:spacing w:line="240" w:lineRule="auto" w:before="125"/>
        <w:ind w:left="501" w:right="939"/>
        <w:jc w:val="left"/>
      </w:pPr>
      <w:r>
        <w:rPr/>
        <w:t>（</w:t>
      </w:r>
      <w:r>
        <w:rPr>
          <w:rFonts w:ascii="Times New Roman" w:hAnsi="Times New Roman" w:cs="Times New Roman" w:eastAsia="Times New Roman" w:hint="default"/>
        </w:rPr>
        <w:t>1</w:t>
      </w:r>
      <w:r>
        <w:rPr/>
        <w:t>）根据公司第三届董事会第九次会议决议通过的《关于回购注销部分已授予限制性股票的议案</w:t>
      </w:r>
      <w:r>
        <w:rPr>
          <w:spacing w:val="-90"/>
        </w:rPr>
        <w:t>》</w:t>
      </w:r>
      <w:r>
        <w:rPr/>
        <w:t>，鉴于公司</w:t>
      </w:r>
      <w:r>
        <w:rPr>
          <w:spacing w:val="-35"/>
        </w:rPr>
        <w:t> </w:t>
      </w:r>
      <w:r>
        <w:rPr>
          <w:rFonts w:ascii="Times New Roman" w:hAnsi="Times New Roman" w:cs="Times New Roman" w:eastAsia="Times New Roman" w:hint="default"/>
        </w:rPr>
        <w:t>2017 </w:t>
      </w:r>
      <w:r>
        <w:rPr/>
        <w:t>年</w:t>
      </w:r>
    </w:p>
    <w:p>
      <w:pPr>
        <w:pStyle w:val="BodyText"/>
        <w:spacing w:line="240" w:lineRule="auto" w:before="66"/>
        <w:ind w:right="939"/>
        <w:jc w:val="left"/>
        <w:rPr>
          <w:rFonts w:ascii="Times New Roman" w:hAnsi="Times New Roman" w:cs="Times New Roman" w:eastAsia="Times New Roman" w:hint="default"/>
        </w:rPr>
      </w:pPr>
      <w:r>
        <w:rPr>
          <w:spacing w:val="-3"/>
        </w:rPr>
        <w:t>限制性股票激励计划激励对象朱天伟、高翔被选举为监事而职务发生变更，根据公司《深圳四方精创资讯股份有限公司</w:t>
      </w:r>
      <w:r>
        <w:rPr>
          <w:spacing w:val="-13"/>
        </w:rPr>
        <w:t> </w:t>
      </w:r>
      <w:r>
        <w:rPr>
          <w:rFonts w:ascii="Times New Roman" w:hAnsi="Times New Roman" w:cs="Times New Roman" w:eastAsia="Times New Roman" w:hint="default"/>
        </w:rPr>
        <w:t>2017</w:t>
      </w:r>
    </w:p>
    <w:p>
      <w:pPr>
        <w:pStyle w:val="BodyText"/>
        <w:spacing w:line="240" w:lineRule="auto" w:before="51"/>
        <w:ind w:right="939"/>
        <w:jc w:val="left"/>
      </w:pPr>
      <w:r>
        <w:rPr/>
        <w:t>年限制性股票激励计</w:t>
      </w:r>
      <w:r>
        <w:rPr>
          <w:spacing w:val="-45"/>
        </w:rPr>
        <w:t>划</w:t>
      </w:r>
      <w:r>
        <w:rPr/>
        <w:t>（草案</w:t>
      </w:r>
      <w:r>
        <w:rPr>
          <w:spacing w:val="-90"/>
        </w:rPr>
        <w:t>）》</w:t>
      </w:r>
      <w:r>
        <w:rPr>
          <w:spacing w:val="-45"/>
        </w:rPr>
        <w:t>，</w:t>
      </w:r>
      <w:r>
        <w:rPr/>
        <w:t>上述激励对象已不具备激励对象资格</w:t>
      </w:r>
      <w:r>
        <w:rPr>
          <w:spacing w:val="-45"/>
        </w:rPr>
        <w:t>，</w:t>
      </w:r>
      <w:r>
        <w:rPr/>
        <w:t>公司回购注销上述激励对象获授的共计</w:t>
      </w:r>
      <w:r>
        <w:rPr>
          <w:spacing w:val="-34"/>
        </w:rPr>
        <w:t> </w:t>
      </w:r>
      <w:r>
        <w:rPr>
          <w:rFonts w:ascii="Times New Roman" w:hAnsi="Times New Roman" w:cs="Times New Roman" w:eastAsia="Times New Roman" w:hint="default"/>
        </w:rPr>
        <w:t>61,217 </w:t>
      </w:r>
      <w:r>
        <w:rPr/>
        <w:t>股，</w:t>
      </w:r>
    </w:p>
    <w:p>
      <w:pPr>
        <w:pStyle w:val="BodyText"/>
        <w:spacing w:line="240" w:lineRule="auto" w:before="66"/>
        <w:ind w:right="939"/>
        <w:jc w:val="left"/>
        <w:rPr>
          <w:rFonts w:ascii="Times New Roman" w:hAnsi="Times New Roman" w:cs="Times New Roman" w:eastAsia="Times New Roman" w:hint="default"/>
        </w:rPr>
      </w:pPr>
      <w:r>
        <w:rPr/>
        <w:t>公司以</w:t>
      </w:r>
      <w:r>
        <w:rPr>
          <w:spacing w:val="-46"/>
        </w:rPr>
        <w:t> </w:t>
      </w:r>
      <w:r>
        <w:rPr>
          <w:rFonts w:ascii="Times New Roman" w:hAnsi="Times New Roman" w:cs="Times New Roman" w:eastAsia="Times New Roman" w:hint="default"/>
        </w:rPr>
        <w:t>11.8077 </w:t>
      </w:r>
      <w:r>
        <w:rPr/>
        <w:t>元</w:t>
      </w:r>
      <w:r>
        <w:rPr>
          <w:rFonts w:ascii="Times New Roman" w:hAnsi="Times New Roman" w:cs="Times New Roman" w:eastAsia="Times New Roman" w:hint="default"/>
        </w:rPr>
        <w:t>/</w:t>
      </w:r>
      <w:r>
        <w:rPr/>
        <w:t>股的价格向朱天伟及高翔</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人合共回购</w:t>
      </w:r>
      <w:r>
        <w:rPr>
          <w:spacing w:val="-45"/>
        </w:rPr>
        <w:t> </w:t>
      </w:r>
      <w:r>
        <w:rPr>
          <w:rFonts w:ascii="Times New Roman" w:hAnsi="Times New Roman" w:cs="Times New Roman" w:eastAsia="Times New Roman" w:hint="default"/>
        </w:rPr>
        <w:t>61,217 </w:t>
      </w:r>
      <w:r>
        <w:rPr/>
        <w:t>股限制性股票，全部回购股份的价值为人民币</w:t>
      </w:r>
      <w:r>
        <w:rPr>
          <w:spacing w:val="-42"/>
        </w:rPr>
        <w:t> </w:t>
      </w:r>
      <w:r>
        <w:rPr>
          <w:rFonts w:ascii="Times New Roman" w:hAnsi="Times New Roman" w:cs="Times New Roman" w:eastAsia="Times New Roman" w:hint="default"/>
        </w:rPr>
        <w:t>722,831.97</w:t>
      </w:r>
    </w:p>
    <w:p>
      <w:pPr>
        <w:spacing w:after="0" w:line="240" w:lineRule="auto"/>
        <w:jc w:val="left"/>
        <w:rPr>
          <w:rFonts w:ascii="Times New Roman" w:hAnsi="Times New Roman" w:cs="Times New Roman" w:eastAsia="Times New Roman" w:hint="default"/>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right="939"/>
        <w:jc w:val="left"/>
      </w:pPr>
      <w:r>
        <w:rPr/>
        <w:t>元。其中：股本</w:t>
      </w:r>
      <w:r>
        <w:rPr>
          <w:spacing w:val="-44"/>
        </w:rPr>
        <w:t> </w:t>
      </w:r>
      <w:r>
        <w:rPr>
          <w:rFonts w:ascii="Times New Roman" w:hAnsi="Times New Roman" w:cs="Times New Roman" w:eastAsia="Times New Roman" w:hint="default"/>
        </w:rPr>
        <w:t>61,217.00</w:t>
      </w:r>
      <w:r>
        <w:rPr>
          <w:rFonts w:ascii="Times New Roman" w:hAnsi="Times New Roman" w:cs="Times New Roman" w:eastAsia="Times New Roman" w:hint="default"/>
          <w:spacing w:val="1"/>
        </w:rPr>
        <w:t> </w:t>
      </w:r>
      <w:r>
        <w:rPr/>
        <w:t>元，其余</w:t>
      </w:r>
      <w:r>
        <w:rPr>
          <w:spacing w:val="-44"/>
        </w:rPr>
        <w:t> </w:t>
      </w:r>
      <w:r>
        <w:rPr>
          <w:rFonts w:ascii="Times New Roman" w:hAnsi="Times New Roman" w:cs="Times New Roman" w:eastAsia="Times New Roman" w:hint="default"/>
        </w:rPr>
        <w:t>661,614.97 </w:t>
      </w:r>
      <w:r>
        <w:rPr/>
        <w:t>元冲减资本公积（股本溢价</w:t>
      </w:r>
      <w:r>
        <w:rPr>
          <w:spacing w:val="-90"/>
        </w:rPr>
        <w:t>）</w:t>
      </w:r>
      <w:r>
        <w:rPr/>
        <w:t>。</w:t>
      </w:r>
    </w:p>
    <w:p>
      <w:pPr>
        <w:pStyle w:val="BodyText"/>
        <w:spacing w:line="240" w:lineRule="auto" w:before="96"/>
        <w:ind w:left="0" w:right="1128"/>
        <w:jc w:val="righ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日，根据公司第三届董事会第十二次会议决议通过的《关于回购注销</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年限制性股票激励计划</w:t>
      </w:r>
    </w:p>
    <w:p>
      <w:pPr>
        <w:pStyle w:val="BodyText"/>
        <w:spacing w:line="240" w:lineRule="auto" w:before="66"/>
        <w:ind w:right="939"/>
        <w:jc w:val="left"/>
      </w:pPr>
      <w:r>
        <w:rPr/>
        <w:t>部分限制性股票的议案</w:t>
      </w:r>
      <w:r>
        <w:rPr>
          <w:spacing w:val="-90"/>
        </w:rPr>
        <w:t>》</w:t>
      </w:r>
      <w:r>
        <w:rPr>
          <w:spacing w:val="-121"/>
        </w:rPr>
        <w:t>，</w:t>
      </w:r>
      <w:r>
        <w:rPr/>
        <w:t>《关于回购注销</w:t>
      </w:r>
      <w:r>
        <w:rPr>
          <w:spacing w:val="-42"/>
        </w:rPr>
        <w:t> </w:t>
      </w:r>
      <w:r>
        <w:rPr>
          <w:rFonts w:ascii="Times New Roman" w:hAnsi="Times New Roman" w:cs="Times New Roman" w:eastAsia="Times New Roman" w:hint="default"/>
        </w:rPr>
        <w:t>2016 </w:t>
      </w:r>
      <w:r>
        <w:rPr/>
        <w:t>年限制性股票激励计划部分限制性股票的议案</w:t>
      </w:r>
      <w:r>
        <w:rPr>
          <w:spacing w:val="-31"/>
        </w:rPr>
        <w:t>》及</w:t>
      </w:r>
      <w:r>
        <w:rPr/>
        <w:t>《关于回购注销</w:t>
      </w:r>
      <w:r>
        <w:rPr>
          <w:spacing w:val="-39"/>
        </w:rPr>
        <w:t> </w:t>
      </w:r>
      <w:r>
        <w:rPr>
          <w:rFonts w:ascii="Times New Roman" w:hAnsi="Times New Roman" w:cs="Times New Roman" w:eastAsia="Times New Roman" w:hint="default"/>
        </w:rPr>
        <w:t>2017 </w:t>
      </w:r>
      <w:r>
        <w:rPr/>
        <w:t>年限</w:t>
      </w:r>
    </w:p>
    <w:p>
      <w:pPr>
        <w:pStyle w:val="BodyText"/>
        <w:spacing w:line="302" w:lineRule="auto" w:before="66"/>
        <w:ind w:right="1021"/>
        <w:jc w:val="left"/>
      </w:pPr>
      <w:r>
        <w:rPr/>
        <w:t>制性股票激励计划部分限制性股票的议案</w:t>
      </w:r>
      <w:r>
        <w:rPr>
          <w:spacing w:val="-90"/>
        </w:rPr>
        <w:t>》</w:t>
      </w:r>
      <w:r>
        <w:rPr/>
        <w:t>，鉴于公司部分激励对象已经离职，且</w:t>
      </w:r>
      <w:r>
        <w:rPr>
          <w:spacing w:val="-37"/>
        </w:rPr>
        <w:t> </w:t>
      </w:r>
      <w:r>
        <w:rPr>
          <w:rFonts w:ascii="Times New Roman" w:hAnsi="Times New Roman" w:cs="Times New Roman" w:eastAsia="Times New Roman" w:hint="default"/>
        </w:rPr>
        <w:t>2018 </w:t>
      </w:r>
      <w:r>
        <w:rPr/>
        <w:t>年未达到股权激励计划的业绩要求， 根据公司《</w:t>
      </w:r>
      <w:r>
        <w:rPr>
          <w:rFonts w:ascii="Times New Roman" w:hAnsi="Times New Roman" w:cs="Times New Roman" w:eastAsia="Times New Roman" w:hint="default"/>
        </w:rPr>
        <w:t>2017 </w:t>
      </w:r>
      <w:r>
        <w:rPr/>
        <w:t>年限制性股票激励计划（草案</w:t>
      </w:r>
      <w:r>
        <w:rPr>
          <w:spacing w:val="-90"/>
        </w:rPr>
        <w:t>）》、</w:t>
      </w:r>
      <w:r>
        <w:rPr>
          <w:spacing w:val="3"/>
        </w:rPr>
        <w:t>《</w:t>
      </w:r>
      <w:r>
        <w:rPr>
          <w:rFonts w:ascii="Times New Roman" w:hAnsi="Times New Roman" w:cs="Times New Roman" w:eastAsia="Times New Roman" w:hint="default"/>
        </w:rPr>
        <w:t>2016 </w:t>
      </w:r>
      <w:r>
        <w:rPr/>
        <w:t>年限制性股票激励计划（草案</w:t>
      </w:r>
      <w:r>
        <w:rPr>
          <w:spacing w:val="-105"/>
        </w:rPr>
        <w:t>）</w:t>
      </w:r>
      <w:r>
        <w:rPr/>
        <w:t>》及</w:t>
      </w:r>
      <w:r>
        <w:rPr>
          <w:spacing w:val="3"/>
        </w:rPr>
        <w:t>《</w:t>
      </w:r>
      <w:r>
        <w:rPr>
          <w:rFonts w:ascii="Times New Roman" w:hAnsi="Times New Roman" w:cs="Times New Roman" w:eastAsia="Times New Roman" w:hint="default"/>
        </w:rPr>
        <w:t>2015 </w:t>
      </w:r>
      <w:r>
        <w:rPr/>
        <w:t>年限制性股票激励计划</w:t>
      </w:r>
    </w:p>
    <w:p>
      <w:pPr>
        <w:pStyle w:val="BodyText"/>
        <w:spacing w:line="240" w:lineRule="auto" w:before="14"/>
        <w:ind w:right="939"/>
        <w:jc w:val="left"/>
      </w:pPr>
      <w:r>
        <w:rPr/>
        <w:t>（草案</w:t>
      </w:r>
      <w:r>
        <w:rPr>
          <w:spacing w:val="-90"/>
        </w:rPr>
        <w:t>）》</w:t>
      </w:r>
      <w:r>
        <w:rPr>
          <w:spacing w:val="-60"/>
        </w:rPr>
        <w:t>，</w:t>
      </w:r>
      <w:r>
        <w:rPr/>
        <w:t>公司回购注销激励对象获授的共计</w:t>
      </w:r>
      <w:r>
        <w:rPr>
          <w:spacing w:val="-41"/>
        </w:rPr>
        <w:t> </w:t>
      </w:r>
      <w:r>
        <w:rPr>
          <w:rFonts w:ascii="Times New Roman" w:hAnsi="Times New Roman" w:cs="Times New Roman" w:eastAsia="Times New Roman" w:hint="default"/>
        </w:rPr>
        <w:t>5,252,601.00</w:t>
      </w:r>
      <w:r>
        <w:rPr>
          <w:rFonts w:ascii="Times New Roman" w:hAnsi="Times New Roman" w:cs="Times New Roman" w:eastAsia="Times New Roman" w:hint="default"/>
          <w:spacing w:val="1"/>
        </w:rPr>
        <w:t> </w:t>
      </w:r>
      <w:r>
        <w:rPr/>
        <w:t>股</w:t>
      </w:r>
      <w:r>
        <w:rPr>
          <w:spacing w:val="-60"/>
        </w:rPr>
        <w:t>，</w:t>
      </w:r>
      <w:r>
        <w:rPr/>
        <w:t>回购价款合计</w:t>
      </w:r>
      <w:r>
        <w:rPr>
          <w:spacing w:val="-44"/>
        </w:rPr>
        <w:t> </w:t>
      </w:r>
      <w:r>
        <w:rPr>
          <w:rFonts w:ascii="Times New Roman" w:hAnsi="Times New Roman" w:cs="Times New Roman" w:eastAsia="Times New Roman" w:hint="default"/>
        </w:rPr>
        <w:t>72,756,640.87</w:t>
      </w:r>
      <w:r>
        <w:rPr>
          <w:rFonts w:ascii="Times New Roman" w:hAnsi="Times New Roman" w:cs="Times New Roman" w:eastAsia="Times New Roman" w:hint="default"/>
          <w:spacing w:val="1"/>
        </w:rPr>
        <w:t> </w:t>
      </w:r>
      <w:r>
        <w:rPr/>
        <w:t>元</w:t>
      </w:r>
      <w:r>
        <w:rPr>
          <w:spacing w:val="-60"/>
        </w:rPr>
        <w:t>，</w:t>
      </w:r>
      <w:r>
        <w:rPr/>
        <w:t>其</w:t>
      </w:r>
      <w:r>
        <w:rPr>
          <w:spacing w:val="14"/>
        </w:rPr>
        <w:t>中</w:t>
      </w:r>
      <w:r>
        <w:rPr>
          <w:spacing w:val="-60"/>
        </w:rPr>
        <w:t>：</w:t>
      </w:r>
      <w:r>
        <w:rPr/>
        <w:t>股本</w:t>
      </w:r>
      <w:r>
        <w:rPr>
          <w:spacing w:val="-44"/>
        </w:rPr>
        <w:t> </w:t>
      </w:r>
      <w:r>
        <w:rPr>
          <w:rFonts w:ascii="Times New Roman" w:hAnsi="Times New Roman" w:cs="Times New Roman" w:eastAsia="Times New Roman" w:hint="default"/>
        </w:rPr>
        <w:t>5,252,601.00</w:t>
      </w:r>
      <w:r>
        <w:rPr>
          <w:rFonts w:ascii="Times New Roman" w:hAnsi="Times New Roman" w:cs="Times New Roman" w:eastAsia="Times New Roman" w:hint="default"/>
          <w:spacing w:val="1"/>
        </w:rPr>
        <w:t> </w:t>
      </w:r>
      <w:r>
        <w:rPr/>
        <w:t>元，</w:t>
      </w:r>
    </w:p>
    <w:p>
      <w:pPr>
        <w:pStyle w:val="BodyText"/>
        <w:spacing w:line="333" w:lineRule="auto" w:before="51"/>
        <w:ind w:left="501" w:right="6836" w:hanging="361"/>
        <w:jc w:val="left"/>
      </w:pPr>
      <w:r>
        <w:rPr/>
        <w:t>其余</w:t>
      </w:r>
      <w:r>
        <w:rPr>
          <w:spacing w:val="-42"/>
        </w:rPr>
        <w:t> </w:t>
      </w:r>
      <w:r>
        <w:rPr>
          <w:rFonts w:ascii="Times New Roman" w:hAnsi="Times New Roman" w:cs="Times New Roman" w:eastAsia="Times New Roman" w:hint="default"/>
        </w:rPr>
        <w:t>67,504,039.87</w:t>
      </w:r>
      <w:r>
        <w:rPr>
          <w:rFonts w:ascii="Times New Roman" w:hAnsi="Times New Roman" w:cs="Times New Roman" w:eastAsia="Times New Roman" w:hint="default"/>
          <w:spacing w:val="4"/>
        </w:rPr>
        <w:t> </w:t>
      </w:r>
      <w:r>
        <w:rPr>
          <w:spacing w:val="-7"/>
        </w:rPr>
        <w:t>元冲减资本公积（股本溢价）。</w:t>
      </w:r>
      <w:r>
        <w:rPr/>
        <w:t> 其他资本公积变动说明：</w:t>
      </w:r>
    </w:p>
    <w:p>
      <w:pPr>
        <w:pStyle w:val="BodyText"/>
        <w:spacing w:line="240" w:lineRule="auto" w:before="55"/>
        <w:ind w:left="0" w:right="1134"/>
        <w:jc w:val="right"/>
      </w:pPr>
      <w:r>
        <w:rPr/>
        <w:t>本期其他资本公积增加为</w:t>
      </w:r>
      <w:r>
        <w:rPr>
          <w:spacing w:val="-43"/>
        </w:rPr>
        <w:t> </w:t>
      </w:r>
      <w:r>
        <w:rPr>
          <w:rFonts w:ascii="Times New Roman" w:hAnsi="Times New Roman" w:cs="Times New Roman" w:eastAsia="Times New Roman" w:hint="default"/>
        </w:rPr>
        <w:t>2019 </w:t>
      </w:r>
      <w:r>
        <w:rPr/>
        <w:t>股权激励摊销费用以及股权激励预计未来期间可税前扣除的金额超过确认的与股份支付</w:t>
      </w:r>
    </w:p>
    <w:p>
      <w:pPr>
        <w:pStyle w:val="BodyText"/>
        <w:spacing w:line="333" w:lineRule="auto" w:before="66"/>
        <w:ind w:left="501" w:right="939" w:hanging="361"/>
        <w:jc w:val="left"/>
      </w:pPr>
      <w:r>
        <w:rPr/>
        <w:t>相关的成本费用的所得税影响数</w:t>
      </w:r>
      <w:r>
        <w:rPr>
          <w:spacing w:val="-42"/>
        </w:rPr>
        <w:t> </w:t>
      </w:r>
      <w:r>
        <w:rPr>
          <w:rFonts w:ascii="Times New Roman" w:hAnsi="Times New Roman" w:cs="Times New Roman" w:eastAsia="Times New Roman" w:hint="default"/>
        </w:rPr>
        <w:t>8,694,866.37</w:t>
      </w:r>
      <w:r>
        <w:rPr>
          <w:rFonts w:ascii="Times New Roman" w:hAnsi="Times New Roman" w:cs="Times New Roman" w:eastAsia="Times New Roman" w:hint="default"/>
          <w:spacing w:val="1"/>
        </w:rPr>
        <w:t> </w:t>
      </w:r>
      <w:r>
        <w:rPr/>
        <w:t>元。 </w:t>
      </w:r>
      <w:r>
        <w:rPr>
          <w:spacing w:val="-2"/>
        </w:rPr>
        <w:t>本期其他资本公积减少为权益法核算的长期股权投资，投资方享有的被投资单位除净利润、利润分配以及其他综合收益</w:t>
      </w:r>
    </w:p>
    <w:p>
      <w:pPr>
        <w:pStyle w:val="BodyText"/>
        <w:spacing w:line="240" w:lineRule="auto" w:before="9"/>
        <w:ind w:right="939"/>
        <w:jc w:val="left"/>
      </w:pPr>
      <w:r>
        <w:rPr/>
        <w:t>以外所有者权益的其他变动的份额</w:t>
      </w:r>
      <w:r>
        <w:rPr>
          <w:spacing w:val="-42"/>
        </w:rPr>
        <w:t> </w:t>
      </w:r>
      <w:r>
        <w:rPr>
          <w:rFonts w:ascii="Times New Roman" w:hAnsi="Times New Roman" w:cs="Times New Roman" w:eastAsia="Times New Roman" w:hint="default"/>
        </w:rPr>
        <w:t>1,476.01</w:t>
      </w:r>
      <w:r>
        <w:rPr/>
        <w:t>。</w:t>
      </w:r>
    </w:p>
    <w:p>
      <w:pPr>
        <w:spacing w:line="240" w:lineRule="auto" w:before="0"/>
        <w:rPr>
          <w:rFonts w:ascii="宋体" w:hAnsi="宋体" w:cs="宋体" w:eastAsia="宋体" w:hint="default"/>
          <w:sz w:val="18"/>
          <w:szCs w:val="18"/>
        </w:rPr>
      </w:pPr>
    </w:p>
    <w:p>
      <w:pPr>
        <w:pStyle w:val="Heading3"/>
        <w:spacing w:line="240" w:lineRule="auto" w:before="126"/>
        <w:ind w:right="939"/>
        <w:jc w:val="left"/>
        <w:rPr>
          <w:b w:val="0"/>
          <w:bCs w:val="0"/>
        </w:rPr>
      </w:pPr>
      <w:bookmarkStart w:name="23、库存股" w:id="280"/>
      <w:bookmarkEnd w:id="280"/>
      <w:r>
        <w:rPr>
          <w:b w:val="0"/>
          <w:bCs w:val="0"/>
        </w:rPr>
      </w:r>
      <w:r>
        <w:rPr>
          <w:rFonts w:ascii="Times New Roman" w:hAnsi="Times New Roman" w:cs="Times New Roman" w:eastAsia="Times New Roman" w:hint="default"/>
        </w:rPr>
        <w:t>23</w:t>
      </w:r>
      <w:r>
        <w:rPr/>
        <w:t>、库存股</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104,047,153.71</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72,399,778.07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31,647,375.64</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104,047,153.71</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72,399,778.07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31,647,375.64</w:t>
            </w:r>
          </w:p>
        </w:tc>
      </w:tr>
    </w:tbl>
    <w:p>
      <w:pPr>
        <w:spacing w:line="240" w:lineRule="auto" w:before="10"/>
        <w:rPr>
          <w:rFonts w:ascii="宋体" w:hAnsi="宋体" w:cs="宋体" w:eastAsia="宋体" w:hint="default"/>
          <w:sz w:val="5"/>
          <w:szCs w:val="5"/>
        </w:rPr>
      </w:pPr>
    </w:p>
    <w:p>
      <w:pPr>
        <w:pStyle w:val="BodyText"/>
        <w:spacing w:line="240" w:lineRule="auto" w:before="44"/>
        <w:ind w:left="501" w:right="939"/>
        <w:jc w:val="left"/>
      </w:pPr>
      <w:r>
        <w:rPr/>
        <w:t>本期库存股减少为回购注销失效的限制性股票和限制性股票对应的未分配股利。</w:t>
      </w:r>
    </w:p>
    <w:p>
      <w:pPr>
        <w:spacing w:line="240" w:lineRule="auto" w:before="0"/>
        <w:rPr>
          <w:rFonts w:ascii="宋体" w:hAnsi="宋体" w:cs="宋体" w:eastAsia="宋体" w:hint="default"/>
          <w:sz w:val="18"/>
          <w:szCs w:val="18"/>
        </w:rPr>
      </w:pPr>
    </w:p>
    <w:p>
      <w:pPr>
        <w:pStyle w:val="Heading3"/>
        <w:spacing w:line="240" w:lineRule="auto" w:before="124"/>
        <w:ind w:right="939"/>
        <w:jc w:val="left"/>
        <w:rPr>
          <w:b w:val="0"/>
          <w:bCs w:val="0"/>
        </w:rPr>
      </w:pPr>
      <w:bookmarkStart w:name="24、其他综合收益" w:id="281"/>
      <w:bookmarkEnd w:id="281"/>
      <w:r>
        <w:rPr>
          <w:b w:val="0"/>
          <w:bCs w:val="0"/>
        </w:rPr>
      </w:r>
      <w:r>
        <w:rPr>
          <w:rFonts w:ascii="Times New Roman" w:hAnsi="Times New Roman" w:cs="Times New Roman" w:eastAsia="Times New Roman" w:hint="default"/>
        </w:rPr>
        <w:t>24</w:t>
      </w:r>
      <w:r>
        <w:rPr/>
        <w:t>、其他综合收益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538"/>
        <w:gridCol w:w="984"/>
        <w:gridCol w:w="856"/>
        <w:gridCol w:w="1051"/>
        <w:gridCol w:w="857"/>
        <w:gridCol w:w="856"/>
        <w:gridCol w:w="856"/>
        <w:gridCol w:w="841"/>
        <w:gridCol w:w="736"/>
      </w:tblGrid>
      <w:tr>
        <w:trPr>
          <w:trHeight w:val="405" w:hRule="exact"/>
        </w:trPr>
        <w:tc>
          <w:tcPr>
            <w:tcW w:w="2538" w:type="dxa"/>
            <w:vMerge w:val="restart"/>
            <w:tcBorders>
              <w:top w:val="single" w:sz="6" w:space="0" w:color="000000"/>
              <w:left w:val="single" w:sz="6" w:space="0" w:color="000000"/>
              <w:right w:val="single" w:sz="6" w:space="0" w:color="000000"/>
            </w:tcBorders>
            <w:shd w:val="clear" w:color="auto" w:fill="D2D2D2"/>
          </w:tcPr>
          <w:p>
            <w:pPr/>
          </w:p>
        </w:tc>
        <w:tc>
          <w:tcPr>
            <w:tcW w:w="984" w:type="dxa"/>
            <w:vMerge w:val="restart"/>
            <w:tcBorders>
              <w:top w:val="single" w:sz="6" w:space="0" w:color="000000"/>
              <w:left w:val="single" w:sz="6" w:space="0" w:color="000000"/>
              <w:right w:val="single" w:sz="6" w:space="0" w:color="000000"/>
            </w:tcBorders>
            <w:shd w:val="clear" w:color="auto" w:fill="D2D2D2"/>
          </w:tcPr>
          <w:p>
            <w:pPr/>
          </w:p>
        </w:tc>
        <w:tc>
          <w:tcPr>
            <w:tcW w:w="5317"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36" w:type="dxa"/>
            <w:vMerge w:val="restart"/>
            <w:tcBorders>
              <w:top w:val="single" w:sz="6" w:space="0" w:color="000000"/>
              <w:left w:val="single" w:sz="6" w:space="0" w:color="000000"/>
              <w:right w:val="single" w:sz="6" w:space="0" w:color="000000"/>
            </w:tcBorders>
            <w:shd w:val="clear" w:color="auto" w:fill="D2D2D2"/>
          </w:tcPr>
          <w:p>
            <w:pPr/>
          </w:p>
        </w:tc>
      </w:tr>
      <w:tr>
        <w:trPr>
          <w:trHeight w:val="158" w:hRule="exact"/>
        </w:trPr>
        <w:tc>
          <w:tcPr>
            <w:tcW w:w="2538" w:type="dxa"/>
            <w:vMerge/>
            <w:tcBorders>
              <w:left w:val="single" w:sz="6" w:space="0" w:color="000000"/>
              <w:right w:val="single" w:sz="6" w:space="0" w:color="000000"/>
            </w:tcBorders>
            <w:shd w:val="clear" w:color="auto" w:fill="D2D2D2"/>
          </w:tcPr>
          <w:p>
            <w:pPr/>
          </w:p>
        </w:tc>
        <w:tc>
          <w:tcPr>
            <w:tcW w:w="984" w:type="dxa"/>
            <w:vMerge/>
            <w:tcBorders>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857"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29"/>
              <w:ind w:left="60"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41" w:type="dxa"/>
            <w:vMerge w:val="restart"/>
            <w:tcBorders>
              <w:top w:val="single" w:sz="6" w:space="0" w:color="000000"/>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39" w:hRule="exact"/>
        </w:trPr>
        <w:tc>
          <w:tcPr>
            <w:tcW w:w="2538" w:type="dxa"/>
            <w:vMerge/>
            <w:tcBorders>
              <w:left w:val="single" w:sz="6" w:space="0" w:color="000000"/>
              <w:right w:val="single" w:sz="6" w:space="0" w:color="000000"/>
            </w:tcBorders>
            <w:shd w:val="clear" w:color="auto" w:fill="D2D2D2"/>
          </w:tcPr>
          <w:p>
            <w:pPr/>
          </w:p>
        </w:tc>
        <w:tc>
          <w:tcPr>
            <w:tcW w:w="984"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30" w:right="15"/>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bottom w:val="single" w:sz="18" w:space="0" w:color="FFFFFF"/>
              <w:right w:val="single" w:sz="6" w:space="0" w:color="000000"/>
            </w:tcBorders>
            <w:shd w:val="clear" w:color="auto" w:fill="D2D2D2"/>
          </w:tcPr>
          <w:p>
            <w:pPr/>
          </w:p>
        </w:tc>
        <w:tc>
          <w:tcPr>
            <w:tcW w:w="736" w:type="dxa"/>
            <w:vMerge/>
            <w:tcBorders>
              <w:left w:val="single" w:sz="6" w:space="0" w:color="000000"/>
              <w:bottom w:val="single" w:sz="18" w:space="0" w:color="FFFFFF"/>
              <w:right w:val="single" w:sz="6" w:space="0" w:color="000000"/>
            </w:tcBorders>
            <w:shd w:val="clear" w:color="auto" w:fill="D2D2D2"/>
          </w:tcPr>
          <w:p>
            <w:pPr/>
          </w:p>
        </w:tc>
      </w:tr>
      <w:tr>
        <w:trPr>
          <w:trHeight w:val="154" w:hRule="exact"/>
        </w:trPr>
        <w:tc>
          <w:tcPr>
            <w:tcW w:w="2538" w:type="dxa"/>
            <w:vMerge/>
            <w:tcBorders>
              <w:left w:val="single" w:sz="6" w:space="0" w:color="000000"/>
              <w:bottom w:val="nil" w:sz="6" w:space="0" w:color="auto"/>
              <w:right w:val="single" w:sz="6" w:space="0" w:color="000000"/>
            </w:tcBorders>
            <w:shd w:val="clear" w:color="auto" w:fill="D2D2D2"/>
          </w:tcPr>
          <w:p>
            <w:pPr/>
          </w:p>
        </w:tc>
        <w:tc>
          <w:tcPr>
            <w:tcW w:w="984" w:type="dxa"/>
            <w:vMerge/>
            <w:tcBorders>
              <w:left w:val="single" w:sz="6" w:space="0" w:color="000000"/>
              <w:bottom w:val="nil" w:sz="6" w:space="0" w:color="auto"/>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56"/>
              <w:ind w:left="60" w:right="6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val="restart"/>
            <w:tcBorders>
              <w:top w:val="single" w:sz="18" w:space="0" w:color="FFFFFF"/>
              <w:left w:val="single" w:sz="6" w:space="0" w:color="000000"/>
              <w:right w:val="single" w:sz="6" w:space="0" w:color="000000"/>
            </w:tcBorders>
            <w:shd w:val="clear" w:color="auto" w:fill="D2D2D2"/>
          </w:tcPr>
          <w:p>
            <w:pPr>
              <w:pStyle w:val="TableParagraph"/>
              <w:spacing w:line="314" w:lineRule="auto" w:before="33"/>
              <w:ind w:left="45" w:right="60"/>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36" w:type="dxa"/>
            <w:vMerge w:val="restart"/>
            <w:tcBorders>
              <w:top w:val="single" w:sz="18" w:space="0" w:color="FFFFFF"/>
              <w:left w:val="single" w:sz="6" w:space="0" w:color="000000"/>
              <w:right w:val="single" w:sz="6" w:space="0" w:color="000000"/>
            </w:tcBorders>
            <w:shd w:val="clear" w:color="auto" w:fill="D2D2D2"/>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68" w:hRule="exact"/>
        </w:trPr>
        <w:tc>
          <w:tcPr>
            <w:tcW w:w="253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98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left="1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67"/>
              <w:ind w:left="135" w:right="7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67"/>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0" w:hRule="exact"/>
        </w:trPr>
        <w:tc>
          <w:tcPr>
            <w:tcW w:w="2538" w:type="dxa"/>
            <w:vMerge w:val="restart"/>
            <w:tcBorders>
              <w:top w:val="nil" w:sz="6" w:space="0" w:color="auto"/>
              <w:left w:val="single" w:sz="6" w:space="0" w:color="000000"/>
              <w:right w:val="single" w:sz="6" w:space="0" w:color="000000"/>
            </w:tcBorders>
            <w:shd w:val="clear" w:color="auto" w:fill="D2D2D2"/>
          </w:tcPr>
          <w:p>
            <w:pPr/>
          </w:p>
        </w:tc>
        <w:tc>
          <w:tcPr>
            <w:tcW w:w="984" w:type="dxa"/>
            <w:vMerge w:val="restart"/>
            <w:tcBorders>
              <w:top w:val="nil" w:sz="6" w:space="0" w:color="auto"/>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bottom w:val="nil" w:sz="6" w:space="0" w:color="auto"/>
              <w:right w:val="single" w:sz="6" w:space="0" w:color="000000"/>
            </w:tcBorders>
            <w:shd w:val="clear" w:color="auto" w:fill="D2D2D2"/>
          </w:tcPr>
          <w:p>
            <w:pPr/>
          </w:p>
        </w:tc>
      </w:tr>
      <w:tr>
        <w:trPr>
          <w:trHeight w:val="195" w:hRule="exact"/>
        </w:trPr>
        <w:tc>
          <w:tcPr>
            <w:tcW w:w="2538" w:type="dxa"/>
            <w:vMerge/>
            <w:tcBorders>
              <w:left w:val="single" w:sz="6" w:space="0" w:color="000000"/>
              <w:right w:val="single" w:sz="6" w:space="0" w:color="000000"/>
            </w:tcBorders>
            <w:shd w:val="clear" w:color="auto" w:fill="D2D2D2"/>
          </w:tcPr>
          <w:p>
            <w:pPr/>
          </w:p>
        </w:tc>
        <w:tc>
          <w:tcPr>
            <w:tcW w:w="984"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val="restart"/>
            <w:tcBorders>
              <w:top w:val="nil" w:sz="6" w:space="0" w:color="auto"/>
              <w:left w:val="single" w:sz="6" w:space="0" w:color="000000"/>
              <w:right w:val="single" w:sz="6" w:space="0" w:color="000000"/>
            </w:tcBorders>
            <w:shd w:val="clear" w:color="auto" w:fill="D2D2D2"/>
          </w:tcPr>
          <w:p>
            <w:pPr/>
          </w:p>
        </w:tc>
      </w:tr>
      <w:tr>
        <w:trPr>
          <w:trHeight w:val="165" w:hRule="exact"/>
        </w:trPr>
        <w:tc>
          <w:tcPr>
            <w:tcW w:w="2538" w:type="dxa"/>
            <w:vMerge/>
            <w:tcBorders>
              <w:left w:val="single" w:sz="6" w:space="0" w:color="000000"/>
              <w:right w:val="single" w:sz="6" w:space="0" w:color="000000"/>
            </w:tcBorders>
            <w:shd w:val="clear" w:color="auto" w:fill="D2D2D2"/>
          </w:tcPr>
          <w:p>
            <w:pPr/>
          </w:p>
        </w:tc>
        <w:tc>
          <w:tcPr>
            <w:tcW w:w="984"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841" w:type="dxa"/>
            <w:vMerge/>
            <w:tcBorders>
              <w:left w:val="single" w:sz="6" w:space="0" w:color="000000"/>
              <w:bottom w:val="nil" w:sz="6" w:space="0" w:color="auto"/>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0" w:hRule="exact"/>
        </w:trPr>
        <w:tc>
          <w:tcPr>
            <w:tcW w:w="2538" w:type="dxa"/>
            <w:vMerge/>
            <w:tcBorders>
              <w:left w:val="single" w:sz="6" w:space="0" w:color="000000"/>
              <w:right w:val="single" w:sz="6" w:space="0" w:color="000000"/>
            </w:tcBorders>
            <w:shd w:val="clear" w:color="auto" w:fill="D2D2D2"/>
          </w:tcPr>
          <w:p>
            <w:pPr/>
          </w:p>
        </w:tc>
        <w:tc>
          <w:tcPr>
            <w:tcW w:w="984"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val="restart"/>
            <w:tcBorders>
              <w:top w:val="nil" w:sz="6" w:space="0" w:color="auto"/>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73" w:hRule="exact"/>
        </w:trPr>
        <w:tc>
          <w:tcPr>
            <w:tcW w:w="2538" w:type="dxa"/>
            <w:vMerge/>
            <w:tcBorders>
              <w:left w:val="single" w:sz="6" w:space="0" w:color="000000"/>
              <w:bottom w:val="single" w:sz="6" w:space="0" w:color="000000"/>
              <w:right w:val="single" w:sz="6" w:space="0" w:color="000000"/>
            </w:tcBorders>
            <w:shd w:val="clear" w:color="auto" w:fill="D2D2D2"/>
          </w:tcPr>
          <w:p>
            <w:pPr/>
          </w:p>
        </w:tc>
        <w:tc>
          <w:tcPr>
            <w:tcW w:w="984"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857"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8"/>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合收益</w:t>
            </w:r>
          </w:p>
        </w:tc>
        <w:tc>
          <w:tcPr>
            <w:tcW w:w="9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-33,730,769.</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5,945,202.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24</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891,780.3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5,053,421.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90</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-28,677,</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347.60</w:t>
            </w:r>
          </w:p>
        </w:tc>
      </w:tr>
      <w:tr>
        <w:trPr>
          <w:trHeight w:val="721"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8"/>
              <w:jc w:val="left"/>
              <w:rPr>
                <w:rFonts w:ascii="宋体" w:hAnsi="宋体" w:cs="宋体" w:eastAsia="宋体" w:hint="default"/>
                <w:sz w:val="18"/>
                <w:szCs w:val="18"/>
              </w:rPr>
            </w:pPr>
            <w:r>
              <w:rPr>
                <w:rFonts w:ascii="宋体" w:hAnsi="宋体" w:cs="宋体" w:eastAsia="宋体" w:hint="default"/>
                <w:spacing w:val="-2"/>
                <w:sz w:val="18"/>
                <w:szCs w:val="18"/>
              </w:rPr>
              <w:t>其中：重新计量设定受益计划变</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动额</w:t>
            </w:r>
          </w:p>
        </w:tc>
        <w:tc>
          <w:tcPr>
            <w:tcW w:w="984" w:type="dxa"/>
            <w:tcBorders>
              <w:top w:val="single" w:sz="6" w:space="0" w:color="000000"/>
              <w:left w:val="single" w:sz="12" w:space="0" w:color="D2D2D2"/>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73" w:firstLine="540"/>
              <w:jc w:val="left"/>
              <w:rPr>
                <w:rFonts w:ascii="宋体" w:hAnsi="宋体" w:cs="宋体" w:eastAsia="宋体" w:hint="default"/>
                <w:sz w:val="18"/>
                <w:szCs w:val="18"/>
              </w:rPr>
            </w:pPr>
            <w:r>
              <w:rPr>
                <w:rFonts w:ascii="宋体" w:hAnsi="宋体" w:cs="宋体" w:eastAsia="宋体" w:hint="default"/>
                <w:sz w:val="18"/>
                <w:szCs w:val="18"/>
              </w:rPr>
              <w:t>权益法下不能转损益的 其他综合收益</w:t>
            </w:r>
          </w:p>
        </w:tc>
        <w:tc>
          <w:tcPr>
            <w:tcW w:w="984" w:type="dxa"/>
            <w:tcBorders>
              <w:top w:val="single" w:sz="6" w:space="0" w:color="000000"/>
              <w:left w:val="single" w:sz="12" w:space="0" w:color="D2D2D2"/>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73"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8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-33,730,769.</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5,945,202.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24</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891,780.3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5,053,421.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90</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-28,677,</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347.60</w:t>
            </w:r>
          </w:p>
        </w:tc>
      </w:tr>
      <w:tr>
        <w:trPr>
          <w:trHeight w:val="7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73" w:firstLine="540"/>
              <w:jc w:val="left"/>
              <w:rPr>
                <w:rFonts w:ascii="宋体" w:hAnsi="宋体" w:cs="宋体" w:eastAsia="宋体" w:hint="default"/>
                <w:sz w:val="18"/>
                <w:szCs w:val="18"/>
              </w:rPr>
            </w:pPr>
            <w:r>
              <w:rPr>
                <w:rFonts w:ascii="宋体" w:hAnsi="宋体" w:cs="宋体" w:eastAsia="宋体" w:hint="default"/>
                <w:sz w:val="18"/>
                <w:szCs w:val="18"/>
              </w:rPr>
              <w:t>企业自身信用风险公允 价值变动</w:t>
            </w:r>
          </w:p>
        </w:tc>
        <w:tc>
          <w:tcPr>
            <w:tcW w:w="984" w:type="dxa"/>
            <w:tcBorders>
              <w:top w:val="single" w:sz="6" w:space="0" w:color="000000"/>
              <w:left w:val="single" w:sz="12" w:space="0" w:color="D2D2D2"/>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553"/>
        <w:gridCol w:w="976"/>
        <w:gridCol w:w="856"/>
        <w:gridCol w:w="1051"/>
        <w:gridCol w:w="857"/>
        <w:gridCol w:w="856"/>
        <w:gridCol w:w="856"/>
        <w:gridCol w:w="841"/>
        <w:gridCol w:w="736"/>
      </w:tblGrid>
      <w:tr>
        <w:trPr>
          <w:trHeight w:val="405" w:hRule="exact"/>
        </w:trPr>
        <w:tc>
          <w:tcPr>
            <w:tcW w:w="2553"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6"/>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收益</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1,895,202.8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723,033.0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723,033.0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1</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2,618,23</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5.85</w:t>
            </w:r>
          </w:p>
        </w:tc>
      </w:tr>
      <w:tr>
        <w:trPr>
          <w:trHeight w:val="721"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6"/>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综合收益</w:t>
            </w:r>
          </w:p>
        </w:tc>
        <w:tc>
          <w:tcPr>
            <w:tcW w:w="97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其他债权投资公允价值</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97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80" w:firstLine="540"/>
              <w:jc w:val="left"/>
              <w:rPr>
                <w:rFonts w:ascii="宋体" w:hAnsi="宋体" w:cs="宋体" w:eastAsia="宋体" w:hint="default"/>
                <w:sz w:val="18"/>
                <w:szCs w:val="18"/>
              </w:rPr>
            </w:pPr>
            <w:r>
              <w:rPr>
                <w:rFonts w:ascii="宋体" w:hAnsi="宋体" w:cs="宋体" w:eastAsia="宋体" w:hint="default"/>
                <w:sz w:val="18"/>
                <w:szCs w:val="18"/>
              </w:rPr>
              <w:t>金融资产重分类计入其 他综合收益的金额</w:t>
            </w:r>
          </w:p>
        </w:tc>
        <w:tc>
          <w:tcPr>
            <w:tcW w:w="97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55" w:right="0"/>
              <w:jc w:val="left"/>
              <w:rPr>
                <w:rFonts w:ascii="宋体" w:hAnsi="宋体" w:cs="宋体" w:eastAsia="宋体" w:hint="default"/>
                <w:sz w:val="18"/>
                <w:szCs w:val="18"/>
              </w:rPr>
            </w:pPr>
            <w:r>
              <w:rPr>
                <w:rFonts w:ascii="宋体" w:hAnsi="宋体" w:cs="宋体" w:eastAsia="宋体" w:hint="default"/>
                <w:sz w:val="18"/>
                <w:szCs w:val="18"/>
              </w:rPr>
              <w:t>其他债权投资信用减值</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97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现金流量套期储备</w:t>
            </w:r>
          </w:p>
        </w:tc>
        <w:tc>
          <w:tcPr>
            <w:tcW w:w="97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1,895,202.8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723,033.0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723,033.0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1</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2,618,23</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5.85</w:t>
            </w:r>
          </w:p>
        </w:tc>
      </w:tr>
      <w:tr>
        <w:trPr>
          <w:trHeight w:val="706" w:hRule="exact"/>
        </w:trPr>
        <w:tc>
          <w:tcPr>
            <w:tcW w:w="25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-31,835,566.</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66</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6,668,235.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25</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891,780.3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5,776,454.</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91</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-26,059,</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111.75</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5、盈余公积" w:id="282"/>
      <w:bookmarkEnd w:id="282"/>
      <w:r>
        <w:rPr>
          <w:b w:val="0"/>
          <w:bCs w:val="0"/>
        </w:rPr>
      </w:r>
      <w:r>
        <w:rPr>
          <w:rFonts w:ascii="Times New Roman" w:hAnsi="Times New Roman" w:cs="Times New Roman" w:eastAsia="Times New Roman" w:hint="default"/>
        </w:rPr>
        <w:t>25</w:t>
      </w:r>
      <w:r>
        <w:rPr/>
        <w:t>、盈余公积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58,410,201.45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9,836,719.92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68,246,921.37</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58,410,201.45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9,836,719.92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68,246,921.37</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6、未分配利润" w:id="283"/>
      <w:bookmarkEnd w:id="283"/>
      <w:r>
        <w:rPr>
          <w:b w:val="0"/>
          <w:bCs w:val="0"/>
        </w:rPr>
      </w:r>
      <w:r>
        <w:rPr>
          <w:rFonts w:ascii="Times New Roman" w:hAnsi="Times New Roman" w:cs="Times New Roman" w:eastAsia="Times New Roman" w:hint="default"/>
        </w:rPr>
        <w:t>26</w:t>
      </w:r>
      <w:r>
        <w:rPr/>
        <w:t>、未分配利润</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307,667,769.39</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272,318,474.54</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6" w:space="0" w:color="000000"/>
              <w:left w:val="single" w:sz="12"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307,667,769.39</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272,318,474.54</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96,238,638.56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68,804,381.94</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9,836,719.92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6,516,862.50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27,666,947.92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26,938,224.59</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366,402,740.11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307,667,769.39</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939"/>
        <w:jc w:val="left"/>
        <w:rPr>
          <w:b w:val="0"/>
          <w:bCs w:val="0"/>
        </w:rPr>
      </w:pPr>
      <w:bookmarkStart w:name="27、营业收入和营业成本" w:id="284"/>
      <w:bookmarkEnd w:id="284"/>
      <w:r>
        <w:rPr>
          <w:b w:val="0"/>
          <w:bCs w:val="0"/>
        </w:rPr>
      </w:r>
      <w:r>
        <w:rPr>
          <w:rFonts w:ascii="Times New Roman" w:hAnsi="Times New Roman" w:cs="Times New Roman" w:eastAsia="Times New Roman" w:hint="default"/>
        </w:rPr>
        <w:t>27</w:t>
      </w:r>
      <w:r>
        <w:rPr/>
        <w:t>、营业收入和营业成本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203"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3" w:hRule="exact"/>
        </w:trPr>
        <w:tc>
          <w:tcPr>
            <w:tcW w:w="19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15"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3"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525,558,672.81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266,180,762.88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487,816,568.83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296,668,303.89</w:t>
            </w: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525,558,672.81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266,180,762.88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487,816,568.83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296,668,303.89</w:t>
            </w:r>
          </w:p>
        </w:tc>
      </w:tr>
    </w:tbl>
    <w:p>
      <w:pPr>
        <w:pStyle w:val="BodyText"/>
        <w:spacing w:line="240" w:lineRule="auto" w:before="44"/>
        <w:ind w:right="939"/>
        <w:jc w:val="left"/>
      </w:pPr>
      <w:r>
        <w:rPr/>
        <w:t>是否已执行新收入准则</w:t>
      </w:r>
    </w:p>
    <w:p>
      <w:pPr>
        <w:pStyle w:val="BodyText"/>
        <w:spacing w:line="240" w:lineRule="auto" w:before="125"/>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6"/>
        <w:ind w:right="939"/>
        <w:jc w:val="left"/>
        <w:rPr>
          <w:b w:val="0"/>
          <w:bCs w:val="0"/>
        </w:rPr>
      </w:pPr>
      <w:bookmarkStart w:name="28、税金及附加" w:id="285"/>
      <w:bookmarkEnd w:id="285"/>
      <w:r>
        <w:rPr>
          <w:b w:val="0"/>
          <w:bCs w:val="0"/>
        </w:rPr>
      </w:r>
      <w:r>
        <w:rPr>
          <w:rFonts w:ascii="Times New Roman" w:hAnsi="Times New Roman" w:cs="Times New Roman" w:eastAsia="Times New Roman" w:hint="default"/>
        </w:rPr>
        <w:t>28</w:t>
      </w:r>
      <w:r>
        <w:rPr/>
        <w:t>、税金及附加</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415,629.10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278,493.21</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296,877.91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198,923.72</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11,207.04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263,997.80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160,423.04</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510,454.25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427,363.00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1,498,166.10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1,065,202.97</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9、销售费用" w:id="286"/>
      <w:bookmarkEnd w:id="286"/>
      <w:r>
        <w:rPr>
          <w:b w:val="0"/>
          <w:bCs w:val="0"/>
        </w:rPr>
      </w:r>
      <w:r>
        <w:rPr>
          <w:rFonts w:ascii="Times New Roman" w:hAnsi="Times New Roman" w:cs="Times New Roman" w:eastAsia="Times New Roman" w:hint="default"/>
        </w:rPr>
        <w:t>29</w:t>
      </w:r>
      <w:r>
        <w:rPr/>
        <w:t>、销售费用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2,998,346.17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2,179,216.61</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加班、出勤餐费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2,901.00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26,136.89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40,471.90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16,905.49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8,222.38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4,526.40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308,088.49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167,163.76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1,289.23</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3,359,319.17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2,393,949.15</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0、管理费用" w:id="287"/>
      <w:bookmarkEnd w:id="287"/>
      <w:r>
        <w:rPr>
          <w:b w:val="0"/>
          <w:bCs w:val="0"/>
        </w:rPr>
      </w:r>
      <w:r>
        <w:rPr>
          <w:rFonts w:ascii="Times New Roman" w:hAnsi="Times New Roman" w:cs="Times New Roman" w:eastAsia="Times New Roman" w:hint="default"/>
        </w:rPr>
        <w:t>30</w:t>
      </w:r>
      <w:r>
        <w:rPr/>
        <w:t>、管理费用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41,713,523.43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25,299,999.48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23,301,449.28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19,795,226.00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2,594,976.86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941,873.60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1,786,618.78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1,325,774.69</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实习生费用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635,438.84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369,238.68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1,674,741.94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1,884,381.13</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14,579,027.91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7,400,611.92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431,266.57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724,903.44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86,717,043.61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57,742,008.94</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1、研发费用" w:id="288"/>
      <w:bookmarkEnd w:id="288"/>
      <w:r>
        <w:rPr>
          <w:b w:val="0"/>
          <w:bCs w:val="0"/>
        </w:rPr>
      </w:r>
      <w:r>
        <w:rPr>
          <w:rFonts w:ascii="Times New Roman" w:hAnsi="Times New Roman" w:cs="Times New Roman" w:eastAsia="Times New Roman" w:hint="default"/>
        </w:rPr>
        <w:t>31</w:t>
      </w:r>
      <w:r>
        <w:rPr/>
        <w:t>、研发费用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75,996,764.89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68,662,587.19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4,912,458.65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4,343,670.39</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2,087,302.28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1,485,023.14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830,351.04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517,111.27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488,518.00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313,222.95</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84,315,394.86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75,321,614.94</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2、财务费用" w:id="289"/>
      <w:bookmarkEnd w:id="289"/>
      <w:r>
        <w:rPr>
          <w:b w:val="0"/>
          <w:bCs w:val="0"/>
        </w:rPr>
      </w:r>
      <w:r>
        <w:rPr>
          <w:rFonts w:ascii="Times New Roman" w:hAnsi="Times New Roman" w:cs="Times New Roman" w:eastAsia="Times New Roman" w:hint="default"/>
        </w:rPr>
        <w:t>32</w:t>
      </w:r>
      <w:r>
        <w:rPr/>
        <w:t>、财务费用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8,854,527.61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6,441,627.14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-1,768,223.09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-4,475,469.10</w:t>
            </w:r>
            <w:r>
              <w:rPr>
                <w:rFonts w:ascii="Times New Roman"/>
                <w:sz w:val="18"/>
              </w:rPr>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131,807.15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108,829.03</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-10,490,943.55</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-10,808,267.21</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3、其他收益" w:id="290"/>
      <w:bookmarkEnd w:id="290"/>
      <w:r>
        <w:rPr>
          <w:b w:val="0"/>
          <w:bCs w:val="0"/>
        </w:rPr>
      </w:r>
      <w:r>
        <w:rPr>
          <w:rFonts w:ascii="Times New Roman" w:hAnsi="Times New Roman" w:cs="Times New Roman" w:eastAsia="Times New Roman" w:hint="default"/>
        </w:rPr>
        <w:t>33</w:t>
      </w:r>
      <w:r>
        <w:rPr/>
        <w:t>、其他收益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6,447,700.00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174,852.23</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3203"/>
        <w:gridCol w:w="3184"/>
        <w:gridCol w:w="3199"/>
      </w:tblGrid>
      <w:tr>
        <w:trPr>
          <w:trHeight w:val="390" w:hRule="exact"/>
        </w:trPr>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6,622,552.23</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4、投资收益" w:id="291"/>
      <w:bookmarkEnd w:id="291"/>
      <w:r>
        <w:rPr>
          <w:b w:val="0"/>
          <w:bCs w:val="0"/>
        </w:rPr>
      </w:r>
      <w:r>
        <w:rPr>
          <w:rFonts w:ascii="Times New Roman" w:hAnsi="Times New Roman" w:cs="Times New Roman" w:eastAsia="Times New Roman" w:hint="default"/>
        </w:rPr>
        <w:t>34</w:t>
      </w:r>
      <w:r>
        <w:rPr/>
        <w:t>、投资收益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454"/>
        <w:gridCol w:w="3199"/>
        <w:gridCol w:w="2929"/>
      </w:tblGrid>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549,118.73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2,897,730.55</w:t>
            </w:r>
          </w:p>
        </w:tc>
      </w:tr>
      <w:tr>
        <w:trPr>
          <w:trHeight w:val="406"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9" w:type="dxa"/>
            <w:tcBorders>
              <w:top w:val="single" w:sz="6" w:space="0" w:color="000000"/>
              <w:left w:val="single" w:sz="18"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2,140,000.00</w:t>
            </w:r>
          </w:p>
        </w:tc>
      </w:tr>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549,118.73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5,037,730.55</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5、信用减值损失" w:id="292"/>
      <w:bookmarkEnd w:id="292"/>
      <w:r>
        <w:rPr>
          <w:b w:val="0"/>
          <w:bCs w:val="0"/>
        </w:rPr>
      </w:r>
      <w:r>
        <w:rPr>
          <w:rFonts w:ascii="Times New Roman" w:hAnsi="Times New Roman" w:cs="Times New Roman" w:eastAsia="Times New Roman" w:hint="default"/>
        </w:rPr>
        <w:t>35</w:t>
      </w:r>
      <w:r>
        <w:rPr/>
        <w:t>、信用减值损失</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-40,396.37</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356,639.76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316,243.39</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6、资产减值损失" w:id="293"/>
      <w:bookmarkEnd w:id="293"/>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6"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-2,778,775.44</w:t>
            </w:r>
            <w:r>
              <w:rPr>
                <w:rFonts w:ascii="Times New Roman"/>
                <w:sz w:val="18"/>
              </w:rPr>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-2,778,775.44</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7、资产处置收益" w:id="294"/>
      <w:bookmarkEnd w:id="294"/>
      <w:r>
        <w:rPr>
          <w:b w:val="0"/>
          <w:bCs w:val="0"/>
        </w:rPr>
      </w:r>
      <w:r>
        <w:rPr>
          <w:rFonts w:ascii="Times New Roman" w:hAnsi="Times New Roman" w:cs="Times New Roman" w:eastAsia="Times New Roman" w:hint="default"/>
        </w:rPr>
        <w:t>37</w:t>
      </w:r>
      <w:r>
        <w:rPr/>
        <w:t>、资产处置收益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20,516.93</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20,516.93</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8、营业外收入" w:id="295"/>
      <w:bookmarkEnd w:id="295"/>
      <w:r>
        <w:rPr>
          <w:b w:val="0"/>
          <w:bCs w:val="0"/>
        </w:rPr>
      </w:r>
      <w:r>
        <w:rPr>
          <w:rFonts w:ascii="Times New Roman" w:hAnsi="Times New Roman" w:cs="Times New Roman" w:eastAsia="Times New Roman" w:hint="default"/>
        </w:rPr>
        <w:t>38</w:t>
      </w:r>
      <w:r>
        <w:rPr/>
        <w:t>、营业外收入</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07"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2,352,059.14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4,098,847.28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2,352,059.14</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213,999.49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300,385.76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213,999.49</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2,566,058.63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4,399,233.04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2,566,058.63</w:t>
            </w:r>
          </w:p>
        </w:tc>
      </w:tr>
    </w:tbl>
    <w:p>
      <w:pPr>
        <w:spacing w:line="240" w:lineRule="auto" w:before="6"/>
        <w:rPr>
          <w:rFonts w:ascii="宋体" w:hAnsi="宋体" w:cs="宋体" w:eastAsia="宋体" w:hint="default"/>
          <w:sz w:val="26"/>
          <w:szCs w:val="26"/>
        </w:rPr>
      </w:pPr>
    </w:p>
    <w:p>
      <w:pPr>
        <w:pStyle w:val="BodyText"/>
        <w:spacing w:line="240" w:lineRule="auto" w:before="44"/>
        <w:ind w:right="939"/>
        <w:jc w:val="left"/>
      </w:pPr>
      <w:r>
        <w:rPr/>
        <w:t>计入当期损益的政府补助：</w:t>
      </w:r>
    </w:p>
    <w:p>
      <w:pPr>
        <w:pStyle w:val="BodyText"/>
        <w:spacing w:line="240" w:lineRule="auto" w:before="124"/>
        <w:ind w:left="0" w:right="1109"/>
        <w:jc w:val="right"/>
      </w:pPr>
      <w:r>
        <w:rPr/>
        <w:pict>
          <v:group style="position:absolute;margin-left:270.350006pt;margin-top:59.516693pt;width:52.55pt;height:24.05pt;mso-position-horizontal-relative:page;mso-position-vertical-relative:paragraph;z-index:-1163464" coordorigin="5407,1190" coordsize="1051,481">
            <v:shape style="position:absolute;left:5407;top:1190;width:1051;height:481" coordorigin="5407,1190" coordsize="1051,481" path="m5407,1671l6458,1671,6458,1190,5407,1190,5407,1671xe" filled="true" fillcolor="#ffffff" stroked="false">
              <v:path arrowok="t"/>
              <v:fill type="solid"/>
            </v:shape>
            <w10:wrap type="none"/>
          </v:group>
        </w:pict>
      </w: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9"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74"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73"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6"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南山区自主 创新产业发 展专项资金 资助款</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深圳市南山 区科技创新 局</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4" w:right="-44"/>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1,130,000.00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997,000.00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年深圳 市外经贸发 展专项资金</w:t>
            </w:r>
          </w:p>
          <w:p>
            <w:pPr>
              <w:pStyle w:val="TableParagraph"/>
              <w:spacing w:line="316" w:lineRule="auto" w:before="36"/>
              <w:ind w:left="15" w:right="28"/>
              <w:jc w:val="left"/>
              <w:rPr>
                <w:rFonts w:ascii="宋体" w:hAnsi="宋体" w:cs="宋体" w:eastAsia="宋体" w:hint="default"/>
                <w:sz w:val="18"/>
                <w:szCs w:val="18"/>
              </w:rPr>
            </w:pPr>
            <w:r>
              <w:rPr>
                <w:rFonts w:ascii="宋体" w:hAnsi="宋体" w:cs="宋体" w:eastAsia="宋体" w:hint="default"/>
                <w:sz w:val="18"/>
                <w:szCs w:val="18"/>
              </w:rPr>
              <w:t>服务贸易创 新发展项目 </w:t>
            </w:r>
            <w:r>
              <w:rPr>
                <w:rFonts w:ascii="宋体" w:hAnsi="宋体" w:cs="宋体" w:eastAsia="宋体" w:hint="default"/>
                <w:spacing w:val="-13"/>
                <w:sz w:val="18"/>
                <w:szCs w:val="18"/>
              </w:rPr>
              <w:t>服务贸易（服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务外包）人才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培训资助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07" w:lineRule="auto"/>
              <w:ind w:left="15" w:right="135"/>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2,079,000.00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失业稳岗补 贴</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5" w:right="135"/>
              <w:jc w:val="both"/>
              <w:rPr>
                <w:rFonts w:ascii="宋体" w:hAnsi="宋体" w:cs="宋体" w:eastAsia="宋体" w:hint="default"/>
                <w:sz w:val="18"/>
                <w:szCs w:val="18"/>
              </w:rPr>
            </w:pPr>
            <w:r>
              <w:rPr>
                <w:rFonts w:ascii="宋体" w:hAnsi="宋体" w:cs="宋体" w:eastAsia="宋体" w:hint="default"/>
                <w:sz w:val="18"/>
                <w:szCs w:val="18"/>
              </w:rPr>
              <w:t>深圳市社会 保障基金管 理局</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252,159.14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262,847.28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21" w:lineRule="auto"/>
              <w:ind w:left="15" w:right="133"/>
              <w:jc w:val="left"/>
              <w:rPr>
                <w:rFonts w:ascii="宋体" w:hAnsi="宋体" w:cs="宋体" w:eastAsia="宋体" w:hint="default"/>
                <w:sz w:val="18"/>
                <w:szCs w:val="18"/>
              </w:rPr>
            </w:pPr>
            <w:r>
              <w:rPr>
                <w:rFonts w:ascii="宋体" w:hAnsi="宋体" w:cs="宋体" w:eastAsia="宋体" w:hint="default"/>
                <w:sz w:val="18"/>
                <w:szCs w:val="18"/>
              </w:rPr>
              <w:t>人才安居住 房补租款</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15" w:right="135"/>
              <w:jc w:val="both"/>
              <w:rPr>
                <w:rFonts w:ascii="宋体" w:hAnsi="宋体" w:cs="宋体" w:eastAsia="宋体" w:hint="default"/>
                <w:sz w:val="18"/>
                <w:szCs w:val="18"/>
              </w:rPr>
            </w:pPr>
            <w:r>
              <w:rPr>
                <w:rFonts w:ascii="宋体" w:hAnsi="宋体" w:cs="宋体" w:eastAsia="宋体" w:hint="default"/>
                <w:sz w:val="18"/>
                <w:szCs w:val="18"/>
              </w:rPr>
              <w:t>深圳市南山 区住房和建 设局</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960,000.00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760,000.00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88" w:lineRule="auto"/>
              <w:ind w:left="15"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年软博 会补贴</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21" w:lineRule="auto"/>
              <w:ind w:left="15" w:right="135"/>
              <w:jc w:val="left"/>
              <w:rPr>
                <w:rFonts w:ascii="宋体" w:hAnsi="宋体" w:cs="宋体" w:eastAsia="宋体" w:hint="default"/>
                <w:sz w:val="18"/>
                <w:szCs w:val="18"/>
              </w:rPr>
            </w:pPr>
            <w:r>
              <w:rPr>
                <w:rFonts w:ascii="宋体" w:hAnsi="宋体" w:cs="宋体" w:eastAsia="宋体" w:hint="default"/>
                <w:sz w:val="18"/>
                <w:szCs w:val="18"/>
              </w:rPr>
              <w:t>深圳市软件 行业协会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8,100.00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15" w:right="133"/>
              <w:jc w:val="both"/>
              <w:rPr>
                <w:rFonts w:ascii="宋体" w:hAnsi="宋体" w:cs="宋体" w:eastAsia="宋体" w:hint="default"/>
                <w:sz w:val="18"/>
                <w:szCs w:val="18"/>
              </w:rPr>
            </w:pPr>
            <w:r>
              <w:rPr>
                <w:rFonts w:ascii="宋体" w:hAnsi="宋体" w:cs="宋体" w:eastAsia="宋体" w:hint="default"/>
                <w:sz w:val="18"/>
                <w:szCs w:val="18"/>
              </w:rPr>
              <w:t>计算机软件 著作权登记 资助经费</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15" w:right="13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1070"/>
        <w:gridCol w:w="1066"/>
        <w:gridCol w:w="1067"/>
        <w:gridCol w:w="1066"/>
        <w:gridCol w:w="1051"/>
        <w:gridCol w:w="1067"/>
        <w:gridCol w:w="1066"/>
        <w:gridCol w:w="1067"/>
        <w:gridCol w:w="1066"/>
      </w:tblGrid>
      <w:tr>
        <w:trPr>
          <w:trHeight w:val="390" w:hRule="exact"/>
        </w:trPr>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2,352,059.14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4,098,847.28</w:t>
            </w: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9、营业外支出" w:id="296"/>
      <w:bookmarkEnd w:id="296"/>
      <w:r>
        <w:rPr>
          <w:b w:val="0"/>
          <w:bCs w:val="0"/>
        </w:rPr>
      </w:r>
      <w:r>
        <w:rPr>
          <w:rFonts w:ascii="Times New Roman" w:hAnsi="Times New Roman" w:cs="Times New Roman" w:eastAsia="Times New Roman" w:hint="default"/>
        </w:rPr>
        <w:t>39</w:t>
      </w:r>
      <w:r>
        <w:rPr/>
        <w:t>、营业外支出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298"/>
        <w:gridCol w:w="2493"/>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29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93"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29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93"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93"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93"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93"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5,389.32</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241,572.42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5,389.32</w:t>
            </w:r>
          </w:p>
        </w:tc>
      </w:tr>
      <w:tr>
        <w:trPr>
          <w:trHeight w:val="75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罚款、滞纳金</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764,790.31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24,928.00</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20,700.00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24,928.00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30,317.32</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1,027,062.73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30,317.32</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40、所得税费用" w:id="297"/>
      <w:bookmarkEnd w:id="297"/>
      <w:r>
        <w:rPr>
          <w:b w:val="0"/>
          <w:bCs w:val="0"/>
        </w:rPr>
      </w:r>
      <w:r>
        <w:rPr>
          <w:rFonts w:ascii="Times New Roman" w:hAnsi="Times New Roman" w:cs="Times New Roman" w:eastAsia="Times New Roman" w:hint="default"/>
        </w:rPr>
        <w:t>40</w:t>
      </w:r>
      <w:r>
        <w:rPr/>
        <w:t>、所得税费用</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所得税费用表" w:id="298"/>
      <w:bookmarkEnd w:id="29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7,954,813.15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-1,035,723.02</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-170,349.38</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3,296,222.65</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7,784,463.77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2,260,499.63</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会计利润与所得税费用调整过程" w:id="299"/>
      <w:bookmarkEnd w:id="29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104,023,102.33</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15,603,465.35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38,713.28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6" w:type="dxa"/>
            <w:tcBorders>
              <w:top w:val="single" w:sz="6" w:space="0" w:color="000000"/>
              <w:left w:val="single" w:sz="18" w:space="0" w:color="D2D2D2"/>
              <w:bottom w:val="single" w:sz="6" w:space="0" w:color="000000"/>
              <w:right w:val="single" w:sz="6" w:space="0" w:color="000000"/>
            </w:tcBorders>
          </w:tcPr>
          <w:p>
            <w:pP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-111,433.51</w:t>
            </w:r>
            <w:r>
              <w:rPr>
                <w:rFonts w:ascii="Times New Roman"/>
                <w:sz w:val="18"/>
              </w:rPr>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81,089.74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6" w:type="dxa"/>
            <w:tcBorders>
              <w:top w:val="single" w:sz="6" w:space="0" w:color="000000"/>
              <w:left w:val="single" w:sz="18" w:space="0" w:color="D2D2D2"/>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72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79"/>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559,535.80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-8,643,050.54</w:t>
            </w:r>
            <w:r>
              <w:rPr>
                <w:rFonts w:ascii="Times New Roman"/>
                <w:sz w:val="18"/>
              </w:rPr>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境外子公司未分配利润产生的影响</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256,143.65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7,784,463.77</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7,784,463.77</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41、其他综合收益" w:id="300"/>
      <w:bookmarkEnd w:id="300"/>
      <w:r>
        <w:rPr>
          <w:b w:val="0"/>
          <w:bCs w:val="0"/>
        </w:rPr>
      </w:r>
      <w:r>
        <w:rPr>
          <w:rFonts w:ascii="Times New Roman" w:hAnsi="Times New Roman" w:cs="Times New Roman" w:eastAsia="Times New Roman" w:hint="default"/>
        </w:rPr>
        <w:t>41</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t>详见附注七、</w:t>
      </w:r>
      <w:r>
        <w:rPr>
          <w:rFonts w:ascii="Times New Roman" w:hAnsi="Times New Roman" w:cs="Times New Roman" w:eastAsia="Times New Roman" w:hint="default"/>
        </w:rPr>
        <w:t>24</w:t>
      </w:r>
      <w:r>
        <w:rPr/>
        <w:t>。</w:t>
      </w:r>
    </w:p>
    <w:p>
      <w:pPr>
        <w:spacing w:line="240" w:lineRule="auto" w:before="0"/>
        <w:rPr>
          <w:rFonts w:ascii="宋体" w:hAnsi="宋体" w:cs="宋体" w:eastAsia="宋体" w:hint="default"/>
          <w:sz w:val="18"/>
          <w:szCs w:val="18"/>
        </w:rPr>
      </w:pPr>
    </w:p>
    <w:p>
      <w:pPr>
        <w:pStyle w:val="Heading3"/>
        <w:spacing w:line="240" w:lineRule="auto" w:before="126"/>
        <w:ind w:right="939"/>
        <w:jc w:val="left"/>
        <w:rPr>
          <w:b w:val="0"/>
          <w:bCs w:val="0"/>
        </w:rPr>
      </w:pPr>
      <w:bookmarkStart w:name="42、现金流量表项目" w:id="301"/>
      <w:bookmarkEnd w:id="301"/>
      <w:r>
        <w:rPr>
          <w:b w:val="0"/>
          <w:bCs w:val="0"/>
        </w:rPr>
      </w:r>
      <w:r>
        <w:rPr>
          <w:rFonts w:ascii="Times New Roman" w:hAnsi="Times New Roman" w:cs="Times New Roman" w:eastAsia="Times New Roman" w:hint="default"/>
        </w:rPr>
        <w:t>42</w:t>
      </w:r>
      <w:r>
        <w:rPr/>
        <w:t>、现金流量表项目</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939"/>
        <w:jc w:val="left"/>
        <w:rPr>
          <w:b w:val="0"/>
          <w:bCs w:val="0"/>
        </w:rPr>
      </w:pPr>
      <w:bookmarkStart w:name="（1）收到的其他与经营活动有关的现金" w:id="302"/>
      <w:bookmarkEnd w:id="30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8,799,759.14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4,098,847.28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6,701,488.15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5,895,449.33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871,167.79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705,449.39</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收回受限保证金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1,218,701.00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17,591,116.08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10,699,746.00</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支付的其他与经营活动有关的现金" w:id="303"/>
      <w:bookmarkEnd w:id="30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销售及管理费用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35,774,478.63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31,381,784.63</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131,807.15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108,829.03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635,751.75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111,568.06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存入保证金</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92,600.00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罚款滞纳金</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764,790.31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36,542,037.53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32,459,572.03</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支付的其他与筹资活动有关的现金" w:id="304"/>
      <w:bookmarkEnd w:id="304"/>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224.529999pt;margin-top:520.205017pt;width:150.2pt;height:39.8pt;mso-position-horizontal-relative:page;mso-position-vertical-relative:page;z-index:-1163440" coordorigin="4491,10404" coordsize="3004,796">
            <v:group style="position:absolute;left:4491;top:10404;width:3004;height:391" coordorigin="4491,10404" coordsize="3004,391">
              <v:shape style="position:absolute;left:4491;top:10404;width:3004;height:391" coordorigin="4491,10404" coordsize="3004,391" path="m4491,10795l7495,10795,7495,10404,4491,10404,4491,10795xe" filled="true" fillcolor="#ffffff" stroked="false">
                <v:path arrowok="t"/>
                <v:fill type="solid"/>
              </v:shape>
            </v:group>
            <v:group style="position:absolute;left:4491;top:10810;width:3004;height:391" coordorigin="4491,10810" coordsize="3004,391">
              <v:shape style="position:absolute;left:4491;top:10810;width:3004;height:391" coordorigin="4491,10810" coordsize="3004,391" path="m4491,11200l7495,11200,7495,10810,4491,10810,4491,11200xe" filled="true" fillcolor="#ffffff" stroked="false">
                <v:path arrowok="t"/>
                <v:fill type="solid"/>
              </v:shape>
            </v:group>
            <w10:wrap type="none"/>
          </v:group>
        </w:pict>
      </w: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发行股票费用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40,276.00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73,479,472.84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6,847,552.80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73,559,472.84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6,887,828.80</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43、现金流量表补充资料" w:id="305"/>
      <w:bookmarkEnd w:id="305"/>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现金流量表补充资料" w:id="306"/>
      <w:bookmarkEnd w:id="30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96,238,638.56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68,804,381.94</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-316,243.39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2,778,775.44</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4"/>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11,011,940.31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4,862,435.73</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使用权资产折旧</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2,721,283.32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1,456,973.87</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1,677,640.32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1,598,313.60</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7" w:right="5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-20,516.93</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5,389.32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241,572.42</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-549,118.73</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-5,037,730.55</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tabs>
                <w:tab w:pos="2147" w:val="left" w:leader="none"/>
              </w:tabs>
              <w:spacing w:line="240" w:lineRule="auto" w:before="60"/>
              <w:ind w:left="-136"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-426,493.03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2,881,553.14</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tabs>
                <w:tab w:pos="2207" w:val="left" w:leader="none"/>
              </w:tabs>
              <w:spacing w:line="240" w:lineRule="auto" w:before="59"/>
              <w:ind w:left="-136"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256,143.65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414,669.51</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-131,352.86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-472,330.93</w:t>
            </w:r>
            <w:r>
              <w:rPr>
                <w:rFonts w:ascii="Times New Roman"/>
                <w:sz w:val="18"/>
              </w:rPr>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66"/>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2"/>
                <w:sz w:val="18"/>
                <w:szCs w:val="18"/>
              </w:rPr>
              <w:t> </w:t>
            </w:r>
            <w:r>
              <w:rPr>
                <w:rFonts w:ascii="宋体" w:hAnsi="宋体" w:cs="宋体" w:eastAsia="宋体" w:hint="default"/>
                <w:sz w:val="18"/>
                <w:szCs w:val="18"/>
              </w:rPr>
              <w:t>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13,382,596.65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-10,174,409.78</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66"/>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2"/>
                <w:sz w:val="18"/>
                <w:szCs w:val="18"/>
              </w:rPr>
              <w:t> </w:t>
            </w:r>
            <w:r>
              <w:rPr>
                <w:rFonts w:ascii="宋体" w:hAnsi="宋体" w:cs="宋体" w:eastAsia="宋体" w:hint="default"/>
                <w:sz w:val="18"/>
                <w:szCs w:val="18"/>
              </w:rPr>
              <w:t>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-7,165,965.96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10,998,582.14</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2,594,976.86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941,873.60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119,278,918.09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79,294,660.13</w:t>
            </w:r>
          </w:p>
        </w:tc>
      </w:tr>
      <w:tr>
        <w:trPr>
          <w:trHeight w:val="158"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45"/>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522,519,662.48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532,254,964.35</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522,519,662.48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532,254,964.35</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-9,735,301.87</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-10,032,655.65</w:t>
            </w:r>
            <w:r>
              <w:rPr>
                <w:rFonts w:ascii="Times New Roman"/>
                <w:sz w:val="18"/>
              </w:rPr>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现金和现金等价物的构成" w:id="307"/>
      <w:bookmarkEnd w:id="307"/>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27"/>
        <w:gridCol w:w="3064"/>
        <w:gridCol w:w="3184"/>
      </w:tblGrid>
      <w:tr>
        <w:trPr>
          <w:trHeight w:val="39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522,519,662.48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522,519,662.48</w:t>
            </w: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72,481.24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56,880.43</w:t>
            </w:r>
          </w:p>
        </w:tc>
      </w:tr>
      <w:tr>
        <w:trPr>
          <w:trHeight w:val="406"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522,447,181.24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532,198,083.92</w:t>
            </w: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4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4"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4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4"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64"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64"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4"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4"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522,519,662.48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532,254,964.35</w:t>
            </w:r>
          </w:p>
        </w:tc>
      </w:tr>
      <w:tr>
        <w:trPr>
          <w:trHeight w:val="721"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6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4"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44、所有权或使用权受到限制的资产" w:id="308"/>
      <w:bookmarkEnd w:id="308"/>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27"/>
        <w:gridCol w:w="3064"/>
        <w:gridCol w:w="3184"/>
      </w:tblGrid>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873,899.00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91"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873,899.00</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45、外币货币性项目" w:id="309"/>
      <w:bookmarkEnd w:id="309"/>
      <w:r>
        <w:rPr>
          <w:b w:val="0"/>
          <w:bCs w:val="0"/>
        </w:rPr>
      </w:r>
      <w:r>
        <w:rPr>
          <w:rFonts w:ascii="Times New Roman" w:hAnsi="Times New Roman" w:cs="Times New Roman" w:eastAsia="Times New Roman" w:hint="default"/>
        </w:rPr>
        <w:t>45</w:t>
      </w:r>
      <w:r>
        <w:rPr/>
        <w:t>、外币货币性项目</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外币货币性项目" w:id="310"/>
      <w:bookmarkEnd w:id="31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after="0" w:line="240" w:lineRule="auto"/>
        <w:jc w:val="right"/>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501"/>
        <w:gridCol w:w="2291"/>
        <w:gridCol w:w="2403"/>
        <w:gridCol w:w="2388"/>
      </w:tblGrid>
      <w:tr>
        <w:trPr>
          <w:trHeight w:val="405"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127,792,533.42</w:t>
            </w:r>
          </w:p>
        </w:tc>
      </w:tr>
      <w:tr>
        <w:trPr>
          <w:trHeight w:val="390"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1,792.36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12,503.86</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142,640,881.40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0.8958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127,777,701.56</w:t>
            </w:r>
          </w:p>
        </w:tc>
      </w:tr>
      <w:tr>
        <w:trPr>
          <w:trHeight w:val="406"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55"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0.2328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2,328.00</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27,427,631.20</w:t>
            </w:r>
          </w:p>
        </w:tc>
      </w:tr>
      <w:tr>
        <w:trPr>
          <w:trHeight w:val="406"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29,533,649.38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0.8958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26,456,243.11</w:t>
            </w:r>
          </w:p>
        </w:tc>
      </w:tr>
      <w:tr>
        <w:trPr>
          <w:trHeight w:val="390"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1,116,153.15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0.8703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971,388.09</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808,698.93</w:t>
            </w:r>
          </w:p>
        </w:tc>
      </w:tr>
      <w:tr>
        <w:trPr>
          <w:trHeight w:val="406"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其中：泰铢</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3,473,792.65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0.2328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808,698.93</w:t>
            </w:r>
          </w:p>
        </w:tc>
      </w:tr>
    </w:tbl>
    <w:p>
      <w:pPr>
        <w:spacing w:line="240" w:lineRule="auto" w:before="11"/>
        <w:rPr>
          <w:rFonts w:ascii="宋体" w:hAnsi="宋体" w:cs="宋体" w:eastAsia="宋体" w:hint="default"/>
          <w:sz w:val="19"/>
          <w:szCs w:val="19"/>
        </w:rPr>
      </w:pPr>
    </w:p>
    <w:p>
      <w:pPr>
        <w:pStyle w:val="Heading3"/>
        <w:spacing w:line="247" w:lineRule="auto" w:before="35"/>
        <w:ind w:right="939"/>
        <w:jc w:val="left"/>
        <w:rPr>
          <w:b w:val="0"/>
          <w:bCs w:val="0"/>
        </w:rPr>
      </w:pPr>
      <w:bookmarkStart w:name="（2）境外经营实体说明，包括对于重要的境外经营实体，应披露其境外主要经营地、记账" w:id="311"/>
      <w:bookmarkEnd w:id="31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53"/>
        </w:rPr>
        <w:t> </w:t>
      </w:r>
      <w:r>
        <w:rPr>
          <w:spacing w:val="-53"/>
        </w:rPr>
      </w:r>
      <w:r>
        <w:rPr/>
        <w:t>依据，记账本位币发生变化的还应披露原因。</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802"/>
        <w:gridCol w:w="1517"/>
        <w:gridCol w:w="1547"/>
        <w:gridCol w:w="2553"/>
        <w:gridCol w:w="1878"/>
      </w:tblGrid>
      <w:tr>
        <w:trPr>
          <w:trHeight w:val="34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0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15" w:right="0"/>
              <w:jc w:val="left"/>
              <w:rPr>
                <w:rFonts w:ascii="宋体" w:hAnsi="宋体" w:cs="宋体" w:eastAsia="宋体" w:hint="default"/>
                <w:sz w:val="18"/>
                <w:szCs w:val="18"/>
              </w:rPr>
            </w:pPr>
            <w:r>
              <w:rPr>
                <w:rFonts w:ascii="宋体" w:hAnsi="宋体" w:cs="宋体" w:eastAsia="宋体" w:hint="default"/>
                <w:sz w:val="18"/>
                <w:szCs w:val="18"/>
              </w:rPr>
              <w:t>记账本位币</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55" w:right="0"/>
              <w:jc w:val="left"/>
              <w:rPr>
                <w:rFonts w:ascii="宋体" w:hAnsi="宋体" w:cs="宋体" w:eastAsia="宋体" w:hint="default"/>
                <w:sz w:val="18"/>
                <w:szCs w:val="18"/>
              </w:rPr>
            </w:pPr>
            <w:r>
              <w:rPr>
                <w:rFonts w:ascii="宋体" w:hAnsi="宋体" w:cs="宋体" w:eastAsia="宋体" w:hint="default"/>
                <w:sz w:val="18"/>
                <w:szCs w:val="18"/>
              </w:rPr>
              <w:t>主要财务报表项目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9" w:right="0"/>
              <w:jc w:val="center"/>
              <w:rPr>
                <w:rFonts w:ascii="宋体" w:hAnsi="宋体" w:cs="宋体" w:eastAsia="宋体" w:hint="default"/>
                <w:sz w:val="18"/>
                <w:szCs w:val="18"/>
              </w:rPr>
            </w:pPr>
            <w:r>
              <w:rPr>
                <w:rFonts w:ascii="宋体" w:hAnsi="宋体" w:cs="宋体" w:eastAsia="宋体" w:hint="default"/>
                <w:sz w:val="18"/>
                <w:szCs w:val="18"/>
              </w:rPr>
              <w:t>折算率</w:t>
            </w:r>
          </w:p>
        </w:tc>
      </w:tr>
      <w:tr>
        <w:trPr>
          <w:trHeight w:val="360" w:hRule="exact"/>
        </w:trPr>
        <w:tc>
          <w:tcPr>
            <w:tcW w:w="1802" w:type="dxa"/>
            <w:vMerge w:val="restart"/>
            <w:tcBorders>
              <w:top w:val="single" w:sz="6" w:space="0" w:color="000000"/>
              <w:left w:val="single" w:sz="6" w:space="0" w:color="000000"/>
              <w:right w:val="single" w:sz="6" w:space="0" w:color="000000"/>
            </w:tcBorders>
          </w:tcPr>
          <w:p>
            <w:pPr>
              <w:pStyle w:val="TableParagraph"/>
              <w:spacing w:line="321" w:lineRule="auto" w:before="14"/>
              <w:ind w:right="164"/>
              <w:jc w:val="both"/>
              <w:rPr>
                <w:rFonts w:ascii="宋体" w:hAnsi="宋体" w:cs="宋体" w:eastAsia="宋体" w:hint="default"/>
                <w:sz w:val="18"/>
                <w:szCs w:val="18"/>
              </w:rPr>
            </w:pPr>
            <w:r>
              <w:rPr>
                <w:rFonts w:ascii="宋体" w:hAnsi="宋体" w:cs="宋体" w:eastAsia="宋体" w:hint="default"/>
                <w:sz w:val="18"/>
                <w:szCs w:val="18"/>
              </w:rPr>
              <w:t>四方精创资讯</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 </w:t>
            </w:r>
            <w:r>
              <w:rPr>
                <w:rFonts w:ascii="宋体" w:hAnsi="宋体" w:cs="宋体" w:eastAsia="宋体" w:hint="default"/>
                <w:sz w:val="18"/>
                <w:szCs w:val="18"/>
              </w:rPr>
              <w:t>有限公司及四方精创 信息</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517" w:type="dxa"/>
            <w:vMerge w:val="restart"/>
            <w:tcBorders>
              <w:top w:val="single" w:sz="6" w:space="0" w:color="000000"/>
              <w:left w:val="single" w:sz="6" w:space="0" w:color="000000"/>
              <w:right w:val="single" w:sz="6" w:space="0" w:color="000000"/>
            </w:tcBorders>
          </w:tcPr>
          <w:p>
            <w:pPr>
              <w:pStyle w:val="TableParagraph"/>
              <w:spacing w:line="240" w:lineRule="auto" w:before="14"/>
              <w:ind w:right="59"/>
              <w:jc w:val="center"/>
              <w:rPr>
                <w:rFonts w:ascii="宋体" w:hAnsi="宋体" w:cs="宋体" w:eastAsia="宋体" w:hint="default"/>
                <w:sz w:val="18"/>
                <w:szCs w:val="18"/>
              </w:rPr>
            </w:pPr>
            <w:r>
              <w:rPr>
                <w:rFonts w:ascii="宋体" w:hAnsi="宋体" w:cs="宋体" w:eastAsia="宋体" w:hint="default"/>
                <w:sz w:val="18"/>
                <w:szCs w:val="18"/>
              </w:rPr>
              <w:t>香港</w:t>
            </w:r>
          </w:p>
        </w:tc>
        <w:tc>
          <w:tcPr>
            <w:tcW w:w="1547" w:type="dxa"/>
            <w:vMerge w:val="restart"/>
            <w:tcBorders>
              <w:top w:val="single" w:sz="6" w:space="0" w:color="000000"/>
              <w:left w:val="single" w:sz="6" w:space="0" w:color="000000"/>
              <w:right w:val="single" w:sz="6" w:space="0" w:color="000000"/>
            </w:tcBorders>
          </w:tcPr>
          <w:p>
            <w:pPr>
              <w:pStyle w:val="TableParagraph"/>
              <w:spacing w:line="240" w:lineRule="auto" w:before="14"/>
              <w:ind w:right="59"/>
              <w:jc w:val="center"/>
              <w:rPr>
                <w:rFonts w:ascii="宋体" w:hAnsi="宋体" w:cs="宋体" w:eastAsia="宋体" w:hint="default"/>
                <w:sz w:val="18"/>
                <w:szCs w:val="18"/>
              </w:rPr>
            </w:pPr>
            <w:r>
              <w:rPr>
                <w:rFonts w:ascii="宋体" w:hAnsi="宋体" w:cs="宋体" w:eastAsia="宋体" w:hint="default"/>
                <w:sz w:val="18"/>
                <w:szCs w:val="18"/>
              </w:rPr>
              <w:t>港元</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资产、负债项目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sz w:val="18"/>
              </w:rPr>
              <w:t>0.8958</w:t>
            </w:r>
          </w:p>
        </w:tc>
      </w:tr>
      <w:tr>
        <w:trPr>
          <w:trHeight w:val="345" w:hRule="exact"/>
        </w:trPr>
        <w:tc>
          <w:tcPr>
            <w:tcW w:w="1802" w:type="dxa"/>
            <w:vMerge/>
            <w:tcBorders>
              <w:left w:val="single" w:sz="6" w:space="0" w:color="000000"/>
              <w:right w:val="single" w:sz="6" w:space="0" w:color="000000"/>
            </w:tcBorders>
          </w:tcPr>
          <w:p>
            <w:pPr/>
          </w:p>
        </w:tc>
        <w:tc>
          <w:tcPr>
            <w:tcW w:w="1517" w:type="dxa"/>
            <w:vMerge/>
            <w:tcBorders>
              <w:left w:val="single" w:sz="6" w:space="0" w:color="000000"/>
              <w:right w:val="single" w:sz="6" w:space="0" w:color="000000"/>
            </w:tcBorders>
          </w:tcPr>
          <w:p>
            <w:pPr/>
          </w:p>
        </w:tc>
        <w:tc>
          <w:tcPr>
            <w:tcW w:w="1547" w:type="dxa"/>
            <w:vMerge/>
            <w:tcBorders>
              <w:left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pacing w:val="-3"/>
                <w:sz w:val="18"/>
                <w:szCs w:val="18"/>
              </w:rPr>
              <w:t>股东权益（除未分配利润）项目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交易发生日的即期汇率</w:t>
            </w:r>
          </w:p>
        </w:tc>
      </w:tr>
      <w:tr>
        <w:trPr>
          <w:trHeight w:val="360" w:hRule="exact"/>
        </w:trPr>
        <w:tc>
          <w:tcPr>
            <w:tcW w:w="1802" w:type="dxa"/>
            <w:vMerge/>
            <w:tcBorders>
              <w:left w:val="single" w:sz="6" w:space="0" w:color="000000"/>
              <w:bottom w:val="single" w:sz="6" w:space="0" w:color="000000"/>
              <w:right w:val="single" w:sz="6" w:space="0" w:color="000000"/>
            </w:tcBorders>
          </w:tcPr>
          <w:p>
            <w:pPr/>
          </w:p>
        </w:tc>
        <w:tc>
          <w:tcPr>
            <w:tcW w:w="1517" w:type="dxa"/>
            <w:vMerge/>
            <w:tcBorders>
              <w:left w:val="single" w:sz="6" w:space="0" w:color="000000"/>
              <w:bottom w:val="single" w:sz="6" w:space="0" w:color="000000"/>
              <w:right w:val="single" w:sz="6" w:space="0" w:color="000000"/>
            </w:tcBorders>
          </w:tcPr>
          <w:p>
            <w:pPr/>
          </w:p>
        </w:tc>
        <w:tc>
          <w:tcPr>
            <w:tcW w:w="1547" w:type="dxa"/>
            <w:vMerge/>
            <w:tcBorders>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利润表、现金流量表项目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月度加权平均汇率</w:t>
            </w:r>
          </w:p>
        </w:tc>
      </w:tr>
      <w:tr>
        <w:trPr>
          <w:trHeight w:val="346" w:hRule="exact"/>
        </w:trPr>
        <w:tc>
          <w:tcPr>
            <w:tcW w:w="1802" w:type="dxa"/>
            <w:vMerge w:val="restart"/>
            <w:tcBorders>
              <w:top w:val="single" w:sz="6" w:space="0" w:color="000000"/>
              <w:left w:val="single" w:sz="6" w:space="0" w:color="000000"/>
              <w:right w:val="single" w:sz="6" w:space="0" w:color="000000"/>
            </w:tcBorders>
          </w:tcPr>
          <w:p>
            <w:pPr>
              <w:pStyle w:val="TableParagraph"/>
              <w:spacing w:line="321" w:lineRule="auto" w:before="14"/>
              <w:ind w:right="13"/>
              <w:jc w:val="left"/>
              <w:rPr>
                <w:rFonts w:ascii="宋体" w:hAnsi="宋体" w:cs="宋体" w:eastAsia="宋体" w:hint="default"/>
                <w:sz w:val="18"/>
                <w:szCs w:val="18"/>
              </w:rPr>
            </w:pPr>
            <w:r>
              <w:rPr>
                <w:rFonts w:ascii="宋体" w:hAnsi="宋体" w:cs="宋体" w:eastAsia="宋体" w:hint="default"/>
                <w:spacing w:val="15"/>
                <w:sz w:val="18"/>
                <w:szCs w:val="18"/>
              </w:rPr>
              <w:t>四方精创</w:t>
            </w:r>
            <w:r>
              <w:rPr>
                <w:rFonts w:ascii="宋体" w:hAnsi="宋体" w:cs="宋体" w:eastAsia="宋体" w:hint="default"/>
                <w:spacing w:val="15"/>
                <w:sz w:val="18"/>
                <w:szCs w:val="18"/>
              </w:rPr>
              <w:t>(</w:t>
            </w:r>
            <w:r>
              <w:rPr>
                <w:rFonts w:ascii="宋体" w:hAnsi="宋体" w:cs="宋体" w:eastAsia="宋体" w:hint="default"/>
                <w:spacing w:val="15"/>
                <w:sz w:val="18"/>
                <w:szCs w:val="18"/>
              </w:rPr>
              <w:t>泰国</w:t>
            </w:r>
            <w:r>
              <w:rPr>
                <w:rFonts w:ascii="宋体" w:hAnsi="宋体" w:cs="宋体" w:eastAsia="宋体" w:hint="default"/>
                <w:spacing w:val="15"/>
                <w:sz w:val="18"/>
                <w:szCs w:val="18"/>
              </w:rPr>
              <w:t>)</w:t>
            </w:r>
            <w:r>
              <w:rPr>
                <w:rFonts w:ascii="宋体" w:hAnsi="宋体" w:cs="宋体" w:eastAsia="宋体" w:hint="default"/>
                <w:spacing w:val="15"/>
                <w:sz w:val="18"/>
                <w:szCs w:val="18"/>
              </w:rPr>
              <w:t>有限 </w:t>
            </w:r>
            <w:r>
              <w:rPr>
                <w:rFonts w:ascii="宋体" w:hAnsi="宋体" w:cs="宋体" w:eastAsia="宋体" w:hint="default"/>
                <w:sz w:val="18"/>
                <w:szCs w:val="18"/>
              </w:rPr>
              <w:t>公司</w:t>
            </w:r>
          </w:p>
        </w:tc>
        <w:tc>
          <w:tcPr>
            <w:tcW w:w="1517" w:type="dxa"/>
            <w:vMerge w:val="restart"/>
            <w:tcBorders>
              <w:top w:val="single" w:sz="6" w:space="0" w:color="000000"/>
              <w:left w:val="single" w:sz="6" w:space="0" w:color="000000"/>
              <w:right w:val="single" w:sz="6" w:space="0" w:color="000000"/>
            </w:tcBorders>
          </w:tcPr>
          <w:p>
            <w:pPr>
              <w:pStyle w:val="TableParagraph"/>
              <w:spacing w:line="240" w:lineRule="auto" w:before="14"/>
              <w:ind w:right="59"/>
              <w:jc w:val="center"/>
              <w:rPr>
                <w:rFonts w:ascii="宋体" w:hAnsi="宋体" w:cs="宋体" w:eastAsia="宋体" w:hint="default"/>
                <w:sz w:val="18"/>
                <w:szCs w:val="18"/>
              </w:rPr>
            </w:pPr>
            <w:r>
              <w:rPr>
                <w:rFonts w:ascii="宋体" w:hAnsi="宋体" w:cs="宋体" w:eastAsia="宋体" w:hint="default"/>
                <w:sz w:val="18"/>
                <w:szCs w:val="18"/>
              </w:rPr>
              <w:t>泰国</w:t>
            </w:r>
          </w:p>
        </w:tc>
        <w:tc>
          <w:tcPr>
            <w:tcW w:w="1547" w:type="dxa"/>
            <w:vMerge w:val="restart"/>
            <w:tcBorders>
              <w:top w:val="single" w:sz="6" w:space="0" w:color="000000"/>
              <w:left w:val="single" w:sz="6" w:space="0" w:color="000000"/>
              <w:right w:val="single" w:sz="6" w:space="0" w:color="000000"/>
            </w:tcBorders>
          </w:tcPr>
          <w:p>
            <w:pPr>
              <w:pStyle w:val="TableParagraph"/>
              <w:spacing w:line="240" w:lineRule="auto" w:before="14"/>
              <w:ind w:right="59"/>
              <w:jc w:val="center"/>
              <w:rPr>
                <w:rFonts w:ascii="宋体" w:hAnsi="宋体" w:cs="宋体" w:eastAsia="宋体" w:hint="default"/>
                <w:sz w:val="18"/>
                <w:szCs w:val="18"/>
              </w:rPr>
            </w:pPr>
            <w:r>
              <w:rPr>
                <w:rFonts w:ascii="宋体" w:hAnsi="宋体" w:cs="宋体" w:eastAsia="宋体" w:hint="default"/>
                <w:sz w:val="18"/>
                <w:szCs w:val="18"/>
              </w:rPr>
              <w:t>港元</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资产、负债项目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sz w:val="18"/>
              </w:rPr>
              <w:t>0.2328</w:t>
            </w:r>
          </w:p>
        </w:tc>
      </w:tr>
      <w:tr>
        <w:trPr>
          <w:trHeight w:val="360" w:hRule="exact"/>
        </w:trPr>
        <w:tc>
          <w:tcPr>
            <w:tcW w:w="1802" w:type="dxa"/>
            <w:vMerge/>
            <w:tcBorders>
              <w:left w:val="single" w:sz="6" w:space="0" w:color="000000"/>
              <w:right w:val="single" w:sz="6" w:space="0" w:color="000000"/>
            </w:tcBorders>
          </w:tcPr>
          <w:p>
            <w:pPr/>
          </w:p>
        </w:tc>
        <w:tc>
          <w:tcPr>
            <w:tcW w:w="1517" w:type="dxa"/>
            <w:vMerge/>
            <w:tcBorders>
              <w:left w:val="single" w:sz="6" w:space="0" w:color="000000"/>
              <w:right w:val="single" w:sz="6" w:space="0" w:color="000000"/>
            </w:tcBorders>
          </w:tcPr>
          <w:p>
            <w:pPr/>
          </w:p>
        </w:tc>
        <w:tc>
          <w:tcPr>
            <w:tcW w:w="1547" w:type="dxa"/>
            <w:vMerge/>
            <w:tcBorders>
              <w:left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pacing w:val="-3"/>
                <w:sz w:val="18"/>
                <w:szCs w:val="18"/>
              </w:rPr>
              <w:t>股东权益（除未分配利润）项目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交易发生日的即期汇率</w:t>
            </w:r>
          </w:p>
        </w:tc>
      </w:tr>
      <w:tr>
        <w:trPr>
          <w:trHeight w:val="361" w:hRule="exact"/>
        </w:trPr>
        <w:tc>
          <w:tcPr>
            <w:tcW w:w="1802" w:type="dxa"/>
            <w:vMerge/>
            <w:tcBorders>
              <w:left w:val="single" w:sz="6" w:space="0" w:color="000000"/>
              <w:bottom w:val="single" w:sz="6" w:space="0" w:color="000000"/>
              <w:right w:val="single" w:sz="6" w:space="0" w:color="000000"/>
            </w:tcBorders>
          </w:tcPr>
          <w:p>
            <w:pPr/>
          </w:p>
        </w:tc>
        <w:tc>
          <w:tcPr>
            <w:tcW w:w="1517" w:type="dxa"/>
            <w:vMerge/>
            <w:tcBorders>
              <w:left w:val="single" w:sz="6" w:space="0" w:color="000000"/>
              <w:bottom w:val="single" w:sz="6" w:space="0" w:color="000000"/>
              <w:right w:val="single" w:sz="6" w:space="0" w:color="000000"/>
            </w:tcBorders>
          </w:tcPr>
          <w:p>
            <w:pPr/>
          </w:p>
        </w:tc>
        <w:tc>
          <w:tcPr>
            <w:tcW w:w="1547" w:type="dxa"/>
            <w:vMerge/>
            <w:tcBorders>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利润表、现金流量表项目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月度加权平均汇率</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46、政府补助" w:id="312"/>
      <w:bookmarkEnd w:id="312"/>
      <w:r>
        <w:rPr>
          <w:b w:val="0"/>
          <w:bCs w:val="0"/>
        </w:rPr>
      </w:r>
      <w:r>
        <w:rPr>
          <w:rFonts w:ascii="Times New Roman" w:hAnsi="Times New Roman" w:cs="Times New Roman" w:eastAsia="Times New Roman" w:hint="default"/>
        </w:rPr>
        <w:t>46</w:t>
      </w:r>
      <w:r>
        <w:rPr/>
        <w:t>、政府补助</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939"/>
        <w:jc w:val="left"/>
        <w:rPr>
          <w:b w:val="0"/>
          <w:bCs w:val="0"/>
        </w:rPr>
      </w:pPr>
      <w:bookmarkStart w:name="（1）政府补助基本情况" w:id="313"/>
      <w:bookmarkEnd w:id="31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13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44"/>
              <w:ind w:left="15"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年深圳市外经贸发展专 项资金服务贸易创新发展资 金资助项目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（服务外包）人 才培训资助项目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427,500.00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427,500.00</w:t>
            </w:r>
          </w:p>
        </w:tc>
      </w:tr>
      <w:tr>
        <w:trPr>
          <w:trHeight w:val="13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5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年深圳市中央外经贸发 展资金服务贸易创新发展资 金第二批离岸服务外包业务 增量贴息资助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1,457,000.00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1,457,000.00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3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5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年深圳市中央外经贸发 展资金服务贸易创新发展资 金第二批提升研发创新水平</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资助项目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r>
      <w:tr>
        <w:trPr>
          <w:trHeight w:val="13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5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年深圳市中央外经贸发 展资金服务贸易创新发展资 金第二批取得国际通行的资</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质认证资助项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18,800.00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18,800.00</w:t>
            </w:r>
          </w:p>
        </w:tc>
      </w:tr>
      <w:tr>
        <w:trPr>
          <w:trHeight w:val="1352"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0"/>
              <w:ind w:left="15" w:right="15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年深圳市中央外经贸发 展资金服务贸易创新发展资 金第二批服务外包人才培训 资助项目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1,007,500.00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1,007,500.00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年度新一代信息技术产 业专项资金资助计划</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2,536,900.00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2,536,900.00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南山区自主创新产业发展专 项资金资助款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1,130,000.00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1,130,000.00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失业稳岗补贴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252,159.14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252,159.14</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人才安居住房补租款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960,000.00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960,000.00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年软博会补贴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计算机软件著作权登记资助 经费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8,799,759.14</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8,799,759.14</w:t>
            </w:r>
          </w:p>
        </w:tc>
      </w:tr>
    </w:tbl>
    <w:p>
      <w:pPr>
        <w:spacing w:line="240" w:lineRule="auto" w:before="12"/>
        <w:rPr>
          <w:rFonts w:ascii="宋体" w:hAnsi="宋体" w:cs="宋体" w:eastAsia="宋体" w:hint="default"/>
          <w:sz w:val="17"/>
          <w:szCs w:val="17"/>
        </w:rPr>
      </w:pPr>
    </w:p>
    <w:p>
      <w:pPr>
        <w:spacing w:line="504" w:lineRule="auto" w:before="26"/>
        <w:ind w:left="141" w:right="8324" w:firstLine="0"/>
        <w:jc w:val="left"/>
        <w:rPr>
          <w:rFonts w:ascii="宋体" w:hAnsi="宋体" w:cs="宋体" w:eastAsia="宋体" w:hint="default"/>
          <w:sz w:val="18"/>
          <w:szCs w:val="18"/>
        </w:rPr>
      </w:pPr>
      <w:bookmarkStart w:name="八、合并范围的变更" w:id="314"/>
      <w:bookmarkEnd w:id="314"/>
      <w:r>
        <w:rPr/>
      </w:r>
      <w:r>
        <w:rPr>
          <w:rFonts w:ascii="宋体" w:hAnsi="宋体" w:cs="宋体" w:eastAsia="宋体" w:hint="default"/>
          <w:b/>
          <w:bCs/>
          <w:sz w:val="24"/>
          <w:szCs w:val="24"/>
        </w:rPr>
        <w:t>八、合并范围的变更</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bookmarkStart w:name="1、非同一控制下企业合并" w:id="315"/>
      <w:bookmarkEnd w:id="315"/>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Heading3"/>
        <w:spacing w:line="240" w:lineRule="auto"/>
        <w:ind w:right="939"/>
        <w:jc w:val="left"/>
        <w:rPr>
          <w:b w:val="0"/>
          <w:bCs w:val="0"/>
        </w:rPr>
      </w:pPr>
      <w:bookmarkStart w:name="2、同一控制下企业合并" w:id="316"/>
      <w:bookmarkEnd w:id="31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939"/>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40"/>
        <w:ind w:right="939"/>
        <w:jc w:val="left"/>
        <w:rPr>
          <w:b w:val="0"/>
          <w:bCs w:val="0"/>
        </w:rPr>
      </w:pPr>
      <w:bookmarkStart w:name="3、反向购买" w:id="317"/>
      <w:bookmarkEnd w:id="31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939"/>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54"/>
        <w:ind w:right="939"/>
        <w:jc w:val="left"/>
        <w:rPr>
          <w:b w:val="0"/>
          <w:bCs w:val="0"/>
        </w:rPr>
      </w:pPr>
      <w:bookmarkStart w:name="4、处置子公司" w:id="318"/>
      <w:bookmarkEnd w:id="31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939"/>
        <w:jc w:val="left"/>
      </w:pPr>
      <w:r>
        <w:rPr/>
        <w:t>是否存在单次处置对子公司投资即丧失控制权的情形</w:t>
      </w:r>
    </w:p>
    <w:p>
      <w:pPr>
        <w:pStyle w:val="BodyText"/>
        <w:spacing w:line="319" w:lineRule="auto" w:before="139"/>
        <w:ind w:right="49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是否存在通过多次交易分步处置对子公司投资且在本期丧失控制权的情形</w:t>
      </w:r>
    </w:p>
    <w:p>
      <w:pPr>
        <w:spacing w:after="0" w:line="319" w:lineRule="auto"/>
        <w:jc w:val="left"/>
        <w:sectPr>
          <w:pgSz w:w="11910" w:h="16850"/>
          <w:pgMar w:header="866"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5、其他原因的合并范围变动" w:id="319"/>
      <w:bookmarkEnd w:id="319"/>
      <w:r>
        <w:rPr>
          <w:b w:val="0"/>
          <w:bCs w:val="0"/>
        </w:rPr>
      </w:r>
      <w:r>
        <w:rPr>
          <w:rFonts w:ascii="Times New Roman" w:hAnsi="Times New Roman" w:cs="Times New Roman" w:eastAsia="Times New Roman" w:hint="default"/>
        </w:rPr>
        <w:t>5</w:t>
      </w:r>
      <w:r>
        <w:rPr/>
        <w:t>、其他原因的合并范围变动</w:t>
      </w:r>
      <w:r>
        <w:rPr>
          <w:b w:val="0"/>
          <w:bCs w:val="0"/>
        </w:rPr>
      </w:r>
    </w:p>
    <w:p>
      <w:pPr>
        <w:pStyle w:val="BodyText"/>
        <w:spacing w:line="430" w:lineRule="atLeast" w:before="135"/>
        <w:ind w:left="411" w:right="3910" w:hanging="271"/>
        <w:jc w:val="left"/>
      </w:pPr>
      <w:r>
        <w:rPr/>
        <w:t>说明其他原因导致的合并范围变动（如，新设子公司、清算子公司等）及其相关情况： 本公司报告期新增合并单位一家。</w:t>
      </w:r>
    </w:p>
    <w:p>
      <w:pPr>
        <w:pStyle w:val="BodyText"/>
        <w:spacing w:line="240" w:lineRule="auto" w:before="79"/>
        <w:ind w:left="411" w:right="939"/>
        <w:jc w:val="left"/>
      </w:pPr>
      <w:r>
        <w:rPr/>
        <w:t>四方精创（泰国）有限公司由四方精创信息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日设立，截止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日，认缴注册资本</w:t>
      </w:r>
    </w:p>
    <w:p>
      <w:pPr>
        <w:pStyle w:val="BodyText"/>
        <w:spacing w:line="240" w:lineRule="auto" w:before="66"/>
        <w:ind w:right="939"/>
        <w:jc w:val="left"/>
      </w:pPr>
      <w:r>
        <w:rPr>
          <w:rFonts w:ascii="Times New Roman" w:hAnsi="Times New Roman" w:cs="Times New Roman" w:eastAsia="Times New Roman" w:hint="default"/>
        </w:rPr>
        <w:t>400</w:t>
      </w:r>
      <w:r>
        <w:rPr/>
        <w:t>万泰铢，实缴注册资本为</w:t>
      </w:r>
      <w:r>
        <w:rPr>
          <w:rFonts w:ascii="Times New Roman" w:hAnsi="Times New Roman" w:cs="Times New Roman" w:eastAsia="Times New Roman" w:hint="default"/>
        </w:rPr>
        <w:t>0</w:t>
      </w:r>
      <w:r>
        <w:rPr/>
        <w:t>。</w:t>
      </w:r>
    </w:p>
    <w:p>
      <w:pPr>
        <w:spacing w:line="240" w:lineRule="auto" w:before="10"/>
        <w:rPr>
          <w:rFonts w:ascii="宋体" w:hAnsi="宋体" w:cs="宋体" w:eastAsia="宋体" w:hint="default"/>
          <w:sz w:val="23"/>
          <w:szCs w:val="23"/>
        </w:rPr>
      </w:pPr>
    </w:p>
    <w:p>
      <w:pPr>
        <w:pStyle w:val="Heading2"/>
        <w:spacing w:line="240" w:lineRule="auto"/>
        <w:ind w:right="939"/>
        <w:jc w:val="left"/>
        <w:rPr>
          <w:b w:val="0"/>
          <w:bCs w:val="0"/>
        </w:rPr>
      </w:pPr>
      <w:bookmarkStart w:name="九、在其他主体中的权益" w:id="320"/>
      <w:bookmarkEnd w:id="320"/>
      <w:r>
        <w:rPr>
          <w:b w:val="0"/>
          <w:bCs w:val="0"/>
        </w:rPr>
      </w:r>
      <w:r>
        <w:rPr/>
        <w:t>九、在其他主体中的权益</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在子公司中的权益" w:id="321"/>
      <w:bookmarkEnd w:id="32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企业集团的构成" w:id="322"/>
      <w:bookmarkEnd w:id="32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四方精创资讯</w:t>
            </w:r>
          </w:p>
          <w:p>
            <w:pPr>
              <w:pStyle w:val="TableParagraph"/>
              <w:spacing w:line="240" w:lineRule="auto" w:before="7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6"/>
              <w:jc w:val="left"/>
              <w:rPr>
                <w:rFonts w:ascii="宋体" w:hAnsi="宋体" w:cs="宋体" w:eastAsia="宋体" w:hint="default"/>
                <w:sz w:val="18"/>
                <w:szCs w:val="18"/>
              </w:rPr>
            </w:pPr>
            <w:r>
              <w:rPr>
                <w:rFonts w:ascii="宋体" w:hAnsi="宋体" w:cs="宋体" w:eastAsia="宋体" w:hint="default"/>
                <w:sz w:val="18"/>
                <w:szCs w:val="18"/>
              </w:rPr>
              <w:t>软件开发和系统 集成</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四方精创信息</w:t>
            </w:r>
          </w:p>
          <w:p>
            <w:pPr>
              <w:pStyle w:val="TableParagraph"/>
              <w:spacing w:line="240" w:lineRule="auto" w:before="9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6"/>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深圳前海乐寻坊 区块链科技有限 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76"/>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33"/>
              <w:jc w:val="left"/>
              <w:rPr>
                <w:rFonts w:ascii="宋体" w:hAnsi="宋体" w:cs="宋体" w:eastAsia="宋体" w:hint="default"/>
                <w:sz w:val="18"/>
                <w:szCs w:val="18"/>
              </w:rPr>
            </w:pPr>
            <w:r>
              <w:rPr>
                <w:rFonts w:ascii="宋体" w:hAnsi="宋体" w:cs="宋体" w:eastAsia="宋体" w:hint="default"/>
                <w:sz w:val="18"/>
                <w:szCs w:val="18"/>
              </w:rPr>
              <w:t>四方精创</w:t>
            </w:r>
            <w:r>
              <w:rPr>
                <w:rFonts w:ascii="Times New Roman" w:hAnsi="Times New Roman" w:cs="Times New Roman" w:eastAsia="Times New Roman" w:hint="default"/>
                <w:sz w:val="18"/>
                <w:szCs w:val="18"/>
              </w:rPr>
              <w:t>(</w:t>
            </w:r>
            <w:r>
              <w:rPr>
                <w:rFonts w:ascii="宋体" w:hAnsi="宋体" w:cs="宋体" w:eastAsia="宋体" w:hint="default"/>
                <w:sz w:val="18"/>
                <w:szCs w:val="18"/>
              </w:rPr>
              <w:t>泰国</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泰国曼谷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泰国曼谷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6"/>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11"/>
        <w:rPr>
          <w:rFonts w:ascii="宋体" w:hAnsi="宋体" w:cs="宋体" w:eastAsia="宋体" w:hint="default"/>
          <w:b/>
          <w:bCs/>
          <w:sz w:val="19"/>
          <w:szCs w:val="19"/>
        </w:rPr>
      </w:pPr>
    </w:p>
    <w:p>
      <w:pPr>
        <w:pStyle w:val="Heading3"/>
        <w:spacing w:line="240" w:lineRule="auto" w:before="35"/>
        <w:ind w:right="939"/>
        <w:jc w:val="left"/>
        <w:rPr>
          <w:b w:val="0"/>
          <w:bCs w:val="0"/>
        </w:rPr>
      </w:pPr>
      <w:bookmarkStart w:name="（2）重要的非全资子公司" w:id="323"/>
      <w:bookmarkEnd w:id="32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本公司在报告期内没有重要的的非全资子公司。</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3）不重要的合营企业和联营企业的汇总财务信息" w:id="324"/>
      <w:bookmarkEnd w:id="324"/>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6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48,393,395.82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48,095,753.10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549,118.73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2,897,730.55</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9"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549,118.73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2,897,730.55</w:t>
            </w:r>
          </w:p>
        </w:tc>
      </w:tr>
    </w:tbl>
    <w:p>
      <w:pPr>
        <w:spacing w:line="240" w:lineRule="auto" w:before="12"/>
        <w:rPr>
          <w:rFonts w:ascii="宋体" w:hAnsi="宋体" w:cs="宋体" w:eastAsia="宋体" w:hint="default"/>
          <w:sz w:val="17"/>
          <w:szCs w:val="17"/>
        </w:rPr>
      </w:pPr>
    </w:p>
    <w:p>
      <w:pPr>
        <w:pStyle w:val="Heading2"/>
        <w:spacing w:line="240" w:lineRule="auto" w:before="26"/>
        <w:ind w:right="0"/>
        <w:jc w:val="both"/>
        <w:rPr>
          <w:b w:val="0"/>
          <w:bCs w:val="0"/>
        </w:rPr>
      </w:pPr>
      <w:bookmarkStart w:name="十、与金融工具相关的风险" w:id="325"/>
      <w:bookmarkEnd w:id="325"/>
      <w:r>
        <w:rPr>
          <w:b w:val="0"/>
          <w:bCs w:val="0"/>
        </w:rPr>
      </w:r>
      <w:r>
        <w:rPr/>
        <w:t>十、与金融工具相关的风险</w:t>
      </w:r>
      <w:r>
        <w:rPr>
          <w:b w:val="0"/>
          <w:bCs w:val="0"/>
        </w:rPr>
      </w:r>
    </w:p>
    <w:p>
      <w:pPr>
        <w:spacing w:line="240" w:lineRule="auto" w:before="1"/>
        <w:rPr>
          <w:rFonts w:ascii="宋体" w:hAnsi="宋体" w:cs="宋体" w:eastAsia="宋体" w:hint="default"/>
          <w:b/>
          <w:bCs/>
          <w:sz w:val="26"/>
          <w:szCs w:val="26"/>
        </w:rPr>
      </w:pPr>
    </w:p>
    <w:p>
      <w:pPr>
        <w:pStyle w:val="BodyText"/>
        <w:spacing w:line="321" w:lineRule="auto"/>
        <w:ind w:right="1131" w:firstLine="360"/>
        <w:jc w:val="both"/>
      </w:pPr>
      <w:r>
        <w:rPr>
          <w:spacing w:val="-2"/>
        </w:rPr>
        <w:t>本公司的主要金融工具包括货币资金、应收账款、其他权益工具及应付账款等，各项金融工具的详细情况说明见本附注</w:t>
      </w:r>
      <w:r>
        <w:rPr/>
        <w:t> </w:t>
      </w:r>
      <w:r>
        <w:rPr>
          <w:spacing w:val="-2"/>
        </w:rPr>
        <w:t>七相关项目。与这些金融工具有关的风险，以及本公司为降低这些风险所采取的风险管理政策如下所述。本公司管理层对这</w:t>
      </w:r>
      <w:r>
        <w:rPr>
          <w:spacing w:val="-75"/>
        </w:rPr>
        <w:t> </w:t>
      </w:r>
      <w:r>
        <w:rPr>
          <w:spacing w:val="-75"/>
        </w:rPr>
      </w:r>
      <w:r>
        <w:rPr/>
        <w:t>些风险敞口进行管理和监控以确保将上述风险控制在限定的范围之内。</w:t>
      </w:r>
    </w:p>
    <w:p>
      <w:pPr>
        <w:pStyle w:val="BodyText"/>
        <w:spacing w:line="314" w:lineRule="auto" w:before="18"/>
        <w:ind w:right="939" w:firstLine="360"/>
        <w:jc w:val="left"/>
      </w:pPr>
      <w:r>
        <w:rPr>
          <w:spacing w:val="-2"/>
        </w:rPr>
        <w:t>本公司从事风险管理的目标是在风险和收益之间取得适当的平衡，将风险对本公司经营业绩的负面影响降低到最低水平，</w:t>
      </w:r>
      <w:r>
        <w:rPr/>
        <w:t> 使股东及其他权益投资者的利益最大化。基于该风险管理目标，本公司风险管理的基本策略是确定和分析本公司所面临的各 种风险，建立适当的风险承受底线和进行风险管理，并及时可靠地对各种风险进行监督，将风险控制在限定的范围之内。</w:t>
      </w:r>
    </w:p>
    <w:p>
      <w:pPr>
        <w:pStyle w:val="BodyText"/>
        <w:spacing w:line="444" w:lineRule="auto" w:before="144"/>
        <w:ind w:right="4809" w:firstLine="360"/>
        <w:jc w:val="left"/>
        <w:rPr>
          <w:rFonts w:ascii="宋体" w:hAnsi="宋体" w:cs="宋体" w:eastAsia="宋体" w:hint="default"/>
        </w:rPr>
      </w:pPr>
      <w:r>
        <w:rPr/>
        <w:t>本公司的金融工具导致的主要风险是信用风险、流动性风险、汇率风险 </w:t>
      </w: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55"/>
        </w:rPr>
        <w:t> </w:t>
      </w:r>
      <w:r>
        <w:rPr>
          <w:rFonts w:ascii="宋体" w:hAnsi="宋体" w:cs="宋体" w:eastAsia="宋体" w:hint="default"/>
          <w:b/>
          <w:bCs/>
        </w:rPr>
        <w:t>信用风险</w:t>
      </w:r>
      <w:r>
        <w:rPr>
          <w:rFonts w:ascii="宋体" w:hAnsi="宋体" w:cs="宋体" w:eastAsia="宋体" w:hint="default"/>
        </w:rPr>
      </w:r>
    </w:p>
    <w:p>
      <w:pPr>
        <w:pStyle w:val="BodyText"/>
        <w:spacing w:line="240" w:lineRule="auto" w:before="46"/>
        <w:ind w:left="501" w:right="939"/>
        <w:jc w:val="left"/>
      </w:pPr>
      <w:r>
        <w:rPr/>
        <w:t>信用风险，是指交易对手方未能履行合同义务而导致本集团产生财务损失的风险。</w:t>
      </w:r>
    </w:p>
    <w:p>
      <w:pPr>
        <w:pStyle w:val="BodyText"/>
        <w:spacing w:line="420" w:lineRule="atLeast" w:before="15"/>
        <w:ind w:left="501" w:right="939"/>
        <w:jc w:val="left"/>
      </w:pPr>
      <w:r>
        <w:rPr/>
        <w:t>本公司对信用风险按组合分类进行管理。信用风险主要产生于应收款项。</w:t>
      </w:r>
      <w:r>
        <w:rPr>
          <w:spacing w:val="-86"/>
        </w:rPr>
        <w:t> </w:t>
      </w:r>
      <w:r>
        <w:rPr>
          <w:spacing w:val="-86"/>
        </w:rPr>
      </w:r>
      <w:r>
        <w:rPr>
          <w:spacing w:val="-2"/>
        </w:rPr>
        <w:t>对于应收款项，公司设定相关政策以控制信用风险敞口。本公司基于对债务人的财务状况、外部评级、从第三方获取担</w:t>
      </w:r>
    </w:p>
    <w:p>
      <w:pPr>
        <w:pStyle w:val="BodyText"/>
        <w:spacing w:line="321" w:lineRule="auto" w:before="79"/>
        <w:ind w:right="1106"/>
        <w:jc w:val="both"/>
      </w:pPr>
      <w:r>
        <w:rPr>
          <w:spacing w:val="-2"/>
        </w:rPr>
        <w:t>保的可能性、信用记录及其它因素诸如目前市场状况等评估债务人的信用资质并设置相应欠款额度与信用期限。本公司会定</w:t>
      </w:r>
      <w:r>
        <w:rPr>
          <w:spacing w:val="-72"/>
        </w:rPr>
        <w:t> </w:t>
      </w:r>
      <w:r>
        <w:rPr>
          <w:spacing w:val="-72"/>
        </w:rPr>
      </w:r>
      <w:r>
        <w:rPr>
          <w:spacing w:val="-2"/>
        </w:rPr>
        <w:t>期对债务人信用记录进行监控，对于信用记录不良的债务人，本公司会采用书面催款、缩短信用期或取消信用期等方式，以</w:t>
      </w:r>
      <w:r>
        <w:rPr>
          <w:spacing w:val="-42"/>
        </w:rPr>
        <w:t> </w:t>
      </w:r>
      <w:r>
        <w:rPr>
          <w:spacing w:val="-42"/>
        </w:rPr>
      </w:r>
      <w:r>
        <w:rPr/>
        <w:t>确保本公司的整体信用风险在可控的范围内。</w:t>
      </w:r>
    </w:p>
    <w:p>
      <w:pPr>
        <w:pStyle w:val="BodyText"/>
        <w:spacing w:line="427" w:lineRule="auto" w:before="138"/>
        <w:ind w:left="501" w:right="2289" w:hanging="361"/>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59"/>
        </w:rPr>
        <w:t> </w:t>
      </w:r>
      <w:r>
        <w:rPr>
          <w:rFonts w:ascii="宋体" w:hAnsi="宋体" w:cs="宋体" w:eastAsia="宋体" w:hint="default"/>
          <w:b/>
          <w:bCs/>
        </w:rPr>
        <w:t>流动性风险</w:t>
      </w:r>
      <w:r>
        <w:rPr>
          <w:rFonts w:ascii="宋体" w:hAnsi="宋体" w:cs="宋体" w:eastAsia="宋体" w:hint="default"/>
          <w:b/>
          <w:bCs/>
          <w:w w:val="99"/>
        </w:rPr>
        <w:t> </w:t>
      </w:r>
      <w:r>
        <w:rPr/>
        <w:t>流动性风险，是指本公司在履行以交付现金或其他金融资产的方式结算的义务时发生资金短缺的风险。</w:t>
      </w:r>
    </w:p>
    <w:p>
      <w:pPr>
        <w:pStyle w:val="BodyText"/>
        <w:spacing w:line="321" w:lineRule="auto" w:before="59"/>
        <w:ind w:right="1133" w:firstLine="360"/>
        <w:jc w:val="left"/>
      </w:pPr>
      <w:r>
        <w:rPr>
          <w:spacing w:val="-2"/>
        </w:rPr>
        <w:t>管理流动风险时，本公司保持管理层认为充分的现金及现金等价物并对其进行监控，以满足本公司经营需要，并降低现</w:t>
      </w:r>
      <w:r>
        <w:rPr/>
        <w:t> 金流量波动的影响。本公司主要通过经营业务产生的资金来筹措营运资金。</w:t>
      </w:r>
    </w:p>
    <w:p>
      <w:pPr>
        <w:pStyle w:val="BodyText"/>
        <w:spacing w:line="444" w:lineRule="auto" w:before="138"/>
        <w:ind w:right="3909" w:firstLine="360"/>
        <w:jc w:val="left"/>
      </w:pPr>
      <w:r>
        <w:rPr/>
        <w:pict>
          <v:shape style="position:absolute;margin-left:56.325001pt;margin-top:43.691704pt;width:465.95pt;height:72.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7"/>
                    <w:gridCol w:w="1667"/>
                    <w:gridCol w:w="1502"/>
                    <w:gridCol w:w="1411"/>
                    <w:gridCol w:w="1502"/>
                    <w:gridCol w:w="1667"/>
                  </w:tblGrid>
                  <w:tr>
                    <w:trPr>
                      <w:trHeight w:val="361" w:hRule="exact"/>
                    </w:trPr>
                    <w:tc>
                      <w:tcPr>
                        <w:tcW w:w="1547" w:type="dxa"/>
                        <w:vMerge w:val="restart"/>
                        <w:tcBorders>
                          <w:top w:val="single" w:sz="6" w:space="0" w:color="000000"/>
                          <w:left w:val="single" w:sz="6" w:space="0" w:color="000000"/>
                          <w:right w:val="single" w:sz="6" w:space="0" w:color="000000"/>
                        </w:tcBorders>
                      </w:tcPr>
                      <w:p>
                        <w:pPr>
                          <w:pStyle w:val="TableParagraph"/>
                          <w:spacing w:line="240" w:lineRule="auto" w:before="1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774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5" w:hRule="exact"/>
                    </w:trPr>
                    <w:tc>
                      <w:tcPr>
                        <w:tcW w:w="1547" w:type="dxa"/>
                        <w:vMerge/>
                        <w:tcBorders>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0"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0"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7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right"/>
                          <w:rPr>
                            <w:rFonts w:ascii="宋体" w:hAnsi="宋体" w:cs="宋体" w:eastAsia="宋体" w:hint="default"/>
                            <w:sz w:val="18"/>
                            <w:szCs w:val="18"/>
                          </w:rPr>
                        </w:pPr>
                        <w:r>
                          <w:rPr>
                            <w:rFonts w:ascii="宋体"/>
                            <w:sz w:val="18"/>
                          </w:rPr>
                          <w:t>222,430.90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宋体" w:hAnsi="宋体" w:cs="宋体" w:eastAsia="宋体" w:hint="default"/>
                            <w:sz w:val="18"/>
                            <w:szCs w:val="18"/>
                          </w:rPr>
                        </w:pPr>
                        <w:r>
                          <w:rPr>
                            <w:rFonts w:ascii="宋体"/>
                            <w:sz w:val="18"/>
                          </w:rPr>
                          <w:t>-</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宋体" w:hAnsi="宋体" w:cs="宋体" w:eastAsia="宋体" w:hint="default"/>
                            <w:sz w:val="18"/>
                            <w:szCs w:val="18"/>
                          </w:rPr>
                        </w:pPr>
                        <w:r>
                          <w:rPr>
                            <w:rFonts w:ascii="宋体"/>
                            <w:sz w:val="18"/>
                          </w:rPr>
                          <w:t>-</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
                          <w:jc w:val="right"/>
                          <w:rPr>
                            <w:rFonts w:ascii="宋体" w:hAnsi="宋体" w:cs="宋体" w:eastAsia="宋体" w:hint="default"/>
                            <w:sz w:val="18"/>
                            <w:szCs w:val="18"/>
                          </w:rPr>
                        </w:pPr>
                        <w:r>
                          <w:rPr>
                            <w:rFonts w:ascii="宋体"/>
                            <w:sz w:val="18"/>
                          </w:rPr>
                          <w:t>222,430.90</w:t>
                        </w:r>
                      </w:p>
                    </w:tc>
                  </w:tr>
                  <w:tr>
                    <w:trPr>
                      <w:trHeight w:val="36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right"/>
                          <w:rPr>
                            <w:rFonts w:ascii="宋体" w:hAnsi="宋体" w:cs="宋体" w:eastAsia="宋体" w:hint="default"/>
                            <w:sz w:val="18"/>
                            <w:szCs w:val="18"/>
                          </w:rPr>
                        </w:pPr>
                        <w:r>
                          <w:rPr>
                            <w:rFonts w:ascii="宋体"/>
                            <w:sz w:val="18"/>
                          </w:rPr>
                          <w:t>32,835,536.34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right"/>
                          <w:rPr>
                            <w:rFonts w:ascii="宋体" w:hAnsi="宋体" w:cs="宋体" w:eastAsia="宋体" w:hint="default"/>
                            <w:sz w:val="18"/>
                            <w:szCs w:val="18"/>
                          </w:rPr>
                        </w:pPr>
                        <w:r>
                          <w:rPr>
                            <w:rFonts w:ascii="宋体"/>
                            <w:sz w:val="18"/>
                          </w:rPr>
                          <w:t>-</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right"/>
                          <w:rPr>
                            <w:rFonts w:ascii="宋体" w:hAnsi="宋体" w:cs="宋体" w:eastAsia="宋体" w:hint="default"/>
                            <w:sz w:val="18"/>
                            <w:szCs w:val="18"/>
                          </w:rPr>
                        </w:pPr>
                        <w:r>
                          <w:rPr>
                            <w:rFonts w:ascii="宋体"/>
                            <w:sz w:val="18"/>
                          </w:rPr>
                          <w:t>-</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right"/>
                          <w:rPr>
                            <w:rFonts w:ascii="宋体" w:hAnsi="宋体" w:cs="宋体" w:eastAsia="宋体" w:hint="default"/>
                            <w:sz w:val="18"/>
                            <w:szCs w:val="18"/>
                          </w:rPr>
                        </w:pPr>
                        <w:r>
                          <w:rPr>
                            <w:rFonts w:ascii="宋体"/>
                            <w:sz w:val="18"/>
                          </w:rPr>
                          <w:t>32,835,536.34</w:t>
                        </w:r>
                      </w:p>
                    </w:tc>
                  </w:tr>
                </w:tbl>
                <w:p>
                  <w:pPr/>
                </w:p>
              </w:txbxContent>
            </v:textbox>
            <w10:wrap type="none"/>
          </v:shape>
        </w:pict>
      </w:r>
      <w:r>
        <w:rPr/>
        <w:t>期末本公司持有的金融负债和表外担保项目按未折现剩余合同现金流量的到期期限 分析如下：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5"/>
        <w:spacing w:line="240" w:lineRule="auto"/>
        <w:ind w:left="141" w:right="939"/>
        <w:jc w:val="left"/>
        <w:rPr>
          <w:b w:val="0"/>
          <w:bCs w:val="0"/>
        </w:rPr>
      </w:pPr>
      <w:r>
        <w:rPr>
          <w:rFonts w:ascii="宋体" w:hAnsi="宋体" w:cs="宋体" w:eastAsia="宋体" w:hint="default"/>
        </w:rPr>
        <w:t>3</w:t>
      </w:r>
      <w:r>
        <w:rPr/>
        <w:t>、汇率风险</w:t>
      </w:r>
      <w:r>
        <w:rPr>
          <w:b w:val="0"/>
          <w:bCs w:val="0"/>
        </w:rPr>
      </w:r>
    </w:p>
    <w:p>
      <w:pPr>
        <w:spacing w:line="240" w:lineRule="auto" w:before="2"/>
        <w:rPr>
          <w:rFonts w:ascii="宋体" w:hAnsi="宋体" w:cs="宋体" w:eastAsia="宋体" w:hint="default"/>
          <w:b/>
          <w:bCs/>
          <w:sz w:val="14"/>
          <w:szCs w:val="14"/>
        </w:rPr>
      </w:pPr>
    </w:p>
    <w:p>
      <w:pPr>
        <w:pStyle w:val="BodyText"/>
        <w:spacing w:line="321" w:lineRule="auto"/>
        <w:ind w:right="1133" w:firstLine="360"/>
        <w:jc w:val="left"/>
      </w:pPr>
      <w:r>
        <w:rPr>
          <w:spacing w:val="-2"/>
        </w:rPr>
        <w:t>汇率风险，是指金融工具的公允价值或未来现金流量因外汇汇率变动而发生波动的风险。汇率风险可源于以记账本位币</w:t>
      </w:r>
      <w:r>
        <w:rPr/>
        <w:t> 之外的外币进行计价的金融工具。</w:t>
      </w:r>
    </w:p>
    <w:p>
      <w:pPr>
        <w:pStyle w:val="BodyText"/>
        <w:spacing w:line="321" w:lineRule="auto" w:before="139"/>
        <w:ind w:right="1133" w:firstLine="360"/>
        <w:jc w:val="left"/>
      </w:pPr>
      <w:r>
        <w:rPr>
          <w:spacing w:val="-2"/>
        </w:rPr>
        <w:t>本公司尽可能将外币收入与外币支出相匹配以降低汇率风险。此外，公司还可能签署远期外汇合约或货币互换合约以达</w:t>
      </w:r>
      <w:r>
        <w:rPr/>
        <w:t> 到规避汇率风险的目的。于本期及上期，本公司未签署任何远期外汇合约或货币互换合约。</w:t>
      </w:r>
    </w:p>
    <w:p>
      <w:pPr>
        <w:spacing w:after="0" w:line="321" w:lineRule="auto"/>
        <w:jc w:val="left"/>
        <w:sectPr>
          <w:pgSz w:w="11910" w:h="16850"/>
          <w:pgMar w:header="866"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939"/>
        <w:jc w:val="left"/>
        <w:rPr>
          <w:b w:val="0"/>
          <w:bCs w:val="0"/>
        </w:rPr>
      </w:pPr>
      <w:bookmarkStart w:name="十一、公允价值的披露" w:id="326"/>
      <w:bookmarkEnd w:id="326"/>
      <w:r>
        <w:rPr>
          <w:b w:val="0"/>
          <w:bCs w:val="0"/>
        </w:rPr>
      </w:r>
      <w:r>
        <w:rPr/>
        <w:t>十一、公允价值的披露</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9"/>
        <w:jc w:val="left"/>
        <w:rPr>
          <w:b w:val="0"/>
          <w:bCs w:val="0"/>
        </w:rPr>
      </w:pPr>
      <w:bookmarkStart w:name="1、 以公允价值计量的资产和负债的期末公允价值" w:id="327"/>
      <w:bookmarkEnd w:id="327"/>
      <w:r>
        <w:rPr>
          <w:b w:val="0"/>
          <w:bCs w:val="0"/>
        </w:rPr>
      </w:r>
      <w:r>
        <w:rPr>
          <w:rFonts w:ascii="Times New Roman" w:hAnsi="Times New Roman" w:cs="Times New Roman" w:eastAsia="Times New Roman" w:hint="default"/>
        </w:rPr>
        <w:t>1</w:t>
      </w:r>
      <w:r>
        <w:rPr/>
        <w:t>、</w:t>
      </w:r>
      <w:r>
        <w:rPr>
          <w:spacing w:val="-64"/>
        </w:rPr>
        <w:t> </w:t>
      </w:r>
      <w:r>
        <w:rPr/>
        <w:t>以公允价值计量的资产和负债的期末公允价值</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597" w:lineRule="auto"/>
        <w:ind w:left="501" w:right="939"/>
        <w:jc w:val="left"/>
      </w:pPr>
      <w:r>
        <w:rPr/>
        <w:t>根据在公允价值计量中对计量整体具有重大意义的最低层级的输入值，公允价值层级可分为 第一层级：相同资产或负债在活跃市场上</w:t>
      </w:r>
      <w:r>
        <w:rPr>
          <w:rFonts w:ascii="宋体" w:hAnsi="宋体" w:cs="宋体" w:eastAsia="宋体" w:hint="default"/>
        </w:rPr>
        <w:t>(</w:t>
      </w:r>
      <w:r>
        <w:rPr/>
        <w:t>未经调整</w:t>
      </w:r>
      <w:r>
        <w:rPr>
          <w:rFonts w:ascii="宋体" w:hAnsi="宋体" w:cs="宋体" w:eastAsia="宋体" w:hint="default"/>
        </w:rPr>
        <w:t>)</w:t>
      </w:r>
      <w:r>
        <w:rPr/>
        <w:t>的报价</w:t>
      </w:r>
    </w:p>
    <w:p>
      <w:pPr>
        <w:pStyle w:val="BodyText"/>
        <w:spacing w:line="444" w:lineRule="auto" w:before="111"/>
        <w:ind w:left="501" w:right="1114"/>
        <w:jc w:val="left"/>
      </w:pPr>
      <w:r>
        <w:rPr/>
        <w:t>第二层级：直接</w:t>
      </w:r>
      <w:r>
        <w:rPr>
          <w:rFonts w:ascii="宋体" w:hAnsi="宋体" w:cs="宋体" w:eastAsia="宋体" w:hint="default"/>
        </w:rPr>
        <w:t>(</w:t>
      </w:r>
      <w:r>
        <w:rPr/>
        <w:t>比如取自价格</w:t>
      </w:r>
      <w:r>
        <w:rPr>
          <w:rFonts w:ascii="宋体" w:hAnsi="宋体" w:cs="宋体" w:eastAsia="宋体" w:hint="default"/>
        </w:rPr>
        <w:t>)</w:t>
      </w:r>
      <w:r>
        <w:rPr/>
        <w:t>或间接</w:t>
      </w:r>
      <w:r>
        <w:rPr>
          <w:rFonts w:ascii="宋体" w:hAnsi="宋体" w:cs="宋体" w:eastAsia="宋体" w:hint="default"/>
        </w:rPr>
        <w:t>(</w:t>
      </w:r>
      <w:r>
        <w:rPr/>
        <w:t>比如根据价格推算的</w:t>
      </w:r>
      <w:r>
        <w:rPr>
          <w:rFonts w:ascii="宋体" w:hAnsi="宋体" w:cs="宋体" w:eastAsia="宋体" w:hint="default"/>
        </w:rPr>
        <w:t>)</w:t>
      </w:r>
      <w:r>
        <w:rPr/>
        <w:t>可观察到的、除第一</w:t>
      </w:r>
      <w:r>
        <w:rPr>
          <w:spacing w:val="5"/>
        </w:rPr>
        <w:t> </w:t>
      </w:r>
      <w:r>
        <w:rPr/>
        <w:t>层级中的市场报价以外的资产或负</w:t>
      </w:r>
      <w:r>
        <w:rPr/>
        <w:t> 债的输入值。</w:t>
      </w:r>
    </w:p>
    <w:p>
      <w:pPr>
        <w:spacing w:line="240" w:lineRule="auto" w:before="1"/>
        <w:rPr>
          <w:rFonts w:ascii="宋体" w:hAnsi="宋体" w:cs="宋体" w:eastAsia="宋体" w:hint="default"/>
          <w:sz w:val="15"/>
          <w:szCs w:val="15"/>
        </w:rPr>
      </w:pPr>
    </w:p>
    <w:p>
      <w:pPr>
        <w:pStyle w:val="BodyText"/>
        <w:spacing w:line="240" w:lineRule="auto"/>
        <w:ind w:left="501" w:right="939"/>
        <w:jc w:val="left"/>
      </w:pPr>
      <w:r>
        <w:rPr/>
        <w:t>第三层级：以可观察到的市场数据以外的变量为基础确定的资产或负债的输入值</w:t>
      </w:r>
      <w:r>
        <w:rPr>
          <w:spacing w:val="9"/>
        </w:rPr>
        <w:t> </w:t>
      </w:r>
      <w:r>
        <w:rPr>
          <w:rFonts w:ascii="宋体" w:hAnsi="宋体" w:cs="宋体" w:eastAsia="宋体" w:hint="default"/>
        </w:rPr>
        <w:t>(</w:t>
      </w:r>
      <w:r>
        <w:rPr/>
        <w:t>不可观察输入值</w:t>
      </w:r>
      <w:r>
        <w:rPr>
          <w:rFonts w:ascii="宋体" w:hAnsi="宋体" w:cs="宋体" w:eastAsia="宋体" w:hint="default"/>
        </w:rPr>
        <w:t>)</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405"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75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58" w:hRule="exact"/>
        </w:trPr>
        <w:tc>
          <w:tcPr>
            <w:tcW w:w="1997" w:type="dxa"/>
            <w:vMerge/>
            <w:tcBorders>
              <w:left w:val="single" w:sz="6" w:space="0" w:color="000000"/>
              <w:right w:val="single" w:sz="6" w:space="0" w:color="000000"/>
            </w:tcBorders>
            <w:shd w:val="clear" w:color="auto" w:fill="D2D2D2"/>
          </w:tcPr>
          <w:p>
            <w:pPr/>
          </w:p>
        </w:tc>
        <w:tc>
          <w:tcPr>
            <w:tcW w:w="183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811" w:right="106"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97" w:type="dxa"/>
            <w:vMerge/>
            <w:tcBorders>
              <w:left w:val="single" w:sz="6" w:space="0" w:color="000000"/>
              <w:right w:val="single" w:sz="6" w:space="0" w:color="000000"/>
            </w:tcBorders>
            <w:shd w:val="clear" w:color="auto" w:fill="D2D2D2"/>
          </w:tcPr>
          <w:p>
            <w:pPr/>
          </w:p>
        </w:tc>
        <w:tc>
          <w:tcPr>
            <w:tcW w:w="1832" w:type="dxa"/>
            <w:vMerge/>
            <w:tcBorders>
              <w:left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45"/>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73"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vMerge/>
            <w:tcBorders>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4"/>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6"/>
              <w:jc w:val="center"/>
              <w:rPr>
                <w:rFonts w:ascii="宋体" w:hAnsi="宋体" w:cs="宋体" w:eastAsia="宋体" w:hint="default"/>
                <w:sz w:val="18"/>
                <w:szCs w:val="18"/>
              </w:rPr>
            </w:pPr>
            <w:r>
              <w:rPr>
                <w:rFonts w:ascii="宋体" w:hAnsi="宋体" w:cs="宋体" w:eastAsia="宋体" w:hint="default"/>
                <w:spacing w:val="-5"/>
                <w:sz w:val="18"/>
                <w:szCs w:val="18"/>
              </w:rPr>
              <w:t>（一）其他权益工具投资</w:t>
            </w:r>
          </w:p>
        </w:tc>
        <w:tc>
          <w:tcPr>
            <w:tcW w:w="1832"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54,841,508.99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54,841,508.99</w:t>
            </w:r>
          </w:p>
        </w:tc>
      </w:tr>
      <w:tr>
        <w:trPr>
          <w:trHeight w:val="72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2"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54,841,508.99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54,841,508.99</w:t>
            </w:r>
          </w:p>
        </w:tc>
      </w:tr>
    </w:tbl>
    <w:p>
      <w:pPr>
        <w:spacing w:line="240" w:lineRule="auto" w:before="8"/>
        <w:rPr>
          <w:rFonts w:ascii="宋体" w:hAnsi="宋体" w:cs="宋体" w:eastAsia="宋体" w:hint="default"/>
          <w:sz w:val="17"/>
          <w:szCs w:val="17"/>
        </w:rPr>
      </w:pPr>
    </w:p>
    <w:p>
      <w:pPr>
        <w:pStyle w:val="Heading3"/>
        <w:spacing w:line="240" w:lineRule="auto" w:before="35"/>
        <w:ind w:right="939"/>
        <w:jc w:val="left"/>
        <w:rPr>
          <w:b w:val="0"/>
          <w:bCs w:val="0"/>
        </w:rPr>
      </w:pPr>
      <w:bookmarkStart w:name="2、 持续和非持续第三层次公允价值计量项目，采用的估值技术和重要参数的定性及定量" w:id="328"/>
      <w:bookmarkEnd w:id="328"/>
      <w:r>
        <w:rPr>
          <w:b w:val="0"/>
          <w:bCs w:val="0"/>
        </w:rPr>
      </w:r>
      <w:r>
        <w:rPr>
          <w:rFonts w:ascii="Times New Roman" w:hAnsi="Times New Roman" w:cs="Times New Roman" w:eastAsia="Times New Roman" w:hint="default"/>
        </w:rPr>
        <w:t>2</w:t>
      </w:r>
      <w:r>
        <w:rPr/>
        <w:t>、</w:t>
      </w:r>
      <w:r>
        <w:rPr>
          <w:spacing w:val="-4"/>
        </w:rPr>
        <w:t> </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1" w:right="939"/>
        <w:jc w:val="left"/>
      </w:pPr>
      <w:r>
        <w:rPr/>
        <w:t>公司对持续第三层次公允价值计量项目采用可比上市公司比较法。可比上市公司比较法的不可观察输入值为流动性折</w:t>
      </w:r>
    </w:p>
    <w:p>
      <w:pPr>
        <w:spacing w:line="240" w:lineRule="auto" w:before="6"/>
        <w:rPr>
          <w:rFonts w:ascii="宋体" w:hAnsi="宋体" w:cs="宋体" w:eastAsia="宋体" w:hint="default"/>
          <w:sz w:val="16"/>
          <w:szCs w:val="16"/>
        </w:rPr>
      </w:pPr>
    </w:p>
    <w:p>
      <w:pPr>
        <w:pStyle w:val="BodyText"/>
        <w:spacing w:line="240" w:lineRule="auto"/>
        <w:ind w:right="939"/>
        <w:jc w:val="left"/>
      </w:pPr>
      <w:r>
        <w:rPr/>
        <w:t>扣。</w:t>
      </w:r>
    </w:p>
    <w:p>
      <w:pPr>
        <w:spacing w:line="240" w:lineRule="auto" w:before="5"/>
        <w:rPr>
          <w:rFonts w:ascii="宋体" w:hAnsi="宋体" w:cs="宋体" w:eastAsia="宋体" w:hint="default"/>
          <w:sz w:val="26"/>
          <w:szCs w:val="26"/>
        </w:rPr>
      </w:pPr>
    </w:p>
    <w:p>
      <w:pPr>
        <w:pStyle w:val="Heading3"/>
        <w:spacing w:line="240" w:lineRule="auto"/>
        <w:ind w:right="939"/>
        <w:jc w:val="left"/>
        <w:rPr>
          <w:b w:val="0"/>
          <w:bCs w:val="0"/>
        </w:rPr>
      </w:pPr>
      <w:bookmarkStart w:name="3、持续的第三层次公允价值计量项目，期初与期末账面价值间的调节信息及不可观察参数" w:id="329"/>
      <w:bookmarkEnd w:id="329"/>
      <w:r>
        <w:rPr>
          <w:b w:val="0"/>
          <w:bCs w:val="0"/>
        </w:rPr>
      </w:r>
      <w:r>
        <w:rPr>
          <w:rFonts w:ascii="Times New Roman" w:hAnsi="Times New Roman" w:cs="Times New Roman" w:eastAsia="Times New Roman" w:hint="default"/>
        </w:rPr>
        <w:t>3</w:t>
      </w:r>
      <w:r>
        <w:rPr/>
        <w:t>、持续的第三层次公允价值计量项目，期初与期末账面价值间的调节信息及不可观察参数敏感性分析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1" w:right="939"/>
        <w:jc w:val="left"/>
      </w:pPr>
      <w:r>
        <w:rPr/>
        <w:t>公司本期无出现该项情况。</w:t>
      </w:r>
    </w:p>
    <w:p>
      <w:pPr>
        <w:spacing w:line="240" w:lineRule="auto" w:before="3"/>
        <w:rPr>
          <w:rFonts w:ascii="宋体" w:hAnsi="宋体" w:cs="宋体" w:eastAsia="宋体" w:hint="default"/>
          <w:sz w:val="25"/>
          <w:szCs w:val="25"/>
        </w:rPr>
      </w:pPr>
    </w:p>
    <w:p>
      <w:pPr>
        <w:pStyle w:val="Heading3"/>
        <w:spacing w:line="240" w:lineRule="auto"/>
        <w:ind w:right="939"/>
        <w:jc w:val="left"/>
        <w:rPr>
          <w:b w:val="0"/>
          <w:bCs w:val="0"/>
        </w:rPr>
      </w:pPr>
      <w:bookmarkStart w:name="4、持续的公允价值计量项目，本期内发生各层级之间转换的，转换的原因及确定转换时点" w:id="330"/>
      <w:bookmarkEnd w:id="330"/>
      <w:r>
        <w:rPr>
          <w:b w:val="0"/>
          <w:bCs w:val="0"/>
        </w:rPr>
      </w:r>
      <w:r>
        <w:rPr>
          <w:rFonts w:ascii="Times New Roman" w:hAnsi="Times New Roman" w:cs="Times New Roman" w:eastAsia="Times New Roman" w:hint="default"/>
        </w:rPr>
        <w:t>4</w:t>
      </w:r>
      <w:r>
        <w:rPr/>
        <w:t>、持续的公允价值计量项目，本期内发生各层级之间转换的，转换的原因及确定转换时点的政策</w:t>
      </w:r>
      <w:r>
        <w:rPr>
          <w:b w:val="0"/>
          <w:bCs w:val="0"/>
        </w:rPr>
      </w:r>
    </w:p>
    <w:p>
      <w:pPr>
        <w:spacing w:line="240" w:lineRule="auto" w:before="6"/>
        <w:rPr>
          <w:rFonts w:ascii="宋体" w:hAnsi="宋体" w:cs="宋体" w:eastAsia="宋体" w:hint="default"/>
          <w:b/>
          <w:bCs/>
          <w:sz w:val="27"/>
          <w:szCs w:val="27"/>
        </w:rPr>
      </w:pPr>
    </w:p>
    <w:p>
      <w:pPr>
        <w:pStyle w:val="BodyText"/>
        <w:spacing w:line="240" w:lineRule="auto"/>
        <w:ind w:left="501" w:right="939"/>
        <w:jc w:val="left"/>
      </w:pPr>
      <w:r>
        <w:rPr/>
        <w:t>公司持续的公允价值计量项目本期内无发生各层级之间转换。</w:t>
      </w:r>
    </w:p>
    <w:p>
      <w:pPr>
        <w:spacing w:line="240" w:lineRule="auto" w:before="3"/>
        <w:rPr>
          <w:rFonts w:ascii="宋体" w:hAnsi="宋体" w:cs="宋体" w:eastAsia="宋体" w:hint="default"/>
          <w:sz w:val="25"/>
          <w:szCs w:val="25"/>
        </w:rPr>
      </w:pPr>
    </w:p>
    <w:p>
      <w:pPr>
        <w:pStyle w:val="Heading3"/>
        <w:spacing w:line="240" w:lineRule="auto"/>
        <w:ind w:right="939"/>
        <w:jc w:val="left"/>
        <w:rPr>
          <w:b w:val="0"/>
          <w:bCs w:val="0"/>
        </w:rPr>
      </w:pPr>
      <w:bookmarkStart w:name="5、本期内发生的估值技术变更及变更原因" w:id="331"/>
      <w:bookmarkEnd w:id="331"/>
      <w:r>
        <w:rPr>
          <w:b w:val="0"/>
          <w:bCs w:val="0"/>
        </w:rPr>
      </w:r>
      <w:r>
        <w:rPr>
          <w:rFonts w:ascii="Times New Roman" w:hAnsi="Times New Roman" w:cs="Times New Roman" w:eastAsia="Times New Roman" w:hint="default"/>
        </w:rPr>
        <w:t>5</w:t>
      </w:r>
      <w:r>
        <w:rPr/>
        <w:t>、本期内发生的估值技术变更及变更原因</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01" w:right="939"/>
        <w:jc w:val="left"/>
      </w:pPr>
      <w:r>
        <w:rPr/>
        <w:t>公司持续的公允价值计量项目本期内无发生估值技术变更。</w:t>
      </w:r>
    </w:p>
    <w:p>
      <w:pPr>
        <w:spacing w:line="240" w:lineRule="auto" w:before="3"/>
        <w:rPr>
          <w:rFonts w:ascii="宋体" w:hAnsi="宋体" w:cs="宋体" w:eastAsia="宋体" w:hint="default"/>
          <w:sz w:val="25"/>
          <w:szCs w:val="25"/>
        </w:rPr>
      </w:pPr>
    </w:p>
    <w:p>
      <w:pPr>
        <w:pStyle w:val="Heading3"/>
        <w:spacing w:line="240" w:lineRule="auto"/>
        <w:ind w:right="939"/>
        <w:jc w:val="left"/>
        <w:rPr>
          <w:b w:val="0"/>
          <w:bCs w:val="0"/>
        </w:rPr>
      </w:pPr>
      <w:bookmarkStart w:name="6、不以公允价值计量的金融资产和金融负债的公允价值情况" w:id="332"/>
      <w:bookmarkEnd w:id="332"/>
      <w:r>
        <w:rPr>
          <w:b w:val="0"/>
          <w:bCs w:val="0"/>
        </w:rPr>
      </w:r>
      <w:r>
        <w:rPr>
          <w:rFonts w:ascii="Times New Roman" w:hAnsi="Times New Roman" w:cs="Times New Roman" w:eastAsia="Times New Roman" w:hint="default"/>
        </w:rPr>
        <w:t>6</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01" w:right="939"/>
        <w:jc w:val="left"/>
      </w:pPr>
      <w:r>
        <w:rPr/>
        <w:t>公司以摊余成本计量的金融资产和金融负债主要包括：应收款项、其他应收款及应付款项等。</w:t>
      </w:r>
    </w:p>
    <w:p>
      <w:pPr>
        <w:spacing w:after="0" w:line="240" w:lineRule="auto"/>
        <w:jc w:val="left"/>
        <w:sectPr>
          <w:pgSz w:w="11910" w:h="16850"/>
          <w:pgMar w:header="866"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939"/>
        <w:jc w:val="left"/>
        <w:rPr>
          <w:b w:val="0"/>
          <w:bCs w:val="0"/>
        </w:rPr>
      </w:pPr>
      <w:bookmarkStart w:name="十二、关联方及关联交易" w:id="333"/>
      <w:bookmarkEnd w:id="333"/>
      <w:r>
        <w:rPr>
          <w:b w:val="0"/>
          <w:bCs w:val="0"/>
        </w:rPr>
      </w:r>
      <w:r>
        <w:rPr/>
        <w:t>十二、关联方及关联交易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9"/>
        <w:jc w:val="left"/>
        <w:rPr>
          <w:b w:val="0"/>
          <w:bCs w:val="0"/>
        </w:rPr>
      </w:pPr>
      <w:bookmarkStart w:name="1、本企业的母公司情况" w:id="334"/>
      <w:bookmarkEnd w:id="33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益群集团控股有限 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HKD1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20" w:right="0"/>
              <w:jc w:val="left"/>
              <w:rPr>
                <w:rFonts w:ascii="Times New Roman" w:hAnsi="Times New Roman" w:cs="Times New Roman" w:eastAsia="Times New Roman" w:hint="default"/>
                <w:sz w:val="18"/>
                <w:szCs w:val="18"/>
              </w:rPr>
            </w:pPr>
            <w:r>
              <w:rPr>
                <w:rFonts w:ascii="Times New Roman"/>
                <w:sz w:val="18"/>
              </w:rPr>
              <w:t>25.43%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021" w:right="0"/>
              <w:jc w:val="left"/>
              <w:rPr>
                <w:rFonts w:ascii="Times New Roman" w:hAnsi="Times New Roman" w:cs="Times New Roman" w:eastAsia="Times New Roman" w:hint="default"/>
                <w:sz w:val="18"/>
                <w:szCs w:val="18"/>
              </w:rPr>
            </w:pPr>
            <w:r>
              <w:rPr>
                <w:rFonts w:ascii="Times New Roman"/>
                <w:sz w:val="18"/>
              </w:rPr>
              <w:t>25.43%</w:t>
            </w:r>
          </w:p>
        </w:tc>
      </w:tr>
    </w:tbl>
    <w:p>
      <w:pPr>
        <w:spacing w:line="240" w:lineRule="auto" w:before="10"/>
        <w:rPr>
          <w:rFonts w:ascii="宋体" w:hAnsi="宋体" w:cs="宋体" w:eastAsia="宋体" w:hint="default"/>
          <w:b/>
          <w:bCs/>
          <w:sz w:val="5"/>
          <w:szCs w:val="5"/>
        </w:rPr>
      </w:pPr>
    </w:p>
    <w:p>
      <w:pPr>
        <w:pStyle w:val="BodyText"/>
        <w:spacing w:line="240" w:lineRule="auto" w:before="44"/>
        <w:ind w:left="501" w:right="939"/>
        <w:jc w:val="left"/>
      </w:pPr>
      <w:r>
        <w:rPr/>
        <w:t>公司的实际控制人为周志群。周志群持有益群集团控股有限公司</w:t>
      </w:r>
      <w:r>
        <w:rPr>
          <w:rFonts w:ascii="宋体" w:hAnsi="宋体" w:cs="宋体" w:eastAsia="宋体" w:hint="default"/>
        </w:rPr>
        <w:t>100%</w:t>
      </w:r>
      <w:r>
        <w:rPr/>
        <w:t>的股权。法人股东益群集团控股有限公司持有公司</w:t>
      </w:r>
    </w:p>
    <w:p>
      <w:pPr>
        <w:pStyle w:val="BodyText"/>
        <w:spacing w:line="240" w:lineRule="auto" w:before="79"/>
        <w:ind w:right="939"/>
        <w:jc w:val="left"/>
      </w:pPr>
      <w:r>
        <w:rPr>
          <w:rFonts w:ascii="Times New Roman" w:hAnsi="Times New Roman" w:cs="Times New Roman" w:eastAsia="Times New Roman" w:hint="default"/>
        </w:rPr>
        <w:t>4,995.06</w:t>
      </w:r>
      <w:r>
        <w:rPr/>
        <w:t>万股股份，占总股本的</w:t>
      </w:r>
      <w:r>
        <w:rPr>
          <w:rFonts w:ascii="Times New Roman" w:hAnsi="Times New Roman" w:cs="Times New Roman" w:eastAsia="Times New Roman" w:hint="default"/>
        </w:rPr>
        <w:t>25.43%</w:t>
      </w:r>
      <w:r>
        <w:rPr/>
        <w:t>，为公司的第一大股东。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ind w:right="939"/>
        <w:jc w:val="left"/>
        <w:rPr>
          <w:b w:val="0"/>
          <w:bCs w:val="0"/>
        </w:rPr>
      </w:pPr>
      <w:bookmarkStart w:name="2、本企业的子公司情况" w:id="335"/>
      <w:bookmarkEnd w:id="33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1" w:right="939"/>
        <w:jc w:val="left"/>
      </w:pPr>
      <w:r>
        <w:rPr/>
        <w:t>本企业子公司的情况详见附注九、</w:t>
      </w:r>
      <w:r>
        <w:rPr>
          <w:rFonts w:ascii="Times New Roman" w:hAnsi="Times New Roman" w:cs="Times New Roman" w:eastAsia="Times New Roman" w:hint="default"/>
        </w:rPr>
        <w:t>1</w:t>
      </w:r>
      <w:r>
        <w:rPr/>
        <w:t>。</w:t>
      </w:r>
    </w:p>
    <w:p>
      <w:pPr>
        <w:spacing w:line="240" w:lineRule="auto" w:before="6"/>
        <w:rPr>
          <w:rFonts w:ascii="宋体" w:hAnsi="宋体" w:cs="宋体" w:eastAsia="宋体" w:hint="default"/>
          <w:sz w:val="26"/>
          <w:szCs w:val="26"/>
        </w:rPr>
      </w:pPr>
    </w:p>
    <w:p>
      <w:pPr>
        <w:pStyle w:val="Heading3"/>
        <w:spacing w:line="240" w:lineRule="auto"/>
        <w:ind w:right="939"/>
        <w:jc w:val="left"/>
        <w:rPr>
          <w:b w:val="0"/>
          <w:bCs w:val="0"/>
        </w:rPr>
      </w:pPr>
      <w:bookmarkStart w:name="3、本企业合营和联营企业情况" w:id="336"/>
      <w:bookmarkEnd w:id="33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01" w:right="939"/>
        <w:jc w:val="left"/>
      </w:pPr>
      <w:r>
        <w:rPr/>
        <w:t>本企业重要的合营或联营企业详见附注九、</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18"/>
          <w:szCs w:val="18"/>
        </w:rPr>
      </w:pPr>
    </w:p>
    <w:p>
      <w:pPr>
        <w:pStyle w:val="Heading3"/>
        <w:spacing w:line="240" w:lineRule="auto" w:before="125"/>
        <w:ind w:right="939"/>
        <w:jc w:val="left"/>
        <w:rPr>
          <w:b w:val="0"/>
          <w:bCs w:val="0"/>
        </w:rPr>
      </w:pPr>
      <w:bookmarkStart w:name="4、其他关联方情况" w:id="337"/>
      <w:bookmarkEnd w:id="33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pacing w:val="-3"/>
                <w:sz w:val="18"/>
              </w:rPr>
              <w:t>SYSTEX </w:t>
            </w:r>
            <w:r>
              <w:rPr>
                <w:rFonts w:ascii="Times New Roman"/>
                <w:sz w:val="18"/>
              </w:rPr>
              <w:t>SOLUTIONS(HK)</w:t>
            </w:r>
            <w:r>
              <w:rPr>
                <w:rFonts w:ascii="Times New Roman"/>
                <w:spacing w:val="23"/>
                <w:sz w:val="18"/>
              </w:rPr>
              <w:t> </w:t>
            </w:r>
            <w:r>
              <w:rPr>
                <w:rFonts w:ascii="Times New Roman"/>
                <w:sz w:val="18"/>
              </w:rPr>
              <w:t>LIMITED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公司股东、实际控制人控股的企业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精诚</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德龙动能科技（深圳）有限公司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精璞投资股份有限公司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金桥资讯股份有限公司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精聚资讯股份有限公司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精诚软体服务股份有限公司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康和资讯系统股份有限公司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精诚随想行动科技股份有限公司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bl>
    <w:p>
      <w:pPr>
        <w:spacing w:after="0" w:line="240" w:lineRule="auto"/>
        <w:jc w:val="left"/>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精诚科技整合股份有限公司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奇唯科技股份有限公司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嘉利科技股份有限公司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知意图股份有限公司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台湾计算机服务股份有限公司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内秋应智能科技股份有限公司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Kimo.com (BVI) Corporation</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Systex Capital Group,</w:t>
            </w:r>
            <w:r>
              <w:rPr>
                <w:rFonts w:ascii="Times New Roman"/>
                <w:spacing w:val="2"/>
                <w:sz w:val="18"/>
              </w:rPr>
              <w:t> </w:t>
            </w:r>
            <w:r>
              <w:rPr>
                <w:rFonts w:ascii="Times New Roman"/>
                <w:sz w:val="18"/>
              </w:rPr>
              <w:t>Inc</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Sysware Singapore Pte.</w:t>
            </w:r>
            <w:r>
              <w:rPr>
                <w:rFonts w:ascii="Times New Roman"/>
                <w:spacing w:val="-1"/>
                <w:sz w:val="18"/>
              </w:rPr>
              <w:t> </w:t>
            </w:r>
            <w:r>
              <w:rPr>
                <w:rFonts w:ascii="Times New Roman"/>
                <w:sz w:val="18"/>
              </w:rPr>
              <w:t>Ltd.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精联资讯股份有限公司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精智资讯科技股份有限公司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精睿资讯科技股份有限公司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石河子市信方精科股权投资合伙企业（有限合伙）</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精诚资讯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精业科技（天津）有限公司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瑞宝资讯科技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精诚瑞宝计算机系统有限公司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bl>
    <w:p>
      <w:pPr>
        <w:spacing w:line="240" w:lineRule="auto" w:before="11"/>
        <w:rPr>
          <w:rFonts w:ascii="宋体" w:hAnsi="宋体" w:cs="宋体" w:eastAsia="宋体" w:hint="default"/>
          <w:b/>
          <w:bCs/>
          <w:sz w:val="19"/>
          <w:szCs w:val="19"/>
        </w:rPr>
      </w:pPr>
    </w:p>
    <w:p>
      <w:pPr>
        <w:pStyle w:val="Heading3"/>
        <w:spacing w:line="240" w:lineRule="auto" w:before="35"/>
        <w:ind w:right="939"/>
        <w:jc w:val="left"/>
        <w:rPr>
          <w:b w:val="0"/>
          <w:bCs w:val="0"/>
        </w:rPr>
      </w:pPr>
      <w:bookmarkStart w:name="5、关联交易情况" w:id="338"/>
      <w:bookmarkEnd w:id="33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购销商品、提供和接受劳务的关联交易" w:id="339"/>
      <w:bookmarkEnd w:id="33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939"/>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96"/>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47"/>
        <w:gridCol w:w="1456"/>
        <w:gridCol w:w="1457"/>
        <w:gridCol w:w="1697"/>
        <w:gridCol w:w="1712"/>
        <w:gridCol w:w="1712"/>
      </w:tblGrid>
      <w:tr>
        <w:trPr>
          <w:trHeight w:val="405"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精诚（中国）企业 管理有限公司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64"/>
              <w:jc w:val="left"/>
              <w:rPr>
                <w:rFonts w:ascii="宋体" w:hAnsi="宋体" w:cs="宋体" w:eastAsia="宋体" w:hint="default"/>
                <w:sz w:val="18"/>
                <w:szCs w:val="18"/>
              </w:rPr>
            </w:pPr>
            <w:r>
              <w:rPr>
                <w:rFonts w:ascii="宋体" w:hAnsi="宋体" w:cs="宋体" w:eastAsia="宋体" w:hint="default"/>
                <w:sz w:val="18"/>
                <w:szCs w:val="18"/>
              </w:rPr>
              <w:t>软件及技术培训 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255,434.29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43,103.45</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精诚瑞宝计算机系 统有限公司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64"/>
              <w:jc w:val="left"/>
              <w:rPr>
                <w:rFonts w:ascii="宋体" w:hAnsi="宋体" w:cs="宋体" w:eastAsia="宋体" w:hint="default"/>
                <w:sz w:val="18"/>
                <w:szCs w:val="18"/>
              </w:rPr>
            </w:pPr>
            <w:r>
              <w:rPr>
                <w:rFonts w:ascii="宋体" w:hAnsi="宋体" w:cs="宋体" w:eastAsia="宋体" w:hint="default"/>
                <w:sz w:val="18"/>
                <w:szCs w:val="18"/>
              </w:rPr>
              <w:t>软件及技术培训 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202,962.12</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296,933.43</w:t>
            </w:r>
          </w:p>
        </w:tc>
      </w:tr>
      <w:tr>
        <w:trPr>
          <w:trHeight w:val="39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458,396.41</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340,036.88</w:t>
            </w:r>
          </w:p>
        </w:tc>
      </w:tr>
    </w:tbl>
    <w:p>
      <w:pPr>
        <w:spacing w:line="240" w:lineRule="auto" w:before="10"/>
        <w:rPr>
          <w:rFonts w:ascii="宋体" w:hAnsi="宋体" w:cs="宋体" w:eastAsia="宋体" w:hint="default"/>
          <w:sz w:val="28"/>
          <w:szCs w:val="28"/>
        </w:rPr>
      </w:pPr>
    </w:p>
    <w:p>
      <w:pPr>
        <w:pStyle w:val="BodyText"/>
        <w:spacing w:line="240" w:lineRule="auto" w:before="44"/>
        <w:ind w:right="939"/>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390"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北京优智汇咨询有限公司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554,847.10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921,200.94</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184,958.68</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390,927.15</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3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2"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26" w:right="0"/>
              <w:jc w:val="left"/>
              <w:rPr>
                <w:rFonts w:ascii="Times New Roman" w:hAnsi="Times New Roman" w:cs="Times New Roman" w:eastAsia="Times New Roman" w:hint="default"/>
                <w:sz w:val="18"/>
                <w:szCs w:val="18"/>
              </w:rPr>
            </w:pPr>
            <w:r>
              <w:rPr>
                <w:rFonts w:ascii="Times New Roman"/>
                <w:sz w:val="18"/>
              </w:rPr>
              <w:t>739,805.78</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67" w:right="0"/>
              <w:jc w:val="left"/>
              <w:rPr>
                <w:rFonts w:ascii="Times New Roman" w:hAnsi="Times New Roman" w:cs="Times New Roman" w:eastAsia="Times New Roman" w:hint="default"/>
                <w:sz w:val="18"/>
                <w:szCs w:val="18"/>
              </w:rPr>
            </w:pPr>
            <w:r>
              <w:rPr>
                <w:rFonts w:ascii="Times New Roman"/>
                <w:sz w:val="18"/>
              </w:rPr>
              <w:t>1,312,128.09</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关键管理人员薪酬" w:id="340"/>
      <w:bookmarkEnd w:id="340"/>
      <w:r>
        <w:rPr>
          <w:b w:val="0"/>
          <w:bCs w:val="0"/>
        </w:rPr>
      </w:r>
      <w:r>
        <w:rPr/>
        <w:t>（</w:t>
      </w:r>
      <w:r>
        <w:rPr>
          <w:rFonts w:ascii="Times New Roman" w:hAnsi="Times New Roman" w:cs="Times New Roman" w:eastAsia="Times New Roman" w:hint="default"/>
        </w:rPr>
        <w:t>2</w:t>
      </w:r>
      <w:r>
        <w:rPr/>
        <w:t>）关键管理人员薪酬</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2944"/>
        <w:gridCol w:w="3410"/>
        <w:gridCol w:w="3124"/>
      </w:tblGrid>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4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11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373.32 </w:t>
            </w:r>
            <w:r>
              <w:rPr>
                <w:rFonts w:ascii="宋体" w:hAnsi="宋体" w:cs="宋体" w:eastAsia="宋体" w:hint="default"/>
                <w:sz w:val="18"/>
                <w:szCs w:val="18"/>
              </w:rPr>
              <w:t>万元</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pStyle w:val="Heading3"/>
        <w:spacing w:line="240" w:lineRule="auto" w:before="35"/>
        <w:ind w:right="939"/>
        <w:jc w:val="left"/>
        <w:rPr>
          <w:b w:val="0"/>
          <w:bCs w:val="0"/>
        </w:rPr>
      </w:pPr>
      <w:bookmarkStart w:name="6、关联方应收应付款项" w:id="341"/>
      <w:bookmarkEnd w:id="34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right="939"/>
        <w:jc w:val="left"/>
        <w:rPr>
          <w:b w:val="0"/>
          <w:bCs w:val="0"/>
        </w:rPr>
      </w:pPr>
      <w:bookmarkStart w:name="（1）应收项目" w:id="342"/>
      <w:bookmarkEnd w:id="34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精诚资讯股份有限 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93,362.61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1,867.25</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应付项目" w:id="343"/>
      <w:bookmarkEnd w:id="34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97"/>
              <w:jc w:val="left"/>
              <w:rPr>
                <w:rFonts w:ascii="宋体" w:hAnsi="宋体" w:cs="宋体" w:eastAsia="宋体" w:hint="default"/>
                <w:sz w:val="18"/>
                <w:szCs w:val="18"/>
              </w:rPr>
            </w:pPr>
            <w:r>
              <w:rPr>
                <w:rFonts w:ascii="宋体" w:hAnsi="宋体" w:cs="宋体" w:eastAsia="宋体" w:hint="default"/>
                <w:sz w:val="18"/>
                <w:szCs w:val="18"/>
              </w:rPr>
              <w:t>精诚瑞宝计算机系统有限公 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47" w:right="0"/>
              <w:jc w:val="left"/>
              <w:rPr>
                <w:rFonts w:ascii="Times New Roman" w:hAnsi="Times New Roman" w:cs="Times New Roman" w:eastAsia="Times New Roman" w:hint="default"/>
                <w:sz w:val="18"/>
                <w:szCs w:val="18"/>
              </w:rPr>
            </w:pPr>
            <w:r>
              <w:rPr>
                <w:rFonts w:ascii="Times New Roman"/>
                <w:sz w:val="18"/>
              </w:rPr>
              <w:t>141,509.43</w:t>
            </w: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7"/>
          <w:szCs w:val="17"/>
        </w:rPr>
      </w:pPr>
    </w:p>
    <w:p>
      <w:pPr>
        <w:pStyle w:val="Heading2"/>
        <w:spacing w:line="240" w:lineRule="auto" w:before="26"/>
        <w:ind w:right="939"/>
        <w:jc w:val="left"/>
        <w:rPr>
          <w:b w:val="0"/>
          <w:bCs w:val="0"/>
        </w:rPr>
      </w:pPr>
      <w:bookmarkStart w:name="十三、股份支付" w:id="344"/>
      <w:bookmarkEnd w:id="344"/>
      <w:r>
        <w:rPr>
          <w:b w:val="0"/>
          <w:bCs w:val="0"/>
        </w:rPr>
      </w:r>
      <w:r>
        <w:rPr/>
        <w:t>十三、股份支付</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股份支付总体情况" w:id="345"/>
      <w:bookmarkEnd w:id="345"/>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5467"/>
        <w:gridCol w:w="4115"/>
      </w:tblGrid>
      <w:tr>
        <w:trPr>
          <w:trHeight w:val="390"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5,313,818.00</w:t>
            </w:r>
          </w:p>
        </w:tc>
      </w:tr>
      <w:tr>
        <w:trPr>
          <w:trHeight w:val="405"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37"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4" w:right="7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年首批限制性股票行权价格为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 同剩余期限为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年预留限制性股票行权 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2017</w:t>
            </w:r>
          </w:p>
          <w:p>
            <w:pPr>
              <w:pStyle w:val="TableParagraph"/>
              <w:spacing w:line="247" w:lineRule="exact"/>
              <w:ind w:left="14" w:right="0"/>
              <w:jc w:val="both"/>
              <w:rPr>
                <w:rFonts w:ascii="宋体" w:hAnsi="宋体" w:cs="宋体" w:eastAsia="宋体" w:hint="default"/>
                <w:sz w:val="18"/>
                <w:szCs w:val="18"/>
              </w:rPr>
            </w:pPr>
            <w:r>
              <w:rPr>
                <w:rFonts w:ascii="宋体" w:hAnsi="宋体" w:cs="宋体" w:eastAsia="宋体" w:hint="default"/>
                <w:sz w:val="18"/>
                <w:szCs w:val="18"/>
              </w:rPr>
              <w:t>年首批限制性股票行权价格为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11.81 </w:t>
            </w:r>
            <w:r>
              <w:rPr>
                <w:rFonts w:ascii="宋体" w:hAnsi="宋体" w:cs="宋体" w:eastAsia="宋体" w:hint="default"/>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z w:val="18"/>
                <w:szCs w:val="18"/>
              </w:rPr>
              <w:t>股</w:t>
            </w:r>
            <w:r>
              <w:rPr>
                <w:rFonts w:ascii="宋体" w:hAnsi="宋体" w:cs="宋体" w:eastAsia="宋体" w:hint="default"/>
                <w:spacing w:val="-76"/>
                <w:sz w:val="18"/>
                <w:szCs w:val="18"/>
              </w:rPr>
              <w:t>，</w:t>
            </w:r>
            <w:r>
              <w:rPr>
                <w:rFonts w:ascii="宋体" w:hAnsi="宋体" w:cs="宋体" w:eastAsia="宋体" w:hint="default"/>
                <w:sz w:val="18"/>
                <w:szCs w:val="18"/>
              </w:rPr>
              <w:t>合同剩余</w:t>
            </w:r>
          </w:p>
          <w:p>
            <w:pPr>
              <w:pStyle w:val="TableParagraph"/>
              <w:spacing w:line="240" w:lineRule="auto" w:before="66"/>
              <w:ind w:left="14" w:right="0"/>
              <w:jc w:val="both"/>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个月。</w:t>
            </w:r>
          </w:p>
        </w:tc>
      </w:tr>
    </w:tbl>
    <w:p>
      <w:pPr>
        <w:spacing w:after="0" w:line="240" w:lineRule="auto"/>
        <w:jc w:val="both"/>
        <w:rPr>
          <w:rFonts w:ascii="宋体" w:hAnsi="宋体" w:cs="宋体" w:eastAsia="宋体" w:hint="default"/>
          <w:sz w:val="18"/>
          <w:szCs w:val="18"/>
        </w:rPr>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44"/>
        <w:ind w:left="501" w:right="939"/>
        <w:jc w:val="left"/>
      </w:pPr>
      <w:r>
        <w:rPr/>
        <w:t>股份支付情况说明：</w:t>
      </w:r>
    </w:p>
    <w:p>
      <w:pPr>
        <w:spacing w:line="240" w:lineRule="auto" w:before="0"/>
        <w:rPr>
          <w:rFonts w:ascii="宋体" w:hAnsi="宋体" w:cs="宋体" w:eastAsia="宋体" w:hint="default"/>
          <w:sz w:val="18"/>
          <w:szCs w:val="18"/>
        </w:rPr>
      </w:pPr>
    </w:p>
    <w:p>
      <w:pPr>
        <w:pStyle w:val="BodyText"/>
        <w:spacing w:line="240" w:lineRule="auto" w:before="159"/>
        <w:ind w:left="501" w:right="939"/>
        <w:jc w:val="left"/>
      </w:pPr>
      <w:r>
        <w:rPr/>
        <w:t>（</w:t>
      </w: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45"/>
        </w:rPr>
        <w:t> </w:t>
      </w:r>
      <w:r>
        <w:rPr/>
        <w:t>年限制性股票</w:t>
      </w:r>
    </w:p>
    <w:p>
      <w:pPr>
        <w:spacing w:line="240" w:lineRule="auto" w:before="0"/>
        <w:rPr>
          <w:rFonts w:ascii="宋体" w:hAnsi="宋体" w:cs="宋体" w:eastAsia="宋体" w:hint="default"/>
          <w:sz w:val="18"/>
          <w:szCs w:val="18"/>
        </w:rPr>
      </w:pPr>
    </w:p>
    <w:p>
      <w:pPr>
        <w:pStyle w:val="BodyText"/>
        <w:spacing w:line="494" w:lineRule="auto" w:before="159"/>
        <w:ind w:right="1114" w:firstLine="360"/>
        <w:jc w:val="both"/>
      </w:pPr>
      <w:r>
        <w:rPr>
          <w:rFonts w:ascii="宋体" w:hAnsi="宋体" w:cs="宋体" w:eastAsia="宋体" w:hint="default"/>
        </w:rPr>
        <w:t>2016</w:t>
      </w:r>
      <w:r>
        <w:rPr>
          <w:rFonts w:ascii="宋体" w:hAnsi="宋体" w:cs="宋体" w:eastAsia="宋体" w:hint="default"/>
          <w:spacing w:val="-49"/>
        </w:rPr>
        <w:t> </w:t>
      </w:r>
      <w:r>
        <w:rPr/>
        <w:t>年</w:t>
      </w:r>
      <w:r>
        <w:rPr>
          <w:spacing w:val="-50"/>
        </w:rPr>
        <w:t> </w:t>
      </w:r>
      <w:r>
        <w:rPr>
          <w:rFonts w:ascii="宋体" w:hAnsi="宋体" w:cs="宋体" w:eastAsia="宋体" w:hint="default"/>
        </w:rPr>
        <w:t>1</w:t>
      </w:r>
      <w:r>
        <w:rPr>
          <w:rFonts w:ascii="宋体" w:hAnsi="宋体" w:cs="宋体" w:eastAsia="宋体" w:hint="default"/>
          <w:spacing w:val="-49"/>
        </w:rPr>
        <w:t> </w:t>
      </w:r>
      <w:r>
        <w:rPr/>
        <w:t>月</w:t>
      </w:r>
      <w:r>
        <w:rPr>
          <w:spacing w:val="-49"/>
        </w:rPr>
        <w:t> </w:t>
      </w:r>
      <w:r>
        <w:rPr>
          <w:rFonts w:ascii="宋体" w:hAnsi="宋体" w:cs="宋体" w:eastAsia="宋体" w:hint="default"/>
        </w:rPr>
        <w:t>8</w:t>
      </w:r>
      <w:r>
        <w:rPr>
          <w:rFonts w:ascii="宋体" w:hAnsi="宋体" w:cs="宋体" w:eastAsia="宋体" w:hint="default"/>
          <w:spacing w:val="-49"/>
        </w:rPr>
        <w:t> </w:t>
      </w:r>
      <w:r>
        <w:rPr>
          <w:spacing w:val="-3"/>
        </w:rPr>
        <w:t>日，公司召开</w:t>
      </w:r>
      <w:r>
        <w:rPr>
          <w:spacing w:val="-49"/>
        </w:rPr>
        <w:t> </w:t>
      </w:r>
      <w:r>
        <w:rPr>
          <w:rFonts w:ascii="宋体" w:hAnsi="宋体" w:cs="宋体" w:eastAsia="宋体" w:hint="default"/>
        </w:rPr>
        <w:t>2016</w:t>
      </w:r>
      <w:r>
        <w:rPr>
          <w:rFonts w:ascii="宋体" w:hAnsi="宋体" w:cs="宋体" w:eastAsia="宋体" w:hint="default"/>
          <w:spacing w:val="-49"/>
        </w:rPr>
        <w:t> </w:t>
      </w:r>
      <w:r>
        <w:rPr/>
        <w:t>年第一次临时股东大会，审议通过了《深圳四方精创资讯股份有限公司限制性股票激 </w:t>
      </w:r>
      <w:r>
        <w:rPr>
          <w:spacing w:val="-5"/>
        </w:rPr>
        <w:t>励计划（草案）》、《关于审核</w:t>
      </w:r>
      <w:r>
        <w:rPr>
          <w:rFonts w:ascii="宋体" w:hAnsi="宋体" w:cs="宋体" w:eastAsia="宋体" w:hint="default"/>
          <w:spacing w:val="-5"/>
        </w:rPr>
        <w:t>&lt;</w:t>
      </w:r>
      <w:r>
        <w:rPr>
          <w:spacing w:val="-5"/>
        </w:rPr>
        <w:t>深圳四方精创资讯股份有限公司限制性股票激励计划实施考核管理办法</w:t>
      </w:r>
      <w:r>
        <w:rPr>
          <w:rFonts w:ascii="宋体" w:hAnsi="宋体" w:cs="宋体" w:eastAsia="宋体" w:hint="default"/>
          <w:spacing w:val="-5"/>
        </w:rPr>
        <w:t>&gt;</w:t>
      </w:r>
      <w:r>
        <w:rPr>
          <w:spacing w:val="-5"/>
        </w:rPr>
        <w:t>的议案》以及《关于</w:t>
      </w:r>
      <w:r>
        <w:rPr>
          <w:spacing w:val="-71"/>
        </w:rPr>
        <w:t> </w:t>
      </w:r>
      <w:r>
        <w:rPr>
          <w:spacing w:val="8"/>
        </w:rPr>
        <w:t>授权董事会办理公司限制性股票激励计划相关事宜的议案》等议案。根据上述规定，公司已分两批合共授予激励对象</w:t>
      </w:r>
      <w:r>
        <w:rPr>
          <w:spacing w:val="-51"/>
        </w:rPr>
        <w:t> </w:t>
      </w:r>
      <w:r>
        <w:rPr>
          <w:spacing w:val="-51"/>
        </w:rPr>
      </w:r>
      <w:r>
        <w:rPr>
          <w:rFonts w:ascii="宋体" w:hAnsi="宋体" w:cs="宋体" w:eastAsia="宋体" w:hint="default"/>
        </w:rPr>
        <w:t>4,351,500.00</w:t>
      </w:r>
      <w:r>
        <w:rPr>
          <w:rFonts w:ascii="宋体" w:hAnsi="宋体" w:cs="宋体" w:eastAsia="宋体" w:hint="default"/>
          <w:spacing w:val="-44"/>
        </w:rPr>
        <w:t> </w:t>
      </w:r>
      <w:r>
        <w:rPr/>
        <w:t>股限制性股票，其中</w:t>
      </w:r>
      <w:r>
        <w:rPr>
          <w:spacing w:val="-43"/>
        </w:rPr>
        <w:t> </w:t>
      </w:r>
      <w:r>
        <w:rPr>
          <w:rFonts w:ascii="宋体" w:hAnsi="宋体" w:cs="宋体" w:eastAsia="宋体" w:hint="default"/>
        </w:rPr>
        <w:t>2016</w:t>
      </w:r>
      <w:r>
        <w:rPr>
          <w:rFonts w:ascii="宋体" w:hAnsi="宋体" w:cs="宋体" w:eastAsia="宋体" w:hint="default"/>
          <w:spacing w:val="-45"/>
        </w:rPr>
        <w:t> </w:t>
      </w:r>
      <w:r>
        <w:rPr/>
        <w:t>年授予第一批</w:t>
      </w:r>
      <w:r>
        <w:rPr>
          <w:spacing w:val="-44"/>
        </w:rPr>
        <w:t> </w:t>
      </w:r>
      <w:r>
        <w:rPr>
          <w:rFonts w:ascii="宋体" w:hAnsi="宋体" w:cs="宋体" w:eastAsia="宋体" w:hint="default"/>
        </w:rPr>
        <w:t>136</w:t>
      </w:r>
      <w:r>
        <w:rPr>
          <w:rFonts w:ascii="宋体" w:hAnsi="宋体" w:cs="宋体" w:eastAsia="宋体" w:hint="default"/>
          <w:spacing w:val="-45"/>
        </w:rPr>
        <w:t> </w:t>
      </w:r>
      <w:r>
        <w:rPr/>
        <w:t>名激励对象</w:t>
      </w:r>
      <w:r>
        <w:rPr>
          <w:spacing w:val="-44"/>
        </w:rPr>
        <w:t> </w:t>
      </w:r>
      <w:r>
        <w:rPr>
          <w:rFonts w:ascii="宋体" w:hAnsi="宋体" w:cs="宋体" w:eastAsia="宋体" w:hint="default"/>
        </w:rPr>
        <w:t>3,921,500.00</w:t>
      </w:r>
      <w:r>
        <w:rPr>
          <w:rFonts w:ascii="宋体" w:hAnsi="宋体" w:cs="宋体" w:eastAsia="宋体" w:hint="default"/>
          <w:spacing w:val="-44"/>
        </w:rPr>
        <w:t> </w:t>
      </w:r>
      <w:r>
        <w:rPr/>
        <w:t>股，</w:t>
      </w:r>
      <w:r>
        <w:rPr>
          <w:rFonts w:ascii="宋体" w:hAnsi="宋体" w:cs="宋体" w:eastAsia="宋体" w:hint="default"/>
        </w:rPr>
        <w:t>2017</w:t>
      </w:r>
      <w:r>
        <w:rPr>
          <w:rFonts w:ascii="宋体" w:hAnsi="宋体" w:cs="宋体" w:eastAsia="宋体" w:hint="default"/>
          <w:spacing w:val="-45"/>
        </w:rPr>
        <w:t> </w:t>
      </w:r>
      <w:r>
        <w:rPr/>
        <w:t>年授予预留第二批</w:t>
      </w:r>
      <w:r>
        <w:rPr>
          <w:spacing w:val="-44"/>
        </w:rPr>
        <w:t> </w:t>
      </w:r>
      <w:r>
        <w:rPr>
          <w:rFonts w:ascii="宋体" w:hAnsi="宋体" w:cs="宋体" w:eastAsia="宋体" w:hint="default"/>
        </w:rPr>
        <w:t>1</w:t>
      </w:r>
      <w:r>
        <w:rPr>
          <w:rFonts w:ascii="宋体" w:hAnsi="宋体" w:cs="宋体" w:eastAsia="宋体" w:hint="default"/>
          <w:spacing w:val="-45"/>
        </w:rPr>
        <w:t> </w:t>
      </w:r>
      <w:r>
        <w:rPr/>
        <w:t>名激励</w:t>
      </w:r>
    </w:p>
    <w:p>
      <w:pPr>
        <w:pStyle w:val="BodyText"/>
        <w:spacing w:line="240" w:lineRule="auto" w:before="39"/>
        <w:ind w:right="939"/>
        <w:jc w:val="left"/>
      </w:pPr>
      <w:r>
        <w:rPr/>
        <w:t>对象</w:t>
      </w:r>
      <w:r>
        <w:rPr>
          <w:spacing w:val="-45"/>
        </w:rPr>
        <w:t> </w:t>
      </w:r>
      <w:r>
        <w:rPr>
          <w:rFonts w:ascii="宋体" w:hAnsi="宋体" w:cs="宋体" w:eastAsia="宋体" w:hint="default"/>
        </w:rPr>
        <w:t>430,000.00</w:t>
      </w:r>
      <w:r>
        <w:rPr>
          <w:rFonts w:ascii="宋体" w:hAnsi="宋体" w:cs="宋体" w:eastAsia="宋体" w:hint="default"/>
          <w:spacing w:val="-44"/>
        </w:rPr>
        <w:t> </w:t>
      </w:r>
      <w:r>
        <w:rPr/>
        <w:t>股。</w:t>
      </w:r>
    </w:p>
    <w:p>
      <w:pPr>
        <w:spacing w:line="240" w:lineRule="auto" w:before="0"/>
        <w:rPr>
          <w:rFonts w:ascii="宋体" w:hAnsi="宋体" w:cs="宋体" w:eastAsia="宋体" w:hint="default"/>
          <w:sz w:val="18"/>
          <w:szCs w:val="18"/>
        </w:rPr>
      </w:pPr>
    </w:p>
    <w:p>
      <w:pPr>
        <w:pStyle w:val="BodyText"/>
        <w:spacing w:line="489" w:lineRule="auto" w:before="159"/>
        <w:ind w:right="1096" w:firstLine="360"/>
        <w:jc w:val="both"/>
      </w:pPr>
      <w:r>
        <w:rPr/>
        <w:t>根据相关规定，</w:t>
      </w:r>
      <w:r>
        <w:rPr>
          <w:spacing w:val="1"/>
        </w:rPr>
        <w:t> </w:t>
      </w:r>
      <w:r>
        <w:rPr/>
        <w:t>股权激励计划有效期为自首次授予期权工具的授权日起四年。本激励计划授予的期权工具自授权日起</w:t>
      </w:r>
      <w:r>
        <w:rPr/>
        <w:t> 满</w:t>
      </w:r>
      <w:r>
        <w:rPr>
          <w:spacing w:val="-43"/>
        </w:rPr>
        <w:t> </w:t>
      </w:r>
      <w:r>
        <w:rPr>
          <w:rFonts w:ascii="宋体" w:hAnsi="宋体" w:cs="宋体" w:eastAsia="宋体" w:hint="default"/>
        </w:rPr>
        <w:t>12</w:t>
      </w:r>
      <w:r>
        <w:rPr>
          <w:rFonts w:ascii="宋体" w:hAnsi="宋体" w:cs="宋体" w:eastAsia="宋体" w:hint="default"/>
          <w:spacing w:val="-43"/>
        </w:rPr>
        <w:t> </w:t>
      </w:r>
      <w:r>
        <w:rPr>
          <w:spacing w:val="-6"/>
        </w:rPr>
        <w:t>个月后可以开始行权。主要行权条件：在本股权激励计划有效期内，以</w:t>
      </w:r>
      <w:r>
        <w:rPr>
          <w:spacing w:val="-37"/>
        </w:rPr>
        <w:t> </w:t>
      </w:r>
      <w:r>
        <w:rPr>
          <w:rFonts w:ascii="宋体" w:hAnsi="宋体" w:cs="宋体" w:eastAsia="宋体" w:hint="default"/>
        </w:rPr>
        <w:t>2015</w:t>
      </w:r>
      <w:r>
        <w:rPr>
          <w:rFonts w:ascii="宋体" w:hAnsi="宋体" w:cs="宋体" w:eastAsia="宋体" w:hint="default"/>
          <w:spacing w:val="-43"/>
        </w:rPr>
        <w:t> </w:t>
      </w:r>
      <w:r>
        <w:rPr>
          <w:spacing w:val="-4"/>
        </w:rPr>
        <w:t>年净利润为基数，</w:t>
      </w:r>
      <w:r>
        <w:rPr>
          <w:rFonts w:ascii="宋体" w:hAnsi="宋体" w:cs="宋体" w:eastAsia="宋体" w:hint="default"/>
          <w:spacing w:val="-4"/>
        </w:rPr>
        <w:t>2016-2018</w:t>
      </w:r>
      <w:r>
        <w:rPr>
          <w:rFonts w:ascii="宋体" w:hAnsi="宋体" w:cs="宋体" w:eastAsia="宋体" w:hint="default"/>
          <w:spacing w:val="-43"/>
        </w:rPr>
        <w:t> </w:t>
      </w:r>
      <w:r>
        <w:rPr/>
        <w:t>年相对于</w:t>
      </w:r>
      <w:r>
        <w:rPr>
          <w:spacing w:val="-42"/>
        </w:rPr>
        <w:t> </w:t>
      </w:r>
      <w:r>
        <w:rPr>
          <w:rFonts w:ascii="宋体" w:hAnsi="宋体" w:cs="宋体" w:eastAsia="宋体" w:hint="default"/>
        </w:rPr>
        <w:t>2015 </w:t>
      </w:r>
      <w:r>
        <w:rPr/>
        <w:t>年的净利润增长率分别不低于</w:t>
      </w:r>
      <w:r>
        <w:rPr>
          <w:spacing w:val="-57"/>
        </w:rPr>
        <w:t> </w:t>
      </w:r>
      <w:r>
        <w:rPr>
          <w:rFonts w:ascii="宋体" w:hAnsi="宋体" w:cs="宋体" w:eastAsia="宋体" w:hint="default"/>
        </w:rPr>
        <w:t>20%</w:t>
      </w:r>
      <w:r>
        <w:rPr/>
        <w:t>、</w:t>
      </w:r>
      <w:r>
        <w:rPr>
          <w:rFonts w:ascii="宋体" w:hAnsi="宋体" w:cs="宋体" w:eastAsia="宋体" w:hint="default"/>
        </w:rPr>
        <w:t>30%</w:t>
      </w:r>
      <w:r>
        <w:rPr/>
        <w:t>及</w:t>
      </w:r>
      <w:r>
        <w:rPr>
          <w:spacing w:val="-59"/>
        </w:rPr>
        <w:t> </w:t>
      </w:r>
      <w:r>
        <w:rPr>
          <w:rFonts w:ascii="宋体" w:hAnsi="宋体" w:cs="宋体" w:eastAsia="宋体" w:hint="default"/>
        </w:rPr>
        <w:t>40%</w:t>
      </w:r>
      <w:r>
        <w:rPr/>
        <w:t>。预留部分的限制性股票的行权条件为，以</w:t>
      </w:r>
      <w:r>
        <w:rPr>
          <w:spacing w:val="-57"/>
        </w:rPr>
        <w:t> </w:t>
      </w:r>
      <w:r>
        <w:rPr>
          <w:rFonts w:ascii="宋体" w:hAnsi="宋体" w:cs="宋体" w:eastAsia="宋体" w:hint="default"/>
        </w:rPr>
        <w:t>2015</w:t>
      </w:r>
      <w:r>
        <w:rPr>
          <w:rFonts w:ascii="宋体" w:hAnsi="宋体" w:cs="宋体" w:eastAsia="宋体" w:hint="default"/>
          <w:spacing w:val="-59"/>
        </w:rPr>
        <w:t> </w:t>
      </w:r>
      <w:r>
        <w:rPr/>
        <w:t>年净利润为基数，</w:t>
      </w:r>
      <w:r>
        <w:rPr>
          <w:rFonts w:ascii="宋体" w:hAnsi="宋体" w:cs="宋体" w:eastAsia="宋体" w:hint="default"/>
        </w:rPr>
        <w:t>2017-2018 </w:t>
      </w:r>
      <w:r>
        <w:rPr/>
        <w:t>年相对于</w:t>
      </w:r>
      <w:r>
        <w:rPr>
          <w:spacing w:val="-39"/>
        </w:rPr>
        <w:t> </w:t>
      </w:r>
      <w:r>
        <w:rPr>
          <w:rFonts w:ascii="宋体" w:hAnsi="宋体" w:cs="宋体" w:eastAsia="宋体" w:hint="default"/>
        </w:rPr>
        <w:t>2015</w:t>
      </w:r>
      <w:r>
        <w:rPr>
          <w:rFonts w:ascii="宋体" w:hAnsi="宋体" w:cs="宋体" w:eastAsia="宋体" w:hint="default"/>
          <w:spacing w:val="-41"/>
        </w:rPr>
        <w:t> </w:t>
      </w:r>
      <w:r>
        <w:rPr/>
        <w:t>年的净利润增长率分别不低于</w:t>
      </w:r>
      <w:r>
        <w:rPr>
          <w:spacing w:val="-37"/>
        </w:rPr>
        <w:t> </w:t>
      </w:r>
      <w:r>
        <w:rPr>
          <w:rFonts w:ascii="宋体" w:hAnsi="宋体" w:cs="宋体" w:eastAsia="宋体" w:hint="default"/>
        </w:rPr>
        <w:t>30%</w:t>
      </w:r>
      <w:r>
        <w:rPr/>
        <w:t>及</w:t>
      </w:r>
      <w:r>
        <w:rPr>
          <w:spacing w:val="-41"/>
        </w:rPr>
        <w:t> </w:t>
      </w:r>
      <w:r>
        <w:rPr>
          <w:rFonts w:ascii="宋体" w:hAnsi="宋体" w:cs="宋体" w:eastAsia="宋体" w:hint="default"/>
          <w:spacing w:val="-3"/>
        </w:rPr>
        <w:t>40%</w:t>
      </w:r>
      <w:r>
        <w:rPr>
          <w:spacing w:val="-3"/>
        </w:rPr>
        <w:t>。其中净利润为归属于上市公司母公司股东的扣除非经常性损益后的</w:t>
      </w:r>
      <w:r>
        <w:rPr>
          <w:spacing w:val="-88"/>
        </w:rPr>
        <w:t> </w:t>
      </w:r>
      <w:r>
        <w:rPr>
          <w:spacing w:val="-88"/>
        </w:rPr>
      </w:r>
      <w:r>
        <w:rPr/>
        <w:t>净利润。</w:t>
      </w:r>
    </w:p>
    <w:p>
      <w:pPr>
        <w:spacing w:line="240" w:lineRule="auto" w:before="0"/>
        <w:rPr>
          <w:rFonts w:ascii="宋体" w:hAnsi="宋体" w:cs="宋体" w:eastAsia="宋体" w:hint="default"/>
          <w:sz w:val="17"/>
          <w:szCs w:val="17"/>
        </w:rPr>
      </w:pPr>
    </w:p>
    <w:p>
      <w:pPr>
        <w:pStyle w:val="BodyText"/>
        <w:spacing w:line="240" w:lineRule="auto"/>
        <w:ind w:left="501" w:right="939"/>
        <w:jc w:val="left"/>
      </w:pPr>
      <w:r>
        <w:rPr>
          <w:rFonts w:ascii="宋体" w:hAnsi="宋体" w:cs="宋体" w:eastAsia="宋体" w:hint="default"/>
        </w:rPr>
        <w:t>2016</w:t>
      </w:r>
      <w:r>
        <w:rPr>
          <w:rFonts w:ascii="宋体" w:hAnsi="宋体" w:cs="宋体" w:eastAsia="宋体" w:hint="default"/>
          <w:spacing w:val="-45"/>
        </w:rPr>
        <w:t> </w:t>
      </w:r>
      <w:r>
        <w:rPr/>
        <w:t>年</w:t>
      </w:r>
      <w:r>
        <w:rPr>
          <w:spacing w:val="-46"/>
        </w:rPr>
        <w:t> </w:t>
      </w:r>
      <w:r>
        <w:rPr>
          <w:rFonts w:ascii="宋体" w:hAnsi="宋体" w:cs="宋体" w:eastAsia="宋体" w:hint="default"/>
        </w:rPr>
        <w:t>8</w:t>
      </w:r>
      <w:r>
        <w:rPr>
          <w:rFonts w:ascii="宋体" w:hAnsi="宋体" w:cs="宋体" w:eastAsia="宋体" w:hint="default"/>
          <w:spacing w:val="-45"/>
        </w:rPr>
        <w:t> </w:t>
      </w:r>
      <w:r>
        <w:rPr/>
        <w:t>月</w:t>
      </w:r>
      <w:r>
        <w:rPr>
          <w:spacing w:val="-45"/>
        </w:rPr>
        <w:t> </w:t>
      </w:r>
      <w:r>
        <w:rPr>
          <w:rFonts w:ascii="宋体" w:hAnsi="宋体" w:cs="宋体" w:eastAsia="宋体" w:hint="default"/>
        </w:rPr>
        <w:t>23</w:t>
      </w:r>
      <w:r>
        <w:rPr>
          <w:rFonts w:ascii="宋体" w:hAnsi="宋体" w:cs="宋体" w:eastAsia="宋体" w:hint="default"/>
          <w:spacing w:val="-45"/>
        </w:rPr>
        <w:t> </w:t>
      </w:r>
      <w:r>
        <w:rPr/>
        <w:t>日</w:t>
      </w:r>
      <w:r>
        <w:rPr>
          <w:spacing w:val="-76"/>
        </w:rPr>
        <w:t>，</w:t>
      </w:r>
      <w:r>
        <w:rPr/>
        <w:t>公司召开了第二届董事会第十三次会议</w:t>
      </w:r>
      <w:r>
        <w:rPr>
          <w:spacing w:val="-76"/>
        </w:rPr>
        <w:t>，</w:t>
      </w:r>
      <w:r>
        <w:rPr/>
        <w:t>审议通过</w:t>
      </w:r>
      <w:r>
        <w:rPr>
          <w:spacing w:val="-76"/>
        </w:rPr>
        <w:t>了</w:t>
      </w:r>
      <w:r>
        <w:rPr/>
        <w:t>《关于回购注销部分已授予限制性股票的议案</w:t>
      </w:r>
      <w:r>
        <w:rPr>
          <w:spacing w:val="-90"/>
        </w:rPr>
        <w:t>》</w:t>
      </w:r>
      <w:r>
        <w:rPr/>
        <w:t>，</w:t>
      </w:r>
    </w:p>
    <w:p>
      <w:pPr>
        <w:spacing w:line="240" w:lineRule="auto" w:before="9"/>
        <w:rPr>
          <w:rFonts w:ascii="宋体" w:hAnsi="宋体" w:cs="宋体" w:eastAsia="宋体" w:hint="default"/>
          <w:sz w:val="18"/>
          <w:szCs w:val="18"/>
        </w:rPr>
      </w:pPr>
    </w:p>
    <w:p>
      <w:pPr>
        <w:pStyle w:val="BodyText"/>
        <w:spacing w:line="240" w:lineRule="auto"/>
        <w:ind w:right="939"/>
        <w:jc w:val="left"/>
      </w:pPr>
      <w:r>
        <w:rPr/>
        <w:t>同意向离职员工回购注销其已获授但未解锁的全部限制性股票 </w:t>
      </w:r>
      <w:r>
        <w:rPr>
          <w:rFonts w:ascii="宋体" w:hAnsi="宋体" w:cs="宋体" w:eastAsia="宋体" w:hint="default"/>
        </w:rPr>
        <w:t>18,600 </w:t>
      </w:r>
      <w:r>
        <w:rPr/>
        <w:t>股，回购价格为授予价格 </w:t>
      </w:r>
      <w:r>
        <w:rPr>
          <w:rFonts w:ascii="宋体" w:hAnsi="宋体" w:cs="宋体" w:eastAsia="宋体" w:hint="default"/>
        </w:rPr>
        <w:t>25.59</w:t>
      </w:r>
      <w:r>
        <w:rPr>
          <w:rFonts w:ascii="宋体" w:hAnsi="宋体" w:cs="宋体" w:eastAsia="宋体" w:hint="default"/>
          <w:spacing w:val="8"/>
        </w:rPr>
        <w:t> </w:t>
      </w:r>
      <w:r>
        <w:rPr/>
        <w:t>元</w:t>
      </w:r>
      <w:r>
        <w:rPr>
          <w:rFonts w:ascii="宋体" w:hAnsi="宋体" w:cs="宋体" w:eastAsia="宋体" w:hint="default"/>
        </w:rPr>
        <w:t>/</w:t>
      </w:r>
      <w:r>
        <w:rPr/>
        <w:t>股。</w:t>
      </w:r>
    </w:p>
    <w:p>
      <w:pPr>
        <w:spacing w:line="240" w:lineRule="auto" w:before="0"/>
        <w:rPr>
          <w:rFonts w:ascii="宋体" w:hAnsi="宋体" w:cs="宋体" w:eastAsia="宋体" w:hint="default"/>
          <w:sz w:val="18"/>
          <w:szCs w:val="18"/>
        </w:rPr>
      </w:pPr>
    </w:p>
    <w:p>
      <w:pPr>
        <w:pStyle w:val="BodyText"/>
        <w:spacing w:line="240" w:lineRule="auto" w:before="159"/>
        <w:ind w:left="501" w:right="939"/>
        <w:jc w:val="left"/>
      </w:pPr>
      <w:r>
        <w:rPr>
          <w:rFonts w:ascii="宋体" w:hAnsi="宋体" w:cs="宋体" w:eastAsia="宋体" w:hint="default"/>
        </w:rPr>
        <w:t>2017</w:t>
      </w:r>
      <w:r>
        <w:rPr>
          <w:rFonts w:ascii="宋体" w:hAnsi="宋体" w:cs="宋体" w:eastAsia="宋体" w:hint="default"/>
          <w:spacing w:val="-33"/>
        </w:rPr>
        <w:t> </w:t>
      </w:r>
      <w:r>
        <w:rPr/>
        <w:t>年</w:t>
      </w:r>
      <w:r>
        <w:rPr>
          <w:spacing w:val="-34"/>
        </w:rPr>
        <w:t> </w:t>
      </w:r>
      <w:r>
        <w:rPr>
          <w:rFonts w:ascii="宋体" w:hAnsi="宋体" w:cs="宋体" w:eastAsia="宋体" w:hint="default"/>
        </w:rPr>
        <w:t>4</w:t>
      </w:r>
      <w:r>
        <w:rPr>
          <w:rFonts w:ascii="宋体" w:hAnsi="宋体" w:cs="宋体" w:eastAsia="宋体" w:hint="default"/>
          <w:spacing w:val="-47"/>
        </w:rPr>
        <w:t> </w:t>
      </w:r>
      <w:r>
        <w:rPr/>
        <w:t>月</w:t>
      </w:r>
      <w:r>
        <w:rPr>
          <w:spacing w:val="-33"/>
        </w:rPr>
        <w:t> </w:t>
      </w:r>
      <w:r>
        <w:rPr>
          <w:rFonts w:ascii="宋体" w:hAnsi="宋体" w:cs="宋体" w:eastAsia="宋体" w:hint="default"/>
        </w:rPr>
        <w:t>24</w:t>
      </w:r>
      <w:r>
        <w:rPr>
          <w:rFonts w:ascii="宋体" w:hAnsi="宋体" w:cs="宋体" w:eastAsia="宋体" w:hint="default"/>
          <w:spacing w:val="-33"/>
        </w:rPr>
        <w:t> </w:t>
      </w:r>
      <w:r>
        <w:rPr/>
        <w:t>日，公司召开第二届董事会第十八次会议，审议通过了《关于</w:t>
      </w:r>
      <w:r>
        <w:rPr>
          <w:spacing w:val="-28"/>
        </w:rPr>
        <w:t> </w:t>
      </w:r>
      <w:r>
        <w:rPr>
          <w:rFonts w:ascii="宋体" w:hAnsi="宋体" w:cs="宋体" w:eastAsia="宋体" w:hint="default"/>
        </w:rPr>
        <w:t>2015</w:t>
      </w:r>
      <w:r>
        <w:rPr>
          <w:rFonts w:ascii="宋体" w:hAnsi="宋体" w:cs="宋体" w:eastAsia="宋体" w:hint="default"/>
          <w:spacing w:val="-33"/>
        </w:rPr>
        <w:t> </w:t>
      </w:r>
      <w:r>
        <w:rPr/>
        <w:t>年限制性股票激励计划首次授予部</w:t>
      </w:r>
    </w:p>
    <w:p>
      <w:pPr>
        <w:spacing w:line="240" w:lineRule="auto" w:before="9"/>
        <w:rPr>
          <w:rFonts w:ascii="宋体" w:hAnsi="宋体" w:cs="宋体" w:eastAsia="宋体" w:hint="default"/>
          <w:sz w:val="18"/>
          <w:szCs w:val="18"/>
        </w:rPr>
      </w:pPr>
    </w:p>
    <w:p>
      <w:pPr>
        <w:pStyle w:val="BodyText"/>
        <w:spacing w:line="240" w:lineRule="auto"/>
        <w:ind w:right="939"/>
        <w:jc w:val="left"/>
      </w:pPr>
      <w:r>
        <w:rPr/>
        <w:t>分第一个解锁期解锁条件成就的议案</w:t>
      </w:r>
      <w:r>
        <w:rPr>
          <w:spacing w:val="-90"/>
        </w:rPr>
        <w:t>》</w:t>
      </w:r>
      <w:r>
        <w:rPr/>
        <w:t>，同意对符合解锁条件的激励对象</w:t>
      </w:r>
      <w:r>
        <w:rPr>
          <w:spacing w:val="-39"/>
        </w:rPr>
        <w:t> </w:t>
      </w:r>
      <w:r>
        <w:rPr>
          <w:rFonts w:ascii="宋体" w:hAnsi="宋体" w:cs="宋体" w:eastAsia="宋体" w:hint="default"/>
        </w:rPr>
        <w:t>135</w:t>
      </w:r>
      <w:r>
        <w:rPr>
          <w:rFonts w:ascii="宋体" w:hAnsi="宋体" w:cs="宋体" w:eastAsia="宋体" w:hint="default"/>
          <w:spacing w:val="-45"/>
        </w:rPr>
        <w:t> </w:t>
      </w:r>
      <w:r>
        <w:rPr/>
        <w:t>名，解锁数量为</w:t>
      </w:r>
      <w:r>
        <w:rPr>
          <w:spacing w:val="-44"/>
        </w:rPr>
        <w:t> </w:t>
      </w:r>
      <w:r>
        <w:rPr>
          <w:rFonts w:ascii="宋体" w:hAnsi="宋体" w:cs="宋体" w:eastAsia="宋体" w:hint="default"/>
        </w:rPr>
        <w:t>1,170,870</w:t>
      </w:r>
      <w:r>
        <w:rPr>
          <w:rFonts w:ascii="宋体" w:hAnsi="宋体" w:cs="宋体" w:eastAsia="宋体" w:hint="default"/>
          <w:spacing w:val="-44"/>
        </w:rPr>
        <w:t> </w:t>
      </w:r>
      <w:r>
        <w:rPr/>
        <w:t>股。</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501" w:right="939"/>
        <w:jc w:val="left"/>
      </w:pPr>
      <w:r>
        <w:rPr>
          <w:rFonts w:ascii="宋体" w:hAnsi="宋体" w:cs="宋体" w:eastAsia="宋体" w:hint="default"/>
        </w:rPr>
        <w:t>2017 </w:t>
      </w:r>
      <w:r>
        <w:rPr/>
        <w:t>年 </w:t>
      </w:r>
      <w:r>
        <w:rPr>
          <w:rFonts w:ascii="宋体" w:hAnsi="宋体" w:cs="宋体" w:eastAsia="宋体" w:hint="default"/>
        </w:rPr>
        <w:t>8 </w:t>
      </w:r>
      <w:r>
        <w:rPr/>
        <w:t>月 </w:t>
      </w:r>
      <w:r>
        <w:rPr>
          <w:rFonts w:ascii="宋体" w:hAnsi="宋体" w:cs="宋体" w:eastAsia="宋体" w:hint="default"/>
        </w:rPr>
        <w:t>23</w:t>
      </w:r>
      <w:r>
        <w:rPr>
          <w:rFonts w:ascii="宋体" w:hAnsi="宋体" w:cs="宋体" w:eastAsia="宋体" w:hint="default"/>
          <w:spacing w:val="39"/>
        </w:rPr>
        <w:t> </w:t>
      </w:r>
      <w:r>
        <w:rPr>
          <w:spacing w:val="-3"/>
        </w:rPr>
        <w:t>日，公司召开了第二届董事会第二十三次会议，审议通过了《关于回购注销部分已授予限制性股票的</w:t>
      </w:r>
    </w:p>
    <w:p>
      <w:pPr>
        <w:spacing w:line="240" w:lineRule="auto" w:before="9"/>
        <w:rPr>
          <w:rFonts w:ascii="宋体" w:hAnsi="宋体" w:cs="宋体" w:eastAsia="宋体" w:hint="default"/>
          <w:sz w:val="18"/>
          <w:szCs w:val="18"/>
        </w:rPr>
      </w:pPr>
    </w:p>
    <w:p>
      <w:pPr>
        <w:pStyle w:val="BodyText"/>
        <w:spacing w:line="475" w:lineRule="auto"/>
        <w:ind w:right="1111"/>
        <w:jc w:val="left"/>
      </w:pPr>
      <w:r>
        <w:rPr>
          <w:spacing w:val="-3"/>
        </w:rPr>
        <w:t>议案》，公司向离职员工回购注销其已获授但未解锁的全部限制性股票</w:t>
      </w:r>
      <w:r>
        <w:rPr/>
        <w:t> </w:t>
      </w:r>
      <w:r>
        <w:rPr>
          <w:rFonts w:ascii="宋体" w:hAnsi="宋体" w:cs="宋体" w:eastAsia="宋体" w:hint="default"/>
        </w:rPr>
        <w:t>22,750 </w:t>
      </w:r>
      <w:r>
        <w:rPr/>
        <w:t>股，回购价格为授予价格人民币 </w:t>
      </w:r>
      <w:r>
        <w:rPr>
          <w:rFonts w:ascii="宋体" w:hAnsi="宋体" w:cs="宋体" w:eastAsia="宋体" w:hint="default"/>
        </w:rPr>
        <w:t>25.59</w:t>
      </w:r>
      <w:r>
        <w:rPr>
          <w:rFonts w:ascii="宋体" w:hAnsi="宋体" w:cs="宋体" w:eastAsia="宋体" w:hint="default"/>
          <w:spacing w:val="11"/>
        </w:rPr>
        <w:t> </w:t>
      </w:r>
      <w:r>
        <w:rPr/>
        <w:t>元</w:t>
      </w:r>
      <w:r>
        <w:rPr>
          <w:rFonts w:ascii="宋体" w:hAnsi="宋体" w:cs="宋体" w:eastAsia="宋体" w:hint="default"/>
        </w:rPr>
        <w:t>/ </w:t>
      </w:r>
      <w:r>
        <w:rPr/>
        <w:t>股。</w:t>
      </w:r>
    </w:p>
    <w:p>
      <w:pPr>
        <w:spacing w:line="240" w:lineRule="auto" w:before="11"/>
        <w:rPr>
          <w:rFonts w:ascii="宋体" w:hAnsi="宋体" w:cs="宋体" w:eastAsia="宋体" w:hint="default"/>
          <w:sz w:val="17"/>
          <w:szCs w:val="17"/>
        </w:rPr>
      </w:pPr>
    </w:p>
    <w:p>
      <w:pPr>
        <w:pStyle w:val="BodyText"/>
        <w:spacing w:line="240" w:lineRule="auto"/>
        <w:ind w:left="501" w:right="939"/>
        <w:jc w:val="left"/>
      </w:pPr>
      <w:r>
        <w:rPr>
          <w:rFonts w:ascii="宋体" w:hAnsi="宋体" w:cs="宋体" w:eastAsia="宋体" w:hint="default"/>
        </w:rPr>
        <w:t>2018</w:t>
      </w:r>
      <w:r>
        <w:rPr>
          <w:rFonts w:ascii="宋体" w:hAnsi="宋体" w:cs="宋体" w:eastAsia="宋体" w:hint="default"/>
          <w:spacing w:val="-33"/>
        </w:rPr>
        <w:t> </w:t>
      </w:r>
      <w:r>
        <w:rPr/>
        <w:t>年</w:t>
      </w:r>
      <w:r>
        <w:rPr>
          <w:spacing w:val="-34"/>
        </w:rPr>
        <w:t> </w:t>
      </w:r>
      <w:r>
        <w:rPr>
          <w:rFonts w:ascii="宋体" w:hAnsi="宋体" w:cs="宋体" w:eastAsia="宋体" w:hint="default"/>
        </w:rPr>
        <w:t>4</w:t>
      </w:r>
      <w:r>
        <w:rPr>
          <w:rFonts w:ascii="宋体" w:hAnsi="宋体" w:cs="宋体" w:eastAsia="宋体" w:hint="default"/>
          <w:spacing w:val="-47"/>
        </w:rPr>
        <w:t> </w:t>
      </w:r>
      <w:r>
        <w:rPr/>
        <w:t>月</w:t>
      </w:r>
      <w:r>
        <w:rPr>
          <w:spacing w:val="-33"/>
        </w:rPr>
        <w:t> </w:t>
      </w:r>
      <w:r>
        <w:rPr>
          <w:rFonts w:ascii="宋体" w:hAnsi="宋体" w:cs="宋体" w:eastAsia="宋体" w:hint="default"/>
        </w:rPr>
        <w:t>20</w:t>
      </w:r>
      <w:r>
        <w:rPr>
          <w:rFonts w:ascii="宋体" w:hAnsi="宋体" w:cs="宋体" w:eastAsia="宋体" w:hint="default"/>
          <w:spacing w:val="-33"/>
        </w:rPr>
        <w:t> </w:t>
      </w:r>
      <w:r>
        <w:rPr/>
        <w:t>日，公司召开第三届董事会第二次会议，审议通过了《关于</w:t>
      </w:r>
      <w:r>
        <w:rPr>
          <w:spacing w:val="-28"/>
        </w:rPr>
        <w:t> </w:t>
      </w:r>
      <w:r>
        <w:rPr>
          <w:rFonts w:ascii="宋体" w:hAnsi="宋体" w:cs="宋体" w:eastAsia="宋体" w:hint="default"/>
        </w:rPr>
        <w:t>2015</w:t>
      </w:r>
      <w:r>
        <w:rPr>
          <w:rFonts w:ascii="宋体" w:hAnsi="宋体" w:cs="宋体" w:eastAsia="宋体" w:hint="default"/>
          <w:spacing w:val="-33"/>
        </w:rPr>
        <w:t> </w:t>
      </w:r>
      <w:r>
        <w:rPr/>
        <w:t>年限制性股票激励计划预留部分第一</w:t>
      </w:r>
    </w:p>
    <w:p>
      <w:pPr>
        <w:spacing w:line="240" w:lineRule="auto" w:before="9"/>
        <w:rPr>
          <w:rFonts w:ascii="宋体" w:hAnsi="宋体" w:cs="宋体" w:eastAsia="宋体" w:hint="default"/>
          <w:sz w:val="18"/>
          <w:szCs w:val="18"/>
        </w:rPr>
      </w:pPr>
    </w:p>
    <w:p>
      <w:pPr>
        <w:pStyle w:val="BodyText"/>
        <w:spacing w:line="240" w:lineRule="auto"/>
        <w:ind w:right="939"/>
        <w:jc w:val="left"/>
      </w:pPr>
      <w:r>
        <w:rPr/>
        <w:t>个解锁期解锁条件成就的议案</w:t>
      </w:r>
      <w:r>
        <w:rPr>
          <w:spacing w:val="-90"/>
        </w:rPr>
        <w:t>》</w:t>
      </w:r>
      <w:r>
        <w:rPr/>
        <w:t>，同意对符合解锁条件的激励对象</w:t>
      </w:r>
      <w:r>
        <w:rPr>
          <w:spacing w:val="-39"/>
        </w:rPr>
        <w:t> </w:t>
      </w:r>
      <w:r>
        <w:rPr>
          <w:rFonts w:ascii="宋体" w:hAnsi="宋体" w:cs="宋体" w:eastAsia="宋体" w:hint="default"/>
        </w:rPr>
        <w:t>1</w:t>
      </w:r>
      <w:r>
        <w:rPr>
          <w:rFonts w:ascii="宋体" w:hAnsi="宋体" w:cs="宋体" w:eastAsia="宋体" w:hint="default"/>
          <w:spacing w:val="-45"/>
        </w:rPr>
        <w:t> </w:t>
      </w:r>
      <w:r>
        <w:rPr/>
        <w:t>名，解锁数量为</w:t>
      </w:r>
      <w:r>
        <w:rPr>
          <w:spacing w:val="-44"/>
        </w:rPr>
        <w:t> </w:t>
      </w:r>
      <w:r>
        <w:rPr>
          <w:rFonts w:ascii="宋体" w:hAnsi="宋体" w:cs="宋体" w:eastAsia="宋体" w:hint="default"/>
        </w:rPr>
        <w:t>215,000</w:t>
      </w:r>
      <w:r>
        <w:rPr>
          <w:rFonts w:ascii="宋体" w:hAnsi="宋体" w:cs="宋体" w:eastAsia="宋体" w:hint="default"/>
          <w:spacing w:val="-45"/>
        </w:rPr>
        <w:t> </w:t>
      </w:r>
      <w:r>
        <w:rPr/>
        <w:t>股。</w:t>
      </w:r>
    </w:p>
    <w:p>
      <w:pPr>
        <w:spacing w:line="240" w:lineRule="auto" w:before="0"/>
        <w:rPr>
          <w:rFonts w:ascii="宋体" w:hAnsi="宋体" w:cs="宋体" w:eastAsia="宋体" w:hint="default"/>
          <w:sz w:val="18"/>
          <w:szCs w:val="18"/>
        </w:rPr>
      </w:pPr>
    </w:p>
    <w:p>
      <w:pPr>
        <w:pStyle w:val="BodyText"/>
        <w:spacing w:line="240" w:lineRule="auto" w:before="159"/>
        <w:ind w:left="501" w:right="939"/>
        <w:jc w:val="left"/>
      </w:pPr>
      <w:r>
        <w:rPr/>
        <w:t>根据</w:t>
      </w:r>
      <w:r>
        <w:rPr>
          <w:spacing w:val="-45"/>
        </w:rPr>
        <w:t> </w:t>
      </w:r>
      <w:r>
        <w:rPr>
          <w:rFonts w:ascii="宋体" w:hAnsi="宋体" w:cs="宋体" w:eastAsia="宋体" w:hint="default"/>
        </w:rPr>
        <w:t>2018 </w:t>
      </w:r>
      <w:r>
        <w:rPr/>
        <w:t>年 </w:t>
      </w:r>
      <w:r>
        <w:rPr>
          <w:rFonts w:ascii="宋体" w:hAnsi="宋体" w:cs="宋体" w:eastAsia="宋体" w:hint="default"/>
        </w:rPr>
        <w:t>4 </w:t>
      </w:r>
      <w:r>
        <w:rPr/>
        <w:t>月 </w:t>
      </w:r>
      <w:r>
        <w:rPr>
          <w:rFonts w:ascii="宋体" w:hAnsi="宋体" w:cs="宋体" w:eastAsia="宋体" w:hint="default"/>
        </w:rPr>
        <w:t>20 </w:t>
      </w:r>
      <w:r>
        <w:rPr/>
        <w:t>日公司第三届董事会第二次会议以及</w:t>
      </w:r>
      <w:r>
        <w:rPr>
          <w:spacing w:val="-41"/>
        </w:rPr>
        <w:t> </w:t>
      </w:r>
      <w:r>
        <w:rPr>
          <w:rFonts w:ascii="宋体" w:hAnsi="宋体" w:cs="宋体" w:eastAsia="宋体" w:hint="default"/>
        </w:rPr>
        <w:t>2018 </w:t>
      </w:r>
      <w:r>
        <w:rPr/>
        <w:t>年 </w:t>
      </w:r>
      <w:r>
        <w:rPr>
          <w:rFonts w:ascii="宋体" w:hAnsi="宋体" w:cs="宋体" w:eastAsia="宋体" w:hint="default"/>
        </w:rPr>
        <w:t>10 </w:t>
      </w:r>
      <w:r>
        <w:rPr/>
        <w:t>月 </w:t>
      </w:r>
      <w:r>
        <w:rPr>
          <w:rFonts w:ascii="宋体" w:hAnsi="宋体" w:cs="宋体" w:eastAsia="宋体" w:hint="default"/>
        </w:rPr>
        <w:t>9 </w:t>
      </w:r>
      <w:r>
        <w:rPr/>
        <w:t>日第三届董事会第七次会议审议通过的</w:t>
      </w:r>
    </w:p>
    <w:p>
      <w:pPr>
        <w:spacing w:line="240" w:lineRule="auto" w:before="11"/>
        <w:rPr>
          <w:rFonts w:ascii="宋体" w:hAnsi="宋体" w:cs="宋体" w:eastAsia="宋体" w:hint="default"/>
          <w:sz w:val="19"/>
          <w:szCs w:val="19"/>
        </w:rPr>
      </w:pPr>
    </w:p>
    <w:p>
      <w:pPr>
        <w:pStyle w:val="BodyText"/>
        <w:spacing w:line="475" w:lineRule="auto"/>
        <w:ind w:right="1132"/>
        <w:jc w:val="left"/>
      </w:pPr>
      <w:r>
        <w:rPr>
          <w:spacing w:val="1"/>
        </w:rPr>
        <w:t>《关于回购注销部分已授予限制性股票的议案》，</w:t>
      </w:r>
      <w:r>
        <w:rPr>
          <w:rFonts w:ascii="宋体" w:hAnsi="宋体" w:cs="宋体" w:eastAsia="宋体" w:hint="default"/>
          <w:spacing w:val="1"/>
        </w:rPr>
        <w:t>2018 </w:t>
      </w:r>
      <w:r>
        <w:rPr>
          <w:spacing w:val="5"/>
        </w:rPr>
        <w:t>年公司向离职员工回购注销其已获授但未解锁的全部限制性股票</w:t>
      </w:r>
      <w:r>
        <w:rPr/>
        <w:t> </w:t>
      </w:r>
      <w:r>
        <w:rPr>
          <w:rFonts w:ascii="宋体" w:hAnsi="宋体" w:cs="宋体" w:eastAsia="宋体" w:hint="default"/>
        </w:rPr>
        <w:t>31,220</w:t>
      </w:r>
      <w:r>
        <w:rPr>
          <w:rFonts w:ascii="宋体" w:hAnsi="宋体" w:cs="宋体" w:eastAsia="宋体" w:hint="default"/>
          <w:spacing w:val="-45"/>
        </w:rPr>
        <w:t> </w:t>
      </w:r>
      <w:r>
        <w:rPr/>
        <w:t>股以及</w:t>
      </w:r>
      <w:r>
        <w:rPr>
          <w:spacing w:val="-44"/>
        </w:rPr>
        <w:t> </w:t>
      </w:r>
      <w:r>
        <w:rPr>
          <w:rFonts w:ascii="宋体" w:hAnsi="宋体" w:cs="宋体" w:eastAsia="宋体" w:hint="default"/>
        </w:rPr>
        <w:t>50,846</w:t>
      </w:r>
      <w:r>
        <w:rPr>
          <w:rFonts w:ascii="宋体" w:hAnsi="宋体" w:cs="宋体" w:eastAsia="宋体" w:hint="default"/>
          <w:spacing w:val="-45"/>
        </w:rPr>
        <w:t> </w:t>
      </w:r>
      <w:r>
        <w:rPr/>
        <w:t>股，回购价格为分别授予价格</w:t>
      </w:r>
      <w:r>
        <w:rPr>
          <w:spacing w:val="-42"/>
        </w:rPr>
        <w:t> </w:t>
      </w:r>
      <w:r>
        <w:rPr>
          <w:rFonts w:ascii="宋体" w:hAnsi="宋体" w:cs="宋体" w:eastAsia="宋体" w:hint="default"/>
        </w:rPr>
        <w:t>25.59</w:t>
      </w:r>
      <w:r>
        <w:rPr>
          <w:rFonts w:ascii="宋体" w:hAnsi="宋体" w:cs="宋体" w:eastAsia="宋体" w:hint="default"/>
          <w:spacing w:val="-45"/>
        </w:rPr>
        <w:t> </w:t>
      </w:r>
      <w:r>
        <w:rPr/>
        <w:t>元</w:t>
      </w:r>
      <w:r>
        <w:rPr>
          <w:rFonts w:ascii="宋体" w:hAnsi="宋体" w:cs="宋体" w:eastAsia="宋体" w:hint="default"/>
        </w:rPr>
        <w:t>/</w:t>
      </w:r>
      <w:r>
        <w:rPr/>
        <w:t>股以及</w:t>
      </w:r>
      <w:r>
        <w:rPr>
          <w:spacing w:val="-45"/>
        </w:rPr>
        <w:t> </w:t>
      </w:r>
      <w:r>
        <w:rPr>
          <w:rFonts w:ascii="宋体" w:hAnsi="宋体" w:cs="宋体" w:eastAsia="宋体" w:hint="default"/>
        </w:rPr>
        <w:t>14.2126</w:t>
      </w:r>
      <w:r>
        <w:rPr>
          <w:rFonts w:ascii="宋体" w:hAnsi="宋体" w:cs="宋体" w:eastAsia="宋体" w:hint="default"/>
          <w:spacing w:val="-45"/>
        </w:rPr>
        <w:t> </w:t>
      </w:r>
      <w:r>
        <w:rPr/>
        <w:t>元</w:t>
      </w:r>
      <w:r>
        <w:rPr>
          <w:rFonts w:ascii="宋体" w:hAnsi="宋体" w:cs="宋体" w:eastAsia="宋体" w:hint="default"/>
        </w:rPr>
        <w:t>/</w:t>
      </w:r>
      <w:r>
        <w:rPr/>
        <w:t>股。</w:t>
      </w:r>
    </w:p>
    <w:p>
      <w:pPr>
        <w:spacing w:line="240" w:lineRule="auto" w:before="11"/>
        <w:rPr>
          <w:rFonts w:ascii="宋体" w:hAnsi="宋体" w:cs="宋体" w:eastAsia="宋体" w:hint="default"/>
          <w:sz w:val="17"/>
          <w:szCs w:val="17"/>
        </w:rPr>
      </w:pPr>
    </w:p>
    <w:p>
      <w:pPr>
        <w:pStyle w:val="BodyText"/>
        <w:spacing w:line="240" w:lineRule="auto"/>
        <w:ind w:left="501" w:right="939"/>
        <w:jc w:val="left"/>
      </w:pPr>
      <w:r>
        <w:rPr/>
        <w:t>根据</w:t>
      </w:r>
      <w:r>
        <w:rPr>
          <w:spacing w:val="-48"/>
        </w:rPr>
        <w:t> </w:t>
      </w:r>
      <w:r>
        <w:rPr>
          <w:rFonts w:ascii="宋体" w:hAnsi="宋体" w:cs="宋体" w:eastAsia="宋体" w:hint="default"/>
        </w:rPr>
        <w:t>2018</w:t>
      </w:r>
      <w:r>
        <w:rPr>
          <w:rFonts w:ascii="宋体" w:hAnsi="宋体" w:cs="宋体" w:eastAsia="宋体" w:hint="default"/>
          <w:spacing w:val="-5"/>
        </w:rPr>
        <w:t> </w:t>
      </w:r>
      <w:r>
        <w:rPr/>
        <w:t>年</w:t>
      </w:r>
      <w:r>
        <w:rPr>
          <w:spacing w:val="-5"/>
        </w:rPr>
        <w:t> </w:t>
      </w:r>
      <w:r>
        <w:rPr>
          <w:rFonts w:ascii="宋体" w:hAnsi="宋体" w:cs="宋体" w:eastAsia="宋体" w:hint="default"/>
        </w:rPr>
        <w:t>4</w:t>
      </w:r>
      <w:r>
        <w:rPr>
          <w:rFonts w:ascii="宋体" w:hAnsi="宋体" w:cs="宋体" w:eastAsia="宋体" w:hint="default"/>
          <w:spacing w:val="-5"/>
        </w:rPr>
        <w:t> </w:t>
      </w:r>
      <w:r>
        <w:rPr/>
        <w:t>月</w:t>
      </w:r>
      <w:r>
        <w:rPr>
          <w:spacing w:val="-5"/>
        </w:rPr>
        <w:t> </w:t>
      </w:r>
      <w:r>
        <w:rPr>
          <w:rFonts w:ascii="宋体" w:hAnsi="宋体" w:cs="宋体" w:eastAsia="宋体" w:hint="default"/>
        </w:rPr>
        <w:t>20</w:t>
      </w:r>
      <w:r>
        <w:rPr>
          <w:rFonts w:ascii="宋体" w:hAnsi="宋体" w:cs="宋体" w:eastAsia="宋体" w:hint="default"/>
          <w:spacing w:val="-5"/>
        </w:rPr>
        <w:t> </w:t>
      </w:r>
      <w:r>
        <w:rPr/>
        <w:t>日第三届董事会第二次会议审议通过的《关于</w:t>
      </w:r>
      <w:r>
        <w:rPr>
          <w:spacing w:val="-46"/>
        </w:rPr>
        <w:t> </w:t>
      </w:r>
      <w:r>
        <w:rPr>
          <w:rFonts w:ascii="宋体" w:hAnsi="宋体" w:cs="宋体" w:eastAsia="宋体" w:hint="default"/>
        </w:rPr>
        <w:t>2015</w:t>
      </w:r>
      <w:r>
        <w:rPr>
          <w:rFonts w:ascii="宋体" w:hAnsi="宋体" w:cs="宋体" w:eastAsia="宋体" w:hint="default"/>
          <w:spacing w:val="-48"/>
        </w:rPr>
        <w:t> </w:t>
      </w:r>
      <w:r>
        <w:rPr/>
        <w:t>年限制性股票激励计划首次授予部分第二个</w:t>
      </w:r>
    </w:p>
    <w:p>
      <w:pPr>
        <w:spacing w:line="240" w:lineRule="auto" w:before="9"/>
        <w:rPr>
          <w:rFonts w:ascii="宋体" w:hAnsi="宋体" w:cs="宋体" w:eastAsia="宋体" w:hint="default"/>
          <w:sz w:val="18"/>
          <w:szCs w:val="18"/>
        </w:rPr>
      </w:pPr>
    </w:p>
    <w:p>
      <w:pPr>
        <w:pStyle w:val="BodyText"/>
        <w:spacing w:line="240" w:lineRule="auto"/>
        <w:ind w:right="939"/>
        <w:jc w:val="left"/>
      </w:pPr>
      <w:r>
        <w:rPr/>
        <w:t>解锁期解锁条件成就的议案</w:t>
      </w:r>
      <w:r>
        <w:rPr>
          <w:spacing w:val="-90"/>
        </w:rPr>
        <w:t>》</w:t>
      </w:r>
      <w:r>
        <w:rPr/>
        <w:t>，解锁符合解锁条件的激励对象</w:t>
      </w:r>
      <w:r>
        <w:rPr>
          <w:spacing w:val="-39"/>
        </w:rPr>
        <w:t> </w:t>
      </w:r>
      <w:r>
        <w:rPr>
          <w:rFonts w:ascii="宋体" w:hAnsi="宋体" w:cs="宋体" w:eastAsia="宋体" w:hint="default"/>
        </w:rPr>
        <w:t>129</w:t>
      </w:r>
      <w:r>
        <w:rPr>
          <w:rFonts w:ascii="宋体" w:hAnsi="宋体" w:cs="宋体" w:eastAsia="宋体" w:hint="default"/>
          <w:spacing w:val="-45"/>
        </w:rPr>
        <w:t> </w:t>
      </w:r>
      <w:r>
        <w:rPr/>
        <w:t>名，解锁数量为</w:t>
      </w:r>
      <w:r>
        <w:rPr>
          <w:spacing w:val="-44"/>
        </w:rPr>
        <w:t> </w:t>
      </w:r>
      <w:r>
        <w:rPr>
          <w:rFonts w:ascii="宋体" w:hAnsi="宋体" w:cs="宋体" w:eastAsia="宋体" w:hint="default"/>
        </w:rPr>
        <w:t>1,147,740</w:t>
      </w:r>
      <w:r>
        <w:rPr>
          <w:rFonts w:ascii="宋体" w:hAnsi="宋体" w:cs="宋体" w:eastAsia="宋体" w:hint="default"/>
          <w:spacing w:val="-45"/>
        </w:rPr>
        <w:t> </w:t>
      </w:r>
      <w:r>
        <w:rPr/>
        <w:t>股。</w:t>
      </w:r>
    </w:p>
    <w:p>
      <w:pPr>
        <w:spacing w:after="0" w:line="240" w:lineRule="auto"/>
        <w:jc w:val="left"/>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44"/>
        <w:ind w:left="501" w:right="939"/>
        <w:jc w:val="left"/>
      </w:pPr>
      <w:r>
        <w:rPr>
          <w:rFonts w:ascii="宋体" w:hAnsi="宋体" w:cs="宋体" w:eastAsia="宋体" w:hint="default"/>
        </w:rPr>
        <w:t>2019</w:t>
      </w:r>
      <w:r>
        <w:rPr>
          <w:rFonts w:ascii="宋体" w:hAnsi="宋体" w:cs="宋体" w:eastAsia="宋体" w:hint="default"/>
          <w:spacing w:val="-33"/>
        </w:rPr>
        <w:t> </w:t>
      </w:r>
      <w:r>
        <w:rPr/>
        <w:t>年</w:t>
      </w:r>
      <w:r>
        <w:rPr>
          <w:spacing w:val="-34"/>
        </w:rPr>
        <w:t> </w:t>
      </w:r>
      <w:r>
        <w:rPr>
          <w:rFonts w:ascii="宋体" w:hAnsi="宋体" w:cs="宋体" w:eastAsia="宋体" w:hint="default"/>
        </w:rPr>
        <w:t>4</w:t>
      </w:r>
      <w:r>
        <w:rPr>
          <w:rFonts w:ascii="宋体" w:hAnsi="宋体" w:cs="宋体" w:eastAsia="宋体" w:hint="default"/>
          <w:spacing w:val="-47"/>
        </w:rPr>
        <w:t> </w:t>
      </w:r>
      <w:r>
        <w:rPr/>
        <w:t>月</w:t>
      </w:r>
      <w:r>
        <w:rPr>
          <w:spacing w:val="-33"/>
        </w:rPr>
        <w:t> </w:t>
      </w:r>
      <w:r>
        <w:rPr>
          <w:rFonts w:ascii="宋体" w:hAnsi="宋体" w:cs="宋体" w:eastAsia="宋体" w:hint="default"/>
        </w:rPr>
        <w:t>23</w:t>
      </w:r>
      <w:r>
        <w:rPr>
          <w:rFonts w:ascii="宋体" w:hAnsi="宋体" w:cs="宋体" w:eastAsia="宋体" w:hint="default"/>
          <w:spacing w:val="-33"/>
        </w:rPr>
        <w:t> </w:t>
      </w:r>
      <w:r>
        <w:rPr/>
        <w:t>日，根据公司第三届董事会第十二次会议决议通过的《关于回购注销</w:t>
      </w:r>
      <w:r>
        <w:rPr>
          <w:spacing w:val="-27"/>
        </w:rPr>
        <w:t> </w:t>
      </w:r>
      <w:r>
        <w:rPr>
          <w:rFonts w:ascii="宋体" w:hAnsi="宋体" w:cs="宋体" w:eastAsia="宋体" w:hint="default"/>
        </w:rPr>
        <w:t>2015</w:t>
      </w:r>
      <w:r>
        <w:rPr>
          <w:rFonts w:ascii="宋体" w:hAnsi="宋体" w:cs="宋体" w:eastAsia="宋体" w:hint="default"/>
          <w:spacing w:val="-33"/>
        </w:rPr>
        <w:t> </w:t>
      </w:r>
      <w:r>
        <w:rPr/>
        <w:t>年限制性股票激励计划部分</w:t>
      </w:r>
    </w:p>
    <w:p>
      <w:pPr>
        <w:spacing w:line="240" w:lineRule="auto" w:before="11"/>
        <w:rPr>
          <w:rFonts w:ascii="宋体" w:hAnsi="宋体" w:cs="宋体" w:eastAsia="宋体" w:hint="default"/>
          <w:sz w:val="19"/>
          <w:szCs w:val="19"/>
        </w:rPr>
      </w:pPr>
    </w:p>
    <w:p>
      <w:pPr>
        <w:pStyle w:val="BodyText"/>
        <w:spacing w:line="482" w:lineRule="auto"/>
        <w:ind w:right="1121"/>
        <w:jc w:val="both"/>
      </w:pPr>
      <w:r>
        <w:rPr>
          <w:spacing w:val="-4"/>
        </w:rPr>
        <w:t>限制性股票的议案》，由于部分激励对象离职，同时</w:t>
      </w:r>
      <w:r>
        <w:rPr>
          <w:spacing w:val="-40"/>
        </w:rPr>
        <w:t> </w:t>
      </w:r>
      <w:r>
        <w:rPr>
          <w:rFonts w:ascii="宋体" w:hAnsi="宋体" w:cs="宋体" w:eastAsia="宋体" w:hint="default"/>
        </w:rPr>
        <w:t>2018</w:t>
      </w:r>
      <w:r>
        <w:rPr>
          <w:rFonts w:ascii="宋体" w:hAnsi="宋体" w:cs="宋体" w:eastAsia="宋体" w:hint="default"/>
          <w:spacing w:val="-45"/>
        </w:rPr>
        <w:t> </w:t>
      </w:r>
      <w:r>
        <w:rPr/>
        <w:t>年经审定后的净利润指标未达到</w:t>
      </w:r>
      <w:r>
        <w:rPr>
          <w:spacing w:val="-42"/>
        </w:rPr>
        <w:t> </w:t>
      </w:r>
      <w:r>
        <w:rPr>
          <w:rFonts w:ascii="宋体" w:hAnsi="宋体" w:cs="宋体" w:eastAsia="宋体" w:hint="default"/>
        </w:rPr>
        <w:t>2015</w:t>
      </w:r>
      <w:r>
        <w:rPr>
          <w:rFonts w:ascii="宋体" w:hAnsi="宋体" w:cs="宋体" w:eastAsia="宋体" w:hint="default"/>
          <w:spacing w:val="-45"/>
        </w:rPr>
        <w:t> </w:t>
      </w:r>
      <w:r>
        <w:rPr/>
        <w:t>年限制性股票激励计划对对 </w:t>
      </w:r>
      <w:r>
        <w:rPr>
          <w:spacing w:val="-2"/>
        </w:rPr>
        <w:t>第一批授予的股票第三个解锁期以及预留部分股票第二个解锁期解锁条件的要求，因此公司回购注销上述激励对象获售的限</w:t>
      </w:r>
      <w:r>
        <w:rPr>
          <w:spacing w:val="-58"/>
        </w:rPr>
        <w:t> </w:t>
      </w:r>
      <w:r>
        <w:rPr>
          <w:spacing w:val="-58"/>
        </w:rPr>
      </w:r>
      <w:r>
        <w:rPr/>
        <w:t>制性股票</w:t>
      </w:r>
      <w:r>
        <w:rPr>
          <w:spacing w:val="-45"/>
        </w:rPr>
        <w:t> </w:t>
      </w:r>
      <w:r>
        <w:rPr>
          <w:rFonts w:ascii="宋体" w:hAnsi="宋体" w:cs="宋体" w:eastAsia="宋体" w:hint="default"/>
        </w:rPr>
        <w:t>3,091,611.00</w:t>
      </w:r>
      <w:r>
        <w:rPr>
          <w:rFonts w:ascii="宋体" w:hAnsi="宋体" w:cs="宋体" w:eastAsia="宋体" w:hint="default"/>
          <w:spacing w:val="-45"/>
        </w:rPr>
        <w:t> </w:t>
      </w:r>
      <w:r>
        <w:rPr/>
        <w:t>股，其中首次授予部分回购价为</w:t>
      </w:r>
      <w:r>
        <w:rPr>
          <w:spacing w:val="-43"/>
        </w:rPr>
        <w:t> </w:t>
      </w:r>
      <w:r>
        <w:rPr>
          <w:rFonts w:ascii="宋体" w:hAnsi="宋体" w:cs="宋体" w:eastAsia="宋体" w:hint="default"/>
        </w:rPr>
        <w:t>14.2126</w:t>
      </w:r>
      <w:r>
        <w:rPr>
          <w:rFonts w:ascii="宋体" w:hAnsi="宋体" w:cs="宋体" w:eastAsia="宋体" w:hint="default"/>
          <w:spacing w:val="-45"/>
        </w:rPr>
        <w:t> </w:t>
      </w:r>
      <w:r>
        <w:rPr/>
        <w:t>元</w:t>
      </w:r>
      <w:r>
        <w:rPr>
          <w:rFonts w:ascii="宋体" w:hAnsi="宋体" w:cs="宋体" w:eastAsia="宋体" w:hint="default"/>
        </w:rPr>
        <w:t>/</w:t>
      </w:r>
      <w:r>
        <w:rPr/>
        <w:t>股，预留部分回购价为</w:t>
      </w:r>
      <w:r>
        <w:rPr>
          <w:spacing w:val="-44"/>
        </w:rPr>
        <w:t> </w:t>
      </w:r>
      <w:r>
        <w:rPr>
          <w:rFonts w:ascii="宋体" w:hAnsi="宋体" w:cs="宋体" w:eastAsia="宋体" w:hint="default"/>
        </w:rPr>
        <w:t>16.0510</w:t>
      </w:r>
      <w:r>
        <w:rPr>
          <w:rFonts w:ascii="宋体" w:hAnsi="宋体" w:cs="宋体" w:eastAsia="宋体" w:hint="default"/>
          <w:spacing w:val="-45"/>
        </w:rPr>
        <w:t> </w:t>
      </w:r>
      <w:r>
        <w:rPr/>
        <w:t>元</w:t>
      </w:r>
      <w:r>
        <w:rPr>
          <w:rFonts w:ascii="宋体" w:hAnsi="宋体" w:cs="宋体" w:eastAsia="宋体" w:hint="default"/>
        </w:rPr>
        <w:t>/</w:t>
      </w:r>
      <w:r>
        <w:rPr/>
        <w:t>股。</w:t>
      </w:r>
    </w:p>
    <w:p>
      <w:pPr>
        <w:spacing w:line="240" w:lineRule="auto" w:before="2"/>
        <w:rPr>
          <w:rFonts w:ascii="宋体" w:hAnsi="宋体" w:cs="宋体" w:eastAsia="宋体" w:hint="default"/>
          <w:sz w:val="15"/>
          <w:szCs w:val="15"/>
        </w:rPr>
      </w:pPr>
    </w:p>
    <w:p>
      <w:pPr>
        <w:pStyle w:val="BodyText"/>
        <w:spacing w:line="240" w:lineRule="auto"/>
        <w:ind w:left="501" w:right="939"/>
        <w:jc w:val="left"/>
      </w:pPr>
      <w:r>
        <w:rPr/>
        <w:t>（</w:t>
      </w:r>
      <w:r>
        <w:rPr>
          <w:rFonts w:ascii="宋体" w:hAnsi="宋体" w:cs="宋体" w:eastAsia="宋体" w:hint="default"/>
        </w:rPr>
        <w:t>2</w:t>
      </w:r>
      <w:r>
        <w:rPr/>
        <w:t>）</w:t>
      </w:r>
      <w:r>
        <w:rPr>
          <w:rFonts w:ascii="宋体" w:hAnsi="宋体" w:cs="宋体" w:eastAsia="宋体" w:hint="default"/>
        </w:rPr>
        <w:t>2016</w:t>
      </w:r>
      <w:r>
        <w:rPr>
          <w:rFonts w:ascii="宋体" w:hAnsi="宋体" w:cs="宋体" w:eastAsia="宋体" w:hint="default"/>
          <w:spacing w:val="-45"/>
        </w:rPr>
        <w:t> </w:t>
      </w:r>
      <w:r>
        <w:rPr/>
        <w:t>年限制性股票</w:t>
      </w:r>
    </w:p>
    <w:p>
      <w:pPr>
        <w:spacing w:line="240" w:lineRule="auto" w:before="0"/>
        <w:rPr>
          <w:rFonts w:ascii="宋体" w:hAnsi="宋体" w:cs="宋体" w:eastAsia="宋体" w:hint="default"/>
          <w:sz w:val="18"/>
          <w:szCs w:val="18"/>
        </w:rPr>
      </w:pPr>
    </w:p>
    <w:p>
      <w:pPr>
        <w:pStyle w:val="BodyText"/>
        <w:spacing w:line="451" w:lineRule="auto" w:before="129"/>
        <w:ind w:right="1126" w:firstLine="360"/>
        <w:jc w:val="both"/>
      </w:pPr>
      <w:r>
        <w:rPr>
          <w:rFonts w:ascii="宋体" w:hAnsi="宋体" w:cs="宋体" w:eastAsia="宋体" w:hint="default"/>
        </w:rPr>
        <w:t>2017</w:t>
      </w:r>
      <w:r>
        <w:rPr>
          <w:rFonts w:ascii="宋体" w:hAnsi="宋体" w:cs="宋体" w:eastAsia="宋体" w:hint="default"/>
          <w:spacing w:val="-45"/>
        </w:rPr>
        <w:t> </w:t>
      </w:r>
      <w:r>
        <w:rPr/>
        <w:t>年</w:t>
      </w:r>
      <w:r>
        <w:rPr>
          <w:spacing w:val="-46"/>
        </w:rPr>
        <w:t> </w:t>
      </w:r>
      <w:r>
        <w:rPr>
          <w:rFonts w:ascii="宋体" w:hAnsi="宋体" w:cs="宋体" w:eastAsia="宋体" w:hint="default"/>
        </w:rPr>
        <w:t>2</w:t>
      </w:r>
      <w:r>
        <w:rPr>
          <w:rFonts w:ascii="宋体" w:hAnsi="宋体" w:cs="宋体" w:eastAsia="宋体" w:hint="default"/>
          <w:spacing w:val="-30"/>
        </w:rPr>
        <w:t> </w:t>
      </w:r>
      <w:r>
        <w:rPr/>
        <w:t>月</w:t>
      </w:r>
      <w:r>
        <w:rPr>
          <w:spacing w:val="-45"/>
        </w:rPr>
        <w:t> </w:t>
      </w:r>
      <w:r>
        <w:rPr>
          <w:rFonts w:ascii="宋体" w:hAnsi="宋体" w:cs="宋体" w:eastAsia="宋体" w:hint="default"/>
        </w:rPr>
        <w:t>8</w:t>
      </w:r>
      <w:r>
        <w:rPr>
          <w:rFonts w:ascii="宋体" w:hAnsi="宋体" w:cs="宋体" w:eastAsia="宋体" w:hint="default"/>
          <w:spacing w:val="-45"/>
        </w:rPr>
        <w:t> </w:t>
      </w:r>
      <w:r>
        <w:rPr/>
        <w:t>日，公司召开</w:t>
      </w:r>
      <w:r>
        <w:rPr>
          <w:spacing w:val="-44"/>
        </w:rPr>
        <w:t> </w:t>
      </w:r>
      <w:r>
        <w:rPr>
          <w:rFonts w:ascii="宋体" w:hAnsi="宋体" w:cs="宋体" w:eastAsia="宋体" w:hint="default"/>
          <w:spacing w:val="3"/>
        </w:rPr>
        <w:t>2017</w:t>
      </w:r>
      <w:r>
        <w:rPr>
          <w:rFonts w:ascii="宋体" w:hAnsi="宋体" w:cs="宋体" w:eastAsia="宋体" w:hint="default"/>
          <w:spacing w:val="-45"/>
        </w:rPr>
        <w:t> </w:t>
      </w:r>
      <w:r>
        <w:rPr/>
        <w:t>年第一次临时股东大会，审议通过了《深圳四方精创资讯股份有限公司</w:t>
      </w:r>
      <w:r>
        <w:rPr>
          <w:spacing w:val="-38"/>
        </w:rPr>
        <w:t> </w:t>
      </w:r>
      <w:r>
        <w:rPr>
          <w:rFonts w:ascii="宋体" w:hAnsi="宋体" w:cs="宋体" w:eastAsia="宋体" w:hint="default"/>
          <w:spacing w:val="3"/>
        </w:rPr>
        <w:t>2016</w:t>
      </w:r>
      <w:r>
        <w:rPr>
          <w:rFonts w:ascii="宋体" w:hAnsi="宋体" w:cs="宋体" w:eastAsia="宋体" w:hint="default"/>
          <w:spacing w:val="-45"/>
        </w:rPr>
        <w:t> </w:t>
      </w:r>
      <w:r>
        <w:rPr/>
        <w:t>年限制 </w:t>
      </w:r>
      <w:r>
        <w:rPr>
          <w:spacing w:val="-5"/>
        </w:rPr>
        <w:t>性股票激励计划（草案）》、《关于审核</w:t>
      </w:r>
      <w:r>
        <w:rPr>
          <w:rFonts w:ascii="宋体" w:hAnsi="宋体" w:cs="宋体" w:eastAsia="宋体" w:hint="default"/>
          <w:spacing w:val="-5"/>
        </w:rPr>
        <w:t>&lt;</w:t>
      </w:r>
      <w:r>
        <w:rPr>
          <w:spacing w:val="-5"/>
        </w:rPr>
        <w:t>深圳四方精创资讯股份有限公司限制性股票激励计划（草案）</w:t>
      </w:r>
      <w:r>
        <w:rPr>
          <w:rFonts w:ascii="宋体" w:hAnsi="宋体" w:cs="宋体" w:eastAsia="宋体" w:hint="default"/>
          <w:spacing w:val="-5"/>
        </w:rPr>
        <w:t>&gt;</w:t>
      </w:r>
      <w:r>
        <w:rPr>
          <w:spacing w:val="-5"/>
        </w:rPr>
        <w:t>及其摘要的议案》以</w:t>
      </w:r>
      <w:r>
        <w:rPr>
          <w:spacing w:val="-71"/>
        </w:rPr>
        <w:t> </w:t>
      </w:r>
      <w:r>
        <w:rPr/>
        <w:t>及《关于提请股东大会授权董事会办理公司</w:t>
      </w:r>
      <w:r>
        <w:rPr>
          <w:spacing w:val="-41"/>
        </w:rPr>
        <w:t> </w:t>
      </w:r>
      <w:r>
        <w:rPr>
          <w:rFonts w:ascii="宋体" w:hAnsi="宋体" w:cs="宋体" w:eastAsia="宋体" w:hint="default"/>
        </w:rPr>
        <w:t>2016</w:t>
      </w:r>
      <w:r>
        <w:rPr>
          <w:rFonts w:ascii="宋体" w:hAnsi="宋体" w:cs="宋体" w:eastAsia="宋体" w:hint="default"/>
          <w:spacing w:val="-45"/>
        </w:rPr>
        <w:t> </w:t>
      </w:r>
      <w:r>
        <w:rPr/>
        <w:t>年限制性股票激励计划相关事宜的议案》等议案。根据上述规定，公司向</w:t>
      </w:r>
    </w:p>
    <w:p>
      <w:pPr>
        <w:pStyle w:val="BodyText"/>
        <w:spacing w:line="240" w:lineRule="auto" w:before="41"/>
        <w:ind w:right="0"/>
        <w:jc w:val="both"/>
      </w:pPr>
      <w:r>
        <w:rPr/>
        <w:t>第一批激励对象授予</w:t>
      </w:r>
      <w:r>
        <w:rPr>
          <w:spacing w:val="-43"/>
        </w:rPr>
        <w:t> </w:t>
      </w:r>
      <w:r>
        <w:rPr>
          <w:rFonts w:ascii="宋体" w:hAnsi="宋体" w:cs="宋体" w:eastAsia="宋体" w:hint="default"/>
        </w:rPr>
        <w:t>1,076,800.00</w:t>
      </w:r>
      <w:r>
        <w:rPr>
          <w:rFonts w:ascii="宋体" w:hAnsi="宋体" w:cs="宋体" w:eastAsia="宋体" w:hint="default"/>
          <w:spacing w:val="-44"/>
        </w:rPr>
        <w:t> </w:t>
      </w:r>
      <w:r>
        <w:rPr/>
        <w:t>股限制性股票。</w:t>
      </w:r>
      <w:r>
        <w:rPr>
          <w:rFonts w:ascii="宋体" w:hAnsi="宋体" w:cs="宋体" w:eastAsia="宋体" w:hint="default"/>
        </w:rPr>
        <w:t>2018</w:t>
      </w:r>
      <w:r>
        <w:rPr>
          <w:rFonts w:ascii="宋体" w:hAnsi="宋体" w:cs="宋体" w:eastAsia="宋体" w:hint="default"/>
          <w:spacing w:val="-45"/>
        </w:rPr>
        <w:t> </w:t>
      </w:r>
      <w:r>
        <w:rPr/>
        <w:t>年授予第二批</w:t>
      </w:r>
      <w:r>
        <w:rPr>
          <w:spacing w:val="-44"/>
        </w:rPr>
        <w:t> </w:t>
      </w:r>
      <w:r>
        <w:rPr>
          <w:rFonts w:ascii="宋体" w:hAnsi="宋体" w:cs="宋体" w:eastAsia="宋体" w:hint="default"/>
        </w:rPr>
        <w:t>2</w:t>
      </w:r>
      <w:r>
        <w:rPr>
          <w:rFonts w:ascii="宋体" w:hAnsi="宋体" w:cs="宋体" w:eastAsia="宋体" w:hint="default"/>
          <w:spacing w:val="-45"/>
        </w:rPr>
        <w:t> </w:t>
      </w:r>
      <w:r>
        <w:rPr/>
        <w:t>名激励对象</w:t>
      </w:r>
      <w:r>
        <w:rPr>
          <w:spacing w:val="-44"/>
        </w:rPr>
        <w:t> </w:t>
      </w:r>
      <w:r>
        <w:rPr>
          <w:rFonts w:ascii="宋体" w:hAnsi="宋体" w:cs="宋体" w:eastAsia="宋体" w:hint="default"/>
        </w:rPr>
        <w:t>276,000.00</w:t>
      </w:r>
      <w:r>
        <w:rPr>
          <w:rFonts w:ascii="宋体" w:hAnsi="宋体" w:cs="宋体" w:eastAsia="宋体" w:hint="default"/>
          <w:spacing w:val="-44"/>
        </w:rPr>
        <w:t> </w:t>
      </w:r>
      <w:r>
        <w:rPr/>
        <w:t>股。</w:t>
      </w:r>
    </w:p>
    <w:p>
      <w:pPr>
        <w:spacing w:line="240" w:lineRule="auto" w:before="0"/>
        <w:rPr>
          <w:rFonts w:ascii="宋体" w:hAnsi="宋体" w:cs="宋体" w:eastAsia="宋体" w:hint="default"/>
          <w:sz w:val="18"/>
          <w:szCs w:val="18"/>
        </w:rPr>
      </w:pPr>
    </w:p>
    <w:p>
      <w:pPr>
        <w:pStyle w:val="BodyText"/>
        <w:spacing w:line="448" w:lineRule="auto" w:before="129"/>
        <w:ind w:right="1096" w:firstLine="360"/>
        <w:jc w:val="both"/>
      </w:pPr>
      <w:r>
        <w:rPr/>
        <w:t>根据相关规定，</w:t>
      </w:r>
      <w:r>
        <w:rPr>
          <w:spacing w:val="1"/>
        </w:rPr>
        <w:t> </w:t>
      </w:r>
      <w:r>
        <w:rPr/>
        <w:t>股权激励计划有效期为自首次授予期权工具的授权日起四年。本激励计划授予的期权工具自授权日起</w:t>
      </w:r>
      <w:r>
        <w:rPr/>
        <w:t> 满</w:t>
      </w:r>
      <w:r>
        <w:rPr>
          <w:spacing w:val="-43"/>
        </w:rPr>
        <w:t> </w:t>
      </w:r>
      <w:r>
        <w:rPr>
          <w:rFonts w:ascii="宋体" w:hAnsi="宋体" w:cs="宋体" w:eastAsia="宋体" w:hint="default"/>
        </w:rPr>
        <w:t>12</w:t>
      </w:r>
      <w:r>
        <w:rPr>
          <w:rFonts w:ascii="宋体" w:hAnsi="宋体" w:cs="宋体" w:eastAsia="宋体" w:hint="default"/>
          <w:spacing w:val="-43"/>
        </w:rPr>
        <w:t> </w:t>
      </w:r>
      <w:r>
        <w:rPr>
          <w:spacing w:val="-6"/>
        </w:rPr>
        <w:t>个月后可以开始行权。主要行权条件：在本股权激励计划有效期内，以</w:t>
      </w:r>
      <w:r>
        <w:rPr>
          <w:spacing w:val="-37"/>
        </w:rPr>
        <w:t> </w:t>
      </w:r>
      <w:r>
        <w:rPr>
          <w:rFonts w:ascii="宋体" w:hAnsi="宋体" w:cs="宋体" w:eastAsia="宋体" w:hint="default"/>
        </w:rPr>
        <w:t>2016</w:t>
      </w:r>
      <w:r>
        <w:rPr>
          <w:rFonts w:ascii="宋体" w:hAnsi="宋体" w:cs="宋体" w:eastAsia="宋体" w:hint="default"/>
          <w:spacing w:val="-43"/>
        </w:rPr>
        <w:t> </w:t>
      </w:r>
      <w:r>
        <w:rPr>
          <w:spacing w:val="-4"/>
        </w:rPr>
        <w:t>年净利润为基数，</w:t>
      </w:r>
      <w:r>
        <w:rPr>
          <w:rFonts w:ascii="宋体" w:hAnsi="宋体" w:cs="宋体" w:eastAsia="宋体" w:hint="default"/>
          <w:spacing w:val="-4"/>
        </w:rPr>
        <w:t>2017-2019</w:t>
      </w:r>
      <w:r>
        <w:rPr>
          <w:rFonts w:ascii="宋体" w:hAnsi="宋体" w:cs="宋体" w:eastAsia="宋体" w:hint="default"/>
          <w:spacing w:val="-43"/>
        </w:rPr>
        <w:t> </w:t>
      </w:r>
      <w:r>
        <w:rPr/>
        <w:t>年相对于</w:t>
      </w:r>
      <w:r>
        <w:rPr>
          <w:spacing w:val="-42"/>
        </w:rPr>
        <w:t> </w:t>
      </w:r>
      <w:r>
        <w:rPr>
          <w:rFonts w:ascii="宋体" w:hAnsi="宋体" w:cs="宋体" w:eastAsia="宋体" w:hint="default"/>
        </w:rPr>
        <w:t>2016 </w:t>
      </w:r>
      <w:r>
        <w:rPr/>
        <w:t>年的净利润增长率分别不低于</w:t>
      </w:r>
      <w:r>
        <w:rPr>
          <w:spacing w:val="-57"/>
        </w:rPr>
        <w:t> </w:t>
      </w:r>
      <w:r>
        <w:rPr>
          <w:rFonts w:ascii="宋体" w:hAnsi="宋体" w:cs="宋体" w:eastAsia="宋体" w:hint="default"/>
        </w:rPr>
        <w:t>15%</w:t>
      </w:r>
      <w:r>
        <w:rPr/>
        <w:t>、</w:t>
      </w:r>
      <w:r>
        <w:rPr>
          <w:rFonts w:ascii="宋体" w:hAnsi="宋体" w:cs="宋体" w:eastAsia="宋体" w:hint="default"/>
        </w:rPr>
        <w:t>20%</w:t>
      </w:r>
      <w:r>
        <w:rPr/>
        <w:t>及</w:t>
      </w:r>
      <w:r>
        <w:rPr>
          <w:spacing w:val="-59"/>
        </w:rPr>
        <w:t> </w:t>
      </w:r>
      <w:r>
        <w:rPr>
          <w:rFonts w:ascii="宋体" w:hAnsi="宋体" w:cs="宋体" w:eastAsia="宋体" w:hint="default"/>
        </w:rPr>
        <w:t>25%</w:t>
      </w:r>
      <w:r>
        <w:rPr/>
        <w:t>。预留部分的限制性股票的行权条件为，以</w:t>
      </w:r>
      <w:r>
        <w:rPr>
          <w:spacing w:val="-57"/>
        </w:rPr>
        <w:t> </w:t>
      </w:r>
      <w:r>
        <w:rPr>
          <w:rFonts w:ascii="宋体" w:hAnsi="宋体" w:cs="宋体" w:eastAsia="宋体" w:hint="default"/>
        </w:rPr>
        <w:t>2016</w:t>
      </w:r>
      <w:r>
        <w:rPr>
          <w:rFonts w:ascii="宋体" w:hAnsi="宋体" w:cs="宋体" w:eastAsia="宋体" w:hint="default"/>
          <w:spacing w:val="-59"/>
        </w:rPr>
        <w:t> </w:t>
      </w:r>
      <w:r>
        <w:rPr/>
        <w:t>年净利润为基数，</w:t>
      </w:r>
      <w:r>
        <w:rPr>
          <w:rFonts w:ascii="宋体" w:hAnsi="宋体" w:cs="宋体" w:eastAsia="宋体" w:hint="default"/>
        </w:rPr>
        <w:t>2018-2019 </w:t>
      </w:r>
      <w:r>
        <w:rPr/>
        <w:t>年相对于</w:t>
      </w:r>
      <w:r>
        <w:rPr>
          <w:spacing w:val="-44"/>
        </w:rPr>
        <w:t> </w:t>
      </w:r>
      <w:r>
        <w:rPr>
          <w:rFonts w:ascii="宋体" w:hAnsi="宋体" w:cs="宋体" w:eastAsia="宋体" w:hint="default"/>
        </w:rPr>
        <w:t>2016</w:t>
      </w:r>
      <w:r>
        <w:rPr>
          <w:rFonts w:ascii="宋体" w:hAnsi="宋体" w:cs="宋体" w:eastAsia="宋体" w:hint="default"/>
          <w:spacing w:val="-45"/>
        </w:rPr>
        <w:t> </w:t>
      </w:r>
      <w:r>
        <w:rPr/>
        <w:t>年的净利润增长率分别不低于</w:t>
      </w:r>
      <w:r>
        <w:rPr>
          <w:spacing w:val="-42"/>
        </w:rPr>
        <w:t> </w:t>
      </w:r>
      <w:r>
        <w:rPr>
          <w:rFonts w:ascii="宋体" w:hAnsi="宋体" w:cs="宋体" w:eastAsia="宋体" w:hint="default"/>
        </w:rPr>
        <w:t>20%</w:t>
      </w:r>
      <w:r>
        <w:rPr/>
        <w:t>及</w:t>
      </w:r>
      <w:r>
        <w:rPr>
          <w:spacing w:val="-45"/>
        </w:rPr>
        <w:t> </w:t>
      </w:r>
      <w:r>
        <w:rPr>
          <w:rFonts w:ascii="宋体" w:hAnsi="宋体" w:cs="宋体" w:eastAsia="宋体" w:hint="default"/>
        </w:rPr>
        <w:t>25%</w:t>
      </w:r>
      <w:r>
        <w:rPr/>
        <w:t>。</w:t>
      </w:r>
    </w:p>
    <w:p>
      <w:pPr>
        <w:spacing w:line="240" w:lineRule="auto" w:before="12"/>
        <w:rPr>
          <w:rFonts w:ascii="宋体" w:hAnsi="宋体" w:cs="宋体" w:eastAsia="宋体" w:hint="default"/>
          <w:sz w:val="15"/>
          <w:szCs w:val="15"/>
        </w:rPr>
      </w:pPr>
    </w:p>
    <w:p>
      <w:pPr>
        <w:pStyle w:val="BodyText"/>
        <w:spacing w:line="444" w:lineRule="auto"/>
        <w:ind w:right="1028" w:firstLine="360"/>
        <w:jc w:val="both"/>
      </w:pPr>
      <w:r>
        <w:rPr>
          <w:rFonts w:ascii="宋体" w:hAnsi="宋体" w:cs="宋体" w:eastAsia="宋体" w:hint="default"/>
        </w:rPr>
        <w:t>2017</w:t>
      </w:r>
      <w:r>
        <w:rPr>
          <w:rFonts w:ascii="宋体" w:hAnsi="宋体" w:cs="宋体" w:eastAsia="宋体" w:hint="default"/>
          <w:spacing w:val="-42"/>
        </w:rPr>
        <w:t> </w:t>
      </w:r>
      <w:r>
        <w:rPr/>
        <w:t>年</w:t>
      </w:r>
      <w:r>
        <w:rPr>
          <w:spacing w:val="-43"/>
        </w:rPr>
        <w:t> </w:t>
      </w:r>
      <w:r>
        <w:rPr>
          <w:rFonts w:ascii="宋体" w:hAnsi="宋体" w:cs="宋体" w:eastAsia="宋体" w:hint="default"/>
        </w:rPr>
        <w:t>8</w:t>
      </w:r>
      <w:r>
        <w:rPr>
          <w:rFonts w:ascii="宋体" w:hAnsi="宋体" w:cs="宋体" w:eastAsia="宋体" w:hint="default"/>
          <w:spacing w:val="-42"/>
        </w:rPr>
        <w:t> </w:t>
      </w:r>
      <w:r>
        <w:rPr/>
        <w:t>月</w:t>
      </w:r>
      <w:r>
        <w:rPr>
          <w:spacing w:val="-42"/>
        </w:rPr>
        <w:t> </w:t>
      </w:r>
      <w:r>
        <w:rPr>
          <w:rFonts w:ascii="宋体" w:hAnsi="宋体" w:cs="宋体" w:eastAsia="宋体" w:hint="default"/>
        </w:rPr>
        <w:t>23</w:t>
      </w:r>
      <w:r>
        <w:rPr>
          <w:rFonts w:ascii="宋体" w:hAnsi="宋体" w:cs="宋体" w:eastAsia="宋体" w:hint="default"/>
          <w:spacing w:val="-42"/>
        </w:rPr>
        <w:t> </w:t>
      </w:r>
      <w:r>
        <w:rPr>
          <w:spacing w:val="-3"/>
        </w:rPr>
        <w:t>日，根据公司第二届董事会第二十三次会议审议通过的《关于回购注销部分已授予限制性股票的议案》，</w:t>
      </w:r>
      <w:r>
        <w:rPr/>
        <w:t> 公司向离职员工回购注销其已获授但未解锁的全部限制性股票</w:t>
      </w:r>
      <w:r>
        <w:rPr>
          <w:spacing w:val="-39"/>
        </w:rPr>
        <w:t> </w:t>
      </w:r>
      <w:r>
        <w:rPr>
          <w:rFonts w:ascii="宋体" w:hAnsi="宋体" w:cs="宋体" w:eastAsia="宋体" w:hint="default"/>
        </w:rPr>
        <w:t>14,800.00</w:t>
      </w:r>
      <w:r>
        <w:rPr/>
        <w:t>，回购价格为授予价格</w:t>
      </w:r>
      <w:r>
        <w:rPr>
          <w:spacing w:val="-43"/>
        </w:rPr>
        <w:t> </w:t>
      </w:r>
      <w:r>
        <w:rPr>
          <w:rFonts w:ascii="宋体" w:hAnsi="宋体" w:cs="宋体" w:eastAsia="宋体" w:hint="default"/>
        </w:rPr>
        <w:t>28.90</w:t>
      </w:r>
      <w:r>
        <w:rPr>
          <w:rFonts w:ascii="宋体" w:hAnsi="宋体" w:cs="宋体" w:eastAsia="宋体" w:hint="default"/>
          <w:spacing w:val="-45"/>
        </w:rPr>
        <w:t> </w:t>
      </w:r>
      <w:r>
        <w:rPr/>
        <w:t>元</w:t>
      </w:r>
      <w:r>
        <w:rPr>
          <w:rFonts w:ascii="宋体" w:hAnsi="宋体" w:cs="宋体" w:eastAsia="宋体" w:hint="default"/>
        </w:rPr>
        <w:t>/</w:t>
      </w:r>
      <w:r>
        <w:rPr/>
        <w:t>股。</w:t>
      </w:r>
    </w:p>
    <w:p>
      <w:pPr>
        <w:spacing w:line="240" w:lineRule="auto" w:before="3"/>
        <w:rPr>
          <w:rFonts w:ascii="宋体" w:hAnsi="宋体" w:cs="宋体" w:eastAsia="宋体" w:hint="default"/>
          <w:sz w:val="16"/>
          <w:szCs w:val="16"/>
        </w:rPr>
      </w:pPr>
    </w:p>
    <w:p>
      <w:pPr>
        <w:pStyle w:val="BodyText"/>
        <w:spacing w:line="240" w:lineRule="auto"/>
        <w:ind w:left="501" w:right="939"/>
        <w:jc w:val="left"/>
      </w:pPr>
      <w:r>
        <w:rPr>
          <w:rFonts w:ascii="宋体" w:hAnsi="宋体" w:cs="宋体" w:eastAsia="宋体" w:hint="default"/>
        </w:rPr>
        <w:t>2018 </w:t>
      </w:r>
      <w:r>
        <w:rPr/>
        <w:t>年 </w:t>
      </w:r>
      <w:r>
        <w:rPr>
          <w:rFonts w:ascii="宋体" w:hAnsi="宋体" w:cs="宋体" w:eastAsia="宋体" w:hint="default"/>
        </w:rPr>
        <w:t>1 </w:t>
      </w:r>
      <w:r>
        <w:rPr/>
        <w:t>月 </w:t>
      </w:r>
      <w:r>
        <w:rPr>
          <w:rFonts w:ascii="宋体" w:hAnsi="宋体" w:cs="宋体" w:eastAsia="宋体" w:hint="default"/>
        </w:rPr>
        <w:t>16</w:t>
      </w:r>
      <w:r>
        <w:rPr>
          <w:rFonts w:ascii="宋体" w:hAnsi="宋体" w:cs="宋体" w:eastAsia="宋体" w:hint="default"/>
          <w:spacing w:val="42"/>
        </w:rPr>
        <w:t> </w:t>
      </w:r>
      <w:r>
        <w:rPr>
          <w:spacing w:val="-3"/>
        </w:rPr>
        <w:t>日，公司召开第二届董事会第二十八次会议审议并通过了《关于向激励对象授予预留限制性股票的议</w:t>
      </w:r>
    </w:p>
    <w:p>
      <w:pPr>
        <w:spacing w:line="240" w:lineRule="auto" w:before="4"/>
        <w:rPr>
          <w:rFonts w:ascii="宋体" w:hAnsi="宋体" w:cs="宋体" w:eastAsia="宋体" w:hint="default"/>
          <w:sz w:val="15"/>
          <w:szCs w:val="15"/>
        </w:rPr>
      </w:pPr>
    </w:p>
    <w:p>
      <w:pPr>
        <w:pStyle w:val="BodyText"/>
        <w:spacing w:line="240" w:lineRule="auto"/>
        <w:ind w:right="0"/>
        <w:jc w:val="both"/>
      </w:pPr>
      <w:r>
        <w:rPr/>
        <w:t>案</w:t>
      </w:r>
      <w:r>
        <w:rPr>
          <w:spacing w:val="-90"/>
        </w:rPr>
        <w:t>》</w:t>
      </w:r>
      <w:r>
        <w:rPr/>
        <w:t>，</w:t>
      </w:r>
      <w:r>
        <w:rPr>
          <w:spacing w:val="-15"/>
        </w:rPr>
        <w:t> </w:t>
      </w:r>
      <w:r>
        <w:rPr>
          <w:rFonts w:ascii="宋体" w:hAnsi="宋体" w:cs="宋体" w:eastAsia="宋体" w:hint="default"/>
        </w:rPr>
        <w:t>2016 </w:t>
      </w:r>
      <w:r>
        <w:rPr/>
        <w:t>年限制性股票激励计划规定的预留限制性股票的授予条件已经成就</w:t>
      </w:r>
      <w:r>
        <w:rPr>
          <w:spacing w:val="-15"/>
        </w:rPr>
        <w:t>，</w:t>
      </w:r>
      <w:r>
        <w:rPr/>
        <w:t>确定</w:t>
      </w:r>
      <w:r>
        <w:rPr>
          <w:spacing w:val="7"/>
        </w:rPr>
        <w:t> </w:t>
      </w:r>
      <w:r>
        <w:rPr>
          <w:rFonts w:ascii="宋体" w:hAnsi="宋体" w:cs="宋体" w:eastAsia="宋体" w:hint="default"/>
        </w:rPr>
        <w:t>2018 </w:t>
      </w:r>
      <w:r>
        <w:rPr/>
        <w:t>年 </w:t>
      </w:r>
      <w:r>
        <w:rPr>
          <w:rFonts w:ascii="宋体" w:hAnsi="宋体" w:cs="宋体" w:eastAsia="宋体" w:hint="default"/>
        </w:rPr>
        <w:t>1</w:t>
      </w:r>
      <w:r>
        <w:rPr>
          <w:rFonts w:ascii="宋体" w:hAnsi="宋体" w:cs="宋体" w:eastAsia="宋体" w:hint="default"/>
          <w:spacing w:val="-45"/>
        </w:rPr>
        <w:t> </w:t>
      </w:r>
      <w:r>
        <w:rPr/>
        <w:t>月 </w:t>
      </w:r>
      <w:r>
        <w:rPr>
          <w:rFonts w:ascii="宋体" w:hAnsi="宋体" w:cs="宋体" w:eastAsia="宋体" w:hint="default"/>
        </w:rPr>
        <w:t>16 </w:t>
      </w:r>
      <w:r>
        <w:rPr/>
        <w:t>日为授予日</w:t>
      </w:r>
      <w:r>
        <w:rPr>
          <w:spacing w:val="-15"/>
        </w:rPr>
        <w:t>，</w:t>
      </w:r>
      <w:r>
        <w:rPr/>
        <w:t>授予</w:t>
      </w:r>
    </w:p>
    <w:p>
      <w:pPr>
        <w:spacing w:line="240" w:lineRule="auto" w:before="4"/>
        <w:rPr>
          <w:rFonts w:ascii="宋体" w:hAnsi="宋体" w:cs="宋体" w:eastAsia="宋体" w:hint="default"/>
          <w:sz w:val="15"/>
          <w:szCs w:val="15"/>
        </w:rPr>
      </w:pPr>
    </w:p>
    <w:p>
      <w:pPr>
        <w:pStyle w:val="BodyText"/>
        <w:spacing w:line="240" w:lineRule="auto"/>
        <w:ind w:right="0"/>
        <w:jc w:val="both"/>
      </w:pPr>
      <w:r>
        <w:rPr/>
        <w:t>价格为每股 </w:t>
      </w:r>
      <w:r>
        <w:rPr>
          <w:rFonts w:ascii="宋体" w:hAnsi="宋体" w:cs="宋体" w:eastAsia="宋体" w:hint="default"/>
        </w:rPr>
        <w:t>23.82 </w:t>
      </w:r>
      <w:r>
        <w:rPr/>
        <w:t>元，授予 </w:t>
      </w:r>
      <w:r>
        <w:rPr>
          <w:rFonts w:ascii="宋体" w:hAnsi="宋体" w:cs="宋体" w:eastAsia="宋体" w:hint="default"/>
        </w:rPr>
        <w:t>2 </w:t>
      </w:r>
      <w:r>
        <w:rPr/>
        <w:t>名激励对象 </w:t>
      </w:r>
      <w:r>
        <w:rPr>
          <w:rFonts w:ascii="宋体" w:hAnsi="宋体" w:cs="宋体" w:eastAsia="宋体" w:hint="default"/>
        </w:rPr>
        <w:t>276,000</w:t>
      </w:r>
      <w:r>
        <w:rPr>
          <w:rFonts w:ascii="宋体" w:hAnsi="宋体" w:cs="宋体" w:eastAsia="宋体" w:hint="default"/>
          <w:spacing w:val="3"/>
        </w:rPr>
        <w:t> </w:t>
      </w:r>
      <w:r>
        <w:rPr/>
        <w:t>股限制性股票。</w:t>
      </w:r>
    </w:p>
    <w:p>
      <w:pPr>
        <w:spacing w:line="240" w:lineRule="auto" w:before="0"/>
        <w:rPr>
          <w:rFonts w:ascii="宋体" w:hAnsi="宋体" w:cs="宋体" w:eastAsia="宋体" w:hint="default"/>
          <w:sz w:val="18"/>
          <w:szCs w:val="18"/>
        </w:rPr>
      </w:pPr>
    </w:p>
    <w:p>
      <w:pPr>
        <w:pStyle w:val="BodyText"/>
        <w:spacing w:line="240" w:lineRule="auto" w:before="129"/>
        <w:ind w:left="501" w:right="939"/>
        <w:jc w:val="left"/>
      </w:pPr>
      <w:r>
        <w:rPr>
          <w:rFonts w:ascii="宋体" w:hAnsi="宋体" w:cs="宋体" w:eastAsia="宋体" w:hint="default"/>
        </w:rPr>
        <w:t>2018</w:t>
      </w:r>
      <w:r>
        <w:rPr>
          <w:rFonts w:ascii="宋体" w:hAnsi="宋体" w:cs="宋体" w:eastAsia="宋体" w:hint="default"/>
          <w:spacing w:val="-33"/>
        </w:rPr>
        <w:t> </w:t>
      </w:r>
      <w:r>
        <w:rPr/>
        <w:t>年</w:t>
      </w:r>
      <w:r>
        <w:rPr>
          <w:spacing w:val="-34"/>
        </w:rPr>
        <w:t> </w:t>
      </w:r>
      <w:r>
        <w:rPr>
          <w:rFonts w:ascii="宋体" w:hAnsi="宋体" w:cs="宋体" w:eastAsia="宋体" w:hint="default"/>
        </w:rPr>
        <w:t>4</w:t>
      </w:r>
      <w:r>
        <w:rPr>
          <w:rFonts w:ascii="宋体" w:hAnsi="宋体" w:cs="宋体" w:eastAsia="宋体" w:hint="default"/>
          <w:spacing w:val="-47"/>
        </w:rPr>
        <w:t> </w:t>
      </w:r>
      <w:r>
        <w:rPr/>
        <w:t>月</w:t>
      </w:r>
      <w:r>
        <w:rPr>
          <w:spacing w:val="-33"/>
        </w:rPr>
        <w:t> </w:t>
      </w:r>
      <w:r>
        <w:rPr>
          <w:rFonts w:ascii="宋体" w:hAnsi="宋体" w:cs="宋体" w:eastAsia="宋体" w:hint="default"/>
        </w:rPr>
        <w:t>20</w:t>
      </w:r>
      <w:r>
        <w:rPr>
          <w:rFonts w:ascii="宋体" w:hAnsi="宋体" w:cs="宋体" w:eastAsia="宋体" w:hint="default"/>
          <w:spacing w:val="-33"/>
        </w:rPr>
        <w:t> </w:t>
      </w:r>
      <w:r>
        <w:rPr/>
        <w:t>日，公司召开第三届董事会第二次会议，审议通过了《关于</w:t>
      </w:r>
      <w:r>
        <w:rPr>
          <w:spacing w:val="-28"/>
        </w:rPr>
        <w:t> </w:t>
      </w:r>
      <w:r>
        <w:rPr>
          <w:rFonts w:ascii="宋体" w:hAnsi="宋体" w:cs="宋体" w:eastAsia="宋体" w:hint="default"/>
        </w:rPr>
        <w:t>2016</w:t>
      </w:r>
      <w:r>
        <w:rPr>
          <w:rFonts w:ascii="宋体" w:hAnsi="宋体" w:cs="宋体" w:eastAsia="宋体" w:hint="default"/>
          <w:spacing w:val="-33"/>
        </w:rPr>
        <w:t> </w:t>
      </w:r>
      <w:r>
        <w:rPr/>
        <w:t>年限制性股票激励计划首次授予部分</w:t>
      </w:r>
    </w:p>
    <w:p>
      <w:pPr>
        <w:spacing w:line="240" w:lineRule="auto" w:before="4"/>
        <w:rPr>
          <w:rFonts w:ascii="宋体" w:hAnsi="宋体" w:cs="宋体" w:eastAsia="宋体" w:hint="default"/>
          <w:sz w:val="15"/>
          <w:szCs w:val="15"/>
        </w:rPr>
      </w:pPr>
    </w:p>
    <w:p>
      <w:pPr>
        <w:pStyle w:val="BodyText"/>
        <w:spacing w:line="240" w:lineRule="auto"/>
        <w:ind w:right="0"/>
        <w:jc w:val="both"/>
        <w:rPr>
          <w:rFonts w:ascii="宋体" w:hAnsi="宋体" w:cs="宋体" w:eastAsia="宋体" w:hint="default"/>
        </w:rPr>
      </w:pPr>
      <w:r>
        <w:rPr/>
        <w:t>第一个解锁期解锁条件成就的议案</w:t>
      </w:r>
      <w:r>
        <w:rPr>
          <w:spacing w:val="-90"/>
        </w:rPr>
        <w:t>》、</w:t>
      </w:r>
      <w:r>
        <w:rPr/>
        <w:t>《关于回购注销部分已授予限制性股票的议案</w:t>
      </w:r>
      <w:r>
        <w:rPr>
          <w:spacing w:val="-90"/>
        </w:rPr>
        <w:t>》</w:t>
      </w:r>
      <w:r>
        <w:rPr/>
        <w:t>，同意对符合解锁条件的激励对象</w:t>
      </w:r>
      <w:r>
        <w:rPr>
          <w:spacing w:val="11"/>
        </w:rPr>
        <w:t> </w:t>
      </w:r>
      <w:r>
        <w:rPr>
          <w:rFonts w:ascii="宋体" w:hAnsi="宋体" w:cs="宋体" w:eastAsia="宋体" w:hint="default"/>
        </w:rPr>
        <w:t>140</w:t>
      </w:r>
    </w:p>
    <w:p>
      <w:pPr>
        <w:spacing w:line="240" w:lineRule="auto" w:before="6"/>
        <w:rPr>
          <w:rFonts w:ascii="宋体" w:hAnsi="宋体" w:cs="宋体" w:eastAsia="宋体" w:hint="default"/>
          <w:sz w:val="16"/>
          <w:szCs w:val="16"/>
        </w:rPr>
      </w:pPr>
    </w:p>
    <w:p>
      <w:pPr>
        <w:pStyle w:val="BodyText"/>
        <w:spacing w:line="240" w:lineRule="auto"/>
        <w:ind w:right="0"/>
        <w:jc w:val="both"/>
      </w:pPr>
      <w:r>
        <w:rPr/>
        <w:t>名，解锁数量为</w:t>
      </w:r>
      <w:r>
        <w:rPr>
          <w:spacing w:val="-44"/>
        </w:rPr>
        <w:t> </w:t>
      </w:r>
      <w:r>
        <w:rPr>
          <w:rFonts w:ascii="宋体" w:hAnsi="宋体" w:cs="宋体" w:eastAsia="宋体" w:hint="default"/>
        </w:rPr>
        <w:t>311,340</w:t>
      </w:r>
      <w:r>
        <w:rPr>
          <w:rFonts w:ascii="宋体" w:hAnsi="宋体" w:cs="宋体" w:eastAsia="宋体" w:hint="default"/>
          <w:spacing w:val="-44"/>
        </w:rPr>
        <w:t> </w:t>
      </w:r>
      <w:r>
        <w:rPr/>
        <w:t>股，按规定解锁并为其办理相应的解锁手续，同意回购注销限制性股票</w:t>
      </w:r>
      <w:r>
        <w:rPr>
          <w:spacing w:val="-38"/>
        </w:rPr>
        <w:t> </w:t>
      </w:r>
      <w:r>
        <w:rPr>
          <w:rFonts w:ascii="宋体" w:hAnsi="宋体" w:cs="宋体" w:eastAsia="宋体" w:hint="default"/>
        </w:rPr>
        <w:t>24,200</w:t>
      </w:r>
      <w:r>
        <w:rPr>
          <w:rFonts w:ascii="宋体" w:hAnsi="宋体" w:cs="宋体" w:eastAsia="宋体" w:hint="default"/>
          <w:spacing w:val="-45"/>
        </w:rPr>
        <w:t> </w:t>
      </w:r>
      <w:r>
        <w:rPr/>
        <w:t>股，回购价格为授</w:t>
      </w:r>
    </w:p>
    <w:p>
      <w:pPr>
        <w:spacing w:line="240" w:lineRule="auto" w:before="3"/>
        <w:rPr>
          <w:rFonts w:ascii="宋体" w:hAnsi="宋体" w:cs="宋体" w:eastAsia="宋体" w:hint="default"/>
          <w:sz w:val="15"/>
          <w:szCs w:val="15"/>
        </w:rPr>
      </w:pPr>
    </w:p>
    <w:p>
      <w:pPr>
        <w:pStyle w:val="BodyText"/>
        <w:spacing w:line="240" w:lineRule="auto"/>
        <w:ind w:right="0"/>
        <w:jc w:val="both"/>
      </w:pPr>
      <w:r>
        <w:rPr/>
        <w:t>予价格人民币</w:t>
      </w:r>
      <w:r>
        <w:rPr>
          <w:spacing w:val="-44"/>
        </w:rPr>
        <w:t> </w:t>
      </w:r>
      <w:r>
        <w:rPr>
          <w:rFonts w:ascii="宋体" w:hAnsi="宋体" w:cs="宋体" w:eastAsia="宋体" w:hint="default"/>
        </w:rPr>
        <w:t>28.90</w:t>
      </w:r>
      <w:r>
        <w:rPr>
          <w:rFonts w:ascii="宋体" w:hAnsi="宋体" w:cs="宋体" w:eastAsia="宋体" w:hint="default"/>
          <w:spacing w:val="-45"/>
        </w:rPr>
        <w:t> </w:t>
      </w:r>
      <w:r>
        <w:rPr/>
        <w:t>元</w:t>
      </w:r>
      <w:r>
        <w:rPr>
          <w:rFonts w:ascii="宋体" w:hAnsi="宋体" w:cs="宋体" w:eastAsia="宋体" w:hint="default"/>
        </w:rPr>
        <w:t>/</w:t>
      </w:r>
      <w:r>
        <w:rPr/>
        <w:t>股。</w:t>
      </w:r>
    </w:p>
    <w:p>
      <w:pPr>
        <w:spacing w:line="240" w:lineRule="auto" w:before="0"/>
        <w:rPr>
          <w:rFonts w:ascii="宋体" w:hAnsi="宋体" w:cs="宋体" w:eastAsia="宋体" w:hint="default"/>
          <w:sz w:val="18"/>
          <w:szCs w:val="18"/>
        </w:rPr>
      </w:pPr>
    </w:p>
    <w:p>
      <w:pPr>
        <w:pStyle w:val="BodyText"/>
        <w:spacing w:line="240" w:lineRule="auto" w:before="129"/>
        <w:ind w:left="501" w:right="939"/>
        <w:jc w:val="left"/>
      </w:pPr>
      <w:r>
        <w:rPr>
          <w:rFonts w:ascii="宋体" w:hAnsi="宋体" w:cs="宋体" w:eastAsia="宋体" w:hint="default"/>
        </w:rPr>
        <w:t>2018</w:t>
      </w:r>
      <w:r>
        <w:rPr>
          <w:rFonts w:ascii="宋体" w:hAnsi="宋体" w:cs="宋体" w:eastAsia="宋体" w:hint="default"/>
          <w:spacing w:val="-30"/>
        </w:rPr>
        <w:t> </w:t>
      </w:r>
      <w:r>
        <w:rPr/>
        <w:t>年</w:t>
      </w:r>
      <w:r>
        <w:rPr>
          <w:spacing w:val="-31"/>
        </w:rPr>
        <w:t> </w:t>
      </w:r>
      <w:r>
        <w:rPr>
          <w:rFonts w:ascii="宋体" w:hAnsi="宋体" w:cs="宋体" w:eastAsia="宋体" w:hint="default"/>
        </w:rPr>
        <w:t>10</w:t>
      </w:r>
      <w:r>
        <w:rPr>
          <w:rFonts w:ascii="宋体" w:hAnsi="宋体" w:cs="宋体" w:eastAsia="宋体" w:hint="default"/>
          <w:spacing w:val="-30"/>
        </w:rPr>
        <w:t> </w:t>
      </w:r>
      <w:r>
        <w:rPr/>
        <w:t>月</w:t>
      </w:r>
      <w:r>
        <w:rPr>
          <w:spacing w:val="-30"/>
        </w:rPr>
        <w:t> </w:t>
      </w:r>
      <w:r>
        <w:rPr>
          <w:rFonts w:ascii="宋体" w:hAnsi="宋体" w:cs="宋体" w:eastAsia="宋体" w:hint="default"/>
        </w:rPr>
        <w:t>9</w:t>
      </w:r>
      <w:r>
        <w:rPr>
          <w:rFonts w:ascii="宋体" w:hAnsi="宋体" w:cs="宋体" w:eastAsia="宋体" w:hint="default"/>
          <w:spacing w:val="-30"/>
        </w:rPr>
        <w:t> </w:t>
      </w:r>
      <w:r>
        <w:rPr/>
        <w:t>日，根据公司第三届董事会第七次会议审议通过的《关于回购注销部分已授予限制性股票的议案</w:t>
      </w:r>
      <w:r>
        <w:rPr>
          <w:spacing w:val="-90"/>
        </w:rPr>
        <w:t>》</w:t>
      </w:r>
      <w:r>
        <w:rPr/>
        <w:t>，公</w:t>
      </w:r>
    </w:p>
    <w:p>
      <w:pPr>
        <w:spacing w:line="240" w:lineRule="auto" w:before="4"/>
        <w:rPr>
          <w:rFonts w:ascii="宋体" w:hAnsi="宋体" w:cs="宋体" w:eastAsia="宋体" w:hint="default"/>
          <w:sz w:val="15"/>
          <w:szCs w:val="15"/>
        </w:rPr>
      </w:pPr>
    </w:p>
    <w:p>
      <w:pPr>
        <w:pStyle w:val="BodyText"/>
        <w:spacing w:line="240" w:lineRule="auto"/>
        <w:ind w:right="0"/>
        <w:jc w:val="both"/>
      </w:pPr>
      <w:r>
        <w:rPr/>
        <w:t>司向离职员工回购注销其已获授但未解锁的全部限制性股票</w:t>
      </w:r>
      <w:r>
        <w:rPr>
          <w:spacing w:val="-41"/>
        </w:rPr>
        <w:t> </w:t>
      </w:r>
      <w:r>
        <w:rPr>
          <w:rFonts w:ascii="宋体" w:hAnsi="宋体" w:cs="宋体" w:eastAsia="宋体" w:hint="default"/>
        </w:rPr>
        <w:t>179,854</w:t>
      </w:r>
      <w:r>
        <w:rPr>
          <w:rFonts w:ascii="宋体" w:hAnsi="宋体" w:cs="宋体" w:eastAsia="宋体" w:hint="default"/>
          <w:spacing w:val="-45"/>
        </w:rPr>
        <w:t> </w:t>
      </w:r>
      <w:r>
        <w:rPr/>
        <w:t>股，回购价格为</w:t>
      </w:r>
      <w:r>
        <w:rPr>
          <w:spacing w:val="-43"/>
        </w:rPr>
        <w:t> </w:t>
      </w:r>
      <w:r>
        <w:rPr>
          <w:rFonts w:ascii="宋体" w:hAnsi="宋体" w:cs="宋体" w:eastAsia="宋体" w:hint="default"/>
        </w:rPr>
        <w:t>16.0510</w:t>
      </w:r>
      <w:r>
        <w:rPr>
          <w:rFonts w:ascii="宋体" w:hAnsi="宋体" w:cs="宋体" w:eastAsia="宋体" w:hint="default"/>
          <w:spacing w:val="-45"/>
        </w:rPr>
        <w:t> </w:t>
      </w:r>
      <w:r>
        <w:rPr/>
        <w:t>元</w:t>
      </w:r>
      <w:r>
        <w:rPr>
          <w:rFonts w:ascii="宋体" w:hAnsi="宋体" w:cs="宋体" w:eastAsia="宋体" w:hint="default"/>
        </w:rPr>
        <w:t>/</w:t>
      </w:r>
      <w:r>
        <w:rPr/>
        <w:t>股。</w:t>
      </w:r>
    </w:p>
    <w:p>
      <w:pPr>
        <w:spacing w:line="240" w:lineRule="auto" w:before="0"/>
        <w:rPr>
          <w:rFonts w:ascii="宋体" w:hAnsi="宋体" w:cs="宋体" w:eastAsia="宋体" w:hint="default"/>
          <w:sz w:val="18"/>
          <w:szCs w:val="18"/>
        </w:rPr>
      </w:pPr>
    </w:p>
    <w:p>
      <w:pPr>
        <w:pStyle w:val="BodyText"/>
        <w:spacing w:line="240" w:lineRule="auto" w:before="129"/>
        <w:ind w:left="501" w:right="939"/>
        <w:jc w:val="left"/>
      </w:pPr>
      <w:r>
        <w:rPr>
          <w:rFonts w:ascii="宋体" w:hAnsi="宋体" w:cs="宋体" w:eastAsia="宋体" w:hint="default"/>
        </w:rPr>
        <w:t>2019</w:t>
      </w:r>
      <w:r>
        <w:rPr>
          <w:rFonts w:ascii="宋体" w:hAnsi="宋体" w:cs="宋体" w:eastAsia="宋体" w:hint="default"/>
          <w:spacing w:val="-33"/>
        </w:rPr>
        <w:t> </w:t>
      </w:r>
      <w:r>
        <w:rPr/>
        <w:t>年</w:t>
      </w:r>
      <w:r>
        <w:rPr>
          <w:spacing w:val="-34"/>
        </w:rPr>
        <w:t> </w:t>
      </w:r>
      <w:r>
        <w:rPr>
          <w:rFonts w:ascii="宋体" w:hAnsi="宋体" w:cs="宋体" w:eastAsia="宋体" w:hint="default"/>
        </w:rPr>
        <w:t>4</w:t>
      </w:r>
      <w:r>
        <w:rPr>
          <w:rFonts w:ascii="宋体" w:hAnsi="宋体" w:cs="宋体" w:eastAsia="宋体" w:hint="default"/>
          <w:spacing w:val="-47"/>
        </w:rPr>
        <w:t> </w:t>
      </w:r>
      <w:r>
        <w:rPr/>
        <w:t>月</w:t>
      </w:r>
      <w:r>
        <w:rPr>
          <w:spacing w:val="-33"/>
        </w:rPr>
        <w:t> </w:t>
      </w:r>
      <w:r>
        <w:rPr>
          <w:rFonts w:ascii="宋体" w:hAnsi="宋体" w:cs="宋体" w:eastAsia="宋体" w:hint="default"/>
        </w:rPr>
        <w:t>23</w:t>
      </w:r>
      <w:r>
        <w:rPr>
          <w:rFonts w:ascii="宋体" w:hAnsi="宋体" w:cs="宋体" w:eastAsia="宋体" w:hint="default"/>
          <w:spacing w:val="-33"/>
        </w:rPr>
        <w:t> </w:t>
      </w:r>
      <w:r>
        <w:rPr/>
        <w:t>日，根据公司第三届董事会第十二次会议决议通过的《关于回购注销</w:t>
      </w:r>
      <w:r>
        <w:rPr>
          <w:spacing w:val="-27"/>
        </w:rPr>
        <w:t> </w:t>
      </w:r>
      <w:r>
        <w:rPr>
          <w:rFonts w:ascii="宋体" w:hAnsi="宋体" w:cs="宋体" w:eastAsia="宋体" w:hint="default"/>
        </w:rPr>
        <w:t>2016</w:t>
      </w:r>
      <w:r>
        <w:rPr>
          <w:rFonts w:ascii="宋体" w:hAnsi="宋体" w:cs="宋体" w:eastAsia="宋体" w:hint="default"/>
          <w:spacing w:val="-33"/>
        </w:rPr>
        <w:t> </w:t>
      </w:r>
      <w:r>
        <w:rPr/>
        <w:t>年限制性股票激励计划部分</w:t>
      </w:r>
    </w:p>
    <w:p>
      <w:pPr>
        <w:spacing w:line="240" w:lineRule="auto" w:before="4"/>
        <w:rPr>
          <w:rFonts w:ascii="宋体" w:hAnsi="宋体" w:cs="宋体" w:eastAsia="宋体" w:hint="default"/>
          <w:sz w:val="15"/>
          <w:szCs w:val="15"/>
        </w:rPr>
      </w:pPr>
    </w:p>
    <w:p>
      <w:pPr>
        <w:pStyle w:val="BodyText"/>
        <w:spacing w:line="451" w:lineRule="auto"/>
        <w:ind w:right="1111"/>
        <w:jc w:val="both"/>
      </w:pPr>
      <w:r>
        <w:rPr>
          <w:spacing w:val="-4"/>
        </w:rPr>
        <w:t>限制性股票的议案》，由于部分激励对象离职，同时</w:t>
      </w:r>
      <w:r>
        <w:rPr>
          <w:spacing w:val="-42"/>
        </w:rPr>
        <w:t> </w:t>
      </w:r>
      <w:r>
        <w:rPr>
          <w:rFonts w:ascii="宋体" w:hAnsi="宋体" w:cs="宋体" w:eastAsia="宋体" w:hint="default"/>
        </w:rPr>
        <w:t>2018</w:t>
      </w:r>
      <w:r>
        <w:rPr>
          <w:rFonts w:ascii="宋体" w:hAnsi="宋体" w:cs="宋体" w:eastAsia="宋体" w:hint="default"/>
          <w:spacing w:val="-45"/>
        </w:rPr>
        <w:t> </w:t>
      </w:r>
      <w:r>
        <w:rPr/>
        <w:t>年经审定后的净利润指标未达到</w:t>
      </w:r>
      <w:r>
        <w:rPr>
          <w:spacing w:val="-42"/>
        </w:rPr>
        <w:t> </w:t>
      </w:r>
      <w:r>
        <w:rPr>
          <w:rFonts w:ascii="宋体" w:hAnsi="宋体" w:cs="宋体" w:eastAsia="宋体" w:hint="default"/>
        </w:rPr>
        <w:t>2016</w:t>
      </w:r>
      <w:r>
        <w:rPr>
          <w:rFonts w:ascii="宋体" w:hAnsi="宋体" w:cs="宋体" w:eastAsia="宋体" w:hint="default"/>
          <w:spacing w:val="-45"/>
        </w:rPr>
        <w:t> </w:t>
      </w:r>
      <w:r>
        <w:rPr/>
        <w:t>年限制性股票激励计划对第 </w:t>
      </w:r>
      <w:r>
        <w:rPr>
          <w:spacing w:val="-2"/>
        </w:rPr>
        <w:t>一批授予的股票第二个解锁期以及预留部分股票第一个解锁期解锁条件的要求，因此公司回购注销上述激励对象获售的限制</w:t>
      </w:r>
      <w:r>
        <w:rPr>
          <w:spacing w:val="-47"/>
        </w:rPr>
        <w:t> </w:t>
      </w:r>
      <w:r>
        <w:rPr>
          <w:spacing w:val="-47"/>
        </w:rPr>
      </w:r>
      <w:r>
        <w:rPr/>
        <w:t>性股票</w:t>
      </w:r>
      <w:r>
        <w:rPr>
          <w:spacing w:val="-45"/>
        </w:rPr>
        <w:t> </w:t>
      </w:r>
      <w:r>
        <w:rPr>
          <w:rFonts w:ascii="宋体" w:hAnsi="宋体" w:cs="宋体" w:eastAsia="宋体" w:hint="default"/>
        </w:rPr>
        <w:t>775,313</w:t>
      </w:r>
      <w:r>
        <w:rPr>
          <w:rFonts w:ascii="宋体" w:hAnsi="宋体" w:cs="宋体" w:eastAsia="宋体" w:hint="default"/>
          <w:spacing w:val="-44"/>
        </w:rPr>
        <w:t> </w:t>
      </w:r>
      <w:r>
        <w:rPr/>
        <w:t>股，其中首次授予部分回购价为</w:t>
      </w:r>
      <w:r>
        <w:rPr>
          <w:spacing w:val="-42"/>
        </w:rPr>
        <w:t> </w:t>
      </w:r>
      <w:r>
        <w:rPr>
          <w:rFonts w:ascii="宋体" w:hAnsi="宋体" w:cs="宋体" w:eastAsia="宋体" w:hint="default"/>
        </w:rPr>
        <w:t>16.0510</w:t>
      </w:r>
      <w:r>
        <w:rPr>
          <w:rFonts w:ascii="宋体" w:hAnsi="宋体" w:cs="宋体" w:eastAsia="宋体" w:hint="default"/>
          <w:spacing w:val="-44"/>
        </w:rPr>
        <w:t> </w:t>
      </w:r>
      <w:r>
        <w:rPr/>
        <w:t>元</w:t>
      </w:r>
      <w:r>
        <w:rPr>
          <w:rFonts w:ascii="宋体" w:hAnsi="宋体" w:cs="宋体" w:eastAsia="宋体" w:hint="default"/>
        </w:rPr>
        <w:t>/</w:t>
      </w:r>
      <w:r>
        <w:rPr/>
        <w:t>股，预留部分回购价为</w:t>
      </w:r>
      <w:r>
        <w:rPr>
          <w:spacing w:val="-43"/>
        </w:rPr>
        <w:t> </w:t>
      </w:r>
      <w:r>
        <w:rPr>
          <w:rFonts w:ascii="宋体" w:hAnsi="宋体" w:cs="宋体" w:eastAsia="宋体" w:hint="default"/>
        </w:rPr>
        <w:t>13.2295</w:t>
      </w:r>
      <w:r>
        <w:rPr>
          <w:rFonts w:ascii="宋体" w:hAnsi="宋体" w:cs="宋体" w:eastAsia="宋体" w:hint="default"/>
          <w:spacing w:val="-45"/>
        </w:rPr>
        <w:t> </w:t>
      </w:r>
      <w:r>
        <w:rPr/>
        <w:t>元</w:t>
      </w:r>
      <w:r>
        <w:rPr>
          <w:rFonts w:ascii="宋体" w:hAnsi="宋体" w:cs="宋体" w:eastAsia="宋体" w:hint="default"/>
        </w:rPr>
        <w:t>/</w:t>
      </w:r>
      <w:r>
        <w:rPr/>
        <w:t>股。</w:t>
      </w:r>
    </w:p>
    <w:p>
      <w:pPr>
        <w:spacing w:after="0" w:line="451" w:lineRule="auto"/>
        <w:jc w:val="both"/>
        <w:sectPr>
          <w:pgSz w:w="11910" w:h="16850"/>
          <w:pgMar w:header="866" w:footer="981" w:top="1040" w:bottom="1180" w:left="100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44"/>
        <w:ind w:left="501" w:right="939"/>
        <w:jc w:val="left"/>
      </w:pPr>
      <w:r>
        <w:rPr/>
        <w:t>（</w:t>
      </w: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45"/>
        </w:rPr>
        <w:t> </w:t>
      </w:r>
      <w:r>
        <w:rPr/>
        <w:t>年限制性股票</w:t>
      </w:r>
    </w:p>
    <w:p>
      <w:pPr>
        <w:spacing w:line="240" w:lineRule="auto" w:before="0"/>
        <w:rPr>
          <w:rFonts w:ascii="宋体" w:hAnsi="宋体" w:cs="宋体" w:eastAsia="宋体" w:hint="default"/>
          <w:sz w:val="18"/>
          <w:szCs w:val="18"/>
        </w:rPr>
      </w:pPr>
    </w:p>
    <w:p>
      <w:pPr>
        <w:pStyle w:val="BodyText"/>
        <w:spacing w:line="240" w:lineRule="auto" w:before="144"/>
        <w:ind w:left="501" w:right="939"/>
        <w:jc w:val="left"/>
      </w:pPr>
      <w:r>
        <w:rPr>
          <w:rFonts w:ascii="宋体" w:hAnsi="宋体" w:cs="宋体" w:eastAsia="宋体" w:hint="default"/>
        </w:rPr>
        <w:t>2017</w:t>
      </w:r>
      <w:r>
        <w:rPr>
          <w:rFonts w:ascii="宋体" w:hAnsi="宋体" w:cs="宋体" w:eastAsia="宋体" w:hint="default"/>
          <w:spacing w:val="-45"/>
        </w:rPr>
        <w:t> </w:t>
      </w:r>
      <w:r>
        <w:rPr/>
        <w:t>年</w:t>
      </w:r>
      <w:r>
        <w:rPr>
          <w:spacing w:val="-46"/>
        </w:rPr>
        <w:t> </w:t>
      </w:r>
      <w:r>
        <w:rPr>
          <w:rFonts w:ascii="宋体" w:hAnsi="宋体" w:cs="宋体" w:eastAsia="宋体" w:hint="default"/>
        </w:rPr>
        <w:t>10</w:t>
      </w:r>
      <w:r>
        <w:rPr>
          <w:rFonts w:ascii="宋体" w:hAnsi="宋体" w:cs="宋体" w:eastAsia="宋体" w:hint="default"/>
          <w:spacing w:val="-30"/>
        </w:rPr>
        <w:t> </w:t>
      </w:r>
      <w:r>
        <w:rPr/>
        <w:t>月</w:t>
      </w:r>
      <w:r>
        <w:rPr>
          <w:spacing w:val="-45"/>
        </w:rPr>
        <w:t> </w:t>
      </w:r>
      <w:r>
        <w:rPr>
          <w:rFonts w:ascii="宋体" w:hAnsi="宋体" w:cs="宋体" w:eastAsia="宋体" w:hint="default"/>
        </w:rPr>
        <w:t>11</w:t>
      </w:r>
      <w:r>
        <w:rPr>
          <w:rFonts w:ascii="宋体" w:hAnsi="宋体" w:cs="宋体" w:eastAsia="宋体" w:hint="default"/>
          <w:spacing w:val="-45"/>
        </w:rPr>
        <w:t> </w:t>
      </w:r>
      <w:r>
        <w:rPr/>
        <w:t>日，公司召开</w:t>
      </w:r>
      <w:r>
        <w:rPr>
          <w:spacing w:val="-44"/>
        </w:rPr>
        <w:t> </w:t>
      </w:r>
      <w:r>
        <w:rPr>
          <w:rFonts w:ascii="宋体" w:hAnsi="宋体" w:cs="宋体" w:eastAsia="宋体" w:hint="default"/>
          <w:spacing w:val="3"/>
        </w:rPr>
        <w:t>2017</w:t>
      </w:r>
      <w:r>
        <w:rPr>
          <w:rFonts w:ascii="宋体" w:hAnsi="宋体" w:cs="宋体" w:eastAsia="宋体" w:hint="default"/>
          <w:spacing w:val="-45"/>
        </w:rPr>
        <w:t> </w:t>
      </w:r>
      <w:r>
        <w:rPr/>
        <w:t>年第二次临时股东大会，审议通过了《深圳四方精创资讯股份有限公司</w:t>
      </w:r>
      <w:r>
        <w:rPr>
          <w:spacing w:val="-38"/>
        </w:rPr>
        <w:t> </w:t>
      </w:r>
      <w:r>
        <w:rPr>
          <w:rFonts w:ascii="宋体" w:hAnsi="宋体" w:cs="宋体" w:eastAsia="宋体" w:hint="default"/>
          <w:spacing w:val="3"/>
        </w:rPr>
        <w:t>2017</w:t>
      </w:r>
      <w:r>
        <w:rPr>
          <w:rFonts w:ascii="宋体" w:hAnsi="宋体" w:cs="宋体" w:eastAsia="宋体" w:hint="default"/>
          <w:spacing w:val="-45"/>
        </w:rPr>
        <w:t> </w:t>
      </w:r>
      <w:r>
        <w:rPr/>
        <w:t>年限</w:t>
      </w:r>
    </w:p>
    <w:p>
      <w:pPr>
        <w:spacing w:line="240" w:lineRule="auto" w:before="4"/>
        <w:rPr>
          <w:rFonts w:ascii="宋体" w:hAnsi="宋体" w:cs="宋体" w:eastAsia="宋体" w:hint="default"/>
          <w:sz w:val="15"/>
          <w:szCs w:val="15"/>
        </w:rPr>
      </w:pPr>
    </w:p>
    <w:p>
      <w:pPr>
        <w:pStyle w:val="BodyText"/>
        <w:spacing w:line="240" w:lineRule="auto"/>
        <w:ind w:right="939"/>
        <w:jc w:val="left"/>
      </w:pPr>
      <w:r>
        <w:rPr/>
        <w:t>制性股票激励计</w:t>
      </w:r>
      <w:r>
        <w:rPr>
          <w:spacing w:val="-15"/>
        </w:rPr>
        <w:t>划</w:t>
      </w:r>
      <w:r>
        <w:rPr/>
        <w:t>（草案</w:t>
      </w:r>
      <w:r>
        <w:rPr>
          <w:spacing w:val="-90"/>
        </w:rPr>
        <w:t>）》</w:t>
      </w:r>
      <w:r>
        <w:rPr>
          <w:spacing w:val="-105"/>
        </w:rPr>
        <w:t>、</w:t>
      </w:r>
      <w:r>
        <w:rPr/>
        <w:t>《关于审</w:t>
      </w:r>
      <w:r>
        <w:rPr>
          <w:spacing w:val="3"/>
        </w:rPr>
        <w:t>核</w:t>
      </w:r>
      <w:r>
        <w:rPr>
          <w:rFonts w:ascii="宋体" w:hAnsi="宋体" w:cs="宋体" w:eastAsia="宋体" w:hint="default"/>
        </w:rPr>
        <w:t>&lt;</w:t>
      </w:r>
      <w:r>
        <w:rPr/>
        <w:t>深圳四方精创资讯股份有限公司</w:t>
      </w:r>
      <w:r>
        <w:rPr>
          <w:spacing w:val="-42"/>
        </w:rPr>
        <w:t> </w:t>
      </w:r>
      <w:r>
        <w:rPr>
          <w:rFonts w:ascii="宋体" w:hAnsi="宋体" w:cs="宋体" w:eastAsia="宋体" w:hint="default"/>
        </w:rPr>
        <w:t>2017</w:t>
      </w:r>
      <w:r>
        <w:rPr>
          <w:rFonts w:ascii="宋体" w:hAnsi="宋体" w:cs="宋体" w:eastAsia="宋体" w:hint="default"/>
          <w:spacing w:val="-45"/>
        </w:rPr>
        <w:t> </w:t>
      </w:r>
      <w:r>
        <w:rPr/>
        <w:t>年限制性股票激励计</w:t>
      </w:r>
      <w:r>
        <w:rPr>
          <w:spacing w:val="-15"/>
        </w:rPr>
        <w:t>划</w:t>
      </w:r>
      <w:r>
        <w:rPr/>
        <w:t>（草案</w:t>
      </w:r>
      <w:r>
        <w:rPr>
          <w:spacing w:val="-12"/>
        </w:rPr>
        <w:t>）</w:t>
      </w:r>
      <w:r>
        <w:rPr>
          <w:rFonts w:ascii="宋体" w:hAnsi="宋体" w:cs="宋体" w:eastAsia="宋体" w:hint="default"/>
        </w:rPr>
        <w:t>&gt;</w:t>
      </w:r>
      <w:r>
        <w:rPr/>
        <w:t>及其摘要的</w:t>
      </w:r>
    </w:p>
    <w:p>
      <w:pPr>
        <w:spacing w:line="240" w:lineRule="auto" w:before="4"/>
        <w:rPr>
          <w:rFonts w:ascii="宋体" w:hAnsi="宋体" w:cs="宋体" w:eastAsia="宋体" w:hint="default"/>
          <w:sz w:val="15"/>
          <w:szCs w:val="15"/>
        </w:rPr>
      </w:pPr>
    </w:p>
    <w:p>
      <w:pPr>
        <w:pStyle w:val="BodyText"/>
        <w:spacing w:line="240" w:lineRule="auto"/>
        <w:ind w:right="939"/>
        <w:jc w:val="left"/>
      </w:pPr>
      <w:r>
        <w:rPr/>
        <w:t>议案》以及《关于提请股东大会授权董事会办理公司</w:t>
      </w:r>
      <w:r>
        <w:rPr>
          <w:spacing w:val="-73"/>
        </w:rPr>
        <w:t> </w:t>
      </w:r>
      <w:r>
        <w:rPr>
          <w:rFonts w:ascii="宋体" w:hAnsi="宋体" w:cs="宋体" w:eastAsia="宋体" w:hint="default"/>
        </w:rPr>
        <w:t>2017</w:t>
      </w:r>
      <w:r>
        <w:rPr>
          <w:rFonts w:ascii="宋体" w:hAnsi="宋体" w:cs="宋体" w:eastAsia="宋体" w:hint="default"/>
          <w:spacing w:val="-74"/>
        </w:rPr>
        <w:t> </w:t>
      </w:r>
      <w:r>
        <w:rPr/>
        <w:t>年限制性股票激励计划相关事宜的议案》等议案。根据上述规定，</w:t>
      </w:r>
    </w:p>
    <w:p>
      <w:pPr>
        <w:spacing w:line="240" w:lineRule="auto" w:before="5"/>
        <w:rPr>
          <w:rFonts w:ascii="宋体" w:hAnsi="宋体" w:cs="宋体" w:eastAsia="宋体" w:hint="default"/>
          <w:sz w:val="16"/>
          <w:szCs w:val="16"/>
        </w:rPr>
      </w:pPr>
    </w:p>
    <w:p>
      <w:pPr>
        <w:pStyle w:val="BodyText"/>
        <w:spacing w:line="240" w:lineRule="auto"/>
        <w:ind w:right="939"/>
        <w:jc w:val="left"/>
      </w:pPr>
      <w:r>
        <w:rPr/>
        <w:t>公司向第一批激励对象授予</w:t>
      </w:r>
      <w:r>
        <w:rPr>
          <w:spacing w:val="-43"/>
        </w:rPr>
        <w:t> </w:t>
      </w:r>
      <w:r>
        <w:rPr>
          <w:rFonts w:ascii="宋体" w:hAnsi="宋体" w:cs="宋体" w:eastAsia="宋体" w:hint="default"/>
        </w:rPr>
        <w:t>2,513,400.00</w:t>
      </w:r>
      <w:r>
        <w:rPr>
          <w:rFonts w:ascii="宋体" w:hAnsi="宋体" w:cs="宋体" w:eastAsia="宋体" w:hint="default"/>
          <w:spacing w:val="-44"/>
        </w:rPr>
        <w:t> </w:t>
      </w:r>
      <w:r>
        <w:rPr/>
        <w:t>股限制性股票。</w:t>
      </w:r>
    </w:p>
    <w:p>
      <w:pPr>
        <w:spacing w:line="240" w:lineRule="auto" w:before="0"/>
        <w:rPr>
          <w:rFonts w:ascii="宋体" w:hAnsi="宋体" w:cs="宋体" w:eastAsia="宋体" w:hint="default"/>
          <w:sz w:val="18"/>
          <w:szCs w:val="18"/>
        </w:rPr>
      </w:pPr>
    </w:p>
    <w:p>
      <w:pPr>
        <w:pStyle w:val="BodyText"/>
        <w:spacing w:line="444" w:lineRule="auto" w:before="129"/>
        <w:ind w:right="1096" w:firstLine="360"/>
        <w:jc w:val="both"/>
      </w:pPr>
      <w:r>
        <w:rPr>
          <w:spacing w:val="-2"/>
        </w:rPr>
        <w:t>根据相关规定，股权激励计划有效期为自首次授予期权工具的授权日起四年。本激励计划授予的期权工具自授权日起满</w:t>
      </w:r>
      <w:r>
        <w:rPr/>
        <w:t> </w:t>
      </w:r>
      <w:r>
        <w:rPr>
          <w:rFonts w:ascii="宋体" w:hAnsi="宋体" w:cs="宋体" w:eastAsia="宋体" w:hint="default"/>
        </w:rPr>
        <w:t>12</w:t>
      </w:r>
      <w:r>
        <w:rPr>
          <w:rFonts w:ascii="宋体" w:hAnsi="宋体" w:cs="宋体" w:eastAsia="宋体" w:hint="default"/>
          <w:spacing w:val="-53"/>
        </w:rPr>
        <w:t> </w:t>
      </w:r>
      <w:r>
        <w:rPr/>
        <w:t>个月后可以开始行权。主要行权条件：在本股权激励计划有效期内，以</w:t>
      </w:r>
      <w:r>
        <w:rPr>
          <w:spacing w:val="-48"/>
        </w:rPr>
        <w:t> </w:t>
      </w:r>
      <w:r>
        <w:rPr>
          <w:rFonts w:ascii="宋体" w:hAnsi="宋体" w:cs="宋体" w:eastAsia="宋体" w:hint="default"/>
        </w:rPr>
        <w:t>2016</w:t>
      </w:r>
      <w:r>
        <w:rPr>
          <w:rFonts w:ascii="宋体" w:hAnsi="宋体" w:cs="宋体" w:eastAsia="宋体" w:hint="default"/>
          <w:spacing w:val="-53"/>
        </w:rPr>
        <w:t> </w:t>
      </w:r>
      <w:r>
        <w:rPr/>
        <w:t>年净利润为基数，</w:t>
      </w:r>
      <w:r>
        <w:rPr>
          <w:rFonts w:ascii="宋体" w:hAnsi="宋体" w:cs="宋体" w:eastAsia="宋体" w:hint="default"/>
        </w:rPr>
        <w:t>2017-2019</w:t>
      </w:r>
      <w:r>
        <w:rPr>
          <w:rFonts w:ascii="宋体" w:hAnsi="宋体" w:cs="宋体" w:eastAsia="宋体" w:hint="default"/>
          <w:spacing w:val="-53"/>
        </w:rPr>
        <w:t> </w:t>
      </w:r>
      <w:r>
        <w:rPr/>
        <w:t>年相对于</w:t>
      </w:r>
      <w:r>
        <w:rPr>
          <w:spacing w:val="-52"/>
        </w:rPr>
        <w:t> </w:t>
      </w:r>
      <w:r>
        <w:rPr>
          <w:rFonts w:ascii="宋体" w:hAnsi="宋体" w:cs="宋体" w:eastAsia="宋体" w:hint="default"/>
        </w:rPr>
        <w:t>2016 </w:t>
      </w:r>
      <w:r>
        <w:rPr/>
        <w:t>年的净利润增长率分别不低于</w:t>
      </w:r>
      <w:r>
        <w:rPr>
          <w:spacing w:val="-57"/>
        </w:rPr>
        <w:t> </w:t>
      </w:r>
      <w:r>
        <w:rPr>
          <w:rFonts w:ascii="宋体" w:hAnsi="宋体" w:cs="宋体" w:eastAsia="宋体" w:hint="default"/>
        </w:rPr>
        <w:t>15%</w:t>
      </w:r>
      <w:r>
        <w:rPr/>
        <w:t>、</w:t>
      </w:r>
      <w:r>
        <w:rPr>
          <w:rFonts w:ascii="宋体" w:hAnsi="宋体" w:cs="宋体" w:eastAsia="宋体" w:hint="default"/>
        </w:rPr>
        <w:t>20%</w:t>
      </w:r>
      <w:r>
        <w:rPr/>
        <w:t>及</w:t>
      </w:r>
      <w:r>
        <w:rPr>
          <w:spacing w:val="-59"/>
        </w:rPr>
        <w:t> </w:t>
      </w:r>
      <w:r>
        <w:rPr>
          <w:rFonts w:ascii="宋体" w:hAnsi="宋体" w:cs="宋体" w:eastAsia="宋体" w:hint="default"/>
        </w:rPr>
        <w:t>25%</w:t>
      </w:r>
      <w:r>
        <w:rPr/>
        <w:t>。预留部分的限制性股票的行权条件为，以</w:t>
      </w:r>
      <w:r>
        <w:rPr>
          <w:spacing w:val="-57"/>
        </w:rPr>
        <w:t> </w:t>
      </w:r>
      <w:r>
        <w:rPr>
          <w:rFonts w:ascii="宋体" w:hAnsi="宋体" w:cs="宋体" w:eastAsia="宋体" w:hint="default"/>
        </w:rPr>
        <w:t>2016</w:t>
      </w:r>
      <w:r>
        <w:rPr>
          <w:rFonts w:ascii="宋体" w:hAnsi="宋体" w:cs="宋体" w:eastAsia="宋体" w:hint="default"/>
          <w:spacing w:val="-59"/>
        </w:rPr>
        <w:t> </w:t>
      </w:r>
      <w:r>
        <w:rPr/>
        <w:t>年净利润为基数，</w:t>
      </w:r>
      <w:r>
        <w:rPr>
          <w:rFonts w:ascii="宋体" w:hAnsi="宋体" w:cs="宋体" w:eastAsia="宋体" w:hint="default"/>
        </w:rPr>
        <w:t>2018-2019 </w:t>
      </w:r>
      <w:r>
        <w:rPr/>
        <w:t>年相对于</w:t>
      </w:r>
      <w:r>
        <w:rPr>
          <w:spacing w:val="-44"/>
        </w:rPr>
        <w:t> </w:t>
      </w:r>
      <w:r>
        <w:rPr>
          <w:rFonts w:ascii="宋体" w:hAnsi="宋体" w:cs="宋体" w:eastAsia="宋体" w:hint="default"/>
        </w:rPr>
        <w:t>2016</w:t>
      </w:r>
      <w:r>
        <w:rPr>
          <w:rFonts w:ascii="宋体" w:hAnsi="宋体" w:cs="宋体" w:eastAsia="宋体" w:hint="default"/>
          <w:spacing w:val="-45"/>
        </w:rPr>
        <w:t> </w:t>
      </w:r>
      <w:r>
        <w:rPr/>
        <w:t>年的净利润增长率分别不低于</w:t>
      </w:r>
      <w:r>
        <w:rPr>
          <w:spacing w:val="-42"/>
        </w:rPr>
        <w:t> </w:t>
      </w:r>
      <w:r>
        <w:rPr>
          <w:rFonts w:ascii="宋体" w:hAnsi="宋体" w:cs="宋体" w:eastAsia="宋体" w:hint="default"/>
        </w:rPr>
        <w:t>20%</w:t>
      </w:r>
      <w:r>
        <w:rPr/>
        <w:t>及</w:t>
      </w:r>
      <w:r>
        <w:rPr>
          <w:spacing w:val="-45"/>
        </w:rPr>
        <w:t> </w:t>
      </w:r>
      <w:r>
        <w:rPr>
          <w:rFonts w:ascii="宋体" w:hAnsi="宋体" w:cs="宋体" w:eastAsia="宋体" w:hint="default"/>
        </w:rPr>
        <w:t>25%</w:t>
      </w:r>
      <w:r>
        <w:rPr/>
        <w:t>。</w:t>
      </w:r>
    </w:p>
    <w:p>
      <w:pPr>
        <w:spacing w:line="240" w:lineRule="auto" w:before="3"/>
        <w:rPr>
          <w:rFonts w:ascii="宋体" w:hAnsi="宋体" w:cs="宋体" w:eastAsia="宋体" w:hint="default"/>
          <w:sz w:val="16"/>
          <w:szCs w:val="16"/>
        </w:rPr>
      </w:pPr>
    </w:p>
    <w:p>
      <w:pPr>
        <w:pStyle w:val="BodyText"/>
        <w:spacing w:line="451" w:lineRule="auto"/>
        <w:ind w:right="1111" w:firstLine="360"/>
        <w:jc w:val="both"/>
      </w:pPr>
      <w:r>
        <w:rPr/>
        <w:t>根据</w:t>
      </w:r>
      <w:r>
        <w:rPr>
          <w:spacing w:val="-45"/>
        </w:rPr>
        <w:t> </w:t>
      </w:r>
      <w:r>
        <w:rPr>
          <w:rFonts w:ascii="宋体" w:hAnsi="宋体" w:cs="宋体" w:eastAsia="宋体" w:hint="default"/>
        </w:rPr>
        <w:t>2018</w:t>
      </w:r>
      <w:r>
        <w:rPr>
          <w:rFonts w:ascii="宋体" w:hAnsi="宋体" w:cs="宋体" w:eastAsia="宋体" w:hint="default"/>
          <w:spacing w:val="-45"/>
        </w:rPr>
        <w:t> </w:t>
      </w:r>
      <w:r>
        <w:rPr/>
        <w:t>年</w:t>
      </w:r>
      <w:r>
        <w:rPr>
          <w:spacing w:val="-45"/>
        </w:rPr>
        <w:t> </w:t>
      </w:r>
      <w:r>
        <w:rPr>
          <w:rFonts w:ascii="宋体" w:hAnsi="宋体" w:cs="宋体" w:eastAsia="宋体" w:hint="default"/>
        </w:rPr>
        <w:t>4</w:t>
      </w:r>
      <w:r>
        <w:rPr>
          <w:rFonts w:ascii="宋体" w:hAnsi="宋体" w:cs="宋体" w:eastAsia="宋体" w:hint="default"/>
          <w:spacing w:val="-45"/>
        </w:rPr>
        <w:t> </w:t>
      </w:r>
      <w:r>
        <w:rPr/>
        <w:t>月</w:t>
      </w:r>
      <w:r>
        <w:rPr>
          <w:spacing w:val="-45"/>
        </w:rPr>
        <w:t> </w:t>
      </w:r>
      <w:r>
        <w:rPr>
          <w:rFonts w:ascii="宋体" w:hAnsi="宋体" w:cs="宋体" w:eastAsia="宋体" w:hint="default"/>
        </w:rPr>
        <w:t>20</w:t>
      </w:r>
      <w:r>
        <w:rPr>
          <w:rFonts w:ascii="宋体" w:hAnsi="宋体" w:cs="宋体" w:eastAsia="宋体" w:hint="default"/>
          <w:spacing w:val="-45"/>
        </w:rPr>
        <w:t> </w:t>
      </w:r>
      <w:r>
        <w:rPr/>
        <w:t>日公司第三届董事会第二次会议以及</w:t>
      </w:r>
      <w:r>
        <w:rPr>
          <w:spacing w:val="-42"/>
        </w:rPr>
        <w:t> </w:t>
      </w:r>
      <w:r>
        <w:rPr>
          <w:rFonts w:ascii="宋体" w:hAnsi="宋体" w:cs="宋体" w:eastAsia="宋体" w:hint="default"/>
        </w:rPr>
        <w:t>2018</w:t>
      </w:r>
      <w:r>
        <w:rPr>
          <w:rFonts w:ascii="宋体" w:hAnsi="宋体" w:cs="宋体" w:eastAsia="宋体" w:hint="default"/>
          <w:spacing w:val="-45"/>
        </w:rPr>
        <w:t> </w:t>
      </w:r>
      <w:r>
        <w:rPr/>
        <w:t>年</w:t>
      </w:r>
      <w:r>
        <w:rPr>
          <w:spacing w:val="-45"/>
        </w:rPr>
        <w:t> </w:t>
      </w:r>
      <w:r>
        <w:rPr>
          <w:rFonts w:ascii="宋体" w:hAnsi="宋体" w:cs="宋体" w:eastAsia="宋体" w:hint="default"/>
        </w:rPr>
        <w:t>10</w:t>
      </w:r>
      <w:r>
        <w:rPr>
          <w:rFonts w:ascii="宋体" w:hAnsi="宋体" w:cs="宋体" w:eastAsia="宋体" w:hint="default"/>
          <w:spacing w:val="-45"/>
        </w:rPr>
        <w:t> </w:t>
      </w:r>
      <w:r>
        <w:rPr/>
        <w:t>月</w:t>
      </w:r>
      <w:r>
        <w:rPr>
          <w:spacing w:val="-45"/>
        </w:rPr>
        <w:t> </w:t>
      </w:r>
      <w:r>
        <w:rPr>
          <w:rFonts w:ascii="宋体" w:hAnsi="宋体" w:cs="宋体" w:eastAsia="宋体" w:hint="default"/>
        </w:rPr>
        <w:t>9</w:t>
      </w:r>
      <w:r>
        <w:rPr>
          <w:rFonts w:ascii="宋体" w:hAnsi="宋体" w:cs="宋体" w:eastAsia="宋体" w:hint="default"/>
          <w:spacing w:val="-45"/>
        </w:rPr>
        <w:t> </w:t>
      </w:r>
      <w:r>
        <w:rPr>
          <w:spacing w:val="-4"/>
        </w:rPr>
        <w:t>日第三届董事会第七次会议审议通过的《关于</w:t>
      </w:r>
      <w:r>
        <w:rPr/>
        <w:t> 回购注销部分已授予限制性股票的议案》和《关于取消授予 </w:t>
      </w:r>
      <w:r>
        <w:rPr>
          <w:rFonts w:ascii="宋体" w:hAnsi="宋体" w:cs="宋体" w:eastAsia="宋体" w:hint="default"/>
        </w:rPr>
        <w:t>2017 </w:t>
      </w:r>
      <w:r>
        <w:rPr>
          <w:spacing w:val="-4"/>
        </w:rPr>
        <w:t>年限制性股票激励计划预留限制性股票的议案》，</w:t>
      </w:r>
      <w:r>
        <w:rPr>
          <w:rFonts w:ascii="宋体" w:hAnsi="宋体" w:cs="宋体" w:eastAsia="宋体" w:hint="default"/>
          <w:spacing w:val="-4"/>
        </w:rPr>
        <w:t>2018</w:t>
      </w:r>
      <w:r>
        <w:rPr>
          <w:rFonts w:ascii="宋体" w:hAnsi="宋体" w:cs="宋体" w:eastAsia="宋体" w:hint="default"/>
          <w:spacing w:val="-68"/>
        </w:rPr>
        <w:t> </w:t>
      </w:r>
      <w:r>
        <w:rPr/>
        <w:t>年 公司向离职员工回购注销其已授予但未解锁的全部限制性股票</w:t>
      </w:r>
      <w:r>
        <w:rPr>
          <w:spacing w:val="-39"/>
        </w:rPr>
        <w:t> </w:t>
      </w:r>
      <w:r>
        <w:rPr>
          <w:rFonts w:ascii="宋体" w:hAnsi="宋体" w:cs="宋体" w:eastAsia="宋体" w:hint="default"/>
        </w:rPr>
        <w:t>13,300</w:t>
      </w:r>
      <w:r>
        <w:rPr>
          <w:rFonts w:ascii="宋体" w:hAnsi="宋体" w:cs="宋体" w:eastAsia="宋体" w:hint="default"/>
          <w:spacing w:val="-45"/>
        </w:rPr>
        <w:t> </w:t>
      </w:r>
      <w:r>
        <w:rPr/>
        <w:t>股以及</w:t>
      </w:r>
      <w:r>
        <w:rPr>
          <w:spacing w:val="-45"/>
        </w:rPr>
        <w:t> </w:t>
      </w:r>
      <w:r>
        <w:rPr>
          <w:rFonts w:ascii="宋体" w:hAnsi="宋体" w:cs="宋体" w:eastAsia="宋体" w:hint="default"/>
        </w:rPr>
        <w:t>109,291</w:t>
      </w:r>
      <w:r>
        <w:rPr>
          <w:rFonts w:ascii="宋体" w:hAnsi="宋体" w:cs="宋体" w:eastAsia="宋体" w:hint="default"/>
          <w:spacing w:val="-44"/>
        </w:rPr>
        <w:t> </w:t>
      </w:r>
      <w:r>
        <w:rPr/>
        <w:t>股，回购价格分别为授予价格人民币</w:t>
      </w:r>
    </w:p>
    <w:p>
      <w:pPr>
        <w:pStyle w:val="BodyText"/>
        <w:spacing w:line="240" w:lineRule="auto" w:before="41"/>
        <w:ind w:right="939"/>
        <w:jc w:val="left"/>
      </w:pPr>
      <w:r>
        <w:rPr>
          <w:rFonts w:ascii="宋体" w:hAnsi="宋体" w:cs="宋体" w:eastAsia="宋体" w:hint="default"/>
        </w:rPr>
        <w:t>21.26</w:t>
      </w:r>
      <w:r>
        <w:rPr>
          <w:rFonts w:ascii="宋体" w:hAnsi="宋体" w:cs="宋体" w:eastAsia="宋体" w:hint="default"/>
          <w:spacing w:val="-45"/>
        </w:rPr>
        <w:t> </w:t>
      </w:r>
      <w:r>
        <w:rPr/>
        <w:t>元</w:t>
      </w:r>
      <w:r>
        <w:rPr>
          <w:rFonts w:ascii="宋体" w:hAnsi="宋体" w:cs="宋体" w:eastAsia="宋体" w:hint="default"/>
        </w:rPr>
        <w:t>/</w:t>
      </w:r>
      <w:r>
        <w:rPr/>
        <w:t>股以及</w:t>
      </w:r>
      <w:r>
        <w:rPr>
          <w:spacing w:val="-45"/>
        </w:rPr>
        <w:t> </w:t>
      </w:r>
      <w:r>
        <w:rPr>
          <w:rFonts w:ascii="宋体" w:hAnsi="宋体" w:cs="宋体" w:eastAsia="宋体" w:hint="default"/>
        </w:rPr>
        <w:t>11.8077</w:t>
      </w:r>
      <w:r>
        <w:rPr>
          <w:rFonts w:ascii="宋体" w:hAnsi="宋体" w:cs="宋体" w:eastAsia="宋体" w:hint="default"/>
          <w:spacing w:val="-44"/>
        </w:rPr>
        <w:t> </w:t>
      </w:r>
      <w:r>
        <w:rPr/>
        <w:t>元</w:t>
      </w:r>
      <w:r>
        <w:rPr>
          <w:rFonts w:ascii="宋体" w:hAnsi="宋体" w:cs="宋体" w:eastAsia="宋体" w:hint="default"/>
        </w:rPr>
        <w:t>/</w:t>
      </w:r>
      <w:r>
        <w:rPr/>
        <w:t>股，取消授予</w:t>
      </w:r>
      <w:r>
        <w:rPr>
          <w:spacing w:val="-45"/>
        </w:rPr>
        <w:t> </w:t>
      </w:r>
      <w:r>
        <w:rPr>
          <w:rFonts w:ascii="宋体" w:hAnsi="宋体" w:cs="宋体" w:eastAsia="宋体" w:hint="default"/>
        </w:rPr>
        <w:t>2017</w:t>
      </w:r>
      <w:r>
        <w:rPr>
          <w:rFonts w:ascii="宋体" w:hAnsi="宋体" w:cs="宋体" w:eastAsia="宋体" w:hint="default"/>
          <w:spacing w:val="-45"/>
        </w:rPr>
        <w:t> </w:t>
      </w:r>
      <w:r>
        <w:rPr/>
        <w:t>年限制性股票激励计划预留的</w:t>
      </w:r>
      <w:r>
        <w:rPr>
          <w:spacing w:val="-42"/>
        </w:rPr>
        <w:t> </w:t>
      </w:r>
      <w:r>
        <w:rPr>
          <w:rFonts w:ascii="宋体" w:hAnsi="宋体" w:cs="宋体" w:eastAsia="宋体" w:hint="default"/>
        </w:rPr>
        <w:t>633,200</w:t>
      </w:r>
      <w:r>
        <w:rPr>
          <w:rFonts w:ascii="宋体" w:hAnsi="宋体" w:cs="宋体" w:eastAsia="宋体" w:hint="default"/>
          <w:spacing w:val="-44"/>
        </w:rPr>
        <w:t> </w:t>
      </w:r>
      <w:r>
        <w:rPr/>
        <w:t>股限制性股票。</w:t>
      </w:r>
    </w:p>
    <w:p>
      <w:pPr>
        <w:spacing w:line="240" w:lineRule="auto" w:before="0"/>
        <w:rPr>
          <w:rFonts w:ascii="宋体" w:hAnsi="宋体" w:cs="宋体" w:eastAsia="宋体" w:hint="default"/>
          <w:sz w:val="18"/>
          <w:szCs w:val="18"/>
        </w:rPr>
      </w:pPr>
    </w:p>
    <w:p>
      <w:pPr>
        <w:pStyle w:val="BodyText"/>
        <w:spacing w:line="240" w:lineRule="auto" w:before="129"/>
        <w:ind w:left="501" w:right="939"/>
        <w:jc w:val="left"/>
      </w:pPr>
      <w:r>
        <w:rPr>
          <w:rFonts w:ascii="宋体" w:hAnsi="宋体" w:cs="宋体" w:eastAsia="宋体" w:hint="default"/>
        </w:rPr>
        <w:t>2018</w:t>
      </w:r>
      <w:r>
        <w:rPr>
          <w:rFonts w:ascii="宋体" w:hAnsi="宋体" w:cs="宋体" w:eastAsia="宋体" w:hint="default"/>
          <w:spacing w:val="-50"/>
        </w:rPr>
        <w:t> </w:t>
      </w:r>
      <w:r>
        <w:rPr/>
        <w:t>年</w:t>
      </w:r>
      <w:r>
        <w:rPr>
          <w:spacing w:val="-51"/>
        </w:rPr>
        <w:t> </w:t>
      </w:r>
      <w:r>
        <w:rPr>
          <w:rFonts w:ascii="宋体" w:hAnsi="宋体" w:cs="宋体" w:eastAsia="宋体" w:hint="default"/>
        </w:rPr>
        <w:t>11</w:t>
      </w:r>
      <w:r>
        <w:rPr>
          <w:rFonts w:ascii="宋体" w:hAnsi="宋体" w:cs="宋体" w:eastAsia="宋体" w:hint="default"/>
          <w:spacing w:val="-50"/>
        </w:rPr>
        <w:t> </w:t>
      </w:r>
      <w:r>
        <w:rPr/>
        <w:t>月</w:t>
      </w:r>
      <w:r>
        <w:rPr>
          <w:spacing w:val="-50"/>
        </w:rPr>
        <w:t> </w:t>
      </w:r>
      <w:r>
        <w:rPr>
          <w:rFonts w:ascii="宋体" w:hAnsi="宋体" w:cs="宋体" w:eastAsia="宋体" w:hint="default"/>
        </w:rPr>
        <w:t>30</w:t>
      </w:r>
      <w:r>
        <w:rPr>
          <w:rFonts w:ascii="宋体" w:hAnsi="宋体" w:cs="宋体" w:eastAsia="宋体" w:hint="default"/>
          <w:spacing w:val="-50"/>
        </w:rPr>
        <w:t> </w:t>
      </w:r>
      <w:r>
        <w:rPr/>
        <w:t>日，根据公司召开第三届董事会第九次会议审议通过的《关于</w:t>
      </w:r>
      <w:r>
        <w:rPr>
          <w:spacing w:val="-45"/>
        </w:rPr>
        <w:t> </w:t>
      </w:r>
      <w:r>
        <w:rPr>
          <w:rFonts w:ascii="宋体" w:hAnsi="宋体" w:cs="宋体" w:eastAsia="宋体" w:hint="default"/>
        </w:rPr>
        <w:t>2017</w:t>
      </w:r>
      <w:r>
        <w:rPr>
          <w:rFonts w:ascii="宋体" w:hAnsi="宋体" w:cs="宋体" w:eastAsia="宋体" w:hint="default"/>
          <w:spacing w:val="-50"/>
        </w:rPr>
        <w:t> </w:t>
      </w:r>
      <w:r>
        <w:rPr/>
        <w:t>年限制性股票激励计划首次授予部</w:t>
      </w:r>
    </w:p>
    <w:p>
      <w:pPr>
        <w:spacing w:line="240" w:lineRule="auto" w:before="4"/>
        <w:rPr>
          <w:rFonts w:ascii="宋体" w:hAnsi="宋体" w:cs="宋体" w:eastAsia="宋体" w:hint="default"/>
          <w:sz w:val="15"/>
          <w:szCs w:val="15"/>
        </w:rPr>
      </w:pPr>
    </w:p>
    <w:p>
      <w:pPr>
        <w:pStyle w:val="BodyText"/>
        <w:spacing w:line="240" w:lineRule="auto"/>
        <w:ind w:right="939"/>
        <w:jc w:val="left"/>
        <w:rPr>
          <w:rFonts w:ascii="宋体" w:hAnsi="宋体" w:cs="宋体" w:eastAsia="宋体" w:hint="default"/>
        </w:rPr>
      </w:pPr>
      <w:r>
        <w:rPr/>
        <w:t>分第一个解锁期解锁条件成就的议案</w:t>
      </w:r>
      <w:r>
        <w:rPr>
          <w:spacing w:val="-90"/>
        </w:rPr>
        <w:t>》</w:t>
      </w:r>
      <w:r>
        <w:rPr>
          <w:spacing w:val="-150"/>
        </w:rPr>
        <w:t>、</w:t>
      </w:r>
      <w:r>
        <w:rPr>
          <w:spacing w:val="3"/>
        </w:rPr>
        <w:t>《</w:t>
      </w:r>
      <w:r>
        <w:rPr/>
        <w:t>关于回购注销部分已授予限制性股票的议案</w:t>
      </w:r>
      <w:r>
        <w:rPr>
          <w:spacing w:val="-90"/>
        </w:rPr>
        <w:t>》</w:t>
      </w:r>
      <w:r>
        <w:rPr>
          <w:spacing w:val="-60"/>
        </w:rPr>
        <w:t>，</w:t>
      </w:r>
      <w:r>
        <w:rPr/>
        <w:t>同意对符合解锁条件的激励对象</w:t>
      </w:r>
      <w:r>
        <w:rPr>
          <w:spacing w:val="-38"/>
        </w:rPr>
        <w:t> </w:t>
      </w:r>
      <w:r>
        <w:rPr>
          <w:rFonts w:ascii="宋体" w:hAnsi="宋体" w:cs="宋体" w:eastAsia="宋体" w:hint="default"/>
        </w:rPr>
        <w:t>158</w:t>
      </w:r>
    </w:p>
    <w:p>
      <w:pPr>
        <w:spacing w:line="240" w:lineRule="auto" w:before="6"/>
        <w:rPr>
          <w:rFonts w:ascii="宋体" w:hAnsi="宋体" w:cs="宋体" w:eastAsia="宋体" w:hint="default"/>
          <w:sz w:val="16"/>
          <w:szCs w:val="16"/>
        </w:rPr>
      </w:pPr>
    </w:p>
    <w:p>
      <w:pPr>
        <w:pStyle w:val="BodyText"/>
        <w:spacing w:line="240" w:lineRule="auto"/>
        <w:ind w:right="939"/>
        <w:jc w:val="left"/>
      </w:pPr>
      <w:r>
        <w:rPr/>
        <w:t>名，解锁数量为</w:t>
      </w:r>
      <w:r>
        <w:rPr>
          <w:spacing w:val="-44"/>
        </w:rPr>
        <w:t> </w:t>
      </w:r>
      <w:r>
        <w:rPr>
          <w:rFonts w:ascii="宋体" w:hAnsi="宋体" w:cs="宋体" w:eastAsia="宋体" w:hint="default"/>
        </w:rPr>
        <w:t>1,291,617</w:t>
      </w:r>
      <w:r>
        <w:rPr>
          <w:rFonts w:ascii="宋体" w:hAnsi="宋体" w:cs="宋体" w:eastAsia="宋体" w:hint="default"/>
          <w:spacing w:val="-44"/>
        </w:rPr>
        <w:t> </w:t>
      </w:r>
      <w:r>
        <w:rPr/>
        <w:t>股，按规定解锁并为其办理相应的解锁手续，同意回购注销限制性股票</w:t>
      </w:r>
      <w:r>
        <w:rPr>
          <w:spacing w:val="-38"/>
        </w:rPr>
        <w:t> </w:t>
      </w:r>
      <w:r>
        <w:rPr>
          <w:rFonts w:ascii="宋体" w:hAnsi="宋体" w:cs="宋体" w:eastAsia="宋体" w:hint="default"/>
        </w:rPr>
        <w:t>61,217</w:t>
      </w:r>
      <w:r>
        <w:rPr>
          <w:rFonts w:ascii="宋体" w:hAnsi="宋体" w:cs="宋体" w:eastAsia="宋体" w:hint="default"/>
          <w:spacing w:val="-44"/>
        </w:rPr>
        <w:t> </w:t>
      </w:r>
      <w:r>
        <w:rPr/>
        <w:t>股，回购价格为</w:t>
      </w:r>
    </w:p>
    <w:p>
      <w:pPr>
        <w:spacing w:line="240" w:lineRule="auto" w:before="4"/>
        <w:rPr>
          <w:rFonts w:ascii="宋体" w:hAnsi="宋体" w:cs="宋体" w:eastAsia="宋体" w:hint="default"/>
          <w:sz w:val="15"/>
          <w:szCs w:val="15"/>
        </w:rPr>
      </w:pPr>
    </w:p>
    <w:p>
      <w:pPr>
        <w:pStyle w:val="BodyText"/>
        <w:spacing w:line="240" w:lineRule="auto"/>
        <w:ind w:right="939"/>
        <w:jc w:val="left"/>
      </w:pPr>
      <w:r>
        <w:rPr/>
        <w:t>人民币</w:t>
      </w:r>
      <w:r>
        <w:rPr>
          <w:spacing w:val="-45"/>
        </w:rPr>
        <w:t> </w:t>
      </w:r>
      <w:r>
        <w:rPr>
          <w:rFonts w:ascii="宋体" w:hAnsi="宋体" w:cs="宋体" w:eastAsia="宋体" w:hint="default"/>
        </w:rPr>
        <w:t>11.8077</w:t>
      </w:r>
      <w:r>
        <w:rPr>
          <w:rFonts w:ascii="宋体" w:hAnsi="宋体" w:cs="宋体" w:eastAsia="宋体" w:hint="default"/>
          <w:spacing w:val="-44"/>
        </w:rPr>
        <w:t> </w:t>
      </w:r>
      <w:r>
        <w:rPr/>
        <w:t>元</w:t>
      </w:r>
      <w:r>
        <w:rPr>
          <w:rFonts w:ascii="宋体" w:hAnsi="宋体" w:cs="宋体" w:eastAsia="宋体" w:hint="default"/>
        </w:rPr>
        <w:t>/</w:t>
      </w:r>
      <w:r>
        <w:rPr/>
        <w:t>股。</w:t>
      </w:r>
    </w:p>
    <w:p>
      <w:pPr>
        <w:spacing w:line="240" w:lineRule="auto" w:before="0"/>
        <w:rPr>
          <w:rFonts w:ascii="宋体" w:hAnsi="宋体" w:cs="宋体" w:eastAsia="宋体" w:hint="default"/>
          <w:sz w:val="18"/>
          <w:szCs w:val="18"/>
        </w:rPr>
      </w:pPr>
    </w:p>
    <w:p>
      <w:pPr>
        <w:pStyle w:val="BodyText"/>
        <w:spacing w:line="240" w:lineRule="auto" w:before="129"/>
        <w:ind w:left="501" w:right="939"/>
        <w:jc w:val="left"/>
      </w:pPr>
      <w:r>
        <w:rPr>
          <w:rFonts w:ascii="宋体" w:hAnsi="宋体" w:cs="宋体" w:eastAsia="宋体" w:hint="default"/>
        </w:rPr>
        <w:t>2019</w:t>
      </w:r>
      <w:r>
        <w:rPr>
          <w:rFonts w:ascii="宋体" w:hAnsi="宋体" w:cs="宋体" w:eastAsia="宋体" w:hint="default"/>
          <w:spacing w:val="-33"/>
        </w:rPr>
        <w:t> </w:t>
      </w:r>
      <w:r>
        <w:rPr/>
        <w:t>年</w:t>
      </w:r>
      <w:r>
        <w:rPr>
          <w:spacing w:val="-34"/>
        </w:rPr>
        <w:t> </w:t>
      </w:r>
      <w:r>
        <w:rPr>
          <w:rFonts w:ascii="宋体" w:hAnsi="宋体" w:cs="宋体" w:eastAsia="宋体" w:hint="default"/>
        </w:rPr>
        <w:t>4</w:t>
      </w:r>
      <w:r>
        <w:rPr>
          <w:rFonts w:ascii="宋体" w:hAnsi="宋体" w:cs="宋体" w:eastAsia="宋体" w:hint="default"/>
          <w:spacing w:val="-47"/>
        </w:rPr>
        <w:t> </w:t>
      </w:r>
      <w:r>
        <w:rPr/>
        <w:t>月</w:t>
      </w:r>
      <w:r>
        <w:rPr>
          <w:spacing w:val="-33"/>
        </w:rPr>
        <w:t> </w:t>
      </w:r>
      <w:r>
        <w:rPr>
          <w:rFonts w:ascii="宋体" w:hAnsi="宋体" w:cs="宋体" w:eastAsia="宋体" w:hint="default"/>
        </w:rPr>
        <w:t>23</w:t>
      </w:r>
      <w:r>
        <w:rPr>
          <w:rFonts w:ascii="宋体" w:hAnsi="宋体" w:cs="宋体" w:eastAsia="宋体" w:hint="default"/>
          <w:spacing w:val="-33"/>
        </w:rPr>
        <w:t> </w:t>
      </w:r>
      <w:r>
        <w:rPr/>
        <w:t>日，根据公司第三届董事会第十二次会议决议通过的《关于回购注销</w:t>
      </w:r>
      <w:r>
        <w:rPr>
          <w:spacing w:val="-27"/>
        </w:rPr>
        <w:t> </w:t>
      </w:r>
      <w:r>
        <w:rPr>
          <w:rFonts w:ascii="宋体" w:hAnsi="宋体" w:cs="宋体" w:eastAsia="宋体" w:hint="default"/>
        </w:rPr>
        <w:t>2017</w:t>
      </w:r>
      <w:r>
        <w:rPr>
          <w:rFonts w:ascii="宋体" w:hAnsi="宋体" w:cs="宋体" w:eastAsia="宋体" w:hint="default"/>
          <w:spacing w:val="-33"/>
        </w:rPr>
        <w:t> </w:t>
      </w:r>
      <w:r>
        <w:rPr/>
        <w:t>年限制性股票激励计划部分</w:t>
      </w:r>
    </w:p>
    <w:p>
      <w:pPr>
        <w:spacing w:line="240" w:lineRule="auto" w:before="3"/>
        <w:rPr>
          <w:rFonts w:ascii="宋体" w:hAnsi="宋体" w:cs="宋体" w:eastAsia="宋体" w:hint="default"/>
          <w:sz w:val="15"/>
          <w:szCs w:val="15"/>
        </w:rPr>
      </w:pPr>
    </w:p>
    <w:p>
      <w:pPr>
        <w:pStyle w:val="BodyText"/>
        <w:spacing w:line="240" w:lineRule="auto"/>
        <w:ind w:right="939"/>
        <w:jc w:val="left"/>
      </w:pPr>
      <w:r>
        <w:rPr/>
        <w:t>限制性股票的议案</w:t>
      </w:r>
      <w:r>
        <w:rPr>
          <w:spacing w:val="-90"/>
        </w:rPr>
        <w:t>》</w:t>
      </w:r>
      <w:r>
        <w:rPr>
          <w:spacing w:val="2"/>
        </w:rPr>
        <w:t>，</w:t>
      </w:r>
      <w:r>
        <w:rPr/>
        <w:t>由于部分激励对象离</w:t>
      </w:r>
      <w:r>
        <w:rPr>
          <w:spacing w:val="2"/>
        </w:rPr>
        <w:t>职</w:t>
      </w:r>
      <w:r>
        <w:rPr/>
        <w:t>，同时</w:t>
      </w:r>
      <w:r>
        <w:rPr>
          <w:spacing w:val="-45"/>
        </w:rPr>
        <w:t> </w:t>
      </w:r>
      <w:r>
        <w:rPr>
          <w:rFonts w:ascii="宋体" w:hAnsi="宋体" w:cs="宋体" w:eastAsia="宋体" w:hint="default"/>
        </w:rPr>
        <w:t>2018</w:t>
      </w:r>
      <w:r>
        <w:rPr>
          <w:rFonts w:ascii="宋体" w:hAnsi="宋体" w:cs="宋体" w:eastAsia="宋体" w:hint="default"/>
          <w:spacing w:val="-45"/>
        </w:rPr>
        <w:t> </w:t>
      </w:r>
      <w:r>
        <w:rPr/>
        <w:t>年经审定后的净利润指标未达到</w:t>
      </w:r>
      <w:r>
        <w:rPr>
          <w:spacing w:val="-42"/>
        </w:rPr>
        <w:t> </w:t>
      </w:r>
      <w:r>
        <w:rPr>
          <w:rFonts w:ascii="宋体" w:hAnsi="宋体" w:cs="宋体" w:eastAsia="宋体" w:hint="default"/>
        </w:rPr>
        <w:t>2017</w:t>
      </w:r>
      <w:r>
        <w:rPr>
          <w:rFonts w:ascii="宋体" w:hAnsi="宋体" w:cs="宋体" w:eastAsia="宋体" w:hint="default"/>
          <w:spacing w:val="-45"/>
        </w:rPr>
        <w:t> </w:t>
      </w:r>
      <w:r>
        <w:rPr/>
        <w:t>年限制性股票激励计划对授</w:t>
      </w:r>
    </w:p>
    <w:p>
      <w:pPr>
        <w:spacing w:line="240" w:lineRule="auto" w:before="4"/>
        <w:rPr>
          <w:rFonts w:ascii="宋体" w:hAnsi="宋体" w:cs="宋体" w:eastAsia="宋体" w:hint="default"/>
          <w:sz w:val="15"/>
          <w:szCs w:val="15"/>
        </w:rPr>
      </w:pPr>
    </w:p>
    <w:p>
      <w:pPr>
        <w:pStyle w:val="BodyText"/>
        <w:spacing w:line="458" w:lineRule="auto"/>
        <w:ind w:right="1113"/>
        <w:jc w:val="left"/>
      </w:pPr>
      <w:r>
        <w:rPr>
          <w:spacing w:val="-3"/>
        </w:rPr>
        <w:t>予的股票第二个解锁期解锁条件的要求，因此公司回购注销上述激励对象获售的限制性股票</w:t>
      </w:r>
      <w:r>
        <w:rPr>
          <w:spacing w:val="-48"/>
        </w:rPr>
        <w:t> </w:t>
      </w:r>
      <w:r>
        <w:rPr>
          <w:rFonts w:ascii="宋体" w:hAnsi="宋体" w:cs="宋体" w:eastAsia="宋体" w:hint="default"/>
        </w:rPr>
        <w:t>1,385,677</w:t>
      </w:r>
      <w:r>
        <w:rPr>
          <w:rFonts w:ascii="宋体" w:hAnsi="宋体" w:cs="宋体" w:eastAsia="宋体" w:hint="default"/>
          <w:spacing w:val="-48"/>
        </w:rPr>
        <w:t> </w:t>
      </w:r>
      <w:r>
        <w:rPr>
          <w:spacing w:val="-15"/>
        </w:rPr>
        <w:t>股，回购价为</w:t>
      </w:r>
      <w:r>
        <w:rPr>
          <w:spacing w:val="-48"/>
        </w:rPr>
        <w:t> </w:t>
      </w:r>
      <w:r>
        <w:rPr>
          <w:rFonts w:ascii="宋体" w:hAnsi="宋体" w:cs="宋体" w:eastAsia="宋体" w:hint="default"/>
        </w:rPr>
        <w:t>11.8077 </w:t>
      </w:r>
      <w:r>
        <w:rPr/>
        <w:t>元</w:t>
      </w:r>
      <w:r>
        <w:rPr>
          <w:rFonts w:ascii="宋体" w:hAnsi="宋体" w:cs="宋体" w:eastAsia="宋体" w:hint="default"/>
        </w:rPr>
        <w:t>/</w:t>
      </w:r>
      <w:r>
        <w:rPr/>
        <w:t>股。</w:t>
      </w:r>
    </w:p>
    <w:p>
      <w:pPr>
        <w:spacing w:line="240" w:lineRule="auto" w:before="13"/>
        <w:rPr>
          <w:rFonts w:ascii="宋体" w:hAnsi="宋体" w:cs="宋体" w:eastAsia="宋体" w:hint="default"/>
          <w:sz w:val="14"/>
          <w:szCs w:val="14"/>
        </w:rPr>
      </w:pPr>
    </w:p>
    <w:p>
      <w:pPr>
        <w:pStyle w:val="Heading3"/>
        <w:spacing w:line="240" w:lineRule="auto"/>
        <w:ind w:right="939"/>
        <w:jc w:val="left"/>
        <w:rPr>
          <w:b w:val="0"/>
          <w:bCs w:val="0"/>
        </w:rPr>
      </w:pPr>
      <w:bookmarkStart w:name="2、以权益结算的股份支付情况" w:id="346"/>
      <w:bookmarkEnd w:id="34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布莱克－斯科尔模型来计算期权的理论价值</w:t>
            </w:r>
          </w:p>
        </w:tc>
      </w:tr>
      <w:tr>
        <w:trPr>
          <w:trHeight w:val="7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48"/>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公司根据在职激励对象对应的权益工具以及对未来年度公 司业绩的预测进行确定</w:t>
            </w:r>
          </w:p>
        </w:tc>
      </w:tr>
      <w:tr>
        <w:trPr>
          <w:trHeight w:val="4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0"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32,420,611.82</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979"/>
        <w:gridCol w:w="4603"/>
      </w:tblGrid>
      <w:tr>
        <w:trPr>
          <w:trHeight w:val="390"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2,594,976.87</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以现金结算的股份支付情况" w:id="347"/>
      <w:bookmarkEnd w:id="34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939"/>
        <w:jc w:val="left"/>
        <w:rPr>
          <w:b w:val="0"/>
          <w:bCs w:val="0"/>
        </w:rPr>
      </w:pPr>
      <w:bookmarkStart w:name="4、股份支付的修改、终止情况" w:id="348"/>
      <w:bookmarkEnd w:id="34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left="501" w:right="939"/>
        <w:jc w:val="left"/>
      </w:pPr>
      <w:r>
        <w:rPr/>
        <w:t>报告期内股份支付无发生修改及终止情况。</w:t>
      </w:r>
    </w:p>
    <w:p>
      <w:pPr>
        <w:spacing w:line="240" w:lineRule="auto" w:before="0"/>
        <w:rPr>
          <w:rFonts w:ascii="宋体" w:hAnsi="宋体" w:cs="宋体" w:eastAsia="宋体" w:hint="default"/>
          <w:sz w:val="26"/>
          <w:szCs w:val="26"/>
        </w:rPr>
      </w:pPr>
    </w:p>
    <w:p>
      <w:pPr>
        <w:pStyle w:val="Heading2"/>
        <w:spacing w:line="240" w:lineRule="auto"/>
        <w:ind w:right="939"/>
        <w:jc w:val="left"/>
        <w:rPr>
          <w:b w:val="0"/>
          <w:bCs w:val="0"/>
        </w:rPr>
      </w:pPr>
      <w:bookmarkStart w:name="十四、承诺及或有事项" w:id="349"/>
      <w:bookmarkEnd w:id="349"/>
      <w:r>
        <w:rPr>
          <w:b w:val="0"/>
          <w:bCs w:val="0"/>
        </w:rPr>
      </w:r>
      <w:r>
        <w:rPr/>
        <w:t>十四、承诺及或有事项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重要承诺事项" w:id="350"/>
      <w:bookmarkEnd w:id="35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left="501" w:right="939"/>
        <w:jc w:val="left"/>
        <w:rPr>
          <w:sz w:val="24"/>
          <w:szCs w:val="24"/>
        </w:rPr>
      </w:pPr>
      <w:r>
        <w:rPr/>
        <w:t>截至报告日，公司不存在应披露的重要承诺事项</w:t>
      </w:r>
      <w:r>
        <w:rPr>
          <w:sz w:val="24"/>
          <w:szCs w:val="24"/>
        </w:rPr>
        <w:t>。</w:t>
      </w:r>
    </w:p>
    <w:p>
      <w:pPr>
        <w:spacing w:line="240" w:lineRule="auto" w:before="5"/>
        <w:rPr>
          <w:rFonts w:ascii="宋体" w:hAnsi="宋体" w:cs="宋体" w:eastAsia="宋体" w:hint="default"/>
          <w:sz w:val="23"/>
          <w:szCs w:val="23"/>
        </w:rPr>
      </w:pPr>
    </w:p>
    <w:p>
      <w:pPr>
        <w:pStyle w:val="Heading3"/>
        <w:spacing w:line="240" w:lineRule="auto"/>
        <w:ind w:right="939"/>
        <w:jc w:val="left"/>
        <w:rPr>
          <w:b w:val="0"/>
          <w:bCs w:val="0"/>
        </w:rPr>
      </w:pPr>
      <w:bookmarkStart w:name="2、 或有事项" w:id="351"/>
      <w:bookmarkEnd w:id="351"/>
      <w:r>
        <w:rPr>
          <w:b w:val="0"/>
          <w:bCs w:val="0"/>
        </w:rPr>
      </w:r>
      <w:r>
        <w:rPr>
          <w:rFonts w:ascii="Times New Roman" w:hAnsi="Times New Roman" w:cs="Times New Roman" w:eastAsia="Times New Roman" w:hint="default"/>
        </w:rPr>
        <w:t>2</w:t>
      </w:r>
      <w:r>
        <w:rPr/>
        <w:t>、</w:t>
      </w:r>
      <w:r>
        <w:rPr>
          <w:spacing w:val="-66"/>
        </w:rPr>
        <w:t> </w:t>
      </w:r>
      <w:r>
        <w:rPr/>
        <w:t>或有事项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1" w:right="939"/>
        <w:jc w:val="left"/>
      </w:pPr>
      <w:r>
        <w:rPr/>
        <w:t>截至报告日，公司不存在应披露的或有事项。</w:t>
      </w:r>
    </w:p>
    <w:p>
      <w:pPr>
        <w:spacing w:line="240" w:lineRule="auto" w:before="0"/>
        <w:rPr>
          <w:rFonts w:ascii="宋体" w:hAnsi="宋体" w:cs="宋体" w:eastAsia="宋体" w:hint="default"/>
          <w:sz w:val="18"/>
          <w:szCs w:val="18"/>
        </w:rPr>
      </w:pPr>
    </w:p>
    <w:p>
      <w:pPr>
        <w:pStyle w:val="Heading2"/>
        <w:spacing w:line="240" w:lineRule="auto" w:before="119"/>
        <w:ind w:right="939"/>
        <w:jc w:val="left"/>
        <w:rPr>
          <w:b w:val="0"/>
          <w:bCs w:val="0"/>
        </w:rPr>
      </w:pPr>
      <w:bookmarkStart w:name="十五、资产负债表日后事项" w:id="352"/>
      <w:bookmarkEnd w:id="352"/>
      <w:r>
        <w:rPr>
          <w:b w:val="0"/>
          <w:bCs w:val="0"/>
        </w:rPr>
      </w:r>
      <w:r>
        <w:rPr/>
        <w:t>十五、资产负债表日后事项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9"/>
        <w:jc w:val="left"/>
        <w:rPr>
          <w:b w:val="0"/>
          <w:bCs w:val="0"/>
        </w:rPr>
      </w:pPr>
      <w:bookmarkStart w:name="1、利润分配情况" w:id="353"/>
      <w:bookmarkEnd w:id="353"/>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79"/>
        <w:gridCol w:w="4603"/>
      </w:tblGrid>
      <w:tr>
        <w:trPr>
          <w:trHeight w:val="406"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28,345,239.15</w:t>
            </w:r>
          </w:p>
        </w:tc>
      </w:tr>
      <w:tr>
        <w:trPr>
          <w:trHeight w:val="405"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28,345,239.15</w:t>
            </w:r>
          </w:p>
        </w:tc>
      </w:tr>
    </w:tbl>
    <w:p>
      <w:pPr>
        <w:spacing w:line="240" w:lineRule="auto" w:before="12"/>
        <w:rPr>
          <w:rFonts w:ascii="宋体" w:hAnsi="宋体" w:cs="宋体" w:eastAsia="宋体" w:hint="default"/>
          <w:sz w:val="6"/>
          <w:szCs w:val="6"/>
        </w:rPr>
      </w:pPr>
    </w:p>
    <w:p>
      <w:pPr>
        <w:pStyle w:val="BodyText"/>
        <w:spacing w:line="295" w:lineRule="auto" w:before="44"/>
        <w:ind w:right="1109" w:firstLine="360"/>
        <w:jc w:val="both"/>
      </w:pPr>
      <w:r>
        <w:rPr>
          <w:spacing w:val="-1"/>
        </w:rPr>
        <w:t>以截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18,896.8261</w:t>
      </w:r>
      <w:r>
        <w:rPr>
          <w:spacing w:val="-1"/>
        </w:rPr>
        <w:t>万股为基数，拟向全体股东分配共计现金人民币</w:t>
      </w:r>
      <w:r>
        <w:rPr>
          <w:rFonts w:ascii="Times New Roman" w:hAnsi="Times New Roman" w:cs="Times New Roman" w:eastAsia="Times New Roman" w:hint="default"/>
          <w:spacing w:val="-1"/>
        </w:rPr>
        <w:t>28,345,239.15</w:t>
      </w:r>
      <w:r>
        <w:rPr>
          <w:spacing w:val="-1"/>
        </w:rPr>
        <w:t>元，即每</w:t>
      </w:r>
      <w:r>
        <w:rPr>
          <w:rFonts w:ascii="Times New Roman" w:hAnsi="Times New Roman" w:cs="Times New Roman" w:eastAsia="Times New Roman" w:hint="default"/>
          <w:spacing w:val="-1"/>
        </w:rPr>
        <w:t>10</w:t>
      </w:r>
      <w:r>
        <w:rPr>
          <w:spacing w:val="-1"/>
        </w:rPr>
        <w:t>股</w:t>
      </w:r>
      <w:r>
        <w:rPr/>
        <w:t> </w:t>
      </w:r>
      <w:r>
        <w:rPr>
          <w:spacing w:val="-2"/>
        </w:rPr>
        <w:t>派发现金股利</w:t>
      </w:r>
      <w:r>
        <w:rPr>
          <w:rFonts w:ascii="Times New Roman" w:hAnsi="Times New Roman" w:cs="Times New Roman" w:eastAsia="Times New Roman" w:hint="default"/>
          <w:spacing w:val="-2"/>
        </w:rPr>
        <w:t>1.5</w:t>
      </w:r>
      <w:r>
        <w:rPr>
          <w:spacing w:val="-2"/>
        </w:rPr>
        <w:t>元人民币（含税）；同时拟以股本溢价形成的资本公积金向全体股东每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9,448.4131</w:t>
      </w:r>
      <w:r>
        <w:rPr>
          <w:spacing w:val="-2"/>
        </w:rPr>
        <w:t>万</w:t>
      </w:r>
      <w:r>
        <w:rPr/>
        <w:t> 股，转增后公司总股本为</w:t>
      </w:r>
      <w:r>
        <w:rPr>
          <w:rFonts w:ascii="Times New Roman" w:hAnsi="Times New Roman" w:cs="Times New Roman" w:eastAsia="Times New Roman" w:hint="default"/>
        </w:rPr>
        <w:t>28,345.2392</w:t>
      </w:r>
      <w:r>
        <w:rPr/>
        <w:t>万股。本次利润分配不送红股，剩余未分配利润结转入下一年度。</w:t>
      </w:r>
    </w:p>
    <w:p>
      <w:pPr>
        <w:spacing w:line="240" w:lineRule="auto" w:before="4"/>
        <w:rPr>
          <w:rFonts w:ascii="宋体" w:hAnsi="宋体" w:cs="宋体" w:eastAsia="宋体" w:hint="default"/>
          <w:sz w:val="20"/>
          <w:szCs w:val="20"/>
        </w:rPr>
      </w:pPr>
    </w:p>
    <w:p>
      <w:pPr>
        <w:pStyle w:val="Heading2"/>
        <w:spacing w:line="240" w:lineRule="auto"/>
        <w:ind w:right="939"/>
        <w:jc w:val="left"/>
        <w:rPr>
          <w:b w:val="0"/>
          <w:bCs w:val="0"/>
        </w:rPr>
      </w:pPr>
      <w:bookmarkStart w:name="十六、其他重要事项" w:id="354"/>
      <w:bookmarkEnd w:id="354"/>
      <w:r>
        <w:rPr>
          <w:b w:val="0"/>
          <w:bCs w:val="0"/>
        </w:rPr>
      </w:r>
      <w:r>
        <w:rPr/>
        <w:t>十六、其他重要事项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分部信息" w:id="355"/>
      <w:bookmarkEnd w:id="355"/>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报告分部的确定依据与会计政策" w:id="356"/>
      <w:bookmarkEnd w:id="35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5"/>
        <w:rPr>
          <w:rFonts w:ascii="宋体" w:hAnsi="宋体" w:cs="宋体" w:eastAsia="宋体" w:hint="default"/>
          <w:b/>
          <w:bCs/>
          <w:sz w:val="26"/>
          <w:szCs w:val="26"/>
        </w:rPr>
      </w:pPr>
    </w:p>
    <w:p>
      <w:pPr>
        <w:pStyle w:val="BodyText"/>
        <w:spacing w:line="273" w:lineRule="auto"/>
        <w:ind w:right="1128" w:firstLine="360"/>
        <w:jc w:val="both"/>
      </w:pPr>
      <w:r>
        <w:rPr>
          <w:spacing w:val="-2"/>
        </w:rPr>
        <w:t>公司按照主营业务地区划分经营分部，并将营业收入占所有分部收入合计</w:t>
      </w:r>
      <w:r>
        <w:rPr>
          <w:rFonts w:ascii="Times New Roman" w:hAnsi="Times New Roman" w:cs="Times New Roman" w:eastAsia="Times New Roman" w:hint="default"/>
          <w:spacing w:val="-2"/>
        </w:rPr>
        <w:t>10%</w:t>
      </w:r>
      <w:r>
        <w:rPr>
          <w:spacing w:val="-2"/>
        </w:rPr>
        <w:t>以上的经营分部确认为报告分部，各报告</w:t>
      </w:r>
      <w:r>
        <w:rPr/>
        <w:t> 分部的情况如下：</w:t>
      </w:r>
    </w:p>
    <w:p>
      <w:pPr>
        <w:spacing w:line="240" w:lineRule="auto" w:before="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991"/>
        <w:gridCol w:w="1698"/>
        <w:gridCol w:w="6518"/>
      </w:tblGrid>
      <w:tr>
        <w:trPr>
          <w:trHeight w:val="36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5" w:right="0"/>
              <w:jc w:val="center"/>
              <w:rPr>
                <w:rFonts w:ascii="宋体" w:hAnsi="宋体" w:cs="宋体" w:eastAsia="宋体" w:hint="default"/>
                <w:sz w:val="16"/>
                <w:szCs w:val="16"/>
              </w:rPr>
            </w:pPr>
            <w:r>
              <w:rPr>
                <w:rFonts w:ascii="宋体" w:hAnsi="宋体" w:cs="宋体" w:eastAsia="宋体" w:hint="default"/>
                <w:w w:val="105"/>
                <w:sz w:val="16"/>
                <w:szCs w:val="16"/>
              </w:rPr>
              <w:t>地区</w:t>
            </w:r>
            <w:r>
              <w:rPr>
                <w:rFonts w:ascii="宋体" w:hAnsi="宋体" w:cs="宋体" w:eastAsia="宋体" w:hint="default"/>
                <w:sz w:val="16"/>
                <w:szCs w:val="16"/>
              </w:rPr>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509"/>
              <w:jc w:val="right"/>
              <w:rPr>
                <w:rFonts w:ascii="宋体" w:hAnsi="宋体" w:cs="宋体" w:eastAsia="宋体" w:hint="default"/>
                <w:sz w:val="16"/>
                <w:szCs w:val="16"/>
              </w:rPr>
            </w:pPr>
            <w:r>
              <w:rPr>
                <w:rFonts w:ascii="宋体" w:hAnsi="宋体" w:cs="宋体" w:eastAsia="宋体" w:hint="default"/>
                <w:sz w:val="16"/>
                <w:szCs w:val="16"/>
              </w:rPr>
              <w:t>报告分部</w:t>
            </w:r>
          </w:p>
        </w:tc>
        <w:tc>
          <w:tcPr>
            <w:tcW w:w="6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3" w:right="0"/>
              <w:jc w:val="center"/>
              <w:rPr>
                <w:rFonts w:ascii="宋体" w:hAnsi="宋体" w:cs="宋体" w:eastAsia="宋体" w:hint="default"/>
                <w:sz w:val="16"/>
                <w:szCs w:val="16"/>
              </w:rPr>
            </w:pPr>
            <w:r>
              <w:rPr>
                <w:rFonts w:ascii="宋体" w:hAnsi="宋体" w:cs="宋体" w:eastAsia="宋体" w:hint="default"/>
                <w:w w:val="105"/>
                <w:sz w:val="16"/>
                <w:szCs w:val="16"/>
              </w:rPr>
              <w:t>所属公司</w:t>
            </w:r>
            <w:r>
              <w:rPr>
                <w:rFonts w:ascii="宋体" w:hAnsi="宋体" w:cs="宋体" w:eastAsia="宋体" w:hint="default"/>
                <w:sz w:val="16"/>
                <w:szCs w:val="16"/>
              </w:rPr>
            </w:r>
          </w:p>
        </w:tc>
      </w:tr>
      <w:tr>
        <w:trPr>
          <w:trHeight w:val="346"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5" w:right="0"/>
              <w:jc w:val="center"/>
              <w:rPr>
                <w:rFonts w:ascii="宋体" w:hAnsi="宋体" w:cs="宋体" w:eastAsia="宋体" w:hint="default"/>
                <w:sz w:val="16"/>
                <w:szCs w:val="16"/>
              </w:rPr>
            </w:pPr>
            <w:r>
              <w:rPr>
                <w:rFonts w:ascii="宋体" w:hAnsi="宋体" w:cs="宋体" w:eastAsia="宋体" w:hint="default"/>
                <w:w w:val="105"/>
                <w:sz w:val="16"/>
                <w:szCs w:val="16"/>
              </w:rPr>
              <w:t>境内</w:t>
            </w:r>
            <w:r>
              <w:rPr>
                <w:rFonts w:ascii="宋体" w:hAnsi="宋体" w:cs="宋体" w:eastAsia="宋体" w:hint="default"/>
                <w:sz w:val="16"/>
                <w:szCs w:val="16"/>
              </w:rPr>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501"/>
              <w:jc w:val="right"/>
              <w:rPr>
                <w:rFonts w:ascii="Times New Roman" w:hAnsi="Times New Roman" w:cs="Times New Roman" w:eastAsia="Times New Roman" w:hint="default"/>
                <w:sz w:val="16"/>
                <w:szCs w:val="16"/>
              </w:rPr>
            </w:pPr>
            <w:r>
              <w:rPr>
                <w:rFonts w:ascii="宋体" w:hAnsi="宋体" w:cs="宋体" w:eastAsia="宋体" w:hint="default"/>
                <w:spacing w:val="-3"/>
                <w:sz w:val="16"/>
                <w:szCs w:val="16"/>
              </w:rPr>
              <w:t>报告分部</w:t>
            </w:r>
            <w:r>
              <w:rPr>
                <w:rFonts w:ascii="Times New Roman" w:hAnsi="Times New Roman" w:cs="Times New Roman" w:eastAsia="Times New Roman" w:hint="default"/>
                <w:spacing w:val="-3"/>
                <w:sz w:val="16"/>
                <w:szCs w:val="16"/>
              </w:rPr>
              <w:t>1</w:t>
            </w:r>
          </w:p>
        </w:tc>
        <w:tc>
          <w:tcPr>
            <w:tcW w:w="6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0"/>
              <w:jc w:val="center"/>
              <w:rPr>
                <w:rFonts w:ascii="宋体" w:hAnsi="宋体" w:cs="宋体" w:eastAsia="宋体" w:hint="default"/>
                <w:sz w:val="16"/>
                <w:szCs w:val="16"/>
              </w:rPr>
            </w:pPr>
            <w:r>
              <w:rPr>
                <w:rFonts w:ascii="宋体" w:hAnsi="宋体" w:cs="宋体" w:eastAsia="宋体" w:hint="default"/>
                <w:spacing w:val="-5"/>
                <w:w w:val="105"/>
                <w:sz w:val="16"/>
                <w:szCs w:val="16"/>
              </w:rPr>
              <w:t>深圳四方精创资讯股份有限公司、深圳前海乐寻坊区块链科技有限公司</w:t>
            </w:r>
            <w:r>
              <w:rPr>
                <w:rFonts w:ascii="宋体" w:hAnsi="宋体" w:cs="宋体" w:eastAsia="宋体" w:hint="default"/>
                <w:spacing w:val="-5"/>
                <w:sz w:val="16"/>
                <w:szCs w:val="16"/>
              </w:rPr>
            </w:r>
          </w:p>
        </w:tc>
      </w:tr>
      <w:tr>
        <w:trPr>
          <w:trHeight w:val="36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5" w:right="0"/>
              <w:jc w:val="center"/>
              <w:rPr>
                <w:rFonts w:ascii="宋体" w:hAnsi="宋体" w:cs="宋体" w:eastAsia="宋体" w:hint="default"/>
                <w:sz w:val="16"/>
                <w:szCs w:val="16"/>
              </w:rPr>
            </w:pPr>
            <w:r>
              <w:rPr>
                <w:rFonts w:ascii="宋体" w:hAnsi="宋体" w:cs="宋体" w:eastAsia="宋体" w:hint="default"/>
                <w:w w:val="105"/>
                <w:sz w:val="16"/>
                <w:szCs w:val="16"/>
              </w:rPr>
              <w:t>境外</w:t>
            </w:r>
            <w:r>
              <w:rPr>
                <w:rFonts w:ascii="宋体" w:hAnsi="宋体" w:cs="宋体" w:eastAsia="宋体" w:hint="default"/>
                <w:sz w:val="16"/>
                <w:szCs w:val="16"/>
              </w:rPr>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501"/>
              <w:jc w:val="right"/>
              <w:rPr>
                <w:rFonts w:ascii="Times New Roman" w:hAnsi="Times New Roman" w:cs="Times New Roman" w:eastAsia="Times New Roman" w:hint="default"/>
                <w:sz w:val="16"/>
                <w:szCs w:val="16"/>
              </w:rPr>
            </w:pPr>
            <w:r>
              <w:rPr>
                <w:rFonts w:ascii="宋体" w:hAnsi="宋体" w:cs="宋体" w:eastAsia="宋体" w:hint="default"/>
                <w:spacing w:val="-3"/>
                <w:sz w:val="16"/>
                <w:szCs w:val="16"/>
              </w:rPr>
              <w:t>报告分部</w:t>
            </w:r>
            <w:r>
              <w:rPr>
                <w:rFonts w:ascii="Times New Roman" w:hAnsi="Times New Roman" w:cs="Times New Roman" w:eastAsia="Times New Roman" w:hint="default"/>
                <w:spacing w:val="-3"/>
                <w:sz w:val="16"/>
                <w:szCs w:val="16"/>
              </w:rPr>
              <w:t>2</w:t>
            </w:r>
          </w:p>
        </w:tc>
        <w:tc>
          <w:tcPr>
            <w:tcW w:w="6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0"/>
              <w:jc w:val="center"/>
              <w:rPr>
                <w:rFonts w:ascii="宋体" w:hAnsi="宋体" w:cs="宋体" w:eastAsia="宋体" w:hint="default"/>
                <w:sz w:val="16"/>
                <w:szCs w:val="16"/>
              </w:rPr>
            </w:pPr>
            <w:r>
              <w:rPr>
                <w:rFonts w:ascii="宋体" w:hAnsi="宋体" w:cs="宋体" w:eastAsia="宋体" w:hint="default"/>
                <w:spacing w:val="-4"/>
                <w:w w:val="105"/>
                <w:sz w:val="16"/>
                <w:szCs w:val="16"/>
              </w:rPr>
              <w:t>四方精创资讯</w:t>
            </w:r>
            <w:r>
              <w:rPr>
                <w:rFonts w:ascii="Times New Roman" w:hAnsi="Times New Roman" w:cs="Times New Roman" w:eastAsia="Times New Roman" w:hint="default"/>
                <w:spacing w:val="-4"/>
                <w:w w:val="105"/>
                <w:sz w:val="16"/>
                <w:szCs w:val="16"/>
              </w:rPr>
              <w:t>(</w:t>
            </w:r>
            <w:r>
              <w:rPr>
                <w:rFonts w:ascii="宋体" w:hAnsi="宋体" w:cs="宋体" w:eastAsia="宋体" w:hint="default"/>
                <w:spacing w:val="-4"/>
                <w:w w:val="105"/>
                <w:sz w:val="16"/>
                <w:szCs w:val="16"/>
              </w:rPr>
              <w:t>香港</w:t>
            </w:r>
            <w:r>
              <w:rPr>
                <w:rFonts w:ascii="Times New Roman" w:hAnsi="Times New Roman" w:cs="Times New Roman" w:eastAsia="Times New Roman" w:hint="default"/>
                <w:spacing w:val="-4"/>
                <w:w w:val="105"/>
                <w:sz w:val="16"/>
                <w:szCs w:val="16"/>
              </w:rPr>
              <w:t>)</w:t>
            </w:r>
            <w:r>
              <w:rPr>
                <w:rFonts w:ascii="宋体" w:hAnsi="宋体" w:cs="宋体" w:eastAsia="宋体" w:hint="default"/>
                <w:spacing w:val="-4"/>
                <w:w w:val="105"/>
                <w:sz w:val="16"/>
                <w:szCs w:val="16"/>
              </w:rPr>
              <w:t>有限公司、四方精创信息</w:t>
            </w:r>
            <w:r>
              <w:rPr>
                <w:rFonts w:ascii="Times New Roman" w:hAnsi="Times New Roman" w:cs="Times New Roman" w:eastAsia="Times New Roman" w:hint="default"/>
                <w:spacing w:val="-4"/>
                <w:w w:val="105"/>
                <w:sz w:val="16"/>
                <w:szCs w:val="16"/>
              </w:rPr>
              <w:t>(</w:t>
            </w:r>
            <w:r>
              <w:rPr>
                <w:rFonts w:ascii="宋体" w:hAnsi="宋体" w:cs="宋体" w:eastAsia="宋体" w:hint="default"/>
                <w:spacing w:val="-4"/>
                <w:w w:val="105"/>
                <w:sz w:val="16"/>
                <w:szCs w:val="16"/>
              </w:rPr>
              <w:t>香港</w:t>
            </w:r>
            <w:r>
              <w:rPr>
                <w:rFonts w:ascii="Times New Roman" w:hAnsi="Times New Roman" w:cs="Times New Roman" w:eastAsia="Times New Roman" w:hint="default"/>
                <w:spacing w:val="-4"/>
                <w:w w:val="105"/>
                <w:sz w:val="16"/>
                <w:szCs w:val="16"/>
              </w:rPr>
              <w:t>)</w:t>
            </w:r>
            <w:r>
              <w:rPr>
                <w:rFonts w:ascii="宋体" w:hAnsi="宋体" w:cs="宋体" w:eastAsia="宋体" w:hint="default"/>
                <w:spacing w:val="-4"/>
                <w:w w:val="105"/>
                <w:sz w:val="16"/>
                <w:szCs w:val="16"/>
              </w:rPr>
              <w:t>有限公司、四方精创</w:t>
            </w:r>
            <w:r>
              <w:rPr>
                <w:rFonts w:ascii="Times New Roman" w:hAnsi="Times New Roman" w:cs="Times New Roman" w:eastAsia="Times New Roman" w:hint="default"/>
                <w:spacing w:val="-4"/>
                <w:w w:val="105"/>
                <w:sz w:val="16"/>
                <w:szCs w:val="16"/>
              </w:rPr>
              <w:t>(</w:t>
            </w:r>
            <w:r>
              <w:rPr>
                <w:rFonts w:ascii="宋体" w:hAnsi="宋体" w:cs="宋体" w:eastAsia="宋体" w:hint="default"/>
                <w:spacing w:val="-4"/>
                <w:w w:val="105"/>
                <w:sz w:val="16"/>
                <w:szCs w:val="16"/>
              </w:rPr>
              <w:t>泰国</w:t>
            </w:r>
            <w:r>
              <w:rPr>
                <w:rFonts w:ascii="Times New Roman" w:hAnsi="Times New Roman" w:cs="Times New Roman" w:eastAsia="Times New Roman" w:hint="default"/>
                <w:spacing w:val="-4"/>
                <w:w w:val="105"/>
                <w:sz w:val="16"/>
                <w:szCs w:val="16"/>
              </w:rPr>
              <w:t>)</w:t>
            </w:r>
            <w:r>
              <w:rPr>
                <w:rFonts w:ascii="宋体" w:hAnsi="宋体" w:cs="宋体" w:eastAsia="宋体" w:hint="default"/>
                <w:spacing w:val="-4"/>
                <w:w w:val="105"/>
                <w:sz w:val="16"/>
                <w:szCs w:val="16"/>
              </w:rPr>
              <w:t>有限公司</w:t>
            </w:r>
            <w:r>
              <w:rPr>
                <w:rFonts w:ascii="宋体" w:hAnsi="宋体" w:cs="宋体" w:eastAsia="宋体" w:hint="default"/>
                <w:spacing w:val="-4"/>
                <w:sz w:val="16"/>
                <w:szCs w:val="16"/>
              </w:rPr>
            </w:r>
          </w:p>
        </w:tc>
      </w:tr>
    </w:tbl>
    <w:p>
      <w:pPr>
        <w:spacing w:after="0" w:line="240" w:lineRule="auto"/>
        <w:jc w:val="center"/>
        <w:rPr>
          <w:rFonts w:ascii="宋体" w:hAnsi="宋体" w:cs="宋体" w:eastAsia="宋体" w:hint="default"/>
          <w:sz w:val="16"/>
          <w:szCs w:val="16"/>
        </w:rPr>
        <w:sectPr>
          <w:pgSz w:w="11910" w:h="16850"/>
          <w:pgMar w:header="866" w:footer="981"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939"/>
        <w:jc w:val="left"/>
        <w:rPr>
          <w:b w:val="0"/>
          <w:bCs w:val="0"/>
        </w:rPr>
      </w:pPr>
      <w:bookmarkStart w:name="（2）报告分部的财务信息" w:id="357"/>
      <w:bookmarkEnd w:id="35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404"/>
        <w:gridCol w:w="1998"/>
        <w:gridCol w:w="1982"/>
        <w:gridCol w:w="1982"/>
        <w:gridCol w:w="1998"/>
      </w:tblGrid>
      <w:tr>
        <w:trPr>
          <w:trHeight w:val="405" w:hRule="exact"/>
        </w:trPr>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分部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分部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1,159,212,868.22</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283,860,741.56</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4"/>
              <w:jc w:val="right"/>
              <w:rPr>
                <w:rFonts w:ascii="Times New Roman" w:hAnsi="Times New Roman" w:cs="Times New Roman" w:eastAsia="Times New Roman" w:hint="default"/>
                <w:sz w:val="18"/>
                <w:szCs w:val="18"/>
              </w:rPr>
            </w:pPr>
            <w:r>
              <w:rPr>
                <w:rFonts w:ascii="Times New Roman"/>
                <w:w w:val="95"/>
                <w:sz w:val="18"/>
              </w:rPr>
              <w:t>-258,072,380.08</w:t>
            </w:r>
            <w:r>
              <w:rPr>
                <w:rFonts w:ascii="Times New Roman"/>
                <w:sz w:val="18"/>
              </w:rPr>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1,185,001,229.70</w:t>
            </w:r>
          </w:p>
        </w:tc>
      </w:tr>
      <w:tr>
        <w:trPr>
          <w:trHeight w:val="405" w:hRule="exact"/>
        </w:trPr>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60"/>
              <w:jc w:val="right"/>
              <w:rPr>
                <w:rFonts w:ascii="Times New Roman" w:hAnsi="Times New Roman" w:cs="Times New Roman" w:eastAsia="Times New Roman" w:hint="default"/>
                <w:sz w:val="18"/>
                <w:szCs w:val="18"/>
              </w:rPr>
            </w:pPr>
            <w:r>
              <w:rPr>
                <w:rFonts w:ascii="Times New Roman"/>
                <w:sz w:val="18"/>
              </w:rPr>
              <w:t>85,441,637.33</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222,534,749.78</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4"/>
              <w:jc w:val="right"/>
              <w:rPr>
                <w:rFonts w:ascii="Times New Roman" w:hAnsi="Times New Roman" w:cs="Times New Roman" w:eastAsia="Times New Roman" w:hint="default"/>
                <w:sz w:val="18"/>
                <w:szCs w:val="18"/>
              </w:rPr>
            </w:pPr>
            <w:r>
              <w:rPr>
                <w:rFonts w:ascii="Times New Roman"/>
                <w:w w:val="95"/>
                <w:sz w:val="18"/>
              </w:rPr>
              <w:t>-215,358,674.75</w:t>
            </w:r>
            <w:r>
              <w:rPr>
                <w:rFonts w:ascii="Times New Roman"/>
                <w:sz w:val="18"/>
              </w:rPr>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92,617,712.36</w:t>
            </w:r>
          </w:p>
        </w:tc>
      </w:tr>
      <w:tr>
        <w:trPr>
          <w:trHeight w:val="405" w:hRule="exact"/>
        </w:trPr>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487,886,967.44</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312,122,942.59</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4"/>
              <w:jc w:val="right"/>
              <w:rPr>
                <w:rFonts w:ascii="Times New Roman" w:hAnsi="Times New Roman" w:cs="Times New Roman" w:eastAsia="Times New Roman" w:hint="default"/>
                <w:sz w:val="18"/>
                <w:szCs w:val="18"/>
              </w:rPr>
            </w:pPr>
            <w:r>
              <w:rPr>
                <w:rFonts w:ascii="Times New Roman"/>
                <w:w w:val="95"/>
                <w:sz w:val="18"/>
              </w:rPr>
              <w:t>-274,451,237.22</w:t>
            </w:r>
            <w:r>
              <w:rPr>
                <w:rFonts w:ascii="Times New Roman"/>
                <w:sz w:val="18"/>
              </w:rPr>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525,558,672.81</w:t>
            </w:r>
          </w:p>
        </w:tc>
      </w:tr>
      <w:tr>
        <w:trPr>
          <w:trHeight w:val="391" w:hRule="exact"/>
        </w:trPr>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263,545,241.71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277,086,758.39</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4"/>
              <w:jc w:val="right"/>
              <w:rPr>
                <w:rFonts w:ascii="Times New Roman" w:hAnsi="Times New Roman" w:cs="Times New Roman" w:eastAsia="Times New Roman" w:hint="default"/>
                <w:sz w:val="18"/>
                <w:szCs w:val="18"/>
              </w:rPr>
            </w:pPr>
            <w:r>
              <w:rPr>
                <w:rFonts w:ascii="Times New Roman"/>
                <w:w w:val="95"/>
                <w:sz w:val="18"/>
              </w:rPr>
              <w:t>-274,451,237.22</w:t>
            </w:r>
            <w:r>
              <w:rPr>
                <w:rFonts w:ascii="Times New Roman"/>
                <w:sz w:val="18"/>
              </w:rPr>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266,180,762.88</w:t>
            </w:r>
          </w:p>
        </w:tc>
      </w:tr>
      <w:tr>
        <w:trPr>
          <w:trHeight w:val="405" w:hRule="exact"/>
        </w:trPr>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103,298,481.91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0"/>
              <w:jc w:val="right"/>
              <w:rPr>
                <w:rFonts w:ascii="Times New Roman" w:hAnsi="Times New Roman" w:cs="Times New Roman" w:eastAsia="Times New Roman" w:hint="default"/>
                <w:sz w:val="18"/>
                <w:szCs w:val="18"/>
              </w:rPr>
            </w:pPr>
            <w:r>
              <w:rPr>
                <w:rFonts w:ascii="Times New Roman"/>
                <w:sz w:val="18"/>
              </w:rPr>
              <w:t>724,620.42</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9"/>
              <w:jc w:val="right"/>
              <w:rPr>
                <w:rFonts w:ascii="Times New Roman" w:hAnsi="Times New Roman" w:cs="Times New Roman" w:eastAsia="Times New Roman" w:hint="default"/>
                <w:sz w:val="18"/>
                <w:szCs w:val="18"/>
              </w:rPr>
            </w:pPr>
            <w:r>
              <w:rPr>
                <w:rFonts w:ascii="Times New Roman"/>
                <w:sz w:val="18"/>
              </w:rPr>
              <w:t>104,023,102.33</w:t>
            </w:r>
          </w:p>
        </w:tc>
      </w:tr>
    </w:tbl>
    <w:p>
      <w:pPr>
        <w:spacing w:line="240" w:lineRule="auto" w:before="11"/>
        <w:rPr>
          <w:rFonts w:ascii="宋体" w:hAnsi="宋体" w:cs="宋体" w:eastAsia="宋体" w:hint="default"/>
          <w:sz w:val="17"/>
          <w:szCs w:val="17"/>
        </w:rPr>
      </w:pPr>
    </w:p>
    <w:p>
      <w:pPr>
        <w:pStyle w:val="Heading2"/>
        <w:spacing w:line="240" w:lineRule="auto" w:before="26"/>
        <w:ind w:right="939"/>
        <w:jc w:val="left"/>
        <w:rPr>
          <w:b w:val="0"/>
          <w:bCs w:val="0"/>
        </w:rPr>
      </w:pPr>
      <w:bookmarkStart w:name="十七、母公司财务报表主要项目注释" w:id="358"/>
      <w:bookmarkEnd w:id="358"/>
      <w:r>
        <w:rPr>
          <w:b w:val="0"/>
          <w:bCs w:val="0"/>
        </w:rPr>
      </w:r>
      <w:r>
        <w:rPr/>
        <w:t>十七、母公司财务报表主要项目注释</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939"/>
        <w:jc w:val="left"/>
        <w:rPr>
          <w:b w:val="0"/>
          <w:bCs w:val="0"/>
        </w:rPr>
      </w:pPr>
      <w:bookmarkStart w:name="1、应收账款" w:id="359"/>
      <w:bookmarkEnd w:id="35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应收账款分类披露" w:id="360"/>
      <w:bookmarkEnd w:id="36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630"/>
        <w:gridCol w:w="766"/>
        <w:gridCol w:w="766"/>
        <w:gridCol w:w="751"/>
        <w:gridCol w:w="766"/>
        <w:gridCol w:w="796"/>
        <w:gridCol w:w="781"/>
        <w:gridCol w:w="796"/>
        <w:gridCol w:w="796"/>
        <w:gridCol w:w="796"/>
        <w:gridCol w:w="931"/>
      </w:tblGrid>
      <w:tr>
        <w:trPr>
          <w:trHeight w:val="405" w:hRule="exact"/>
        </w:trPr>
        <w:tc>
          <w:tcPr>
            <w:tcW w:w="16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6"/>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0"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0"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80" w:hRule="exact"/>
        </w:trPr>
        <w:tc>
          <w:tcPr>
            <w:tcW w:w="1630"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210" w:hRule="exact"/>
        </w:trPr>
        <w:tc>
          <w:tcPr>
            <w:tcW w:w="1630"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0"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1,962,60</w:t>
            </w:r>
          </w:p>
          <w:p>
            <w:pPr>
              <w:pStyle w:val="TableParagraph"/>
              <w:spacing w:line="240" w:lineRule="auto" w:before="93"/>
              <w:ind w:left="397" w:right="0"/>
              <w:jc w:val="left"/>
              <w:rPr>
                <w:rFonts w:ascii="Times New Roman" w:hAnsi="Times New Roman" w:cs="Times New Roman" w:eastAsia="Times New Roman" w:hint="default"/>
                <w:sz w:val="18"/>
                <w:szCs w:val="18"/>
              </w:rPr>
            </w:pPr>
            <w:r>
              <w:rPr>
                <w:rFonts w:ascii="Times New Roman"/>
                <w:sz w:val="18"/>
              </w:rPr>
              <w:t>2.53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0.59%</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1,962,60</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2.53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1,962,602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0.67%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1,962,602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51" w:right="0"/>
              <w:jc w:val="center"/>
              <w:rPr>
                <w:rFonts w:ascii="Times New Roman" w:hAnsi="Times New Roman" w:cs="Times New Roman" w:eastAsia="Times New Roman" w:hint="default"/>
                <w:sz w:val="18"/>
                <w:szCs w:val="18"/>
              </w:rPr>
            </w:pPr>
            <w:r>
              <w:rPr>
                <w:rFonts w:ascii="Times New Roman"/>
                <w:sz w:val="18"/>
              </w:rPr>
              <w:t>332,243,</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136.48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99.41%</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3,583,94</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5.46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328,659,1</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91.02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291,507,9</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68.90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99.33%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3,364,545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1.15%</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288,143,42</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3.03</w:t>
            </w:r>
          </w:p>
        </w:tc>
      </w:tr>
      <w:tr>
        <w:trPr>
          <w:trHeight w:val="405"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国内客户组合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122,002,</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973.14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36.50%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3,583,94</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5.46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2.94%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118,419,0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27.68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111,170,3</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75.38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37.88%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3,364,545</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3.03%</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107,805,82</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9.51</w:t>
            </w:r>
          </w:p>
        </w:tc>
      </w:tr>
      <w:tr>
        <w:trPr>
          <w:trHeight w:val="705"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内部往来组合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210,240,</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163.34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62.91%</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210,240,1</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63.34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180,337,5</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93.52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61.45%</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180,337,59</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3.52</w:t>
            </w:r>
          </w:p>
        </w:tc>
      </w:tr>
      <w:tr>
        <w:trPr>
          <w:trHeight w:val="70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334,205,</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739.01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5,546,54</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7.99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1.66%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328,659,1</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91.02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293,470,5</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71.43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5,327,148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1.82%</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288,143,42</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3.03</w:t>
            </w:r>
          </w:p>
        </w:tc>
      </w:tr>
    </w:tbl>
    <w:p>
      <w:pPr>
        <w:spacing w:line="240" w:lineRule="auto" w:before="7"/>
        <w:rPr>
          <w:rFonts w:ascii="宋体" w:hAnsi="宋体" w:cs="宋体" w:eastAsia="宋体" w:hint="default"/>
          <w:sz w:val="27"/>
          <w:szCs w:val="27"/>
        </w:rPr>
      </w:pPr>
    </w:p>
    <w:p>
      <w:pPr>
        <w:pStyle w:val="BodyText"/>
        <w:spacing w:line="240" w:lineRule="auto" w:before="44"/>
        <w:ind w:right="939"/>
        <w:jc w:val="left"/>
      </w:pPr>
      <w:r>
        <w:rPr/>
        <w:t>按单项计提坏账准备：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1,569,400.00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1,569,400.00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163,202.53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163,202.53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1,962,602.53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1,962,602.53</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6"/>
          <w:szCs w:val="26"/>
        </w:rPr>
      </w:pPr>
    </w:p>
    <w:p>
      <w:pPr>
        <w:pStyle w:val="BodyText"/>
        <w:spacing w:line="240" w:lineRule="auto" w:before="44"/>
        <w:ind w:right="939"/>
        <w:jc w:val="left"/>
      </w:pPr>
      <w:r>
        <w:rPr/>
        <w:t>按组合计提坏账准备：国内客户组合</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115,809,997.37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1,984,634.74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1.71%</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5,294,200.81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813,388.58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15.36%</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198,774.96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85,922.14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43.23%</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700,000.00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122,002,973.14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3,583,945.46</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6"/>
          <w:szCs w:val="26"/>
        </w:rPr>
      </w:pPr>
    </w:p>
    <w:p>
      <w:pPr>
        <w:pStyle w:val="BodyText"/>
        <w:spacing w:line="240" w:lineRule="auto" w:before="44"/>
        <w:ind w:right="939"/>
        <w:jc w:val="left"/>
      </w:pPr>
      <w:r>
        <w:rPr/>
        <w:t>按组合计提坏账准备：内部往来组合</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210,240,163.34</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210,240,163.34</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939"/>
        <w:jc w:val="left"/>
      </w:pPr>
      <w:r>
        <w:rPr/>
        <w:t>如是按照预期信用损失一般模型计提应收账款坏账准备，请参照其他应收款的披露方式披露坏账准备的相关信息：</w:t>
      </w:r>
    </w:p>
    <w:p>
      <w:pPr>
        <w:pStyle w:val="BodyText"/>
        <w:spacing w:line="331"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按账龄披露</w:t>
      </w:r>
    </w:p>
    <w:p>
      <w:pPr>
        <w:pStyle w:val="BodyText"/>
        <w:spacing w:line="240" w:lineRule="auto" w:before="4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326,050,160.71</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6,863,600.81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428,774.96</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863,202.53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334,205,739.01</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本期计提、收回或转回的坏账准备情况" w:id="361"/>
      <w:bookmarkEnd w:id="36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本期计提坏账准备情况：</w:t>
      </w:r>
    </w:p>
    <w:p>
      <w:pPr>
        <w:spacing w:after="0" w:line="240" w:lineRule="auto"/>
        <w:jc w:val="left"/>
        <w:sectPr>
          <w:pgSz w:w="11910" w:h="16850"/>
          <w:pgMar w:header="866"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类别</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7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6"/>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计提</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60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单项计提组合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1,962,602.53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1,962,602.53</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国内客户组合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3,364,545.87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219,399.59</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3,583,945.46</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内部往来组合</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5,327,148.40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219,399.59</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5,546,547.99</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本期实际核销的应收账款情况" w:id="362"/>
      <w:bookmarkEnd w:id="36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本报告期无实际核销的应收账款。</w:t>
      </w:r>
    </w:p>
    <w:p>
      <w:pPr>
        <w:spacing w:line="240" w:lineRule="auto" w:before="0"/>
        <w:rPr>
          <w:rFonts w:ascii="宋体" w:hAnsi="宋体" w:cs="宋体" w:eastAsia="宋体" w:hint="default"/>
          <w:sz w:val="18"/>
          <w:szCs w:val="18"/>
        </w:rPr>
      </w:pPr>
    </w:p>
    <w:p>
      <w:pPr>
        <w:pStyle w:val="Heading3"/>
        <w:spacing w:line="240" w:lineRule="auto" w:before="140"/>
        <w:ind w:right="939"/>
        <w:jc w:val="left"/>
        <w:rPr>
          <w:b w:val="0"/>
          <w:bCs w:val="0"/>
        </w:rPr>
      </w:pPr>
      <w:bookmarkStart w:name="（4）按欠款方归集的期末余额前五名的应收账款情况" w:id="363"/>
      <w:bookmarkEnd w:id="36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210,240,163.34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62.91%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86,519,023.88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25.89%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3,025,180.83</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4,071,126.09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514,325.20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3,761,476.26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64,321.24</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3,403,245.84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58,195.50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307,995,035.41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92.17</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其他应收款" w:id="364"/>
      <w:bookmarkEnd w:id="36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2,862,130.54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2,544,438.76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2,862,130.54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2,544,438.76</w:t>
            </w:r>
          </w:p>
        </w:tc>
      </w:tr>
    </w:tbl>
    <w:p>
      <w:pPr>
        <w:spacing w:line="240" w:lineRule="auto" w:before="11"/>
        <w:rPr>
          <w:rFonts w:ascii="宋体" w:hAnsi="宋体" w:cs="宋体" w:eastAsia="宋体" w:hint="default"/>
          <w:sz w:val="19"/>
          <w:szCs w:val="19"/>
        </w:rPr>
      </w:pPr>
    </w:p>
    <w:p>
      <w:pPr>
        <w:pStyle w:val="Heading3"/>
        <w:spacing w:line="508" w:lineRule="auto" w:before="35"/>
        <w:ind w:right="7481"/>
        <w:jc w:val="left"/>
        <w:rPr>
          <w:b w:val="0"/>
          <w:bCs w:val="0"/>
        </w:rPr>
      </w:pPr>
      <w:bookmarkStart w:name="（1）其他应收款" w:id="365"/>
      <w:bookmarkEnd w:id="365"/>
      <w:r>
        <w:rPr>
          <w:b w:val="0"/>
          <w:bCs w:val="0"/>
        </w:rPr>
      </w:r>
      <w:r>
        <w:rPr/>
        <w:t>（</w:t>
      </w:r>
      <w:r>
        <w:rPr>
          <w:rFonts w:ascii="Times New Roman" w:hAnsi="Times New Roman" w:cs="Times New Roman" w:eastAsia="Times New Roman" w:hint="default"/>
        </w:rPr>
        <w:t>1</w:t>
      </w:r>
      <w:r>
        <w:rPr/>
        <w:t>）其他应收款</w:t>
      </w:r>
      <w:r>
        <w:rPr>
          <w:w w:val="99"/>
        </w:rPr>
        <w:t> </w:t>
      </w:r>
      <w:bookmarkStart w:name="1）其他应收款按款项性质分类情况" w:id="366"/>
      <w:bookmarkEnd w:id="366"/>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6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押金及备用金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2,862,130.54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2,544,438.76</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2,862,130.54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2,544,438.76</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坏账准备计提情况" w:id="367"/>
      <w:bookmarkEnd w:id="36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5"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8"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8" w:lineRule="exact"/>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45"/>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7"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28,910.41</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28,910.41</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28,910.41</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28,910.41</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pStyle w:val="BodyText"/>
        <w:spacing w:line="240" w:lineRule="auto" w:before="44"/>
        <w:ind w:right="-20"/>
        <w:jc w:val="left"/>
      </w:pPr>
      <w:r>
        <w:rPr/>
        <w:t>损失准备本期变动金额重大的账面余额变动情况</w:t>
      </w:r>
    </w:p>
    <w:p>
      <w:pPr>
        <w:pStyle w:val="BodyText"/>
        <w:spacing w:line="331" w:lineRule="auto" w:before="125"/>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2,891,040.95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2,891,040.95</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本期计提、收回或转回的坏账准备情况" w:id="368"/>
      <w:bookmarkEnd w:id="36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right="939"/>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892"/>
        <w:gridCol w:w="1307"/>
        <w:gridCol w:w="1592"/>
        <w:gridCol w:w="1592"/>
        <w:gridCol w:w="1306"/>
        <w:gridCol w:w="1892"/>
      </w:tblGrid>
      <w:tr>
        <w:trPr>
          <w:trHeight w:val="405" w:hRule="exact"/>
        </w:trPr>
        <w:tc>
          <w:tcPr>
            <w:tcW w:w="18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3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9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8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892" w:type="dxa"/>
            <w:vMerge/>
            <w:tcBorders>
              <w:left w:val="single" w:sz="6" w:space="0" w:color="000000"/>
              <w:bottom w:val="single" w:sz="6" w:space="0" w:color="000000"/>
              <w:right w:val="single" w:sz="6" w:space="0" w:color="000000"/>
            </w:tcBorders>
            <w:shd w:val="clear" w:color="auto" w:fill="D2D2D2"/>
          </w:tcPr>
          <w:p>
            <w:pPr/>
          </w:p>
        </w:tc>
        <w:tc>
          <w:tcPr>
            <w:tcW w:w="13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计提</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89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押金及备用金</w:t>
            </w:r>
          </w:p>
        </w:tc>
        <w:tc>
          <w:tcPr>
            <w:tcW w:w="13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28,910.41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28,910.41</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28,910.41</w:t>
            </w:r>
          </w:p>
        </w:tc>
        <w:tc>
          <w:tcPr>
            <w:tcW w:w="1592"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28,910.41</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5"/>
        <w:rPr>
          <w:rFonts w:ascii="宋体" w:hAnsi="宋体" w:cs="宋体" w:eastAsia="宋体" w:hint="default"/>
          <w:sz w:val="26"/>
          <w:szCs w:val="26"/>
        </w:rPr>
      </w:pPr>
    </w:p>
    <w:p>
      <w:pPr>
        <w:pStyle w:val="Heading3"/>
        <w:spacing w:line="240" w:lineRule="auto" w:before="35"/>
        <w:ind w:right="939"/>
        <w:jc w:val="left"/>
        <w:rPr>
          <w:b w:val="0"/>
          <w:bCs w:val="0"/>
        </w:rPr>
      </w:pPr>
      <w:bookmarkStart w:name="4）本期实际核销的其他应收款情况" w:id="369"/>
      <w:bookmarkEnd w:id="369"/>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t>报告期内无需要核销的其他应收款。</w:t>
      </w:r>
    </w:p>
    <w:p>
      <w:pPr>
        <w:spacing w:line="240" w:lineRule="auto" w:before="0"/>
        <w:rPr>
          <w:rFonts w:ascii="宋体" w:hAnsi="宋体" w:cs="宋体" w:eastAsia="宋体" w:hint="default"/>
          <w:sz w:val="18"/>
          <w:szCs w:val="18"/>
        </w:rPr>
      </w:pPr>
    </w:p>
    <w:p>
      <w:pPr>
        <w:pStyle w:val="Heading3"/>
        <w:spacing w:line="240" w:lineRule="auto" w:before="139"/>
        <w:ind w:right="939"/>
        <w:jc w:val="left"/>
        <w:rPr>
          <w:b w:val="0"/>
          <w:bCs w:val="0"/>
        </w:rPr>
      </w:pPr>
      <w:bookmarkStart w:name="5）按欠款方归集的期末余额前五名的其他应收款情况" w:id="370"/>
      <w:bookmarkEnd w:id="370"/>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1"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932,027.49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32.24%</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9,320.27</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551,254.20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19.07%</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5,512.54</w:t>
            </w: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253,404.80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8.77%</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2,534.05</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165,910.00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5.74%</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1,659.10</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135,453.25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1,354.53</w:t>
            </w: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2,038,049.74</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70.51%</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20,380.49</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3、长期股权投资" w:id="371"/>
      <w:bookmarkEnd w:id="37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405"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42,713,705.33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42,713,705.33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39,713,705.33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39,713,705.33</w:t>
            </w:r>
          </w:p>
        </w:tc>
      </w:tr>
      <w:tr>
        <w:trPr>
          <w:trHeight w:val="7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68"/>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15,606,176.08</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15,606,176.08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15,113,285.99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15,113,285.99</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58,319,881.41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58,319,881.41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4" w:right="0"/>
              <w:jc w:val="left"/>
              <w:rPr>
                <w:rFonts w:ascii="Times New Roman" w:hAnsi="Times New Roman" w:cs="Times New Roman" w:eastAsia="Times New Roman" w:hint="default"/>
                <w:sz w:val="18"/>
                <w:szCs w:val="18"/>
              </w:rPr>
            </w:pPr>
            <w:r>
              <w:rPr>
                <w:rFonts w:ascii="Times New Roman"/>
                <w:sz w:val="18"/>
              </w:rPr>
              <w:t>54,826,991.32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54,826,991.32</w:t>
            </w: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1）对子公司投资" w:id="372"/>
      <w:bookmarkEnd w:id="37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405" w:hRule="exact"/>
        </w:trPr>
        <w:tc>
          <w:tcPr>
            <w:tcW w:w="1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104"/>
              <w:ind w:left="285" w:right="88"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104"/>
              <w:ind w:left="390" w:right="28"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89"/>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5"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四方精创资讯</w:t>
            </w:r>
          </w:p>
          <w:p>
            <w:pPr>
              <w:pStyle w:val="TableParagraph"/>
              <w:spacing w:line="321" w:lineRule="auto" w:before="65"/>
              <w:ind w:left="15" w:right="14"/>
              <w:jc w:val="left"/>
              <w:rPr>
                <w:rFonts w:ascii="宋体" w:hAnsi="宋体" w:cs="宋体" w:eastAsia="宋体" w:hint="default"/>
                <w:sz w:val="18"/>
                <w:szCs w:val="18"/>
              </w:rPr>
            </w:pPr>
            <w:r>
              <w:rPr>
                <w:rFonts w:ascii="宋体" w:hAnsi="宋体" w:cs="宋体" w:eastAsia="宋体" w:hint="default"/>
                <w:spacing w:val="-7"/>
                <w:sz w:val="18"/>
                <w:szCs w:val="18"/>
              </w:rPr>
              <w:t>（香港）有限公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10,737,705.33</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10,737,705.33</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四方精创信息</w:t>
            </w:r>
          </w:p>
          <w:p>
            <w:pPr>
              <w:pStyle w:val="TableParagraph"/>
              <w:spacing w:line="240" w:lineRule="auto" w:before="8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26,976,000.00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26,976,000.00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深圳前海乐寻 坊区块链科技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2,000,000.00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3,000,000.00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1265"/>
        <w:gridCol w:w="1172"/>
        <w:gridCol w:w="1171"/>
        <w:gridCol w:w="1172"/>
        <w:gridCol w:w="1156"/>
        <w:gridCol w:w="1216"/>
        <w:gridCol w:w="1217"/>
        <w:gridCol w:w="1216"/>
      </w:tblGrid>
      <w:tr>
        <w:trPr>
          <w:trHeight w:val="390" w:hRule="exact"/>
        </w:trPr>
        <w:tc>
          <w:tcPr>
            <w:tcW w:w="12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39,713,705.33</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5" w:right="0"/>
              <w:jc w:val="left"/>
              <w:rPr>
                <w:rFonts w:ascii="Times New Roman" w:hAnsi="Times New Roman" w:cs="Times New Roman" w:eastAsia="Times New Roman" w:hint="default"/>
                <w:sz w:val="18"/>
                <w:szCs w:val="18"/>
              </w:rPr>
            </w:pPr>
            <w:r>
              <w:rPr>
                <w:rFonts w:ascii="Times New Roman"/>
                <w:sz w:val="18"/>
              </w:rPr>
              <w:t>3,000,000.00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0" w:right="0"/>
              <w:jc w:val="left"/>
              <w:rPr>
                <w:rFonts w:ascii="Times New Roman" w:hAnsi="Times New Roman" w:cs="Times New Roman" w:eastAsia="Times New Roman" w:hint="default"/>
                <w:sz w:val="18"/>
                <w:szCs w:val="18"/>
              </w:rPr>
            </w:pPr>
            <w:r>
              <w:rPr>
                <w:rFonts w:ascii="Times New Roman"/>
                <w:sz w:val="18"/>
              </w:rPr>
              <w:t>42,713,705.33</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2）对联营、合营企业投资" w:id="373"/>
      <w:bookmarkEnd w:id="37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45"/>
              <w:jc w:val="both"/>
              <w:rPr>
                <w:rFonts w:ascii="宋体" w:hAnsi="宋体" w:cs="宋体" w:eastAsia="宋体" w:hint="default"/>
                <w:sz w:val="18"/>
                <w:szCs w:val="18"/>
              </w:rPr>
            </w:pPr>
            <w:r>
              <w:rPr>
                <w:rFonts w:ascii="宋体" w:hAnsi="宋体" w:cs="宋体" w:eastAsia="宋体" w:hint="default"/>
                <w:sz w:val="18"/>
                <w:szCs w:val="18"/>
              </w:rPr>
              <w:t>北京优智 汇咨询有 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15,113,28</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5.99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742,890.0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15,606,17</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6.08</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15,113,28</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5.99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742,890.0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15,606,17</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6.08</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15,113,28</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5.99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742,890.0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15,606,17</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6.08</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3"/>
        <w:spacing w:line="240" w:lineRule="auto" w:before="35"/>
        <w:ind w:right="939"/>
        <w:jc w:val="left"/>
        <w:rPr>
          <w:b w:val="0"/>
          <w:bCs w:val="0"/>
        </w:rPr>
      </w:pPr>
      <w:bookmarkStart w:name="4、营业收入和营业成本" w:id="374"/>
      <w:bookmarkEnd w:id="37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90"/>
        <w:gridCol w:w="1832"/>
        <w:gridCol w:w="1923"/>
        <w:gridCol w:w="1907"/>
        <w:gridCol w:w="1922"/>
      </w:tblGrid>
      <w:tr>
        <w:trPr>
          <w:trHeight w:val="406"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68" w:right="0"/>
              <w:jc w:val="left"/>
              <w:rPr>
                <w:rFonts w:ascii="Times New Roman" w:hAnsi="Times New Roman" w:cs="Times New Roman" w:eastAsia="Times New Roman" w:hint="default"/>
                <w:sz w:val="18"/>
                <w:szCs w:val="18"/>
              </w:rPr>
            </w:pPr>
            <w:r>
              <w:rPr>
                <w:rFonts w:ascii="Times New Roman"/>
                <w:sz w:val="18"/>
              </w:rPr>
              <w:t>487,863,142.01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263,545,241.71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1" w:right="0"/>
              <w:jc w:val="left"/>
              <w:rPr>
                <w:rFonts w:ascii="Times New Roman" w:hAnsi="Times New Roman" w:cs="Times New Roman" w:eastAsia="Times New Roman" w:hint="default"/>
                <w:sz w:val="18"/>
                <w:szCs w:val="18"/>
              </w:rPr>
            </w:pPr>
            <w:r>
              <w:rPr>
                <w:rFonts w:ascii="Times New Roman"/>
                <w:sz w:val="18"/>
              </w:rPr>
              <w:t>465,951,536.46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293,630,471.56</w:t>
            </w:r>
          </w:p>
        </w:tc>
      </w:tr>
      <w:tr>
        <w:trPr>
          <w:trHeight w:val="391"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668" w:right="0"/>
              <w:jc w:val="left"/>
              <w:rPr>
                <w:rFonts w:ascii="Times New Roman" w:hAnsi="Times New Roman" w:cs="Times New Roman" w:eastAsia="Times New Roman" w:hint="default"/>
                <w:sz w:val="18"/>
                <w:szCs w:val="18"/>
              </w:rPr>
            </w:pPr>
            <w:r>
              <w:rPr>
                <w:rFonts w:ascii="Times New Roman"/>
                <w:sz w:val="18"/>
              </w:rPr>
              <w:t>487,863,142.01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66" w:right="0"/>
              <w:jc w:val="left"/>
              <w:rPr>
                <w:rFonts w:ascii="Times New Roman" w:hAnsi="Times New Roman" w:cs="Times New Roman" w:eastAsia="Times New Roman" w:hint="default"/>
                <w:sz w:val="18"/>
                <w:szCs w:val="18"/>
              </w:rPr>
            </w:pPr>
            <w:r>
              <w:rPr>
                <w:rFonts w:ascii="Times New Roman"/>
                <w:sz w:val="18"/>
              </w:rPr>
              <w:t>263,545,241.71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1" w:right="0"/>
              <w:jc w:val="left"/>
              <w:rPr>
                <w:rFonts w:ascii="Times New Roman" w:hAnsi="Times New Roman" w:cs="Times New Roman" w:eastAsia="Times New Roman" w:hint="default"/>
                <w:sz w:val="18"/>
                <w:szCs w:val="18"/>
              </w:rPr>
            </w:pPr>
            <w:r>
              <w:rPr>
                <w:rFonts w:ascii="Times New Roman"/>
                <w:sz w:val="18"/>
              </w:rPr>
              <w:t>465,951,536.46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66" w:right="0"/>
              <w:jc w:val="left"/>
              <w:rPr>
                <w:rFonts w:ascii="Times New Roman" w:hAnsi="Times New Roman" w:cs="Times New Roman" w:eastAsia="Times New Roman" w:hint="default"/>
                <w:sz w:val="18"/>
                <w:szCs w:val="18"/>
              </w:rPr>
            </w:pPr>
            <w:r>
              <w:rPr>
                <w:rFonts w:ascii="Times New Roman"/>
                <w:sz w:val="18"/>
              </w:rPr>
              <w:t>293,630,471.56</w:t>
            </w:r>
          </w:p>
        </w:tc>
      </w:tr>
    </w:tbl>
    <w:p>
      <w:pPr>
        <w:pStyle w:val="BodyText"/>
        <w:spacing w:line="240" w:lineRule="auto" w:before="44"/>
        <w:ind w:right="939"/>
        <w:jc w:val="left"/>
      </w:pPr>
      <w:r>
        <w:rPr/>
        <w:t>是否已执行新收入准则</w:t>
      </w:r>
    </w:p>
    <w:p>
      <w:pPr>
        <w:pStyle w:val="BodyText"/>
        <w:spacing w:line="240" w:lineRule="auto" w:before="125"/>
        <w:ind w:right="9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3"/>
        <w:spacing w:line="240" w:lineRule="auto" w:before="126"/>
        <w:ind w:right="939"/>
        <w:jc w:val="left"/>
        <w:rPr>
          <w:b w:val="0"/>
          <w:bCs w:val="0"/>
        </w:rPr>
      </w:pPr>
      <w:bookmarkStart w:name="5、投资收益" w:id="375"/>
      <w:bookmarkEnd w:id="37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742,890.09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113,285.99</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9"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2,140,000.00</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742,890.09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2,253,285.99</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939"/>
        <w:jc w:val="left"/>
        <w:rPr>
          <w:b w:val="0"/>
          <w:bCs w:val="0"/>
        </w:rPr>
      </w:pPr>
      <w:bookmarkStart w:name="十八、补充资料" w:id="376"/>
      <w:bookmarkEnd w:id="376"/>
      <w:r>
        <w:rPr>
          <w:b w:val="0"/>
          <w:bCs w:val="0"/>
        </w:rPr>
      </w:r>
      <w:r>
        <w:rPr/>
        <w:t>十八、补充资料</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939"/>
        <w:jc w:val="left"/>
        <w:rPr>
          <w:b w:val="0"/>
          <w:bCs w:val="0"/>
        </w:rPr>
      </w:pPr>
      <w:bookmarkStart w:name="1、当期非经常性损益明细表" w:id="377"/>
      <w:bookmarkEnd w:id="37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15,127.61</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8,799,759.14</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189,071.49</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174,852.23</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1,377,022.11</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7,801,788.36</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939"/>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51"/>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6"/>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5"/>
        <w:ind w:right="939"/>
        <w:jc w:val="left"/>
        <w:rPr>
          <w:b w:val="0"/>
          <w:bCs w:val="0"/>
        </w:rPr>
      </w:pPr>
      <w:bookmarkStart w:name="2、净资产收益率及每股收益" w:id="378"/>
      <w:bookmarkEnd w:id="37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3"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8"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9.52%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0.50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0.50</w:t>
            </w:r>
          </w:p>
        </w:tc>
      </w:tr>
      <w:tr>
        <w:trPr>
          <w:trHeight w:val="72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8.75%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0.46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0.46</w:t>
            </w:r>
          </w:p>
        </w:tc>
      </w:tr>
    </w:tbl>
    <w:p>
      <w:pPr>
        <w:spacing w:line="240" w:lineRule="auto" w:before="11"/>
        <w:rPr>
          <w:rFonts w:ascii="宋体" w:hAnsi="宋体" w:cs="宋体" w:eastAsia="宋体" w:hint="default"/>
          <w:b/>
          <w:bCs/>
          <w:sz w:val="19"/>
          <w:szCs w:val="19"/>
        </w:rPr>
      </w:pPr>
    </w:p>
    <w:p>
      <w:pPr>
        <w:pStyle w:val="Heading3"/>
        <w:spacing w:line="240" w:lineRule="auto" w:before="35"/>
        <w:ind w:right="939"/>
        <w:jc w:val="left"/>
        <w:rPr>
          <w:b w:val="0"/>
          <w:bCs w:val="0"/>
        </w:rPr>
      </w:pPr>
      <w:bookmarkStart w:name="3、境内外会计准则下会计数据差异" w:id="379"/>
      <w:bookmarkEnd w:id="37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939"/>
        <w:jc w:val="left"/>
        <w:rPr>
          <w:b w:val="0"/>
          <w:bCs w:val="0"/>
        </w:rPr>
      </w:pPr>
      <w:bookmarkStart w:name="（1）同时按照国际会计准则与按中国会计准则披露的财务报告中净利润和净资产差异情况" w:id="380"/>
      <w:bookmarkEnd w:id="38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3"/>
        <w:spacing w:line="240" w:lineRule="auto" w:before="126"/>
        <w:ind w:right="939"/>
        <w:jc w:val="left"/>
        <w:rPr>
          <w:b w:val="0"/>
          <w:bCs w:val="0"/>
        </w:rPr>
      </w:pPr>
      <w:bookmarkStart w:name="（2）同时按照境外会计准则与按中国会计准则披露的财务报告中净利润和净资产差异情况" w:id="381"/>
      <w:bookmarkEnd w:id="38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040" w:bottom="1180" w:left="100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50"/>
          <w:pgMar w:header="866"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59"/>
        <w:ind w:left="3280" w:right="939"/>
        <w:jc w:val="left"/>
        <w:rPr>
          <w:b w:val="0"/>
          <w:bCs w:val="0"/>
        </w:rPr>
      </w:pPr>
      <w:bookmarkStart w:name="第十三节 备查文件目录" w:id="382"/>
      <w:bookmarkEnd w:id="382"/>
      <w:r>
        <w:rPr>
          <w:b w:val="0"/>
          <w:bCs w:val="0"/>
        </w:rPr>
      </w:r>
      <w:bookmarkStart w:name="_bookmark12" w:id="383"/>
      <w:bookmarkEnd w:id="383"/>
      <w:r>
        <w:rPr>
          <w:b w:val="0"/>
          <w:bCs w:val="0"/>
        </w:rPr>
      </w:r>
      <w:r>
        <w:rPr>
          <w:spacing w:val="6"/>
        </w:rPr>
        <w:t>第十三节</w:t>
      </w:r>
      <w:r>
        <w:rPr>
          <w:spacing w:val="58"/>
        </w:rPr>
        <w:t> </w:t>
      </w:r>
      <w:r>
        <w:rPr>
          <w:spacing w:val="4"/>
        </w:rPr>
        <w:t>备查文件目录</w:t>
      </w:r>
      <w:r>
        <w:rPr>
          <w:b w:val="0"/>
          <w:bCs w:val="0"/>
          <w:spacing w:val="4"/>
        </w:rPr>
      </w:r>
    </w:p>
    <w:p>
      <w:pPr>
        <w:spacing w:line="240" w:lineRule="auto" w:before="7"/>
        <w:rPr>
          <w:rFonts w:ascii="宋体" w:hAnsi="宋体" w:cs="宋体" w:eastAsia="宋体" w:hint="default"/>
          <w:b/>
          <w:bCs/>
          <w:sz w:val="42"/>
          <w:szCs w:val="42"/>
        </w:rPr>
      </w:pPr>
    </w:p>
    <w:p>
      <w:pPr>
        <w:pStyle w:val="BodyText"/>
        <w:spacing w:line="240" w:lineRule="auto"/>
        <w:ind w:right="939"/>
        <w:jc w:val="left"/>
      </w:pPr>
      <w:r>
        <w:rPr/>
        <w:t>（一）载有公司负责人、主管会计工作负责人、会计机构负责人（会计主管人员）签名并盖章的财务报表。</w:t>
      </w:r>
    </w:p>
    <w:p>
      <w:pPr>
        <w:pStyle w:val="BodyText"/>
        <w:spacing w:line="240" w:lineRule="auto" w:before="110"/>
        <w:ind w:right="939"/>
        <w:jc w:val="left"/>
      </w:pPr>
      <w:r>
        <w:rPr/>
        <w:t>（二）载有会计师事务所盖章、注册会计师签名并盖章的审计报告原件。</w:t>
      </w:r>
    </w:p>
    <w:p>
      <w:pPr>
        <w:pStyle w:val="BodyText"/>
        <w:spacing w:line="240" w:lineRule="auto" w:before="125"/>
        <w:ind w:right="939"/>
        <w:jc w:val="left"/>
      </w:pPr>
      <w:r>
        <w:rPr/>
        <w:t>（三）报告期内在中国证监会指定网站上公开披露过的所有公司文件的正本及公告的原稿。</w:t>
      </w:r>
    </w:p>
    <w:p>
      <w:pPr>
        <w:pStyle w:val="BodyText"/>
        <w:spacing w:line="240" w:lineRule="auto" w:before="124"/>
        <w:ind w:right="939"/>
        <w:jc w:val="left"/>
      </w:pPr>
      <w:r>
        <w:rPr/>
        <w:t>（四）经公司法定代表人签名的</w:t>
      </w:r>
      <w:r>
        <w:rPr>
          <w:spacing w:val="-42"/>
        </w:rPr>
        <w:t> </w:t>
      </w:r>
      <w:r>
        <w:rPr>
          <w:rFonts w:ascii="Times New Roman" w:hAnsi="Times New Roman" w:cs="Times New Roman" w:eastAsia="Times New Roman" w:hint="default"/>
        </w:rPr>
        <w:t>2019 </w:t>
      </w:r>
      <w:r>
        <w:rPr/>
        <w:t>年年度报告文件原件。</w:t>
      </w:r>
    </w:p>
    <w:sectPr>
      <w:pgSz w:w="11910" w:h="16850"/>
      <w:pgMar w:header="866" w:footer="981" w:top="104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64016" type="#_x0000_t75" stroked="false">
          <v:imagedata r:id="rId1" o:title=""/>
        </v:shape>
      </w:pict>
    </w:r>
    <w:r>
      <w:rPr/>
      <w:pict>
        <v:shape style="position:absolute;margin-left:528.919983pt;margin-top:782.207947pt;width:13pt;height:11pt;mso-position-horizontal-relative:page;mso-position-vertical-relative:page;z-index:-1163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63968" type="#_x0000_t75" stroked="false">
          <v:imagedata r:id="rId1" o:title=""/>
        </v:shape>
      </w:pict>
    </w:r>
    <w:r>
      <w:rPr/>
      <w:pict>
        <v:shape style="position:absolute;margin-left:525.400024pt;margin-top:782.207947pt;width:15.5pt;height:11pt;mso-position-horizontal-relative:page;mso-position-vertical-relative:page;z-index:-11639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63920" type="#_x0000_t75" stroked="false">
          <v:imagedata r:id="rId1" o:title=""/>
        </v:shape>
      </w:pict>
    </w:r>
    <w:r>
      <w:rPr/>
      <w:pict>
        <v:shape style="position:absolute;margin-left:524.400024pt;margin-top:782.207947pt;width:18.25pt;height:11pt;mso-position-horizontal-relative:page;mso-position-vertical-relative:page;z-index:-1163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63872" type="#_x0000_t75" stroked="false">
          <v:imagedata r:id="rId1" o:title=""/>
        </v:shape>
      </w:pict>
    </w:r>
    <w:r>
      <w:rPr/>
      <w:pict>
        <v:shape style="position:absolute;margin-left:524.400024pt;margin-top:782.207947pt;width:17.55pt;height:11pt;mso-position-horizontal-relative:page;mso-position-vertical-relative:page;z-index:-1163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575001pt;margin-top:55.924999pt;width:485.85pt;height:.1pt;mso-position-horizontal-relative:page;mso-position-vertical-relative:page;z-index:-1164064"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5.170013pt;margin-top:42.315624pt;width:195.75pt;height:11.5pt;mso-position-horizontal-relative:page;mso-position-vertical-relative:page;z-index:-1164040" type="#_x0000_t202" filled="false" stroked="false">
          <v:textbox inset="0,0,0,0">
            <w:txbxContent>
              <w:p>
                <w:pPr>
                  <w:pStyle w:val="BodyText"/>
                  <w:spacing w:line="214" w:lineRule="exact"/>
                  <w:ind w:left="20" w:right="0"/>
                  <w:jc w:val="left"/>
                </w:pPr>
                <w:r>
                  <w:rPr/>
                  <w:t>深圳四方精创资讯股份有限公司</w:t>
                </w:r>
                <w:r>
                  <w:rPr>
                    <w:spacing w:val="-42"/>
                  </w:rPr>
                  <w:t> </w:t>
                </w:r>
                <w:r>
                  <w:rPr>
                    <w:rFonts w:ascii="Times New Roman" w:hAnsi="Times New Roman" w:cs="Times New Roman" w:eastAsia="Times New Roman" w:hint="default"/>
                  </w:rPr>
                  <w:t>2019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3"/>
      <w:ind w:left="141"/>
    </w:pPr>
    <w:rPr>
      <w:rFonts w:ascii="宋体" w:hAnsi="宋体" w:eastAsia="宋体"/>
      <w:b/>
      <w:bCs/>
      <w:sz w:val="24"/>
      <w:szCs w:val="24"/>
    </w:rPr>
  </w:style>
  <w:style w:styleId="BodyText" w:type="paragraph">
    <w:name w:val="Body Text"/>
    <w:basedOn w:val="Normal"/>
    <w:uiPriority w:val="1"/>
    <w:qFormat/>
    <w:pPr>
      <w:ind w:left="141"/>
    </w:pPr>
    <w:rPr>
      <w:rFonts w:ascii="宋体" w:hAnsi="宋体" w:eastAsia="宋体"/>
      <w:sz w:val="18"/>
      <w:szCs w:val="18"/>
    </w:rPr>
  </w:style>
  <w:style w:styleId="Heading1" w:type="paragraph">
    <w:name w:val="Heading 1"/>
    <w:basedOn w:val="Normal"/>
    <w:uiPriority w:val="1"/>
    <w:qFormat/>
    <w:pPr>
      <w:spacing w:before="9"/>
      <w:ind w:left="2421"/>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41"/>
      <w:outlineLvl w:val="3"/>
    </w:pPr>
    <w:rPr>
      <w:rFonts w:ascii="宋体" w:hAnsi="宋体" w:eastAsia="宋体"/>
      <w:b/>
      <w:bCs/>
      <w:sz w:val="21"/>
      <w:szCs w:val="21"/>
    </w:rPr>
  </w:style>
  <w:style w:styleId="Heading4" w:type="paragraph">
    <w:name w:val="Heading 4"/>
    <w:basedOn w:val="Normal"/>
    <w:uiPriority w:val="1"/>
    <w:qFormat/>
    <w:pPr>
      <w:ind w:left="141"/>
      <w:outlineLvl w:val="4"/>
    </w:pPr>
    <w:rPr>
      <w:rFonts w:ascii="宋体" w:hAnsi="宋体" w:eastAsia="宋体"/>
      <w:b/>
      <w:bCs/>
      <w:sz w:val="19"/>
      <w:szCs w:val="19"/>
    </w:rPr>
  </w:style>
  <w:style w:styleId="Heading5" w:type="paragraph">
    <w:name w:val="Heading 5"/>
    <w:basedOn w:val="Normal"/>
    <w:uiPriority w:val="1"/>
    <w:qFormat/>
    <w:pPr>
      <w:spacing w:before="44"/>
      <w:ind w:left="501"/>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www.formssi.com/" TargetMode="External"/><Relationship Id="rId9" Type="http://schemas.openxmlformats.org/officeDocument/2006/relationships/hyperlink" Target="mailto:formssyntronss@formssi.com" TargetMode="External"/><Relationship Id="rId10" Type="http://schemas.openxmlformats.org/officeDocument/2006/relationships/hyperlink" Target="http://www.cninfo.com.cn/" TargetMode="External"/><Relationship Id="rId11" Type="http://schemas.openxmlformats.org/officeDocument/2006/relationships/image" Target="media/image3.jpe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深圳四方精创资讯股份有限公司</dc:creator>
  <dc:title>深圳四方精创资讯股份有限公司2019年年度报告</dc:title>
  <dcterms:created xsi:type="dcterms:W3CDTF">2020-05-19T01:50:24Z</dcterms:created>
  <dcterms:modified xsi:type="dcterms:W3CDTF">2020-05-19T01:50:24Z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Microsoft® Office Word 2007</vt:lpwstr>
  </property>
  <property fmtid="{D5CDD505-2E9C-101B-9397-08002B2CF9AE}" pid="4" name="LastSaved">
    <vt:filetime>2020-05-18T00:00:00Z</vt:filetime>
  </property>
</Properties>
</file>