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SimHei" w:eastAsia="SimHei" w:hAnsi="SimHei" w:cs="SimHei"/>
          <w:color w:val="294472"/>
          <w:spacing w:val="0"/>
          <w:w w:val="100"/>
          <w:position w:val="0"/>
          <w:sz w:val="26"/>
          <w:szCs w:val="26"/>
          <w:vertAlign w:val="subscript"/>
        </w:rPr>
        <w:t>r</w:t>
      </w:r>
      <w:r>
        <w:rPr>
          <w:rFonts w:ascii="SimHei" w:eastAsia="SimHei" w:hAnsi="SimHei" w:cs="SimHei"/>
          <w:color w:val="294472"/>
          <w:spacing w:val="0"/>
          <w:w w:val="100"/>
          <w:position w:val="0"/>
          <w:sz w:val="26"/>
          <w:szCs w:val="26"/>
        </w:rPr>
        <w:t>\</w:t>
      </w:r>
      <w:r>
        <w:rPr>
          <w:rFonts w:ascii="SimHei" w:eastAsia="SimHei" w:hAnsi="SimHei" w:cs="SimHei"/>
          <w:color w:val="294472"/>
          <w:spacing w:val="0"/>
          <w:w w:val="100"/>
          <w:position w:val="0"/>
          <w:sz w:val="26"/>
          <w:szCs w:val="26"/>
        </w:rPr>
        <w:t>四</w:t>
      </w:r>
      <w:r>
        <w:rPr>
          <w:rFonts w:ascii="SimHei" w:eastAsia="SimHei" w:hAnsi="SimHei" w:cs="SimHei"/>
          <w:color w:val="595E68"/>
          <w:spacing w:val="0"/>
          <w:w w:val="100"/>
          <w:position w:val="0"/>
          <w:sz w:val="26"/>
          <w:szCs w:val="26"/>
        </w:rPr>
        <w:t>方精创</w:t>
      </w:r>
    </w:p>
    <w:p>
      <w:pPr>
        <w:pStyle w:val="Style2"/>
        <w:keepNext w:val="0"/>
        <w:keepLines w:val="0"/>
        <w:widowControl w:val="0"/>
        <w:shd w:val="clear" w:color="auto" w:fill="auto"/>
        <w:bidi w:val="0"/>
        <w:spacing w:before="0" w:after="500" w:line="240" w:lineRule="auto"/>
        <w:ind w:left="0" w:right="0" w:firstLine="0"/>
        <w:jc w:val="center"/>
        <w:rPr>
          <w:sz w:val="14"/>
          <w:szCs w:val="14"/>
        </w:rPr>
      </w:pPr>
      <w:r>
        <w:rPr>
          <w:rFonts w:ascii="SimHei" w:eastAsia="SimHei" w:hAnsi="SimHei" w:cs="SimHei"/>
          <w:color w:val="294472"/>
          <w:spacing w:val="0"/>
          <w:w w:val="100"/>
          <w:position w:val="0"/>
          <w:sz w:val="26"/>
          <w:szCs w:val="26"/>
          <w:u w:val="single"/>
        </w:rPr>
        <w:t>虹</w:t>
      </w:r>
      <w:r>
        <w:rPr>
          <w:rFonts w:ascii="SimHei" w:eastAsia="SimHei" w:hAnsi="SimHei" w:cs="SimHei"/>
          <w:color w:val="294472"/>
          <w:spacing w:val="0"/>
          <w:w w:val="100"/>
          <w:position w:val="0"/>
          <w:sz w:val="26"/>
          <w:szCs w:val="26"/>
        </w:rPr>
        <w:t xml:space="preserve"> </w:t>
      </w:r>
      <w:r>
        <w:rPr>
          <w:rFonts w:ascii="Arial" w:eastAsia="Arial" w:hAnsi="Arial" w:cs="Arial"/>
          <w:color w:val="595E68"/>
          <w:spacing w:val="0"/>
          <w:w w:val="100"/>
          <w:position w:val="0"/>
          <w:sz w:val="14"/>
          <w:szCs w:val="14"/>
        </w:rPr>
        <w:t xml:space="preserve">FORMS </w:t>
      </w:r>
      <w:r>
        <w:rPr>
          <w:rFonts w:ascii="Arial" w:eastAsia="Arial" w:hAnsi="Arial" w:cs="Arial"/>
          <w:color w:val="B9B9B9"/>
          <w:spacing w:val="0"/>
          <w:w w:val="100"/>
          <w:position w:val="0"/>
          <w:sz w:val="14"/>
          <w:szCs w:val="14"/>
        </w:rPr>
        <w:t>SVNTRON</w:t>
      </w:r>
    </w:p>
    <w:p>
      <w:pPr>
        <w:pStyle w:val="Style2"/>
        <w:keepNext w:val="0"/>
        <w:keepLines w:val="0"/>
        <w:widowControl w:val="0"/>
        <w:shd w:val="clear" w:color="auto" w:fill="auto"/>
        <w:bidi w:val="0"/>
        <w:spacing w:before="0" w:after="580" w:line="240" w:lineRule="auto"/>
        <w:ind w:left="0" w:right="0" w:firstLine="0"/>
        <w:jc w:val="center"/>
        <w:rPr>
          <w:sz w:val="36"/>
          <w:szCs w:val="36"/>
        </w:rPr>
      </w:pPr>
      <w:r>
        <w:rPr>
          <w:b/>
          <w:bCs/>
          <w:color w:val="000000"/>
          <w:spacing w:val="0"/>
          <w:w w:val="100"/>
          <w:position w:val="0"/>
          <w:sz w:val="36"/>
          <w:szCs w:val="36"/>
        </w:rPr>
        <w:t>深圳四方精创资讯股份有限公司</w:t>
      </w:r>
    </w:p>
    <w:p>
      <w:pPr>
        <w:pStyle w:val="Style10"/>
        <w:keepNext w:val="0"/>
        <w:keepLines w:val="0"/>
        <w:widowControl w:val="0"/>
        <w:shd w:val="clear" w:color="auto" w:fill="auto"/>
        <w:bidi w:val="0"/>
        <w:spacing w:before="0" w:after="5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2"/>
        <w:keepNext w:val="0"/>
        <w:keepLines w:val="0"/>
        <w:widowControl w:val="0"/>
        <w:shd w:val="clear" w:color="auto" w:fill="auto"/>
        <w:bidi w:val="0"/>
        <w:spacing w:before="0" w:after="40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2022-013</w:t>
      </w:r>
    </w:p>
    <w:p>
      <w:pPr>
        <w:pStyle w:val="Style2"/>
        <w:keepNext w:val="0"/>
        <w:keepLines w:val="0"/>
        <w:widowControl w:val="0"/>
        <w:shd w:val="clear" w:color="auto" w:fill="auto"/>
        <w:bidi w:val="0"/>
        <w:spacing w:before="0" w:after="540" w:line="240" w:lineRule="auto"/>
        <w:ind w:left="0" w:right="0" w:firstLine="0"/>
        <w:jc w:val="center"/>
        <w:rPr>
          <w:sz w:val="32"/>
          <w:szCs w:val="32"/>
        </w:rPr>
        <w:sectPr>
          <w:footnotePr>
            <w:pos w:val="pageBottom"/>
            <w:numFmt w:val="decimal"/>
            <w:numRestart w:val="continuous"/>
          </w:footnotePr>
          <w:pgSz w:w="11900" w:h="16840"/>
          <w:pgMar w:top="2794" w:right="968" w:bottom="2794" w:left="110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6"/>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8"/>
        <w:keepNext w:val="0"/>
        <w:keepLines w:val="0"/>
        <w:widowControl w:val="0"/>
        <w:shd w:val="clear" w:color="auto" w:fill="auto"/>
        <w:bidi w:val="0"/>
        <w:spacing w:before="0" w:line="629" w:lineRule="exact"/>
        <w:ind w:left="0" w:right="0" w:firstLine="58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8"/>
        <w:keepNext w:val="0"/>
        <w:keepLines w:val="0"/>
        <w:widowControl w:val="0"/>
        <w:shd w:val="clear" w:color="auto" w:fill="auto"/>
        <w:bidi w:val="0"/>
        <w:spacing w:before="0" w:line="624" w:lineRule="exact"/>
        <w:ind w:left="0" w:right="0" w:firstLine="580"/>
        <w:jc w:val="both"/>
      </w:pPr>
      <w:r>
        <w:rPr>
          <w:color w:val="000000"/>
          <w:spacing w:val="0"/>
          <w:w w:val="100"/>
          <w:position w:val="0"/>
        </w:rPr>
        <w:t>公司负责人周志群、主管会计工作负责人及会计机构负责人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 xml:space="preserve">） </w:t>
      </w:r>
      <w:r>
        <w:rPr>
          <w:color w:val="000000"/>
          <w:spacing w:val="0"/>
          <w:w w:val="100"/>
          <w:position w:val="0"/>
        </w:rPr>
        <w:t>陈淑玲声明：保证年度报告中财务报告的真实、准确、完整。</w:t>
      </w:r>
    </w:p>
    <w:p>
      <w:pPr>
        <w:pStyle w:val="Style18"/>
        <w:keepNext w:val="0"/>
        <w:keepLines w:val="0"/>
        <w:widowControl w:val="0"/>
        <w:shd w:val="clear" w:color="auto" w:fill="auto"/>
        <w:bidi w:val="0"/>
        <w:spacing w:before="0" w:line="625" w:lineRule="exact"/>
        <w:ind w:left="0" w:right="0" w:firstLine="58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after="0" w:line="625" w:lineRule="exact"/>
        <w:ind w:left="0" w:right="0" w:firstLine="580"/>
        <w:jc w:val="both"/>
      </w:pPr>
      <w:r>
        <w:rPr>
          <w:color w:val="000000"/>
          <w:spacing w:val="0"/>
          <w:w w:val="100"/>
          <w:position w:val="0"/>
        </w:rPr>
        <w:t xml:space="preserve">（一）面临依赖金融机构和客户集中的风险：公司主营业务对金融机构发 展的依赖程度高，尤其是对金融机构信息化投入存在较大的依赖性。如果我国 宏观经济形势出现较大波动、金融机构管理体制变化、全球经济不景气等不利 因素导致金融机构的信息化建设速度放缓，将可能对公司的业务发展产生不利 影响。公司核心业务是为金融机构提供顾问咨询、软件产品、解决方案以及应 用维护，业务收入主要来源于大型商业银行，其特点决定了公司的客户集中度 较高。针对上述风险，公司会积极开拓多元化新客户和拓展新业务模式，行业 和客户集中风险将逐渐降低。（二）面临市场竞争日益激烈的风险：公司多年 来通过自身技术的不断积累和对金融机构需求的深入研究和准确把握，赢得了 良好的市场声誉，在业内具有较高的知名度和较强的竞争能力。但由于金融科 技市场是一个高度开放的市场，来自国内外同行的竞争日趋激烈；行业内企业 也有可能通过压低价格等手段来参与市场竞争，导致竞争加剧。如果公司应对 市场竞争的方式采取不当，将对公司的经营发展产生不利影响。针对上述风险， </w:t>
      </w:r>
      <w:r>
        <w:rPr>
          <w:color w:val="000000"/>
          <w:spacing w:val="0"/>
          <w:w w:val="100"/>
          <w:position w:val="0"/>
        </w:rPr>
        <w:t>公司会持续重视研发投入和研发人才，将持续的研发投入作为保持公司核心竞 争力的重要举措，不断研发推出创新金融科技产品，推进场景应用生态互联， 并加强团队建设和提高服务附加值从而有效提高市场竞争力。（三）创新产品 研发风险：公司正在实施创新驱动战略，分布式、微服务、区块链、数字货币 等前沿金融科技产品的研发工作，存在一定的不确定因素，因此有不能达到预 期目标的风险。针对上述风险，公司将充分利用多年来不断积累的技术能力、 对金融机构需求的深刻理解，在产品研发过程中秉承开放的心态，积极拥抱业 界发展趋势；通过快速迭代、循序渐进的研发方式快速验证新产品、新业务模 式，并迅速获得反馈；成本方面，通过精细化的方式控制项目投入。从而降低 创新产品研发过程中的不确定性。（四）业务季节性波动的风险：目前公司的 客户主要为银行类金融机构，银行信息化建设的预算、立项、招标、采购和实 施具有明显的季节性特征，一般在第四季度制订次年年度预算计划，审批通常 集中在次年第一季度，采购招标一般则安排在次年第一、二季度；此外，上半 年存在春节放假等因素，员工招聘培训在上半年也较多，因此公司上半年的营 业收入和营业利润占比较少，在下半年占比较多，业绩存在季节性波动。针对 上述风险，公司将通过充分发挥面向银行数字化转型的技术能力、全方位解决 方案与顾问咨询能力、全球服务能力优势，依托规模化的金融</w:t>
      </w:r>
      <w:r>
        <w:rPr>
          <w:rFonts w:ascii="Times New Roman" w:eastAsia="Times New Roman" w:hAnsi="Times New Roman" w:cs="Times New Roman"/>
          <w:color w:val="000000"/>
          <w:spacing w:val="0"/>
          <w:w w:val="100"/>
          <w:position w:val="0"/>
        </w:rPr>
        <w:t>+</w:t>
      </w:r>
      <w:r>
        <w:rPr>
          <w:color w:val="000000"/>
          <w:spacing w:val="0"/>
          <w:w w:val="100"/>
          <w:position w:val="0"/>
        </w:rPr>
        <w:t>科技的复合型人 才团队，进一步实现产品</w:t>
      </w:r>
      <w:r>
        <w:rPr>
          <w:rFonts w:ascii="Times New Roman" w:eastAsia="Times New Roman" w:hAnsi="Times New Roman" w:cs="Times New Roman"/>
          <w:color w:val="000000"/>
          <w:spacing w:val="0"/>
          <w:w w:val="100"/>
          <w:position w:val="0"/>
        </w:rPr>
        <w:t>+</w:t>
      </w:r>
      <w:r>
        <w:rPr>
          <w:color w:val="000000"/>
          <w:spacing w:val="0"/>
          <w:w w:val="100"/>
          <w:position w:val="0"/>
        </w:rPr>
        <w:t>服务、平台</w:t>
      </w:r>
      <w:r>
        <w:rPr>
          <w:rFonts w:ascii="Times New Roman" w:eastAsia="Times New Roman" w:hAnsi="Times New Roman" w:cs="Times New Roman"/>
          <w:color w:val="000000"/>
          <w:spacing w:val="0"/>
          <w:w w:val="100"/>
          <w:position w:val="0"/>
        </w:rPr>
        <w:t>+</w:t>
      </w:r>
      <w:r>
        <w:rPr>
          <w:color w:val="000000"/>
          <w:spacing w:val="0"/>
          <w:w w:val="100"/>
          <w:position w:val="0"/>
        </w:rPr>
        <w:t>服务的业务升级，从而降低业务季节性 波动对公司的影响。（五）市场技术发展方向变化的风险</w:t>
      </w:r>
      <w:r>
        <w:rPr>
          <w:rFonts w:ascii="Times New Roman" w:eastAsia="Times New Roman" w:hAnsi="Times New Roman" w:cs="Times New Roman"/>
          <w:color w:val="000000"/>
          <w:spacing w:val="0"/>
          <w:w w:val="100"/>
          <w:position w:val="0"/>
        </w:rPr>
        <w:t>:</w:t>
      </w:r>
      <w:r>
        <w:rPr>
          <w:color w:val="000000"/>
          <w:spacing w:val="0"/>
          <w:w w:val="100"/>
          <w:position w:val="0"/>
        </w:rPr>
        <w:t>目前软件行业正处于 快速发展阶段，技术更新换代快，用户对技术服务的要求不断提高。因此，若 公司对技术和市场的变化不能快速响应，对行业关键技术的发展动态不能及时 掌控，将导致公司的市场竞争能力下降，公司因而存在一定的技术发展风险。</w:t>
      </w:r>
    </w:p>
    <w:p>
      <w:pPr>
        <w:pStyle w:val="Style18"/>
        <w:keepNext w:val="0"/>
        <w:keepLines w:val="0"/>
        <w:widowControl w:val="0"/>
        <w:shd w:val="clear" w:color="auto" w:fill="auto"/>
        <w:bidi w:val="0"/>
        <w:spacing w:before="0"/>
        <w:ind w:left="0" w:right="0" w:firstLine="0"/>
        <w:jc w:val="both"/>
      </w:pPr>
      <w:r>
        <w:rPr>
          <w:color w:val="000000"/>
          <w:spacing w:val="0"/>
          <w:w w:val="100"/>
          <w:position w:val="0"/>
        </w:rPr>
        <w:t>公司在做好主营业务的同时，会跟随金融科技发展趋势，但若对技术及市场等 变化未能准确、快速响应，业务转型将存在达不到预期目标的风险，未来是否 盈利存在不确定性。针对上述风险，公司将充分利用多年来不断积累的技术能 力、对金融机构需求的深刻理解、与客户的良好合作关系；通过积极跟进业界 发展趋势，深刻了解终端用户需求等方式确以降低市场技术发展方向变化的风 险。（六）面临人才流失和人工成本上涨的风险</w:t>
      </w:r>
      <w:r>
        <w:rPr>
          <w:rFonts w:ascii="Times New Roman" w:eastAsia="Times New Roman" w:hAnsi="Times New Roman" w:cs="Times New Roman"/>
          <w:color w:val="000000"/>
          <w:spacing w:val="0"/>
          <w:w w:val="100"/>
          <w:position w:val="0"/>
        </w:rPr>
        <w:t>:</w:t>
      </w:r>
      <w:r>
        <w:rPr>
          <w:color w:val="000000"/>
          <w:spacing w:val="0"/>
          <w:w w:val="100"/>
          <w:position w:val="0"/>
        </w:rPr>
        <w:t>由于国家经济结构转型，行业 快速发展，市场对专业技术人才的争夺更加激烈，导致人才流失现象严重，人 才薪酬不断上涨，随着公司业务不断发展，人员规模持续增加，公司总人力成 本上涨，薪酬对利润的影响较为敏感；同时，受物价水平持续上涨影响，生活 成本不断上升，行业薪酬水平上涨。这些因素给公司带来了极大的人力成本及 人才竞争压力，而公司核心业务最主要的成本是人工成本，因此，公司面临着 人才流失和人工成本上涨风险。针对上述风险，公司制定出系统的人才编制与 引进规划，广泛吸纳愿意长期稳定与公司共同发展进步的社会精英，同时也与 多家高校联合以注入有活力的新鲜血液以壮大团队。公司高度重视人才的培养 及团队的稳定，为加入的人才构建了一整套完整的成长体系，并从企业内部挖 掘有潜力的员工并着力培养，不断优化人才管理机制和职业发展通道来全力支 持队伍建设，提升整体人才竞争力。公司将长期坚持人才激励政策，并进行企 业文化建设，以保证核心团队的稳定性。</w:t>
      </w:r>
    </w:p>
    <w:p>
      <w:pPr>
        <w:pStyle w:val="Style18"/>
        <w:keepNext w:val="0"/>
        <w:keepLines w:val="0"/>
        <w:widowControl w:val="0"/>
        <w:shd w:val="clear" w:color="auto" w:fill="auto"/>
        <w:bidi w:val="0"/>
        <w:spacing w:before="0" w:line="624" w:lineRule="exact"/>
        <w:ind w:left="0" w:right="0" w:firstLine="0"/>
        <w:jc w:val="both"/>
      </w:pPr>
      <w:r>
        <w:rPr>
          <w:color w:val="000000"/>
          <w:spacing w:val="0"/>
          <w:w w:val="100"/>
          <w:position w:val="0"/>
        </w:rPr>
        <w:t>（七）国际政治经济不稳定及汇率波动风险</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公司正在实施全球化布局，目前海 外业务占比规模较大。报告期内，在复杂多变的国际环境下，无论国家或金融 机构都要准备好迎接新的国际秩序，及重新定义的跨国金融规范，贸易保护主 义有加剧的趋势，而国际政治经济形势的不确定性，会给公司在海外业务拓展 </w:t>
      </w:r>
      <w:r>
        <w:rPr>
          <w:color w:val="000000"/>
          <w:spacing w:val="0"/>
          <w:w w:val="100"/>
          <w:position w:val="0"/>
        </w:rPr>
        <w:t>方面带来不确定性，汇率波动也会给公司外汇结算等方面带来潜在风险。针对 上述风险，公司会对国际政治环境做好详细的风险评估，包括前期的市场调研、 社情分析和当地的法律法规；同时，公司会采取相应措施以减少汇率波动而造 成的影响。</w:t>
      </w:r>
    </w:p>
    <w:p>
      <w:pPr>
        <w:pStyle w:val="Style18"/>
        <w:keepNext w:val="0"/>
        <w:keepLines w:val="0"/>
        <w:widowControl w:val="0"/>
        <w:shd w:val="clear" w:color="auto" w:fill="auto"/>
        <w:bidi w:val="0"/>
        <w:spacing w:before="0" w:line="624" w:lineRule="exact"/>
        <w:ind w:left="0" w:right="0" w:firstLine="0"/>
        <w:jc w:val="both"/>
      </w:pPr>
      <w:r>
        <w:rPr>
          <w:color w:val="000000"/>
          <w:spacing w:val="0"/>
          <w:w w:val="100"/>
          <w:position w:val="0"/>
        </w:rPr>
        <w:t>（八）存在业务规模扩张和对外投资导致的管理风险</w:t>
      </w:r>
      <w:r>
        <w:rPr>
          <w:rFonts w:ascii="Times New Roman" w:eastAsia="Times New Roman" w:hAnsi="Times New Roman" w:cs="Times New Roman"/>
          <w:color w:val="000000"/>
          <w:spacing w:val="0"/>
          <w:w w:val="100"/>
          <w:position w:val="0"/>
        </w:rPr>
        <w:t>:</w:t>
      </w:r>
      <w:r>
        <w:rPr>
          <w:color w:val="000000"/>
          <w:spacing w:val="0"/>
          <w:w w:val="100"/>
          <w:position w:val="0"/>
        </w:rPr>
        <w:t>随着公司业务和规模在海 内外的不断扩张，面对多元的国际文化与不同国家的法律法规，公司管理的难 度，跨度和半径都在加大。如果不能相应优化完善原有的运营管理体系和提高 经营管理水平，建立起与之相适应的运作机制并有效运行，公司的运营效率和 进一步发展会受到影响。针对上述风险，公司本着坚持稳步前行的发展理念， 用组建精英化的管理团队、健全各项内部管控流程和制度、完善内外部信息交 流机制及加强风险管控力度等举措，进一步保证业务扩张与管理完善的协调向 前，实现公司的稳定发展。（九）疫情带来的不确定性风险</w:t>
      </w:r>
      <w:r>
        <w:rPr>
          <w:rFonts w:ascii="Times New Roman" w:eastAsia="Times New Roman" w:hAnsi="Times New Roman" w:cs="Times New Roman"/>
          <w:color w:val="000000"/>
          <w:spacing w:val="0"/>
          <w:w w:val="100"/>
          <w:position w:val="0"/>
        </w:rPr>
        <w:t>:</w:t>
      </w:r>
      <w:r>
        <w:rPr>
          <w:color w:val="000000"/>
          <w:spacing w:val="0"/>
          <w:w w:val="100"/>
          <w:position w:val="0"/>
        </w:rPr>
        <w:t>公司疫情应对工作 小组继续落实并加强疫情防控的各项措施，但现在境内外疫情不时较为严峻， 导致公司同事无法全员到岗，对公司业务有一定影响。在全国至全球范围内， 疫情依旧可能存在反复或恶化的风险，在此局势下，可能会给全球各产业生产 和经营带来不同程度的负面因素，对公司的整体业务可能也会存在不确定性风 险。针对上述风险，公司防疫工作小组将继续落实并加强疫情防控的各项措施， 为员工正常工作与出行提供有效的健康保护。</w:t>
      </w:r>
    </w:p>
    <w:p>
      <w:pPr>
        <w:pStyle w:val="Style18"/>
        <w:keepNext w:val="0"/>
        <w:keepLines w:val="0"/>
        <w:widowControl w:val="0"/>
        <w:shd w:val="clear" w:color="auto" w:fill="auto"/>
        <w:bidi w:val="0"/>
        <w:spacing w:before="0" w:after="0" w:line="619" w:lineRule="exact"/>
        <w:ind w:left="0" w:right="0" w:firstLine="580"/>
        <w:jc w:val="both"/>
        <w:sectPr>
          <w:footnotePr>
            <w:pos w:val="pageBottom"/>
            <w:numFmt w:val="decimal"/>
            <w:numRestart w:val="continuous"/>
          </w:footnotePr>
          <w:pgSz w:w="11900" w:h="16840"/>
          <w:pgMar w:top="1282" w:right="1008" w:bottom="1565" w:left="1066" w:header="0" w:footer="3" w:gutter="0"/>
          <w:cols w:space="720"/>
          <w:noEndnote/>
          <w:rtlGutter w:val="0"/>
          <w:docGrid w:linePitch="360"/>
        </w:sectPr>
      </w:pPr>
      <w:r>
        <w:rPr>
          <w:color w:val="000000"/>
          <w:spacing w:val="0"/>
          <w:w w:val="100"/>
          <w:position w:val="0"/>
        </w:rPr>
        <w:t>公司经本次董事会审议通过的利润分配预案为：以截至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公司总股本</w:t>
      </w:r>
      <w:r>
        <w:rPr>
          <w:rFonts w:ascii="Times New Roman" w:eastAsia="Times New Roman" w:hAnsi="Times New Roman" w:cs="Times New Roman"/>
          <w:color w:val="000000"/>
          <w:spacing w:val="0"/>
          <w:w w:val="100"/>
          <w:position w:val="0"/>
        </w:rPr>
        <w:t>283,291,058</w:t>
      </w:r>
      <w:r>
        <w:rPr>
          <w:color w:val="000000"/>
          <w:spacing w:val="0"/>
          <w:w w:val="100"/>
          <w:position w:val="0"/>
        </w:rPr>
        <w:t>股为基数</w:t>
      </w:r>
      <w:r>
        <w:rPr>
          <w:rFonts w:ascii="Times New Roman" w:eastAsia="Times New Roman" w:hAnsi="Times New Roman" w:cs="Times New Roman"/>
          <w:color w:val="000000"/>
          <w:spacing w:val="0"/>
          <w:w w:val="100"/>
          <w:position w:val="0"/>
        </w:rPr>
        <w:t>,</w:t>
      </w:r>
      <w:r>
        <w:rPr>
          <w:color w:val="000000"/>
          <w:spacing w:val="0"/>
          <w:w w:val="100"/>
          <w:position w:val="0"/>
        </w:rPr>
        <w:t xml:space="preserve">拟向全体股东分配共计现金人民币 </w:t>
      </w:r>
      <w:r>
        <w:rPr>
          <w:rFonts w:ascii="Times New Roman" w:eastAsia="Times New Roman" w:hAnsi="Times New Roman" w:cs="Times New Roman"/>
          <w:color w:val="000000"/>
          <w:spacing w:val="0"/>
          <w:w w:val="100"/>
          <w:position w:val="0"/>
        </w:rPr>
        <w:t>28,329,105.80</w:t>
      </w:r>
      <w:r>
        <w:rPr>
          <w:color w:val="000000"/>
          <w:spacing w:val="0"/>
          <w:w w:val="100"/>
          <w:position w:val="0"/>
        </w:rPr>
        <w:t>元，即每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，以资本公积金向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股，本次转增股份数量为</w:t>
      </w:r>
      <w:r>
        <w:rPr>
          <w:rFonts w:ascii="Times New Roman" w:eastAsia="Times New Roman" w:hAnsi="Times New Roman" w:cs="Times New Roman"/>
          <w:color w:val="000000"/>
          <w:spacing w:val="0"/>
          <w:w w:val="100"/>
          <w:position w:val="0"/>
        </w:rPr>
        <w:t>226,632,846</w:t>
      </w:r>
      <w:r>
        <w:rPr>
          <w:color w:val="000000"/>
          <w:spacing w:val="0"/>
          <w:w w:val="100"/>
          <w:position w:val="0"/>
        </w:rPr>
        <w:t xml:space="preserve">股（转增股数系 </w:t>
      </w:r>
      <w:r>
        <w:rPr>
          <w:color w:val="000000"/>
          <w:spacing w:val="0"/>
          <w:w w:val="100"/>
          <w:position w:val="0"/>
        </w:rPr>
        <w:t>公司根据实际计算结果四舍五入所得，最终转增数量以中国证券登记结算有限 公司实际转增结果为准），转增后公司股本总数将增加至</w:t>
      </w:r>
      <w:r>
        <w:rPr>
          <w:rFonts w:ascii="Times New Roman" w:eastAsia="Times New Roman" w:hAnsi="Times New Roman" w:cs="Times New Roman"/>
          <w:color w:val="000000"/>
          <w:spacing w:val="0"/>
          <w:w w:val="100"/>
          <w:position w:val="0"/>
        </w:rPr>
        <w:t>509,923,904</w:t>
      </w:r>
      <w:r>
        <w:rPr>
          <w:color w:val="000000"/>
          <w:spacing w:val="0"/>
          <w:w w:val="100"/>
          <w:position w:val="0"/>
        </w:rPr>
        <w:t>股。（以 上净利润额、可分配利润额以及利润分配后剩余未分配利润额以最终经审计数 据为准。董事会审议利润分配后至权益分派实施公告确定的股权登记日前公司 股本发生变动的，将按照“现金分红总额固定不变”的原则对分配比例进行调 整。</w:t>
      </w:r>
    </w:p>
    <w:p>
      <w:pPr>
        <w:pStyle w:val="Style10"/>
        <w:keepNext w:val="0"/>
        <w:keepLines w:val="0"/>
        <w:widowControl w:val="0"/>
        <w:shd w:val="clear" w:color="auto" w:fill="auto"/>
        <w:bidi w:val="0"/>
        <w:spacing w:before="0" w:after="94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24"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624" w:val="right"/>
        </w:tabs>
        <w:bidi w:val="0"/>
        <w:spacing w:before="0" w:line="240" w:lineRule="auto"/>
        <w:ind w:left="0" w:right="0" w:firstLine="0"/>
        <w:jc w:val="left"/>
      </w:pPr>
      <w:hyperlink w:anchor="bookmark1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1"/>
        <w:keepNext w:val="0"/>
        <w:keepLines w:val="0"/>
        <w:widowControl w:val="0"/>
        <w:shd w:val="clear" w:color="auto" w:fill="auto"/>
        <w:tabs>
          <w:tab w:leader="dot" w:pos="9624" w:val="right"/>
        </w:tabs>
        <w:bidi w:val="0"/>
        <w:spacing w:before="0" w:line="240" w:lineRule="auto"/>
        <w:ind w:left="0" w:right="0" w:firstLine="0"/>
        <w:jc w:val="left"/>
      </w:pPr>
      <w:hyperlink w:anchor="bookmark61"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1"/>
        <w:keepNext w:val="0"/>
        <w:keepLines w:val="0"/>
        <w:widowControl w:val="0"/>
        <w:shd w:val="clear" w:color="auto" w:fill="auto"/>
        <w:tabs>
          <w:tab w:leader="dot" w:pos="9624" w:val="right"/>
        </w:tabs>
        <w:bidi w:val="0"/>
        <w:spacing w:before="0" w:line="240" w:lineRule="auto"/>
        <w:ind w:left="0" w:right="0" w:firstLine="0"/>
        <w:jc w:val="left"/>
      </w:pPr>
      <w:hyperlink w:anchor="bookmark215"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21"/>
        <w:keepNext w:val="0"/>
        <w:keepLines w:val="0"/>
        <w:widowControl w:val="0"/>
        <w:shd w:val="clear" w:color="auto" w:fill="auto"/>
        <w:tabs>
          <w:tab w:leader="dot" w:pos="9624" w:val="right"/>
        </w:tabs>
        <w:bidi w:val="0"/>
        <w:spacing w:before="0" w:line="240" w:lineRule="auto"/>
        <w:ind w:left="0" w:right="0" w:firstLine="0"/>
        <w:jc w:val="left"/>
      </w:pPr>
      <w:hyperlink w:anchor="bookmark381"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1"/>
        <w:keepNext w:val="0"/>
        <w:keepLines w:val="0"/>
        <w:widowControl w:val="0"/>
        <w:shd w:val="clear" w:color="auto" w:fill="auto"/>
        <w:tabs>
          <w:tab w:leader="dot" w:pos="9624" w:val="right"/>
        </w:tabs>
        <w:bidi w:val="0"/>
        <w:spacing w:before="0" w:line="240" w:lineRule="auto"/>
        <w:ind w:left="0" w:right="0" w:firstLine="0"/>
        <w:jc w:val="left"/>
      </w:pPr>
      <w:hyperlink w:anchor="bookmark396"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1"/>
        <w:keepNext w:val="0"/>
        <w:keepLines w:val="0"/>
        <w:widowControl w:val="0"/>
        <w:shd w:val="clear" w:color="auto" w:fill="auto"/>
        <w:tabs>
          <w:tab w:leader="dot" w:pos="9624" w:val="right"/>
        </w:tabs>
        <w:bidi w:val="0"/>
        <w:spacing w:before="0" w:line="240" w:lineRule="auto"/>
        <w:ind w:left="0" w:right="0" w:firstLine="0"/>
        <w:jc w:val="left"/>
      </w:pPr>
      <w:hyperlink w:anchor="bookmark528"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1"/>
        <w:keepNext w:val="0"/>
        <w:keepLines w:val="0"/>
        <w:widowControl w:val="0"/>
        <w:shd w:val="clear" w:color="auto" w:fill="auto"/>
        <w:tabs>
          <w:tab w:leader="dot" w:pos="9624" w:val="right"/>
        </w:tabs>
        <w:bidi w:val="0"/>
        <w:spacing w:before="0" w:line="240" w:lineRule="auto"/>
        <w:ind w:left="0" w:right="0" w:firstLine="0"/>
        <w:jc w:val="left"/>
      </w:pPr>
      <w:hyperlink w:anchor="bookmark595"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21"/>
        <w:keepNext w:val="0"/>
        <w:keepLines w:val="0"/>
        <w:widowControl w:val="0"/>
        <w:shd w:val="clear" w:color="auto" w:fill="auto"/>
        <w:tabs>
          <w:tab w:leader="dot" w:pos="9624" w:val="right"/>
        </w:tabs>
        <w:bidi w:val="0"/>
        <w:spacing w:before="0" w:line="240" w:lineRule="auto"/>
        <w:ind w:left="0" w:right="0" w:firstLine="0"/>
        <w:jc w:val="left"/>
      </w:pPr>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81</w:t>
      </w:r>
    </w:p>
    <w:p>
      <w:pPr>
        <w:pStyle w:val="Style21"/>
        <w:keepNext w:val="0"/>
        <w:keepLines w:val="0"/>
        <w:widowControl w:val="0"/>
        <w:shd w:val="clear" w:color="auto" w:fill="auto"/>
        <w:tabs>
          <w:tab w:leader="dot" w:pos="9624" w:val="right"/>
        </w:tabs>
        <w:bidi w:val="0"/>
        <w:spacing w:before="0" w:line="240" w:lineRule="auto"/>
        <w:ind w:left="0" w:right="0" w:firstLine="0"/>
        <w:jc w:val="left"/>
        <w:sectPr>
          <w:footnotePr>
            <w:pos w:val="pageBottom"/>
            <w:numFmt w:val="decimal"/>
            <w:numRestart w:val="continuous"/>
          </w:footnotePr>
          <w:pgSz w:w="11900" w:h="16840"/>
          <w:pgMar w:top="3754" w:right="1112" w:bottom="3754" w:left="1107" w:header="0" w:footer="3" w:gutter="0"/>
          <w:cols w:space="720"/>
          <w:noEndnote/>
          <w:rtlGutter w:val="0"/>
          <w:docGrid w:linePitch="360"/>
        </w:sectPr>
      </w:pPr>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82</w:t>
      </w:r>
      <w:r>
        <w:fldChar w:fldCharType="end"/>
      </w:r>
    </w:p>
    <w:p>
      <w:pPr>
        <w:pStyle w:val="Style16"/>
        <w:keepNext/>
        <w:keepLines/>
        <w:widowControl w:val="0"/>
        <w:shd w:val="clear" w:color="auto" w:fill="auto"/>
        <w:bidi w:val="0"/>
        <w:spacing w:before="1540" w:after="860" w:line="240" w:lineRule="auto"/>
        <w:ind w:left="0" w:right="0" w:firstLine="0"/>
        <w:jc w:val="center"/>
      </w:pPr>
      <w:bookmarkStart w:id="4" w:name="bookmark4"/>
      <w:bookmarkStart w:id="5" w:name="bookmark5"/>
      <w:bookmarkStart w:id="6" w:name="bookmark6"/>
      <w:r>
        <w:rPr>
          <w:color w:val="000000"/>
          <w:spacing w:val="0"/>
          <w:w w:val="100"/>
          <w:position w:val="0"/>
        </w:rPr>
        <w:t>备查文件目录</w:t>
      </w:r>
      <w:bookmarkEnd w:id="4"/>
      <w:bookmarkEnd w:id="5"/>
      <w:bookmarkEnd w:id="6"/>
    </w:p>
    <w:p>
      <w:pPr>
        <w:pStyle w:val="Style24"/>
        <w:keepNext w:val="0"/>
        <w:keepLines w:val="0"/>
        <w:widowControl w:val="0"/>
        <w:shd w:val="clear" w:color="auto" w:fill="auto"/>
        <w:tabs>
          <w:tab w:pos="531" w:val="left"/>
        </w:tabs>
        <w:bidi w:val="0"/>
        <w:spacing w:before="0" w:after="14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一）</w:t>
        <w:tab/>
        <w:t>载有公司负责人、主管会计工作负责人、会计机构负责人（会计主管人员）签名并盖章的财务报表。</w:t>
      </w:r>
    </w:p>
    <w:p>
      <w:pPr>
        <w:pStyle w:val="Style24"/>
        <w:keepNext w:val="0"/>
        <w:keepLines w:val="0"/>
        <w:widowControl w:val="0"/>
        <w:shd w:val="clear" w:color="auto" w:fill="auto"/>
        <w:tabs>
          <w:tab w:pos="531" w:val="left"/>
        </w:tabs>
        <w:bidi w:val="0"/>
        <w:spacing w:before="0" w:after="140" w:line="240" w:lineRule="auto"/>
        <w:ind w:left="0" w:right="0" w:firstLine="0"/>
        <w:jc w:val="left"/>
      </w:pPr>
      <w:bookmarkStart w:id="8" w:name="bookmark8"/>
      <w:r>
        <w:rPr>
          <w:color w:val="000000"/>
          <w:spacing w:val="0"/>
          <w:w w:val="100"/>
          <w:position w:val="0"/>
        </w:rPr>
        <w:t>（</w:t>
      </w:r>
      <w:bookmarkEnd w:id="8"/>
      <w:r>
        <w:rPr>
          <w:color w:val="000000"/>
          <w:spacing w:val="0"/>
          <w:w w:val="100"/>
          <w:position w:val="0"/>
        </w:rPr>
        <w:t>二）</w:t>
        <w:tab/>
        <w:t>载有会计师事务所盖章、注册会计师签名并盖章的审计报告原件。</w:t>
      </w:r>
    </w:p>
    <w:p>
      <w:pPr>
        <w:pStyle w:val="Style24"/>
        <w:keepNext w:val="0"/>
        <w:keepLines w:val="0"/>
        <w:widowControl w:val="0"/>
        <w:shd w:val="clear" w:color="auto" w:fill="auto"/>
        <w:tabs>
          <w:tab w:pos="531" w:val="left"/>
        </w:tabs>
        <w:bidi w:val="0"/>
        <w:spacing w:before="0" w:after="140" w:line="240" w:lineRule="auto"/>
        <w:ind w:left="0" w:right="0" w:firstLine="0"/>
        <w:jc w:val="left"/>
      </w:pPr>
      <w:bookmarkStart w:id="9" w:name="bookmark9"/>
      <w:r>
        <w:rPr>
          <w:color w:val="000000"/>
          <w:spacing w:val="0"/>
          <w:w w:val="100"/>
          <w:position w:val="0"/>
        </w:rPr>
        <w:t>（</w:t>
      </w:r>
      <w:bookmarkEnd w:id="9"/>
      <w:r>
        <w:rPr>
          <w:color w:val="000000"/>
          <w:spacing w:val="0"/>
          <w:w w:val="100"/>
          <w:position w:val="0"/>
        </w:rPr>
        <w:t>三）</w:t>
        <w:tab/>
        <w:t>报告期内在中国证监会指定网站上公开披露过的所有公司文件的正本及公告的原稿。</w:t>
      </w:r>
    </w:p>
    <w:p>
      <w:pPr>
        <w:pStyle w:val="Style24"/>
        <w:keepNext w:val="0"/>
        <w:keepLines w:val="0"/>
        <w:widowControl w:val="0"/>
        <w:shd w:val="clear" w:color="auto" w:fill="auto"/>
        <w:tabs>
          <w:tab w:pos="531" w:val="left"/>
        </w:tabs>
        <w:bidi w:val="0"/>
        <w:spacing w:before="0" w:after="140" w:line="240" w:lineRule="auto"/>
        <w:ind w:left="0" w:right="0" w:firstLine="0"/>
        <w:jc w:val="left"/>
      </w:pPr>
      <w:bookmarkStart w:id="10" w:name="bookmark10"/>
      <w:bookmarkStart w:id="11" w:name="bookmark11"/>
      <w:r>
        <w:rPr>
          <w:color w:val="000000"/>
          <w:spacing w:val="0"/>
          <w:w w:val="100"/>
          <w:position w:val="0"/>
        </w:rPr>
        <w:t>（</w:t>
      </w:r>
      <w:bookmarkEnd w:id="10"/>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年年度报告文件。</w:t>
      </w:r>
      <w:bookmarkEnd w:id="11"/>
      <w:r>
        <w:br w:type="page"/>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公司、本公司、四方精创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四方资讯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北京四方融创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北京四方融创科技有限公司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成都四方融创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成都四方融创科技有限公司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乐寻坊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深圳前海乐寻坊区块链科技有限公司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四方泰国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四方精创（泰国）有限公司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rPr>
              <w:t>/</w:t>
            </w:r>
            <w:r>
              <w:rPr>
                <w:color w:val="000000"/>
                <w:spacing w:val="0"/>
                <w:w w:val="100"/>
                <w:position w:val="0"/>
              </w:rPr>
              <w:t>人民币万元</w:t>
            </w:r>
          </w:p>
        </w:tc>
      </w:tr>
    </w:tbl>
    <w:p>
      <w:pPr>
        <w:spacing w:lineRule="exact" w:line="1"/>
        <w:rPr>
          <w:sz w:val="2"/>
          <w:szCs w:val="2"/>
        </w:rPr>
      </w:pPr>
      <w:r>
        <w:br w:type="page"/>
      </w:r>
    </w:p>
    <w:p>
      <w:pPr>
        <w:pStyle w:val="Style16"/>
        <w:keepNext/>
        <w:keepLines/>
        <w:widowControl w:val="0"/>
        <w:shd w:val="clear" w:color="auto" w:fill="auto"/>
        <w:bidi w:val="0"/>
        <w:spacing w:before="0" w:after="540" w:line="240" w:lineRule="auto"/>
        <w:ind w:left="0" w:right="0" w:firstLine="0"/>
        <w:jc w:val="center"/>
      </w:pPr>
      <w:bookmarkStart w:id="12" w:name="bookmark12"/>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bookmarkEnd w:id="12"/>
    </w:p>
    <w:p>
      <w:pPr>
        <w:pStyle w:val="Style28"/>
        <w:keepNext/>
        <w:keepLines/>
        <w:widowControl w:val="0"/>
        <w:shd w:val="clear" w:color="auto" w:fill="auto"/>
        <w:bidi w:val="0"/>
        <w:spacing w:before="0" w:line="240" w:lineRule="auto"/>
        <w:ind w:left="0" w:right="0" w:firstLine="240"/>
        <w:jc w:val="left"/>
      </w:pPr>
      <w:bookmarkStart w:id="16" w:name="bookmark16"/>
      <w:bookmarkStart w:id="17" w:name="bookmark17"/>
      <w:bookmarkStart w:id="18" w:name="bookmark18"/>
      <w:r>
        <w:rPr>
          <w:color w:val="000000"/>
          <w:spacing w:val="0"/>
          <w:w w:val="100"/>
          <w:position w:val="0"/>
          <w:sz w:val="24"/>
          <w:szCs w:val="24"/>
        </w:rPr>
        <w:t>、公司信息</w:t>
      </w:r>
      <w:bookmarkEnd w:id="16"/>
      <w:bookmarkEnd w:id="17"/>
      <w:bookmarkEnd w:id="18"/>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33" w:val="left"/>
                <w:tab w:pos="5093" w:val="left"/>
              </w:tabs>
              <w:bidi w:val="0"/>
              <w:spacing w:before="0" w:after="0" w:line="240" w:lineRule="auto"/>
              <w:ind w:left="0" w:right="0" w:firstLine="0"/>
              <w:jc w:val="left"/>
            </w:pPr>
            <w:r>
              <w:rPr>
                <w:color w:val="000000"/>
                <w:spacing w:val="0"/>
                <w:w w:val="100"/>
                <w:position w:val="0"/>
              </w:rPr>
              <w:t>四方精创</w:t>
              <w:tab/>
              <w:t>股票代码</w:t>
              <w:tab/>
            </w:r>
            <w:r>
              <w:rPr>
                <w:rFonts w:ascii="Times New Roman" w:eastAsia="Times New Roman" w:hAnsi="Times New Roman" w:cs="Times New Roman"/>
                <w:color w:val="000000"/>
                <w:spacing w:val="0"/>
                <w:w w:val="100"/>
                <w:position w:val="0"/>
              </w:rPr>
              <w:t>300468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Forms Syntron Information Co.,Ltd.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Forms Syntron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广东省深圳市南山区粤海街道高新区社区高新南七道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r>
              <w:rPr>
                <w:rFonts w:ascii="Times New Roman" w:eastAsia="Times New Roman" w:hAnsi="Times New Roman" w:cs="Times New Roman"/>
                <w:color w:val="000000"/>
                <w:spacing w:val="0"/>
                <w:w w:val="100"/>
                <w:position w:val="0"/>
              </w:rPr>
              <w:t>3</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月注册地址由深圳市南山区科技中二路深圳软件园</w:t>
            </w:r>
            <w:r>
              <w:rPr>
                <w:rFonts w:ascii="Times New Roman" w:eastAsia="Times New Roman" w:hAnsi="Times New Roman" w:cs="Times New Roman"/>
                <w:color w:val="000000"/>
                <w:spacing w:val="0"/>
                <w:w w:val="100"/>
                <w:position w:val="0"/>
              </w:rPr>
              <w:t>12#</w:t>
            </w:r>
            <w:r>
              <w:rPr>
                <w:color w:val="000000"/>
                <w:spacing w:val="0"/>
                <w:w w:val="100"/>
                <w:position w:val="0"/>
              </w:rPr>
              <w:t>楼</w:t>
            </w:r>
            <w:r>
              <w:rPr>
                <w:rFonts w:ascii="Times New Roman" w:eastAsia="Times New Roman" w:hAnsi="Times New Roman" w:cs="Times New Roman"/>
                <w:color w:val="000000"/>
                <w:spacing w:val="0"/>
                <w:w w:val="100"/>
                <w:position w:val="0"/>
              </w:rPr>
              <w:t>402</w:t>
            </w:r>
            <w:r>
              <w:rPr>
                <w:color w:val="000000"/>
                <w:spacing w:val="0"/>
                <w:w w:val="100"/>
                <w:position w:val="0"/>
              </w:rPr>
              <w:t>、深圳软件园</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期） </w:t>
            </w:r>
            <w:r>
              <w:rPr>
                <w:rFonts w:ascii="Times New Roman" w:eastAsia="Times New Roman" w:hAnsi="Times New Roman" w:cs="Times New Roman"/>
                <w:color w:val="000000"/>
                <w:spacing w:val="0"/>
                <w:w w:val="100"/>
                <w:position w:val="0"/>
              </w:rPr>
              <w:t>13</w:t>
            </w:r>
            <w:r>
              <w:rPr>
                <w:color w:val="000000"/>
                <w:spacing w:val="0"/>
                <w:w w:val="100"/>
                <w:position w:val="0"/>
              </w:rPr>
              <w:t>栋</w:t>
            </w:r>
            <w:r>
              <w:rPr>
                <w:rFonts w:ascii="Times New Roman" w:eastAsia="Times New Roman" w:hAnsi="Times New Roman" w:cs="Times New Roman"/>
                <w:color w:val="000000"/>
                <w:spacing w:val="0"/>
                <w:w w:val="100"/>
                <w:position w:val="0"/>
              </w:rPr>
              <w:t>302</w:t>
            </w:r>
            <w:r>
              <w:rPr>
                <w:color w:val="000000"/>
                <w:spacing w:val="0"/>
                <w:w w:val="100"/>
                <w:position w:val="0"/>
              </w:rPr>
              <w:t>室（仅限办公）变更为深圳市南山区粤海街道高新区社区高新南七道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 创资讯大厦</w:t>
            </w:r>
            <w:r>
              <w:rPr>
                <w:rFonts w:ascii="Times New Roman" w:eastAsia="Times New Roman" w:hAnsi="Times New Roman" w:cs="Times New Roman"/>
                <w:color w:val="000000"/>
                <w:spacing w:val="0"/>
                <w:w w:val="100"/>
                <w:position w:val="0"/>
              </w:rPr>
              <w:t>3</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深圳市南山区粤海街道高新区社区高新南七道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"http://www.formssi.com" </w:instrText>
            </w:r>
            <w:r>
              <w:fldChar w:fldCharType="separate"/>
            </w:r>
            <w:r>
              <w:rPr>
                <w:rFonts w:ascii="Times New Roman" w:eastAsia="Times New Roman" w:hAnsi="Times New Roman" w:cs="Times New Roman"/>
                <w:color w:val="000000"/>
                <w:spacing w:val="0"/>
                <w:w w:val="100"/>
                <w:position w:val="0"/>
              </w:rPr>
              <w:t>www.formssi.com</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formssyntronss@formssi. com</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张雅倩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深圳市南山区粤海街道高新区社区高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深圳市南山区粤海街道高新区社区高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0755-86649962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0755-86649962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0755-86649962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0755-86649962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"mailto:formssyntronss@formssi.com" </w:instrText>
            </w:r>
            <w:r>
              <w:fldChar w:fldCharType="separate"/>
            </w:r>
            <w:r>
              <w:rPr>
                <w:rFonts w:ascii="Times New Roman" w:eastAsia="Times New Roman" w:hAnsi="Times New Roman" w:cs="Times New Roman"/>
                <w:color w:val="000000"/>
                <w:spacing w:val="0"/>
                <w:w w:val="100"/>
                <w:position w:val="0"/>
              </w:rPr>
              <w:t>formssyntronss@formssi.com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fbrmssyntronss@fbrmssi. com</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深圳市南山区粤海街道高新区社区高新南七道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福建省福州市湖东路</w:t>
            </w:r>
            <w:r>
              <w:rPr>
                <w:rFonts w:ascii="Times New Roman" w:eastAsia="Times New Roman" w:hAnsi="Times New Roman" w:cs="Times New Roman"/>
                <w:color w:val="000000"/>
                <w:spacing w:val="0"/>
                <w:w w:val="100"/>
                <w:position w:val="0"/>
              </w:rPr>
              <w:t>152</w:t>
            </w:r>
            <w:r>
              <w:rPr>
                <w:color w:val="000000"/>
                <w:spacing w:val="0"/>
                <w:w w:val="100"/>
                <w:position w:val="0"/>
              </w:rPr>
              <w:t>号中山大厦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6-9</w:t>
            </w:r>
            <w:r>
              <w:rPr>
                <w:color w:val="000000"/>
                <w:spacing w:val="0"/>
                <w:w w:val="100"/>
                <w:position w:val="0"/>
              </w:rPr>
              <w:t>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俞健业、杨新春</w:t>
            </w:r>
          </w:p>
        </w:tc>
      </w:tr>
    </w:tbl>
    <w:p>
      <w:pPr>
        <w:pStyle w:val="Style24"/>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公司聘请的报告期内履行持续督导职责的保荐机构 口适用”不适用</w:t>
      </w:r>
    </w:p>
    <w:p>
      <w:pPr>
        <w:pStyle w:val="Style24"/>
        <w:keepNext w:val="0"/>
        <w:keepLines w:val="0"/>
        <w:widowControl w:val="0"/>
        <w:shd w:val="clear" w:color="auto" w:fill="auto"/>
        <w:bidi w:val="0"/>
        <w:spacing w:before="0" w:after="360" w:line="348" w:lineRule="exact"/>
        <w:ind w:left="0" w:right="0" w:firstLine="0"/>
        <w:jc w:val="left"/>
      </w:pPr>
      <w:r>
        <w:rPr>
          <w:color w:val="000000"/>
          <w:spacing w:val="0"/>
          <w:w w:val="100"/>
          <w:position w:val="0"/>
        </w:rPr>
        <w:t>公司聘请的报告期内履行持续督导职责的财务顾问 口适用”不适用</w:t>
      </w:r>
    </w:p>
    <w:p>
      <w:pPr>
        <w:pStyle w:val="Style28"/>
        <w:keepNext/>
        <w:keepLines/>
        <w:widowControl w:val="0"/>
        <w:shd w:val="clear" w:color="auto" w:fill="auto"/>
        <w:bidi w:val="0"/>
        <w:spacing w:before="0" w:after="2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24"/>
        <w:keepNext w:val="0"/>
        <w:keepLines w:val="0"/>
        <w:widowControl w:val="0"/>
        <w:shd w:val="clear" w:color="auto" w:fill="auto"/>
        <w:bidi w:val="0"/>
        <w:spacing w:before="0" w:line="350"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641,544,678.55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573,983,631.21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525,558,672.81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66,757,068.93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74,555,031.45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96,238,638.56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62,660,871.23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65,963,440.93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88,436,850.20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25,826,137.65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11,337,301.62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119,278,918.09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1,298,781,941.89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1,251,771,470.81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1,197,411,942.54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1,192,951,351.99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1,165,443,607.65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1,102,435,617.35</w:t>
            </w: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会计政策变更的原因及会计差错更正的情况 口是"否</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line="355"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283,291,058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公司报告期末至年度报告披露日股本是否因发行新股、增发、配股、股权激励行权、回购等原因发生变化且影响所有者权益</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tbl>
      <w:tblPr>
        <w:tblOverlap w:val="never"/>
        <w:jc w:val="center"/>
        <w:tblLayout w:type="fixed"/>
      </w:tblPr>
      <w:tblGrid>
        <w:gridCol w:w="4531"/>
        <w:gridCol w:w="50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0.2356</w:t>
            </w:r>
          </w:p>
        </w:tc>
      </w:tr>
    </w:tbl>
    <w:p>
      <w:pPr>
        <w:widowControl w:val="0"/>
        <w:spacing w:after="919" w:line="1" w:lineRule="exact"/>
      </w:pPr>
    </w:p>
    <w:p>
      <w:pPr>
        <w:pStyle w:val="Style28"/>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、分季度主要财务指标</w:t>
      </w:r>
      <w:bookmarkEnd w:id="35"/>
      <w:bookmarkEnd w:id="36"/>
      <w:bookmarkEnd w:id="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146,734,864.44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155,879,010.97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149,433,902.32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189,496,900.82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8,667,406.06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20,654,437.14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24,184,985.05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13,250,240.68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7,152,995.32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20,137,228.26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23,940,283.70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11,430,363.95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-67,427,668.67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-19,504,906.15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16,138,898.26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96,619,814.21</w:t>
            </w:r>
          </w:p>
        </w:tc>
      </w:tr>
    </w:tbl>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8"/>
        <w:keepNext/>
        <w:keepLines/>
        <w:widowControl w:val="0"/>
        <w:shd w:val="clear" w:color="auto" w:fill="auto"/>
        <w:tabs>
          <w:tab w:pos="517"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33"/>
        <w:keepNext/>
        <w:keepLines/>
        <w:widowControl w:val="0"/>
        <w:shd w:val="clear" w:color="auto" w:fill="auto"/>
        <w:tabs>
          <w:tab w:pos="392"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92" w:val="left"/>
        </w:tabs>
        <w:bidi w:val="0"/>
        <w:spacing w:before="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3"/>
        <w:keepNext/>
        <w:keepLines/>
        <w:widowControl w:val="0"/>
        <w:shd w:val="clear" w:color="auto" w:fill="auto"/>
        <w:tabs>
          <w:tab w:pos="392" w:val="left"/>
        </w:tabs>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3</w:t>
      </w:r>
      <w:bookmarkEnd w:id="53"/>
      <w:r>
        <w:rPr>
          <w:color w:val="000000"/>
          <w:spacing w:val="0"/>
          <w:w w:val="100"/>
          <w:position w:val="0"/>
        </w:rPr>
        <w:t>、</w:t>
        <w:tab/>
        <w:t>境内外会计准则下会计数据差异原因说明</w:t>
      </w:r>
      <w:bookmarkEnd w:id="51"/>
      <w:bookmarkEnd w:id="52"/>
      <w:bookmarkEnd w:id="5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八</w:t>
      </w:r>
      <w:bookmarkEnd w:id="57"/>
      <w:r>
        <w:rPr>
          <w:color w:val="000000"/>
          <w:spacing w:val="0"/>
          <w:w w:val="100"/>
          <w:position w:val="0"/>
          <w:sz w:val="24"/>
          <w:szCs w:val="24"/>
        </w:rPr>
        <w:t>、</w:t>
        <w:tab/>
        <w:t>非经常性损益项目及金额</w:t>
      </w:r>
      <w:bookmarkEnd w:id="55"/>
      <w:bookmarkEnd w:id="56"/>
      <w:bookmarkEnd w:id="5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非流动资产处置损益（包括已计提资产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-1,856,537.74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-25,532.88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15,127.61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越权审批或无正式批准文件的税收返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5,753,240.08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7,478,088.59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8,799,759.14</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1,314,840.00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281,018.09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189,071.49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174,852.23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1,396,362.73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1,524,806.93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1,377,022.11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4,096,197.70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8,591,590.52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7,801,788.36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4"/>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8" w:bottom="1455" w:left="1090" w:header="0" w:footer="3" w:gutter="0"/>
          <w:cols w:space="720"/>
          <w:noEndnote/>
          <w:rtlGutter w:val="0"/>
          <w:docGrid w:linePitch="360"/>
        </w:sectPr>
      </w:pPr>
      <w:r>
        <w:rPr>
          <w:color w:val="000000"/>
          <w:spacing w:val="0"/>
          <w:w w:val="100"/>
          <w:position w:val="0"/>
        </w:rPr>
        <w:t>口适用”不适用</w:t>
      </w:r>
    </w:p>
    <w:p>
      <w:pPr>
        <w:pStyle w:val="Style16"/>
        <w:keepNext/>
        <w:keepLines/>
        <w:widowControl w:val="0"/>
        <w:shd w:val="clear" w:color="auto" w:fill="auto"/>
        <w:bidi w:val="0"/>
        <w:spacing w:before="580" w:after="520" w:line="240" w:lineRule="auto"/>
        <w:ind w:left="0" w:right="0" w:firstLine="0"/>
        <w:jc w:val="center"/>
      </w:pPr>
      <w:bookmarkStart w:id="59" w:name="bookmark59"/>
      <w:bookmarkStart w:id="60" w:name="bookmark60"/>
      <w:bookmarkStart w:id="61" w:name="bookmark61"/>
      <w:bookmarkStart w:id="62" w:name="bookmark62"/>
      <w:r>
        <w:rPr>
          <w:color w:val="000000"/>
          <w:spacing w:val="0"/>
          <w:w w:val="100"/>
          <w:position w:val="0"/>
        </w:rPr>
        <w:t>第三节管理层讨论与分析</w:t>
      </w:r>
      <w:bookmarkEnd w:id="60"/>
      <w:bookmarkEnd w:id="61"/>
      <w:bookmarkEnd w:id="62"/>
      <w:bookmarkEnd w:id="59"/>
    </w:p>
    <w:p>
      <w:pPr>
        <w:pStyle w:val="Style28"/>
        <w:keepNext/>
        <w:keepLines/>
        <w:widowControl w:val="0"/>
        <w:shd w:val="clear" w:color="auto" w:fill="auto"/>
        <w:bidi w:val="0"/>
        <w:spacing w:before="0" w:after="2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一</w:t>
      </w:r>
      <w:bookmarkEnd w:id="65"/>
      <w:r>
        <w:rPr>
          <w:color w:val="000000"/>
          <w:spacing w:val="0"/>
          <w:w w:val="100"/>
          <w:position w:val="0"/>
          <w:sz w:val="24"/>
          <w:szCs w:val="24"/>
        </w:rPr>
        <w:t>、报告期内公司所处行业情况</w:t>
      </w:r>
      <w:bookmarkEnd w:id="63"/>
      <w:bookmarkEnd w:id="64"/>
      <w:bookmarkEnd w:id="66"/>
    </w:p>
    <w:p>
      <w:pPr>
        <w:pStyle w:val="Style24"/>
        <w:keepNext w:val="0"/>
        <w:keepLines w:val="0"/>
        <w:widowControl w:val="0"/>
        <w:shd w:val="clear" w:color="auto" w:fill="auto"/>
        <w:bidi w:val="0"/>
        <w:spacing w:before="0" w:after="0" w:line="311" w:lineRule="exact"/>
        <w:ind w:left="0" w:right="0" w:firstLine="560"/>
        <w:jc w:val="both"/>
      </w:pPr>
      <w:r>
        <w:rPr>
          <w:color w:val="000000"/>
          <w:spacing w:val="0"/>
          <w:w w:val="100"/>
          <w:position w:val="0"/>
        </w:rPr>
        <w:t>根据国家工业与信息化部发布的软件和信息技术服务业统计公报，</w:t>
      </w:r>
      <w:r>
        <w:rPr>
          <w:color w:val="000000"/>
          <w:spacing w:val="0"/>
          <w:w w:val="100"/>
          <w:position w:val="0"/>
        </w:rPr>
        <w:t>2021</w:t>
      </w:r>
      <w:r>
        <w:rPr>
          <w:color w:val="000000"/>
          <w:spacing w:val="0"/>
          <w:w w:val="100"/>
          <w:position w:val="0"/>
        </w:rPr>
        <w:t>年我国软件和信息技术服务业持续恢复，逐步 摆脱疫情负面影响，呈现平稳发展态势，完成软件业务收入达到</w:t>
      </w:r>
      <w:r>
        <w:rPr>
          <w:color w:val="000000"/>
          <w:spacing w:val="0"/>
          <w:w w:val="100"/>
          <w:position w:val="0"/>
        </w:rPr>
        <w:t>94, 994</w:t>
      </w:r>
      <w:r>
        <w:rPr>
          <w:color w:val="000000"/>
          <w:spacing w:val="0"/>
          <w:w w:val="100"/>
          <w:position w:val="0"/>
        </w:rPr>
        <w:t>亿元，同比增长</w:t>
      </w:r>
      <w:r>
        <w:rPr>
          <w:color w:val="000000"/>
          <w:spacing w:val="0"/>
          <w:w w:val="100"/>
          <w:position w:val="0"/>
        </w:rPr>
        <w:t>17.7%</w:t>
      </w:r>
      <w:r>
        <w:rPr>
          <w:color w:val="000000"/>
          <w:spacing w:val="0"/>
          <w:w w:val="100"/>
          <w:position w:val="0"/>
        </w:rPr>
        <w:t>。从分领域收入来看，软件产 品收入实现较快增长，</w:t>
      </w:r>
      <w:r>
        <w:rPr>
          <w:color w:val="000000"/>
          <w:spacing w:val="0"/>
          <w:w w:val="100"/>
          <w:position w:val="0"/>
        </w:rPr>
        <w:t>2021</w:t>
      </w:r>
      <w:r>
        <w:rPr>
          <w:color w:val="000000"/>
          <w:spacing w:val="0"/>
          <w:w w:val="100"/>
          <w:position w:val="0"/>
        </w:rPr>
        <w:t>年软件产品实现收入</w:t>
      </w:r>
      <w:r>
        <w:rPr>
          <w:color w:val="000000"/>
          <w:spacing w:val="0"/>
          <w:w w:val="100"/>
          <w:position w:val="0"/>
        </w:rPr>
        <w:t>24,433</w:t>
      </w:r>
      <w:r>
        <w:rPr>
          <w:color w:val="000000"/>
          <w:spacing w:val="0"/>
          <w:w w:val="100"/>
          <w:position w:val="0"/>
        </w:rPr>
        <w:t>亿元，同比增长</w:t>
      </w:r>
      <w:r>
        <w:rPr>
          <w:color w:val="000000"/>
          <w:spacing w:val="0"/>
          <w:w w:val="100"/>
          <w:position w:val="0"/>
        </w:rPr>
        <w:t>12.3%，</w:t>
      </w:r>
      <w:r>
        <w:rPr>
          <w:color w:val="000000"/>
          <w:spacing w:val="0"/>
          <w:w w:val="100"/>
          <w:position w:val="0"/>
        </w:rPr>
        <w:t>占全行业比重为</w:t>
      </w:r>
      <w:r>
        <w:rPr>
          <w:color w:val="000000"/>
          <w:spacing w:val="0"/>
          <w:w w:val="100"/>
          <w:position w:val="0"/>
        </w:rPr>
        <w:t>25.7%；</w:t>
      </w:r>
      <w:r>
        <w:rPr>
          <w:color w:val="000000"/>
          <w:spacing w:val="0"/>
          <w:w w:val="100"/>
          <w:position w:val="0"/>
        </w:rPr>
        <w:t>受益于信息技术服务 加快云化发展，</w:t>
      </w:r>
      <w:r>
        <w:rPr>
          <w:color w:val="000000"/>
          <w:spacing w:val="0"/>
          <w:w w:val="100"/>
          <w:position w:val="0"/>
        </w:rPr>
        <w:t>2021</w:t>
      </w:r>
      <w:r>
        <w:rPr>
          <w:color w:val="000000"/>
          <w:spacing w:val="0"/>
          <w:w w:val="100"/>
          <w:position w:val="0"/>
        </w:rPr>
        <w:t>年信息技术服务实现收入</w:t>
      </w:r>
      <w:r>
        <w:rPr>
          <w:color w:val="000000"/>
          <w:spacing w:val="0"/>
          <w:w w:val="100"/>
          <w:position w:val="0"/>
        </w:rPr>
        <w:t>60,312</w:t>
      </w:r>
      <w:r>
        <w:rPr>
          <w:color w:val="000000"/>
          <w:spacing w:val="0"/>
          <w:w w:val="100"/>
          <w:position w:val="0"/>
        </w:rPr>
        <w:t>亿元，同比增长</w:t>
      </w:r>
      <w:r>
        <w:rPr>
          <w:color w:val="000000"/>
          <w:spacing w:val="0"/>
          <w:w w:val="100"/>
          <w:position w:val="0"/>
        </w:rPr>
        <w:t>20.0%，</w:t>
      </w:r>
      <w:r>
        <w:rPr>
          <w:color w:val="000000"/>
          <w:spacing w:val="0"/>
          <w:w w:val="100"/>
          <w:position w:val="0"/>
        </w:rPr>
        <w:t>增速高出全行业平均水平</w:t>
      </w:r>
      <w:r>
        <w:rPr>
          <w:color w:val="000000"/>
          <w:spacing w:val="0"/>
          <w:w w:val="100"/>
          <w:position w:val="0"/>
        </w:rPr>
        <w:t>2.3</w:t>
      </w:r>
      <w:r>
        <w:rPr>
          <w:color w:val="000000"/>
          <w:spacing w:val="0"/>
          <w:w w:val="100"/>
          <w:position w:val="0"/>
        </w:rPr>
        <w:t>个百分点，占全行 业收入比重为</w:t>
      </w:r>
      <w:r>
        <w:rPr>
          <w:color w:val="000000"/>
          <w:spacing w:val="0"/>
          <w:w w:val="100"/>
          <w:position w:val="0"/>
        </w:rPr>
        <w:t xml:space="preserve">63. </w:t>
      </w:r>
      <w:r>
        <w:rPr>
          <w:color w:val="000000"/>
          <w:spacing w:val="0"/>
          <w:w w:val="100"/>
          <w:position w:val="0"/>
        </w:rPr>
        <w:t>5%</w:t>
      </w:r>
      <w:r>
        <w:rPr>
          <w:color w:val="000000"/>
          <w:spacing w:val="0"/>
          <w:w w:val="100"/>
          <w:position w:val="0"/>
        </w:rPr>
        <w:t>。国内软件和信息技术服务业处在高速发展的轨道中，为公司的业务持续发展提供广阔的市场空间。</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特别是</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月以来，中国国务院发布《“十四五”数字经济发展规划》、中国人民银行发布《金融科技发展规划 </w:t>
      </w:r>
      <w:r>
        <w:rPr>
          <w:color w:val="000000"/>
          <w:spacing w:val="0"/>
          <w:w w:val="100"/>
          <w:position w:val="0"/>
        </w:rPr>
        <w:t>（</w:t>
      </w:r>
      <w:r>
        <w:rPr>
          <w:rFonts w:ascii="Times New Roman" w:eastAsia="Times New Roman" w:hAnsi="Times New Roman" w:cs="Times New Roman"/>
          <w:color w:val="000000"/>
          <w:spacing w:val="0"/>
          <w:w w:val="100"/>
          <w:position w:val="0"/>
        </w:rPr>
        <w:t>2022-2025</w:t>
      </w:r>
      <w:r>
        <w:rPr>
          <w:color w:val="000000"/>
          <w:spacing w:val="0"/>
          <w:w w:val="100"/>
          <w:position w:val="0"/>
        </w:rPr>
        <w:t>年）》、中国银保监会发布《关于银行业保险业数字化转型的指导意见》，金融产业在国家政策指引下加快数 字化转型步伐，是银行业转型的新动能，发展的新业态，数字化转型已成为银行业的主要科技投入，例如公司主要客户中国 银行</w:t>
      </w:r>
      <w:r>
        <w:rPr>
          <w:rFonts w:ascii="Times New Roman" w:eastAsia="Times New Roman" w:hAnsi="Times New Roman" w:cs="Times New Roman"/>
          <w:color w:val="000000"/>
          <w:spacing w:val="0"/>
          <w:w w:val="100"/>
          <w:position w:val="0"/>
        </w:rPr>
        <w:t>2021</w:t>
      </w:r>
      <w:r>
        <w:rPr>
          <w:color w:val="000000"/>
          <w:spacing w:val="0"/>
          <w:w w:val="100"/>
          <w:position w:val="0"/>
        </w:rPr>
        <w:t>年投入</w:t>
      </w:r>
      <w:r>
        <w:rPr>
          <w:rFonts w:ascii="Times New Roman" w:eastAsia="Times New Roman" w:hAnsi="Times New Roman" w:cs="Times New Roman"/>
          <w:color w:val="000000"/>
          <w:spacing w:val="0"/>
          <w:w w:val="100"/>
          <w:position w:val="0"/>
        </w:rPr>
        <w:t>186</w:t>
      </w:r>
      <w:r>
        <w:rPr>
          <w:color w:val="000000"/>
          <w:spacing w:val="0"/>
          <w:w w:val="100"/>
          <w:position w:val="0"/>
        </w:rPr>
        <w:t>亿，增速比上年增长</w:t>
      </w:r>
      <w:r>
        <w:rPr>
          <w:rFonts w:ascii="Times New Roman" w:eastAsia="Times New Roman" w:hAnsi="Times New Roman" w:cs="Times New Roman"/>
          <w:color w:val="000000"/>
          <w:spacing w:val="0"/>
          <w:w w:val="100"/>
          <w:position w:val="0"/>
        </w:rPr>
        <w:t>11%</w:t>
      </w:r>
      <w:r>
        <w:rPr>
          <w:color w:val="000000"/>
          <w:spacing w:val="0"/>
          <w:w w:val="100"/>
          <w:position w:val="0"/>
        </w:rPr>
        <w:t>多。银行的业务和管理将向线上化、数字化、智能化发展，银行的价值链由 封闭走向开放，不断为金融科技带来发展机遇。同时在当前复杂多变的国际环境下，无论国家或金融机构都要准备好迎接新 的国际秩序，及重新定义的跨国金融规范。就必须要有新的跨境金融基建来突破现有的种种壁垒，及支持新一代的跨境金融 交易与金融科技创新，当中要确保国家的安全、自主、可控，金融系统的安全已经成为重中之重，通过数字金融保证国家的 金融安全，</w:t>
      </w:r>
      <w:r>
        <w:rPr>
          <w:rFonts w:ascii="Times New Roman" w:eastAsia="Times New Roman" w:hAnsi="Times New Roman" w:cs="Times New Roman"/>
          <w:color w:val="000000"/>
          <w:spacing w:val="0"/>
          <w:w w:val="100"/>
          <w:position w:val="0"/>
        </w:rPr>
        <w:t>CIPS</w:t>
      </w:r>
      <w:r>
        <w:rPr>
          <w:color w:val="000000"/>
          <w:spacing w:val="0"/>
          <w:w w:val="100"/>
          <w:position w:val="0"/>
        </w:rPr>
        <w:t>（人民币跨境支付系统）、</w:t>
      </w:r>
      <w:r>
        <w:rPr>
          <w:rFonts w:ascii="Times New Roman" w:eastAsia="Times New Roman" w:hAnsi="Times New Roman" w:cs="Times New Roman"/>
          <w:color w:val="000000"/>
          <w:spacing w:val="0"/>
          <w:w w:val="100"/>
          <w:position w:val="0"/>
        </w:rPr>
        <w:t xml:space="preserve">e-CNY </w:t>
      </w:r>
      <w:r>
        <w:rPr>
          <w:color w:val="000000"/>
          <w:spacing w:val="0"/>
          <w:w w:val="100"/>
          <w:position w:val="0"/>
        </w:rPr>
        <w:t>（数字人民币）、</w:t>
      </w:r>
      <w:r>
        <w:rPr>
          <w:rFonts w:ascii="Times New Roman" w:eastAsia="Times New Roman" w:hAnsi="Times New Roman" w:cs="Times New Roman"/>
          <w:color w:val="000000"/>
          <w:spacing w:val="0"/>
          <w:w w:val="100"/>
          <w:position w:val="0"/>
        </w:rPr>
        <w:t xml:space="preserve">m-CBDC Bridge </w:t>
      </w:r>
      <w:r>
        <w:rPr>
          <w:color w:val="000000"/>
          <w:spacing w:val="0"/>
          <w:w w:val="100"/>
          <w:position w:val="0"/>
        </w:rPr>
        <w:t>（多边央行数字货币桥）等已成为金融 安全基础设施。</w:t>
      </w:r>
    </w:p>
    <w:p>
      <w:pPr>
        <w:pStyle w:val="Style24"/>
        <w:keepNext w:val="0"/>
        <w:keepLines w:val="0"/>
        <w:widowControl w:val="0"/>
        <w:shd w:val="clear" w:color="auto" w:fill="auto"/>
        <w:bidi w:val="0"/>
        <w:spacing w:before="0" w:after="720" w:line="314" w:lineRule="exact"/>
        <w:ind w:left="0" w:right="0" w:firstLine="380"/>
        <w:jc w:val="both"/>
      </w:pP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解决方案市场发展现状及趋势</w:t>
      </w:r>
      <w:r>
        <w:rPr>
          <w:rFonts w:ascii="Times New Roman" w:eastAsia="Times New Roman" w:hAnsi="Times New Roman" w:cs="Times New Roman"/>
          <w:color w:val="000000"/>
          <w:spacing w:val="0"/>
          <w:w w:val="100"/>
          <w:position w:val="0"/>
        </w:rPr>
        <w:t>:</w:t>
      </w:r>
      <w:r>
        <w:rPr>
          <w:color w:val="000000"/>
          <w:spacing w:val="0"/>
          <w:w w:val="100"/>
          <w:position w:val="0"/>
        </w:rPr>
        <w:t>中国银行业新兴技术的商用化落地实践愈发丰富，多家银行推出</w:t>
      </w:r>
      <w:r>
        <w:rPr>
          <w:rFonts w:ascii="Times New Roman" w:eastAsia="Times New Roman" w:hAnsi="Times New Roman" w:cs="Times New Roman"/>
          <w:color w:val="000000"/>
          <w:spacing w:val="0"/>
          <w:w w:val="100"/>
          <w:position w:val="0"/>
        </w:rPr>
        <w:t>5G</w:t>
      </w:r>
      <w:r>
        <w:rPr>
          <w:color w:val="000000"/>
          <w:spacing w:val="0"/>
          <w:w w:val="100"/>
          <w:position w:val="0"/>
        </w:rPr>
        <w:t>智能 网点，区块链应用不断深化，银行延伸智慧服务触角，推动“线上</w:t>
      </w:r>
      <w:r>
        <w:rPr>
          <w:rFonts w:ascii="Times New Roman" w:eastAsia="Times New Roman" w:hAnsi="Times New Roman" w:cs="Times New Roman"/>
          <w:color w:val="000000"/>
          <w:spacing w:val="0"/>
          <w:w w:val="100"/>
          <w:position w:val="0"/>
        </w:rPr>
        <w:t>+</w:t>
      </w:r>
      <w:r>
        <w:rPr>
          <w:color w:val="000000"/>
          <w:spacing w:val="0"/>
          <w:w w:val="100"/>
          <w:position w:val="0"/>
        </w:rPr>
        <w:t>线下”“人工</w:t>
      </w:r>
      <w:r>
        <w:rPr>
          <w:rFonts w:ascii="Times New Roman" w:eastAsia="Times New Roman" w:hAnsi="Times New Roman" w:cs="Times New Roman"/>
          <w:color w:val="000000"/>
          <w:spacing w:val="0"/>
          <w:w w:val="100"/>
          <w:position w:val="0"/>
        </w:rPr>
        <w:t>+</w:t>
      </w:r>
      <w:r>
        <w:rPr>
          <w:color w:val="000000"/>
          <w:spacing w:val="0"/>
          <w:w w:val="100"/>
          <w:position w:val="0"/>
        </w:rPr>
        <w:t>智能”融合发展，</w:t>
      </w:r>
      <w:r>
        <w:rPr>
          <w:rFonts w:ascii="Times New Roman" w:eastAsia="Times New Roman" w:hAnsi="Times New Roman" w:cs="Times New Roman"/>
          <w:color w:val="000000"/>
          <w:spacing w:val="0"/>
          <w:w w:val="100"/>
          <w:position w:val="0"/>
        </w:rPr>
        <w:t>IT</w:t>
      </w:r>
      <w:r>
        <w:rPr>
          <w:color w:val="000000"/>
          <w:spacing w:val="0"/>
          <w:w w:val="100"/>
          <w:position w:val="0"/>
        </w:rPr>
        <w:t>基础架构的分布式 转型取得突破性进展。根据</w:t>
      </w:r>
      <w:r>
        <w:rPr>
          <w:rFonts w:ascii="Times New Roman" w:eastAsia="Times New Roman" w:hAnsi="Times New Roman" w:cs="Times New Roman"/>
          <w:color w:val="000000"/>
          <w:spacing w:val="0"/>
          <w:w w:val="100"/>
          <w:position w:val="0"/>
        </w:rPr>
        <w:t>IDC</w:t>
      </w:r>
      <w:r>
        <w:rPr>
          <w:color w:val="000000"/>
          <w:spacing w:val="0"/>
          <w:w w:val="100"/>
          <w:position w:val="0"/>
        </w:rPr>
        <w:t>报告的数据显示，</w:t>
      </w:r>
      <w:r>
        <w:rPr>
          <w:rFonts w:ascii="Times New Roman" w:eastAsia="Times New Roman" w:hAnsi="Times New Roman" w:cs="Times New Roman"/>
          <w:color w:val="000000"/>
          <w:spacing w:val="0"/>
          <w:w w:val="100"/>
          <w:position w:val="0"/>
        </w:rPr>
        <w:t>2019-2024</w:t>
      </w:r>
      <w:r>
        <w:rPr>
          <w:color w:val="000000"/>
          <w:spacing w:val="0"/>
          <w:w w:val="100"/>
          <w:position w:val="0"/>
        </w:rPr>
        <w:t>年我国银行业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解决方案市场规模将以</w:t>
      </w:r>
      <w:r>
        <w:rPr>
          <w:rFonts w:ascii="Times New Roman" w:eastAsia="Times New Roman" w:hAnsi="Times New Roman" w:cs="Times New Roman"/>
          <w:color w:val="000000"/>
          <w:spacing w:val="0"/>
          <w:w w:val="100"/>
          <w:position w:val="0"/>
        </w:rPr>
        <w:t>24.5%</w:t>
      </w:r>
      <w:r>
        <w:rPr>
          <w:color w:val="000000"/>
          <w:spacing w:val="0"/>
          <w:w w:val="100"/>
          <w:position w:val="0"/>
        </w:rPr>
        <w:t>的年复合增长 率增长。目前我国正迎来金融科技发展浪潮，金融与科技融合发展已经成为行业趋势。银行业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解决方案市场受政策规划、 信息技术发展和产业内力等多轮因素驱动下，新一轮</w:t>
      </w:r>
      <w:r>
        <w:rPr>
          <w:rFonts w:ascii="Times New Roman" w:eastAsia="Times New Roman" w:hAnsi="Times New Roman" w:cs="Times New Roman"/>
          <w:color w:val="000000"/>
          <w:spacing w:val="0"/>
          <w:w w:val="100"/>
          <w:position w:val="0"/>
        </w:rPr>
        <w:t>IT</w:t>
      </w:r>
      <w:r>
        <w:rPr>
          <w:color w:val="000000"/>
          <w:spacing w:val="0"/>
          <w:w w:val="100"/>
          <w:position w:val="0"/>
        </w:rPr>
        <w:t>建设将迎来爆发，行业未来发展前景广阔。</w:t>
      </w:r>
    </w:p>
    <w:p>
      <w:pPr>
        <w:pStyle w:val="Style28"/>
        <w:keepNext/>
        <w:keepLines/>
        <w:widowControl w:val="0"/>
        <w:shd w:val="clear" w:color="auto" w:fill="auto"/>
        <w:bidi w:val="0"/>
        <w:spacing w:before="0" w:after="26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、报告期内公司从事的主要业务</w:t>
      </w:r>
      <w:bookmarkEnd w:id="67"/>
      <w:bookmarkEnd w:id="68"/>
      <w:bookmarkEnd w:id="70"/>
    </w:p>
    <w:p>
      <w:pPr>
        <w:pStyle w:val="Style24"/>
        <w:keepNext w:val="0"/>
        <w:keepLines w:val="0"/>
        <w:widowControl w:val="0"/>
        <w:shd w:val="clear" w:color="auto" w:fill="auto"/>
        <w:tabs>
          <w:tab w:pos="499" w:val="left"/>
        </w:tabs>
        <w:bidi w:val="0"/>
        <w:spacing w:before="0" w:after="0" w:line="311" w:lineRule="exact"/>
        <w:ind w:left="0" w:right="0" w:firstLine="0"/>
        <w:jc w:val="both"/>
      </w:pPr>
      <w:bookmarkStart w:id="71" w:name="bookmark71"/>
      <w:r>
        <w:rPr>
          <w:color w:val="000000"/>
          <w:spacing w:val="0"/>
          <w:w w:val="100"/>
          <w:position w:val="0"/>
        </w:rPr>
        <w:t>（</w:t>
      </w:r>
      <w:bookmarkEnd w:id="71"/>
      <w:r>
        <w:rPr>
          <w:color w:val="000000"/>
          <w:spacing w:val="0"/>
          <w:w w:val="100"/>
          <w:position w:val="0"/>
        </w:rPr>
        <w:t>一）</w:t>
        <w:tab/>
        <w:t>公司主营业务</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公司可为金融机构提供全流程解决方案，主营业务包括数字化转型创新业务及传统业务，其中数字化转型创新业务为顾 问咨询、产品及解决方案、云交付运营业务；传统业务包含软件开发、系统集成及技术维护。</w:t>
      </w:r>
    </w:p>
    <w:p>
      <w:pPr>
        <w:pStyle w:val="Style24"/>
        <w:keepNext w:val="0"/>
        <w:keepLines w:val="0"/>
        <w:widowControl w:val="0"/>
        <w:shd w:val="clear" w:color="auto" w:fill="auto"/>
        <w:tabs>
          <w:tab w:pos="499" w:val="left"/>
        </w:tabs>
        <w:bidi w:val="0"/>
        <w:spacing w:before="0" w:after="0" w:line="311" w:lineRule="exact"/>
        <w:ind w:left="0" w:right="0" w:firstLine="0"/>
        <w:jc w:val="left"/>
      </w:pPr>
      <w:bookmarkStart w:id="72" w:name="bookmark72"/>
      <w:r>
        <w:rPr>
          <w:color w:val="000000"/>
          <w:spacing w:val="0"/>
          <w:w w:val="100"/>
          <w:position w:val="0"/>
        </w:rPr>
        <w:t>（</w:t>
      </w:r>
      <w:bookmarkEnd w:id="72"/>
      <w:r>
        <w:rPr>
          <w:color w:val="000000"/>
          <w:spacing w:val="0"/>
          <w:w w:val="100"/>
          <w:position w:val="0"/>
        </w:rPr>
        <w:t>二）</w:t>
        <w:tab/>
        <w:t>公司主要产品（服务）及用途</w:t>
      </w:r>
    </w:p>
    <w:p>
      <w:pPr>
        <w:pStyle w:val="Style24"/>
        <w:keepNext w:val="0"/>
        <w:keepLines w:val="0"/>
        <w:widowControl w:val="0"/>
        <w:shd w:val="clear" w:color="auto" w:fill="auto"/>
        <w:tabs>
          <w:tab w:pos="683" w:val="left"/>
        </w:tabs>
        <w:bidi w:val="0"/>
        <w:spacing w:before="0" w:after="0" w:line="311" w:lineRule="exact"/>
        <w:ind w:left="0" w:right="0" w:firstLine="380"/>
        <w:jc w:val="left"/>
      </w:pPr>
      <w:bookmarkStart w:id="73" w:name="bookmark73"/>
      <w:r>
        <w:rPr>
          <w:color w:val="000000"/>
          <w:spacing w:val="0"/>
          <w:w w:val="100"/>
          <w:position w:val="0"/>
        </w:rPr>
        <w:t>1</w:t>
      </w:r>
      <w:bookmarkEnd w:id="73"/>
      <w:r>
        <w:rPr>
          <w:color w:val="000000"/>
          <w:spacing w:val="0"/>
          <w:w w:val="100"/>
          <w:position w:val="0"/>
        </w:rPr>
        <w:t>、</w:t>
        <w:tab/>
        <w:t>顾问咨询业务：为中央银行和商业银行及金融服务机构提供数字化转型咨询服务。</w:t>
      </w:r>
    </w:p>
    <w:p>
      <w:pPr>
        <w:pStyle w:val="Style24"/>
        <w:keepNext w:val="0"/>
        <w:keepLines w:val="0"/>
        <w:widowControl w:val="0"/>
        <w:shd w:val="clear" w:color="auto" w:fill="auto"/>
        <w:tabs>
          <w:tab w:pos="692" w:val="left"/>
        </w:tabs>
        <w:bidi w:val="0"/>
        <w:spacing w:before="0" w:after="0" w:line="311" w:lineRule="exact"/>
        <w:ind w:left="380" w:right="0" w:firstLine="0"/>
        <w:jc w:val="both"/>
      </w:pPr>
      <w:bookmarkStart w:id="74" w:name="bookmark74"/>
      <w:r>
        <w:rPr>
          <w:color w:val="000000"/>
          <w:spacing w:val="0"/>
          <w:w w:val="100"/>
          <w:position w:val="0"/>
        </w:rPr>
        <w:t>2</w:t>
      </w:r>
      <w:bookmarkEnd w:id="74"/>
      <w:r>
        <w:rPr>
          <w:color w:val="000000"/>
          <w:spacing w:val="0"/>
          <w:w w:val="100"/>
          <w:position w:val="0"/>
        </w:rPr>
        <w:t>、</w:t>
        <w:tab/>
        <w:t>产品及解决方案业务：公司为银行实现数字化转型，跨行业场景生态建设，提供数字化转型产品及整体金融科技解 决方案。</w:t>
      </w:r>
    </w:p>
    <w:p>
      <w:pPr>
        <w:pStyle w:val="Style24"/>
        <w:keepNext w:val="0"/>
        <w:keepLines w:val="0"/>
        <w:widowControl w:val="0"/>
        <w:shd w:val="clear" w:color="auto" w:fill="auto"/>
        <w:tabs>
          <w:tab w:pos="692" w:val="left"/>
        </w:tabs>
        <w:bidi w:val="0"/>
        <w:spacing w:before="0" w:after="0" w:line="311" w:lineRule="exact"/>
        <w:ind w:left="380" w:right="0" w:firstLine="0"/>
        <w:jc w:val="both"/>
      </w:pPr>
      <w:bookmarkStart w:id="75" w:name="bookmark75"/>
      <w:r>
        <w:rPr>
          <w:color w:val="000000"/>
          <w:spacing w:val="0"/>
          <w:w w:val="100"/>
          <w:position w:val="0"/>
        </w:rPr>
        <w:t>3</w:t>
      </w:r>
      <w:bookmarkEnd w:id="75"/>
      <w:r>
        <w:rPr>
          <w:color w:val="000000"/>
          <w:spacing w:val="0"/>
          <w:w w:val="100"/>
          <w:position w:val="0"/>
        </w:rPr>
        <w:t>、</w:t>
        <w:tab/>
        <w:t>云交付运营业务：公司为客户提供云系统运行期的运营及维护，确保系统高可用性，并不断提升部署效率、优化资 源利用率的综合云技术服务。</w:t>
      </w:r>
    </w:p>
    <w:p>
      <w:pPr>
        <w:pStyle w:val="Style24"/>
        <w:keepNext w:val="0"/>
        <w:keepLines w:val="0"/>
        <w:widowControl w:val="0"/>
        <w:shd w:val="clear" w:color="auto" w:fill="auto"/>
        <w:tabs>
          <w:tab w:pos="697" w:val="left"/>
        </w:tabs>
        <w:bidi w:val="0"/>
        <w:spacing w:before="0" w:after="0" w:line="311" w:lineRule="exact"/>
        <w:ind w:left="380" w:right="0" w:firstLine="0"/>
        <w:jc w:val="both"/>
      </w:pPr>
      <w:bookmarkStart w:id="76" w:name="bookmark76"/>
      <w:r>
        <w:rPr>
          <w:color w:val="000000"/>
          <w:spacing w:val="0"/>
          <w:w w:val="100"/>
          <w:position w:val="0"/>
        </w:rPr>
        <w:t>4</w:t>
      </w:r>
      <w:bookmarkEnd w:id="76"/>
      <w:r>
        <w:rPr>
          <w:color w:val="000000"/>
          <w:spacing w:val="0"/>
          <w:w w:val="100"/>
          <w:position w:val="0"/>
        </w:rPr>
        <w:t>、</w:t>
        <w:tab/>
        <w:t>软件开发业务：根据客户业务、技术需求实施全领域定制化软件开发服务。</w:t>
      </w:r>
    </w:p>
    <w:p>
      <w:pPr>
        <w:pStyle w:val="Style24"/>
        <w:keepNext w:val="0"/>
        <w:keepLines w:val="0"/>
        <w:widowControl w:val="0"/>
        <w:shd w:val="clear" w:color="auto" w:fill="auto"/>
        <w:tabs>
          <w:tab w:pos="697" w:val="left"/>
        </w:tabs>
        <w:bidi w:val="0"/>
        <w:spacing w:before="0" w:after="0" w:line="311" w:lineRule="exact"/>
        <w:ind w:left="0" w:right="0" w:firstLine="380"/>
        <w:jc w:val="both"/>
      </w:pPr>
      <w:bookmarkStart w:id="77" w:name="bookmark77"/>
      <w:r>
        <w:rPr>
          <w:color w:val="000000"/>
          <w:spacing w:val="0"/>
          <w:w w:val="100"/>
          <w:position w:val="0"/>
        </w:rPr>
        <w:t>5</w:t>
      </w:r>
      <w:bookmarkEnd w:id="77"/>
      <w:r>
        <w:rPr>
          <w:color w:val="000000"/>
          <w:spacing w:val="0"/>
          <w:w w:val="100"/>
          <w:position w:val="0"/>
        </w:rPr>
        <w:t>、</w:t>
        <w:tab/>
        <w:t>技术维护业务：公司为客户提供技术维护服务。</w:t>
      </w:r>
    </w:p>
    <w:p>
      <w:pPr>
        <w:pStyle w:val="Style24"/>
        <w:keepNext w:val="0"/>
        <w:keepLines w:val="0"/>
        <w:widowControl w:val="0"/>
        <w:shd w:val="clear" w:color="auto" w:fill="auto"/>
        <w:tabs>
          <w:tab w:pos="697" w:val="left"/>
        </w:tabs>
        <w:bidi w:val="0"/>
        <w:spacing w:before="0" w:after="0" w:line="311" w:lineRule="exact"/>
        <w:ind w:left="0" w:right="0" w:firstLine="380"/>
        <w:jc w:val="both"/>
      </w:pPr>
      <w:bookmarkStart w:id="78" w:name="bookmark78"/>
      <w:r>
        <w:rPr>
          <w:color w:val="000000"/>
          <w:spacing w:val="0"/>
          <w:w w:val="100"/>
          <w:position w:val="0"/>
        </w:rPr>
        <w:t>6</w:t>
      </w:r>
      <w:bookmarkEnd w:id="78"/>
      <w:r>
        <w:rPr>
          <w:color w:val="000000"/>
          <w:spacing w:val="0"/>
          <w:w w:val="100"/>
          <w:position w:val="0"/>
        </w:rPr>
        <w:t>、</w:t>
        <w:tab/>
        <w:t>系统集成业务：公司将软件、硬件、网络通信等技术和产品集成为能够满足用户特定需求的信息系统。</w:t>
      </w:r>
    </w:p>
    <w:p>
      <w:pPr>
        <w:pStyle w:val="Style24"/>
        <w:keepNext w:val="0"/>
        <w:keepLines w:val="0"/>
        <w:widowControl w:val="0"/>
        <w:shd w:val="clear" w:color="auto" w:fill="auto"/>
        <w:tabs>
          <w:tab w:pos="499" w:val="left"/>
        </w:tabs>
        <w:bidi w:val="0"/>
        <w:spacing w:before="0" w:after="0" w:line="311" w:lineRule="exact"/>
        <w:ind w:left="0" w:right="0" w:firstLine="0"/>
        <w:jc w:val="both"/>
      </w:pPr>
      <w:bookmarkStart w:id="79" w:name="bookmark79"/>
      <w:r>
        <w:rPr>
          <w:color w:val="000000"/>
          <w:spacing w:val="0"/>
          <w:w w:val="100"/>
          <w:position w:val="0"/>
        </w:rPr>
        <w:t>（</w:t>
      </w:r>
      <w:bookmarkEnd w:id="79"/>
      <w:r>
        <w:rPr>
          <w:color w:val="000000"/>
          <w:spacing w:val="0"/>
          <w:w w:val="100"/>
          <w:position w:val="0"/>
        </w:rPr>
        <w:t>三）</w:t>
        <w:tab/>
        <w:t>经营情况</w:t>
      </w:r>
    </w:p>
    <w:p>
      <w:pPr>
        <w:pStyle w:val="Style24"/>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公司是行业领先的金融科技综合解决方案供应商，主要客户为境内外大型商业银行，是中国银行、中银香港、渣打银 行、东亚银行、华侨永亨银行</w:t>
      </w:r>
      <w:r>
        <w:rPr>
          <w:color w:val="000000"/>
          <w:spacing w:val="0"/>
          <w:w w:val="100"/>
          <w:position w:val="0"/>
        </w:rPr>
        <w:t>、</w:t>
      </w:r>
      <w:r>
        <w:rPr>
          <w:color w:val="000000"/>
          <w:spacing w:val="0"/>
          <w:w w:val="100"/>
          <w:position w:val="0"/>
        </w:rPr>
        <w:t xml:space="preserve">HKICL </w:t>
      </w:r>
      <w:r>
        <w:rPr>
          <w:color w:val="000000"/>
          <w:spacing w:val="0"/>
          <w:w w:val="100"/>
          <w:position w:val="0"/>
        </w:rPr>
        <w:t>（香港银行同业结算有限公司）、上海商业银行、大新银行、四川农信、</w:t>
      </w:r>
      <w:r>
        <w:rPr>
          <w:color w:val="000000"/>
          <w:spacing w:val="0"/>
          <w:w w:val="100"/>
          <w:position w:val="0"/>
        </w:rPr>
        <w:t>KTB</w:t>
      </w:r>
      <w:r>
        <w:rPr>
          <w:color w:val="000000"/>
          <w:spacing w:val="0"/>
          <w:w w:val="100"/>
          <w:position w:val="0"/>
        </w:rPr>
        <w:t>（</w:t>
      </w:r>
      <w:r>
        <w:rPr>
          <w:color w:val="000000"/>
          <w:spacing w:val="0"/>
          <w:w w:val="100"/>
          <w:position w:val="0"/>
        </w:rPr>
        <w:t xml:space="preserve">泰京银 </w:t>
      </w:r>
      <w:r>
        <w:rPr>
          <w:color w:val="000000"/>
          <w:spacing w:val="0"/>
          <w:w w:val="100"/>
          <w:position w:val="0"/>
        </w:rPr>
        <w:t>行）等境内外知名金融机构的合作伙伴。公司在服务好现有客户的同时努力拓展新客户，在持续发挥技术与经验积累优势的 同时不断开展技术创新，在坚持做好传统业务的同时努力开展业务模式创新，新增云交付运维服务。报告期，公司一方面努 力做好疫情防控，另一方面努力按照经营计划，稳步推进各项业务，实现营业收入</w:t>
      </w:r>
      <w:r>
        <w:rPr>
          <w:color w:val="000000"/>
          <w:spacing w:val="0"/>
          <w:w w:val="100"/>
          <w:position w:val="0"/>
        </w:rPr>
        <w:t xml:space="preserve">64, </w:t>
      </w:r>
      <w:r>
        <w:rPr>
          <w:color w:val="000000"/>
          <w:spacing w:val="0"/>
          <w:w w:val="100"/>
          <w:position w:val="0"/>
        </w:rPr>
        <w:t xml:space="preserve">154. </w:t>
      </w:r>
      <w:r>
        <w:rPr>
          <w:color w:val="000000"/>
          <w:spacing w:val="0"/>
          <w:w w:val="100"/>
          <w:position w:val="0"/>
        </w:rPr>
        <w:t>47</w:t>
      </w:r>
      <w:r>
        <w:rPr>
          <w:color w:val="000000"/>
          <w:spacing w:val="0"/>
          <w:w w:val="100"/>
          <w:position w:val="0"/>
        </w:rPr>
        <w:t>万元，较上年同期增长</w:t>
      </w:r>
      <w:r>
        <w:rPr>
          <w:color w:val="000000"/>
          <w:spacing w:val="0"/>
          <w:w w:val="100"/>
          <w:position w:val="0"/>
        </w:rPr>
        <w:t xml:space="preserve">11.77%， </w:t>
      </w:r>
      <w:r>
        <w:rPr>
          <w:color w:val="000000"/>
          <w:spacing w:val="0"/>
          <w:w w:val="100"/>
          <w:position w:val="0"/>
        </w:rPr>
        <w:t>其中咨询、维护及产品授权收入较上年同期增长</w:t>
      </w:r>
      <w:r>
        <w:rPr>
          <w:color w:val="000000"/>
          <w:spacing w:val="0"/>
          <w:w w:val="100"/>
          <w:position w:val="0"/>
        </w:rPr>
        <w:t>19.56%；</w:t>
      </w:r>
      <w:r>
        <w:rPr>
          <w:color w:val="000000"/>
          <w:spacing w:val="0"/>
          <w:w w:val="100"/>
          <w:position w:val="0"/>
        </w:rPr>
        <w:t>软件开发收入较上年同期增长</w:t>
      </w:r>
      <w:r>
        <w:rPr>
          <w:color w:val="000000"/>
          <w:spacing w:val="0"/>
          <w:w w:val="100"/>
          <w:position w:val="0"/>
        </w:rPr>
        <w:t>10.09%；</w:t>
      </w:r>
      <w:r>
        <w:rPr>
          <w:color w:val="000000"/>
          <w:spacing w:val="0"/>
          <w:w w:val="100"/>
          <w:position w:val="0"/>
        </w:rPr>
        <w:t>公司坚持境内外协同发展， 境内收入</w:t>
      </w:r>
      <w:r>
        <w:rPr>
          <w:color w:val="000000"/>
          <w:spacing w:val="0"/>
          <w:w w:val="100"/>
          <w:position w:val="0"/>
        </w:rPr>
        <w:t>25,540.8</w:t>
      </w:r>
      <w:r>
        <w:rPr>
          <w:color w:val="000000"/>
          <w:spacing w:val="0"/>
          <w:w w:val="100"/>
          <w:position w:val="0"/>
        </w:rPr>
        <w:t>万元，较上年同期增长</w:t>
      </w:r>
      <w:r>
        <w:rPr>
          <w:color w:val="000000"/>
          <w:spacing w:val="0"/>
          <w:w w:val="100"/>
          <w:position w:val="0"/>
        </w:rPr>
        <w:t>20.68%；</w:t>
      </w:r>
      <w:r>
        <w:rPr>
          <w:color w:val="000000"/>
          <w:spacing w:val="0"/>
          <w:w w:val="100"/>
          <w:position w:val="0"/>
        </w:rPr>
        <w:t>境外收入</w:t>
      </w:r>
      <w:r>
        <w:rPr>
          <w:color w:val="000000"/>
          <w:spacing w:val="0"/>
          <w:w w:val="100"/>
          <w:position w:val="0"/>
        </w:rPr>
        <w:t>38,613.6</w:t>
      </w:r>
      <w:r>
        <w:rPr>
          <w:color w:val="000000"/>
          <w:spacing w:val="0"/>
          <w:w w:val="100"/>
          <w:position w:val="0"/>
        </w:rPr>
        <w:t>7</w:t>
      </w:r>
      <w:r>
        <w:rPr>
          <w:color w:val="000000"/>
          <w:spacing w:val="0"/>
          <w:w w:val="100"/>
          <w:position w:val="0"/>
        </w:rPr>
        <w:t>万元，较上年同期增长</w:t>
      </w:r>
      <w:r>
        <w:rPr>
          <w:color w:val="000000"/>
          <w:spacing w:val="0"/>
          <w:w w:val="100"/>
          <w:position w:val="0"/>
        </w:rPr>
        <w:t>6.57%，</w:t>
      </w:r>
      <w:r>
        <w:rPr>
          <w:color w:val="000000"/>
          <w:spacing w:val="0"/>
          <w:w w:val="100"/>
          <w:position w:val="0"/>
        </w:rPr>
        <w:t>占总收入的</w:t>
      </w:r>
      <w:r>
        <w:rPr>
          <w:color w:val="000000"/>
          <w:spacing w:val="0"/>
          <w:w w:val="100"/>
          <w:position w:val="0"/>
        </w:rPr>
        <w:t>60.19%</w:t>
      </w:r>
      <w:r>
        <w:rPr>
          <w:color w:val="000000"/>
          <w:spacing w:val="0"/>
          <w:w w:val="100"/>
          <w:position w:val="0"/>
        </w:rPr>
        <w:t>。</w:t>
      </w:r>
    </w:p>
    <w:p>
      <w:pPr>
        <w:pStyle w:val="Style24"/>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报告期，公司积极把握银行数字化转型带来的发展机遇，不断夯实和提升技术能力与实力。银行业进入全面数字化经 营的新阶段，数字化转型战略走向纵深，由传统银行向数字银行、智慧银行、敏捷银行、开放银行发展；基于区块链技术的 可信数据交换，促进银行业务模式创新；政策与监管升级需求的推动下，利用大数据、人工智能等技术优化各类风险管理系 统，提升风险管控；以分布式、微服务为基础技术建设及数据治理和应用是银行数字化转型的关键因素。银行业将全面进入 数字化时代，银行服务变得无处不在，融入各类生活场景，提供“数字化、个性化、智能化、实时化、综合化”的金融服务。 银行要以客户体验为中心，通过提供全渠道、无缝式、定制化的产品和服务，全面提升客户体验。银行的新技术能力成为核 心竞争力，公司作为银行的科技赋能者，持续投入分布式、微服务、区块链、数字货币、人工智能等新技术研发，推出并持 续优化面向金融行业的分布式架构、微服务平台与建制在其上的模块化银行业务平台，帮助各种规模的银行客户更好地迎接 银行数字化转型时代的挑战。公司持续提升从区块链底层平台到应用解决方案的全方位研发与交付能力，区块链+数字经济 融合创新能力，继续谋求与实现多种场景落地。央行数字货币会加速数字经济的发展，公司已参与了多家央行的央行数字货 币跨境应用场景研究及实施，成为</w:t>
      </w:r>
      <w:r>
        <w:rPr>
          <w:color w:val="000000"/>
          <w:spacing w:val="0"/>
          <w:w w:val="100"/>
          <w:position w:val="0"/>
        </w:rPr>
        <w:t xml:space="preserve">m-CBDC Bridge </w:t>
      </w:r>
      <w:r>
        <w:rPr>
          <w:color w:val="000000"/>
          <w:spacing w:val="0"/>
          <w:w w:val="100"/>
          <w:position w:val="0"/>
        </w:rPr>
        <w:t>（多边央行数字货币桥）建设服务的核心合作伙伴。相关经验能让公司更 有效地帮助银行创新转型，为公司业务发展带来新机遇。公司去年与香港一家官方的支付结算机构，成立了专属的大湾区金 融基建联合开发中心，为新一代的金融基建及支付系统进行设计与开发。</w:t>
      </w:r>
    </w:p>
    <w:p>
      <w:pPr>
        <w:pStyle w:val="Style24"/>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报告期内，公司境内外业务和客户的都有所增长，进一步实现跨行业客户拓展，取得了业务模式创新的新成果。公司 依托近</w:t>
      </w:r>
      <w:r>
        <w:rPr>
          <w:color w:val="000000"/>
          <w:spacing w:val="0"/>
          <w:w w:val="100"/>
          <w:position w:val="0"/>
        </w:rPr>
        <w:t>19</w:t>
      </w:r>
      <w:r>
        <w:rPr>
          <w:color w:val="000000"/>
          <w:spacing w:val="0"/>
          <w:w w:val="100"/>
          <w:position w:val="0"/>
        </w:rPr>
        <w:t>年深耕金融科技的技术积累与实践经验，坚持境内外协同发展，不断加强境内外业务团队建设，发挥公司国际视野 与全球服务能力，在聚焦海内外金融机构需求，深耕港澳市场的同时，积极响应国家一带一路政策，布局未来业务发展，以 实现业务增长。在行业新客户，新业务模式取得突破。公司新成立了北京四方融创科技有限公司，支持华北业务拓展；成立 成都四方融创科技有限公司，在成都高新区购置办公场地，扩大四方精创西南研发中心规模，加大力度支持公司业务发展。</w:t>
      </w:r>
    </w:p>
    <w:p>
      <w:pPr>
        <w:pStyle w:val="Style24"/>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报告期，公司坚持强团队的可持续发展的人才战略，以人为本，汇聚境内外优秀人才，海纳百川共谋发展，不断提高管 理能力、组织能力、团队协作能力、技术研发能力、市场拓展能力，以适应公司经营计划和战略规划的发展需要。</w:t>
      </w:r>
    </w:p>
    <w:p>
      <w:pPr>
        <w:pStyle w:val="Style28"/>
        <w:keepNext/>
        <w:keepLines/>
        <w:widowControl w:val="0"/>
        <w:shd w:val="clear" w:color="auto" w:fill="auto"/>
        <w:bidi w:val="0"/>
        <w:spacing w:before="0" w:after="24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三</w:t>
      </w:r>
      <w:bookmarkEnd w:id="82"/>
      <w:r>
        <w:rPr>
          <w:color w:val="000000"/>
          <w:spacing w:val="0"/>
          <w:w w:val="100"/>
          <w:position w:val="0"/>
          <w:sz w:val="24"/>
          <w:szCs w:val="24"/>
        </w:rPr>
        <w:t>、核心竞争力分析</w:t>
      </w:r>
      <w:bookmarkEnd w:id="80"/>
      <w:bookmarkEnd w:id="81"/>
      <w:bookmarkEnd w:id="83"/>
    </w:p>
    <w:p>
      <w:pPr>
        <w:pStyle w:val="Style24"/>
        <w:keepNext w:val="0"/>
        <w:keepLines w:val="0"/>
        <w:widowControl w:val="0"/>
        <w:shd w:val="clear" w:color="auto" w:fill="auto"/>
        <w:tabs>
          <w:tab w:pos="274" w:val="left"/>
        </w:tabs>
        <w:bidi w:val="0"/>
        <w:spacing w:before="0" w:after="0" w:line="312" w:lineRule="exact"/>
        <w:ind w:left="0" w:right="0" w:firstLine="0"/>
        <w:jc w:val="left"/>
      </w:pPr>
      <w:bookmarkStart w:id="84" w:name="bookmark84"/>
      <w:r>
        <w:rPr>
          <w:color w:val="000000"/>
          <w:spacing w:val="0"/>
          <w:w w:val="100"/>
          <w:position w:val="0"/>
        </w:rPr>
        <w:t>1</w:t>
      </w:r>
      <w:bookmarkEnd w:id="84"/>
      <w:r>
        <w:rPr>
          <w:color w:val="000000"/>
          <w:spacing w:val="0"/>
          <w:w w:val="100"/>
          <w:position w:val="0"/>
        </w:rPr>
        <w:t>、</w:t>
        <w:tab/>
        <w:t>面向银行数字化转型时代的技术能力</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公司前瞻性提前积极投入分布式、微服务、区块链、数字货币、人工智能等新技术研发，已推出面向金融行业的分布式 架构、微服务平台与建制在其上的模块化银行业务平台，可帮助各种规模的银行客户更好地迎接银行数字化转型的挑战；公 司已具备从区块链底层平台到应用解决方案的全方位研发与交付能力，具备区块链</w:t>
      </w:r>
      <w:r>
        <w:rPr>
          <w:rFonts w:ascii="Times New Roman" w:eastAsia="Times New Roman" w:hAnsi="Times New Roman" w:cs="Times New Roman"/>
          <w:color w:val="000000"/>
          <w:spacing w:val="0"/>
          <w:w w:val="100"/>
          <w:position w:val="0"/>
        </w:rPr>
        <w:t>+</w:t>
      </w:r>
      <w:r>
        <w:rPr>
          <w:color w:val="000000"/>
          <w:spacing w:val="0"/>
          <w:w w:val="100"/>
          <w:position w:val="0"/>
        </w:rPr>
        <w:t>数字经济融合创新应用的能力，并在数 字货币、应用型通证等加密数字资产领域积累了丰富的研发与运营经验。通过持续推动产品落地，在技术上把握先发优势， 公司已具备面向银行数字化转型的技术能力，与数字化转型深度融合。</w:t>
      </w:r>
    </w:p>
    <w:p>
      <w:pPr>
        <w:pStyle w:val="Style24"/>
        <w:keepNext w:val="0"/>
        <w:keepLines w:val="0"/>
        <w:widowControl w:val="0"/>
        <w:shd w:val="clear" w:color="auto" w:fill="auto"/>
        <w:tabs>
          <w:tab w:pos="294" w:val="left"/>
        </w:tabs>
        <w:bidi w:val="0"/>
        <w:spacing w:before="0" w:after="0"/>
        <w:ind w:left="0" w:right="0" w:firstLine="0"/>
        <w:jc w:val="left"/>
      </w:pPr>
      <w:bookmarkStart w:id="85" w:name="bookmark85"/>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全方位解决方案与顾问咨询能力</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公司可以为金融机构客户提供顾问咨询、设计研发、交付运维的全方位、端到端的综合解决方案。基于新一代分布式基 础平台以及面向银行数字化转型的基础架构，公司不但有能力向海内外金融机构提供面向银行数字化转型的更简单、更敏捷、 更安全的产品与解决方案，还可以向客户提供全分布式最佳数字化解决方案的顾问咨询服务，助力金融机构全流程技术及业 务的快速创新和持续发展。公司持续提升从区块链底层平台到应用解决方案的全方位研发与交付能力，区块链+数字经济融 合创新能力；作为</w:t>
      </w:r>
      <w:r>
        <w:rPr>
          <w:color w:val="000000"/>
          <w:spacing w:val="0"/>
          <w:w w:val="100"/>
          <w:position w:val="0"/>
        </w:rPr>
        <w:t xml:space="preserve">m-CBDC Bridge </w:t>
      </w:r>
      <w:r>
        <w:rPr>
          <w:color w:val="000000"/>
          <w:spacing w:val="0"/>
          <w:w w:val="100"/>
          <w:position w:val="0"/>
        </w:rPr>
        <w:t>（多边央行数字货币桥）建设服务的核心合作伙伴，公司具有央行数字货币跨境应用咨询 与技术实施能力。</w:t>
      </w:r>
    </w:p>
    <w:p>
      <w:pPr>
        <w:pStyle w:val="Style24"/>
        <w:keepNext w:val="0"/>
        <w:keepLines w:val="0"/>
        <w:widowControl w:val="0"/>
        <w:shd w:val="clear" w:color="auto" w:fill="auto"/>
        <w:tabs>
          <w:tab w:pos="294" w:val="left"/>
        </w:tabs>
        <w:bidi w:val="0"/>
        <w:spacing w:before="0" w:after="0"/>
        <w:ind w:left="0" w:right="0" w:firstLine="0"/>
        <w:jc w:val="left"/>
      </w:pPr>
      <w:bookmarkStart w:id="86" w:name="bookmark86"/>
      <w:r>
        <w:rPr>
          <w:rFonts w:ascii="Times New Roman" w:eastAsia="Times New Roman" w:hAnsi="Times New Roman" w:cs="Times New Roman"/>
          <w:color w:val="000000"/>
          <w:spacing w:val="0"/>
          <w:w w:val="100"/>
          <w:position w:val="0"/>
        </w:rPr>
        <w:t>3</w:t>
      </w:r>
      <w:bookmarkEnd w:id="86"/>
      <w:r>
        <w:rPr>
          <w:color w:val="000000"/>
          <w:spacing w:val="0"/>
          <w:w w:val="100"/>
          <w:position w:val="0"/>
        </w:rPr>
        <w:t>、</w:t>
        <w:tab/>
        <w:t>跨境服务能力</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公司秉承境内外业务协同发展的战略，通过与海内外金融机构长期紧密的合作，积累了丰富的海内外金融业务与技术经 验，并深刻理解不同文化体系下的商业规则，具有为全球不同国家和地区的金融机构发展提供规模化离岸服务的能力。</w:t>
      </w:r>
      <w:r>
        <w:rPr>
          <w:color w:val="333333"/>
          <w:spacing w:val="0"/>
          <w:w w:val="100"/>
          <w:position w:val="0"/>
        </w:rPr>
        <w:t xml:space="preserve">四方 </w:t>
      </w:r>
      <w:r>
        <w:rPr>
          <w:color w:val="333333"/>
          <w:spacing w:val="0"/>
          <w:w w:val="100"/>
          <w:position w:val="0"/>
        </w:rPr>
        <w:t>精创对国内，海外及跨境金融法则的深度理解、对跨境交易每个环节的高度认知、对海内外的监管要求及风险管理的专业知 识、对全球金融跨境结算的实际经验、以及以上所相关的综合技术能力。</w:t>
      </w:r>
    </w:p>
    <w:p>
      <w:pPr>
        <w:pStyle w:val="Style24"/>
        <w:keepNext w:val="0"/>
        <w:keepLines w:val="0"/>
        <w:widowControl w:val="0"/>
        <w:shd w:val="clear" w:color="auto" w:fill="auto"/>
        <w:tabs>
          <w:tab w:pos="354" w:val="left"/>
        </w:tabs>
        <w:bidi w:val="0"/>
        <w:spacing w:before="0" w:after="0"/>
        <w:ind w:left="0" w:right="0" w:firstLine="0"/>
        <w:jc w:val="left"/>
      </w:pPr>
      <w:bookmarkStart w:id="87" w:name="bookmark87"/>
      <w:r>
        <w:rPr>
          <w:rFonts w:ascii="Times New Roman" w:eastAsia="Times New Roman" w:hAnsi="Times New Roman" w:cs="Times New Roman"/>
          <w:color w:val="000000"/>
          <w:spacing w:val="0"/>
          <w:w w:val="100"/>
          <w:position w:val="0"/>
        </w:rPr>
        <w:t>4</w:t>
      </w:r>
      <w:bookmarkEnd w:id="87"/>
      <w:r>
        <w:rPr>
          <w:color w:val="000000"/>
          <w:spacing w:val="0"/>
          <w:w w:val="100"/>
          <w:position w:val="0"/>
        </w:rPr>
        <w:t>、</w:t>
        <w:tab/>
        <w:t>人才优势</w:t>
      </w:r>
    </w:p>
    <w:p>
      <w:pPr>
        <w:pStyle w:val="Style24"/>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公司拥有具备国际视野与前沿金融科技背景的顾问咨询团队；拥有掌握领先技术和具备创新能力的产品研发团队；拥有 具备金融</w:t>
      </w:r>
      <w:r>
        <w:rPr>
          <w:rFonts w:ascii="Times New Roman" w:eastAsia="Times New Roman" w:hAnsi="Times New Roman" w:cs="Times New Roman"/>
          <w:color w:val="000000"/>
          <w:spacing w:val="0"/>
          <w:w w:val="100"/>
          <w:position w:val="0"/>
        </w:rPr>
        <w:t>+</w:t>
      </w:r>
      <w:r>
        <w:rPr>
          <w:color w:val="000000"/>
          <w:spacing w:val="0"/>
          <w:w w:val="100"/>
          <w:position w:val="0"/>
        </w:rPr>
        <w:t>科技的复合型交付团队；拥有具有先进管理经验的境内外管理及营销专家团队。专业团队规模</w:t>
      </w:r>
      <w:r>
        <w:rPr>
          <w:rFonts w:ascii="Times New Roman" w:eastAsia="Times New Roman" w:hAnsi="Times New Roman" w:cs="Times New Roman"/>
          <w:color w:val="000000"/>
          <w:spacing w:val="0"/>
          <w:w w:val="100"/>
          <w:position w:val="0"/>
        </w:rPr>
        <w:t>2</w:t>
      </w:r>
      <w:r>
        <w:rPr>
          <w:color w:val="000000"/>
          <w:spacing w:val="0"/>
          <w:w w:val="100"/>
          <w:position w:val="0"/>
        </w:rPr>
        <w:t>000+，</w:t>
      </w:r>
      <w:r>
        <w:rPr>
          <w:color w:val="000000"/>
          <w:spacing w:val="0"/>
          <w:w w:val="100"/>
          <w:position w:val="0"/>
        </w:rPr>
        <w:t>为公司全 球化布局、持续创新和未来发展提供了有力的保障。</w:t>
      </w:r>
    </w:p>
    <w:p>
      <w:pPr>
        <w:pStyle w:val="Style24"/>
        <w:keepNext w:val="0"/>
        <w:keepLines w:val="0"/>
        <w:widowControl w:val="0"/>
        <w:shd w:val="clear" w:color="auto" w:fill="auto"/>
        <w:tabs>
          <w:tab w:pos="354" w:val="left"/>
        </w:tabs>
        <w:bidi w:val="0"/>
        <w:spacing w:before="0" w:after="0" w:line="311" w:lineRule="exact"/>
        <w:ind w:left="0" w:right="0" w:firstLine="0"/>
        <w:jc w:val="left"/>
      </w:pPr>
      <w:bookmarkStart w:id="88" w:name="bookmark88"/>
      <w:r>
        <w:rPr>
          <w:color w:val="000000"/>
          <w:spacing w:val="0"/>
          <w:w w:val="100"/>
          <w:position w:val="0"/>
        </w:rPr>
        <w:t>5</w:t>
      </w:r>
      <w:bookmarkEnd w:id="88"/>
      <w:r>
        <w:rPr>
          <w:color w:val="000000"/>
          <w:spacing w:val="0"/>
          <w:w w:val="100"/>
          <w:position w:val="0"/>
        </w:rPr>
        <w:t>、</w:t>
        <w:tab/>
        <w:t>创新优势</w:t>
      </w:r>
    </w:p>
    <w:p>
      <w:pPr>
        <w:pStyle w:val="Style24"/>
        <w:keepNext w:val="0"/>
        <w:keepLines w:val="0"/>
        <w:widowControl w:val="0"/>
        <w:shd w:val="clear" w:color="auto" w:fill="auto"/>
        <w:bidi w:val="0"/>
        <w:spacing w:before="0" w:after="340" w:line="311" w:lineRule="exact"/>
        <w:ind w:left="0" w:right="0" w:firstLine="320"/>
        <w:jc w:val="left"/>
      </w:pPr>
      <w:bookmarkStart w:id="89" w:name="bookmark89"/>
      <w:r>
        <w:rPr>
          <w:color w:val="000000"/>
          <w:spacing w:val="0"/>
          <w:w w:val="100"/>
          <w:position w:val="0"/>
        </w:rPr>
        <w:t>公司在大湾区同时拥有香港的国际金融业专家、世界级顶尖金融科技人才及深圳优秀的创新科研人才，是全球金融科技 创新的理想平台。基于对境内境外金融科技的深刻理解和实践经验以及得天独厚的人才优势，在香港金融管理局的支持下， 四方精创已于香港成立金融科技创新中心</w:t>
      </w:r>
      <w:r>
        <w:rPr>
          <w:color w:val="000000"/>
          <w:spacing w:val="0"/>
          <w:w w:val="100"/>
          <w:position w:val="0"/>
        </w:rPr>
        <w:t>FINNOSpace，</w:t>
      </w:r>
      <w:r>
        <w:rPr>
          <w:color w:val="000000"/>
          <w:spacing w:val="0"/>
          <w:w w:val="100"/>
          <w:position w:val="0"/>
        </w:rPr>
        <w:t>并以此作为公司战略核心，持续探索分布式、微服务、区块链、数字 货币、跨境支付、人工智能、绿色金融等在金融科技领域的应用，为公司发展注入源源不断的动力并助力行业发展。</w:t>
      </w:r>
      <w:bookmarkEnd w:id="89"/>
    </w:p>
    <w:p>
      <w:pPr>
        <w:pStyle w:val="Style28"/>
        <w:keepNext/>
        <w:keepLines/>
        <w:widowControl w:val="0"/>
        <w:shd w:val="clear" w:color="auto" w:fill="auto"/>
        <w:bidi w:val="0"/>
        <w:spacing w:before="0" w:after="34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四</w:t>
      </w:r>
      <w:bookmarkEnd w:id="92"/>
      <w:r>
        <w:rPr>
          <w:color w:val="000000"/>
          <w:spacing w:val="0"/>
          <w:w w:val="100"/>
          <w:position w:val="0"/>
          <w:sz w:val="24"/>
          <w:szCs w:val="24"/>
        </w:rPr>
        <w:t>、主营业务分析</w:t>
      </w:r>
      <w:bookmarkEnd w:id="90"/>
      <w:bookmarkEnd w:id="91"/>
      <w:bookmarkEnd w:id="93"/>
    </w:p>
    <w:p>
      <w:pPr>
        <w:pStyle w:val="Style33"/>
        <w:keepNext/>
        <w:keepLines/>
        <w:widowControl w:val="0"/>
        <w:shd w:val="clear" w:color="auto" w:fill="auto"/>
        <w:bidi w:val="0"/>
        <w:spacing w:before="0" w:after="26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、概述</w:t>
      </w:r>
      <w:bookmarkEnd w:id="94"/>
      <w:bookmarkEnd w:id="95"/>
      <w:bookmarkEnd w:id="97"/>
    </w:p>
    <w:p>
      <w:pPr>
        <w:pStyle w:val="Style24"/>
        <w:keepNext w:val="0"/>
        <w:keepLines w:val="0"/>
        <w:widowControl w:val="0"/>
        <w:shd w:val="clear" w:color="auto" w:fill="auto"/>
        <w:bidi w:val="0"/>
        <w:spacing w:before="0" w:after="720" w:line="311" w:lineRule="exact"/>
        <w:ind w:left="0" w:right="0" w:firstLine="0"/>
        <w:jc w:val="left"/>
      </w:pPr>
      <w:r>
        <w:rPr>
          <w:color w:val="000000"/>
          <w:spacing w:val="0"/>
          <w:w w:val="100"/>
          <w:position w:val="0"/>
        </w:rPr>
        <w:t>参见“一、报告期内公司从事的主要业务”相关内容。</w:t>
      </w:r>
    </w:p>
    <w:p>
      <w:pPr>
        <w:pStyle w:val="Style33"/>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、收入与成本</w:t>
      </w:r>
      <w:bookmarkEnd w:id="101"/>
      <w:bookmarkEnd w:id="98"/>
      <w:bookmarkEnd w:id="99"/>
    </w:p>
    <w:p>
      <w:pPr>
        <w:pStyle w:val="Style38"/>
        <w:keepNext/>
        <w:keepLines/>
        <w:widowControl w:val="0"/>
        <w:shd w:val="clear" w:color="auto" w:fill="auto"/>
        <w:bidi w:val="0"/>
        <w:spacing w:before="0" w:after="34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2"/>
      <w:bookmarkEnd w:id="103"/>
      <w:bookmarkEnd w:id="10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营业收入整体情况</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641,544,678.55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573,983,631.21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11.77%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软件与信息服务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641,544,678.55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573,983,631.21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11.77%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591,090,266.30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536,874,962.51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咨询、维护及产品 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39,992,326.18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33,450,464.68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10,462,086.07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3,658,204.02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255,408,024.69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211,647,222.67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386,136,653.86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362,336,408.54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r>
      <w:tr>
        <w:trPr>
          <w:trHeight w:val="40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641,544,678.55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573,983,631.21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w:t>
            </w:r>
          </w:p>
        </w:tc>
      </w:tr>
    </w:tbl>
    <w:p>
      <w:pPr>
        <w:widowControl w:val="0"/>
        <w:spacing w:after="43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146,734,8</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155,879,0</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149,433,9</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189,496,9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99,025,37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153,030,8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143,060,0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178,867,3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8,667,406.</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20,654,43</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24,184,98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13,250,24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7,180,618.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18,289,01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25,439,24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23,646,15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r>
    </w:tbl>
    <w:p>
      <w:pPr>
        <w:widowControl w:val="0"/>
        <w:spacing w:after="659" w:line="1" w:lineRule="exact"/>
      </w:pPr>
    </w:p>
    <w:p>
      <w:pPr>
        <w:pStyle w:val="Style38"/>
        <w:keepNext/>
        <w:keepLines/>
        <w:widowControl w:val="0"/>
        <w:numPr>
          <w:ilvl w:val="0"/>
          <w:numId w:val="1"/>
        </w:numPr>
        <w:shd w:val="clear" w:color="auto" w:fill="auto"/>
        <w:bidi w:val="0"/>
        <w:spacing w:before="0" w:after="360" w:line="240" w:lineRule="auto"/>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6"/>
      <w:bookmarkEnd w:id="107"/>
      <w:bookmarkEnd w:id="1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641,544,678.55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366,361,831.14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591,090,266.30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340,235,984.66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咨询、维护及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39,992,326.18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15,297,994.07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10,462,086.07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10,827,852.41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-25.01%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255,408,024.69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138,266,204.24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386,136,653.86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228,095,626.90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-10.75%</w:t>
            </w:r>
          </w:p>
        </w:tc>
      </w:tr>
    </w:tbl>
    <w:p>
      <w:pPr>
        <w:pStyle w:val="Style24"/>
        <w:keepNext w:val="0"/>
        <w:keepLines w:val="0"/>
        <w:widowControl w:val="0"/>
        <w:shd w:val="clear" w:color="auto" w:fill="auto"/>
        <w:bidi w:val="0"/>
        <w:spacing w:before="0" w:after="44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2"/>
        <w:keepNext w:val="0"/>
        <w:keepLines w:val="0"/>
        <w:widowControl w:val="0"/>
        <w:numPr>
          <w:ilvl w:val="0"/>
          <w:numId w:val="1"/>
        </w:numPr>
        <w:shd w:val="clear" w:color="auto" w:fill="auto"/>
        <w:tabs>
          <w:tab w:pos="493" w:val="left"/>
        </w:tabs>
        <w:bidi w:val="0"/>
        <w:spacing w:before="0" w:after="0" w:line="240" w:lineRule="auto"/>
        <w:ind w:left="0" w:right="0" w:firstLine="0"/>
        <w:jc w:val="left"/>
        <w:rPr>
          <w:sz w:val="20"/>
          <w:szCs w:val="20"/>
        </w:rPr>
      </w:pPr>
      <w:bookmarkStart w:id="110" w:name="bookmark110"/>
      <w:bookmarkEnd w:id="110"/>
      <w:r>
        <w:rPr>
          <w:b/>
          <w:bCs/>
          <w:color w:val="000000"/>
          <w:spacing w:val="0"/>
          <w:w w:val="100"/>
          <w:position w:val="0"/>
          <w:sz w:val="20"/>
          <w:szCs w:val="20"/>
        </w:rPr>
        <w:t>实物销售收入大于劳务收入</w:t>
      </w:r>
    </w:p>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口适用”不适用</w:t>
      </w:r>
    </w:p>
    <w:p>
      <w:pPr>
        <w:pStyle w:val="Style38"/>
        <w:keepNext/>
        <w:keepLines/>
        <w:widowControl w:val="0"/>
        <w:numPr>
          <w:ilvl w:val="0"/>
          <w:numId w:val="1"/>
        </w:numPr>
        <w:shd w:val="clear" w:color="auto" w:fill="auto"/>
        <w:tabs>
          <w:tab w:pos="493" w:val="left"/>
        </w:tabs>
        <w:bidi w:val="0"/>
        <w:spacing w:before="0" w:after="24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公司已签订的重大销售合同、重大采购合同截至本报告期的履行情况</w:t>
      </w:r>
      <w:bookmarkEnd w:id="111"/>
      <w:bookmarkEnd w:id="112"/>
      <w:bookmarkEnd w:id="114"/>
    </w:p>
    <w:p>
      <w:pPr>
        <w:pStyle w:val="Style24"/>
        <w:keepNext w:val="0"/>
        <w:keepLines w:val="0"/>
        <w:widowControl w:val="0"/>
        <w:shd w:val="clear" w:color="auto" w:fill="auto"/>
        <w:bidi w:val="0"/>
        <w:spacing w:before="0" w:after="400" w:line="350" w:lineRule="exact"/>
        <w:ind w:left="0" w:right="0" w:firstLine="0"/>
        <w:jc w:val="both"/>
      </w:pPr>
      <w:r>
        <w:rPr>
          <w:color w:val="000000"/>
          <w:spacing w:val="0"/>
          <w:w w:val="100"/>
          <w:position w:val="0"/>
        </w:rPr>
        <w:t>口适用”不适用</w:t>
      </w:r>
      <w:r>
        <w:br w:type="page"/>
      </w:r>
    </w:p>
    <w:p>
      <w:pPr>
        <w:pStyle w:val="Style38"/>
        <w:keepNext/>
        <w:keepLines/>
        <w:widowControl w:val="0"/>
        <w:numPr>
          <w:ilvl w:val="0"/>
          <w:numId w:val="1"/>
        </w:numPr>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营业成本构成</w:t>
      </w:r>
      <w:bookmarkEnd w:id="115"/>
      <w:bookmarkEnd w:id="116"/>
      <w:bookmarkEnd w:id="11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307,278,385.30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280,008,788.17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12,689,607.15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17,379,004.35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-26.98%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46,393,838.69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2,871,096.49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1,515.89%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366,361,831.14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300,258,889.01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22.02%</w:t>
            </w:r>
          </w:p>
        </w:tc>
      </w:tr>
    </w:tbl>
    <w:p>
      <w:pPr>
        <w:widowControl w:val="0"/>
        <w:spacing w:after="4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295,785,888.80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271,560,384.75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9,298,540.92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16,745,783.57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35,151,554.94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咨询、维护及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11,492,496.50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8,448,403.42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咨询、维护及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3,391,066.23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633,220.78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435.53%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咨询、维护及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414,431.34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10,827,852.41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2,871,096.49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277.13%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366,361,831.14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300,258,889.01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22.02%</w:t>
            </w:r>
          </w:p>
        </w:tc>
      </w:tr>
    </w:tbl>
    <w:p>
      <w:pPr>
        <w:widowControl w:val="0"/>
        <w:spacing w:after="1119" w:line="1" w:lineRule="exact"/>
      </w:pP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187"/>
        <w:gridCol w:w="3187"/>
        <w:gridCol w:w="159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307,278,385.30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280,008,788.17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12,689,607.15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17,379,004.35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46,393,838.69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2,871,096.49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1,515.89%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366,361,831.14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300,258,889.01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9"/>
      <w:bookmarkEnd w:id="120"/>
      <w:bookmarkEnd w:id="122"/>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40" w:line="240" w:lineRule="auto"/>
        <w:ind w:left="0" w:right="0" w:firstLine="0"/>
        <w:jc w:val="left"/>
        <w:rPr>
          <w:sz w:val="24"/>
          <w:szCs w:val="24"/>
        </w:rPr>
      </w:pPr>
      <w:bookmarkStart w:id="123" w:name="bookmark123"/>
      <w:r>
        <w:rPr>
          <w:b/>
          <w:bCs/>
          <w:color w:val="000000"/>
          <w:spacing w:val="0"/>
          <w:w w:val="100"/>
          <w:position w:val="0"/>
          <w:sz w:val="24"/>
          <w:szCs w:val="24"/>
        </w:rPr>
        <w:t>1</w:t>
      </w:r>
      <w:bookmarkEnd w:id="123"/>
      <w:r>
        <w:rPr>
          <w:b/>
          <w:bCs/>
          <w:color w:val="000000"/>
          <w:spacing w:val="0"/>
          <w:w w:val="100"/>
          <w:position w:val="0"/>
          <w:sz w:val="24"/>
          <w:szCs w:val="24"/>
        </w:rPr>
        <w:t>、新设子公司</w:t>
      </w:r>
    </w:p>
    <w:tbl>
      <w:tblPr>
        <w:tblOverlap w:val="never"/>
        <w:jc w:val="center"/>
        <w:tblLayout w:type="fixed"/>
      </w:tblPr>
      <w:tblGrid>
        <w:gridCol w:w="1618"/>
        <w:gridCol w:w="3259"/>
        <w:gridCol w:w="2410"/>
        <w:gridCol w:w="202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成都四方融创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3500</w:t>
            </w: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北京四方融创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w:t>
            </w:r>
            <w:r>
              <w:rPr>
                <w:color w:val="000000"/>
                <w:spacing w:val="0"/>
                <w:w w:val="100"/>
                <w:position w:val="0"/>
                <w:sz w:val="16"/>
                <w:szCs w:val="16"/>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61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4"/>
      <w:bookmarkEnd w:id="125"/>
      <w:bookmarkEnd w:id="12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8"/>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8"/>
      <w:bookmarkEnd w:id="129"/>
      <w:bookmarkEnd w:id="13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497,303,128.36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260,307,545.57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40.58%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176,608,493.70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23,737,862.24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18,886,388.09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17,762,838.76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497,303,128.36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77.52%</w:t>
            </w:r>
          </w:p>
        </w:tc>
      </w:tr>
    </w:tbl>
    <w:p>
      <w:pPr>
        <w:pStyle w:val="Style24"/>
        <w:keepNext w:val="0"/>
        <w:keepLines w:val="0"/>
        <w:widowControl w:val="0"/>
        <w:shd w:val="clear" w:color="auto" w:fill="auto"/>
        <w:bidi w:val="0"/>
        <w:spacing w:before="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62"/>
        <w:gridCol w:w="53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42,095,463.75</w:t>
            </w:r>
          </w:p>
        </w:tc>
      </w:tr>
    </w:tbl>
    <w:p>
      <w:pPr>
        <w:spacing w:lineRule="exact" w:line="1"/>
        <w:rPr>
          <w:sz w:val="2"/>
          <w:szCs w:val="2"/>
        </w:rPr>
      </w:pP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13,293,271.36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13,218,645.46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27.36%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10,998,350.81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3,360,978.92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1,224,217.20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42,095,463.75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87.14%</w:t>
            </w:r>
          </w:p>
        </w:tc>
      </w:tr>
    </w:tbl>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主要供应商其他情况说明 口适用”不适用</w:t>
      </w:r>
    </w:p>
    <w:p>
      <w:pPr>
        <w:pStyle w:val="Style33"/>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10,250,515.22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9,081,208.94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99,665,833.77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111,449,341.92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8,950,849.70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1,802,815.62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主要是由于汇率变动导致汇兑损失</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84,755,461.76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79,675,041.77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tbl>
      <w:tblPr>
        <w:tblOverlap w:val="never"/>
        <w:jc w:val="center"/>
        <w:tblLayout w:type="fixed"/>
      </w:tblPr>
      <w:tblGrid>
        <w:gridCol w:w="1531"/>
        <w:gridCol w:w="1915"/>
        <w:gridCol w:w="1622"/>
        <w:gridCol w:w="2251"/>
        <w:gridCol w:w="226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预计对公司未来发展的影 响</w:t>
            </w:r>
          </w:p>
        </w:tc>
      </w:tr>
      <w:tr>
        <w:trPr>
          <w:trHeight w:val="31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IP</w:t>
            </w:r>
            <w:r>
              <w:rPr>
                <w:color w:val="000000"/>
                <w:spacing w:val="0"/>
                <w:w w:val="100"/>
                <w:position w:val="0"/>
              </w:rPr>
              <w:t>版权区块链授 权认证平台（二 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进一步完善系统功 能，打造</w:t>
            </w:r>
            <w:r>
              <w:rPr>
                <w:rFonts w:ascii="Times New Roman" w:eastAsia="Times New Roman" w:hAnsi="Times New Roman" w:cs="Times New Roman"/>
                <w:color w:val="000000"/>
                <w:spacing w:val="0"/>
                <w:w w:val="100"/>
                <w:position w:val="0"/>
              </w:rPr>
              <w:t>IP</w:t>
            </w:r>
            <w:r>
              <w:rPr>
                <w:color w:val="000000"/>
                <w:spacing w:val="0"/>
                <w:w w:val="100"/>
                <w:position w:val="0"/>
              </w:rPr>
              <w:t>授权领域 的数据闭环，对授权 业务进行全生命周期 进行管理，我们在一 期的基础上继续进行 二期研发。二期项目 将加入云图库、授权 合同、</w:t>
            </w:r>
            <w:r>
              <w:rPr>
                <w:rFonts w:ascii="Times New Roman" w:eastAsia="Times New Roman" w:hAnsi="Times New Roman" w:cs="Times New Roman"/>
                <w:color w:val="000000"/>
                <w:spacing w:val="0"/>
                <w:w w:val="100"/>
                <w:position w:val="0"/>
              </w:rPr>
              <w:t>CRM</w:t>
            </w:r>
            <w:r>
              <w:rPr>
                <w:color w:val="000000"/>
                <w:spacing w:val="0"/>
                <w:w w:val="100"/>
                <w:position w:val="0"/>
              </w:rPr>
              <w:t>、</w:t>
            </w:r>
            <w:r>
              <w:rPr>
                <w:color w:val="000000"/>
                <w:spacing w:val="0"/>
                <w:w w:val="100"/>
                <w:position w:val="0"/>
              </w:rPr>
              <w:t>工厂验 厂，产品送审、授权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为数字版权登记、授权、 查证提供了一个统一、通 用、快速的解决方案；提 升版权登记效率，降底版 权登记成本，促进数字版 权的发展；实现对授权业 务全过程管理，促进版权 交易市场繁荣。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推进区块链技术的落地， 提升公司在</w:t>
            </w:r>
            <w:r>
              <w:rPr>
                <w:rFonts w:ascii="Times New Roman" w:eastAsia="Times New Roman" w:hAnsi="Times New Roman" w:cs="Times New Roman"/>
                <w:color w:val="000000"/>
                <w:spacing w:val="0"/>
                <w:w w:val="100"/>
                <w:position w:val="0"/>
              </w:rPr>
              <w:t>IP</w:t>
            </w:r>
            <w:r>
              <w:rPr>
                <w:color w:val="000000"/>
                <w:spacing w:val="0"/>
                <w:w w:val="100"/>
                <w:position w:val="0"/>
              </w:rPr>
              <w:t>授权领域的 产品竞争力。</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金结算、数据报表等 功能，支持多人、多 角色、多流程协同等。 总体功能目标是打造 一个授权业务专业管 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区块链动产质押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打造一套集区块链与 物联网技术于一体的 动产质押融资平台， 为解决以下动产质押 融资业务中存在的风 险点进行有针对性的 实践：</w:t>
            </w:r>
          </w:p>
          <w:p>
            <w:pPr>
              <w:pStyle w:val="Style2"/>
              <w:keepNext w:val="0"/>
              <w:keepLines w:val="0"/>
              <w:widowControl w:val="0"/>
              <w:numPr>
                <w:ilvl w:val="0"/>
                <w:numId w:val="3"/>
              </w:numPr>
              <w:shd w:val="clear" w:color="auto" w:fill="auto"/>
              <w:tabs>
                <w:tab w:pos="134" w:val="left"/>
              </w:tabs>
              <w:bidi w:val="0"/>
              <w:spacing w:before="0" w:after="40" w:line="312" w:lineRule="exact"/>
              <w:ind w:left="0" w:right="0" w:firstLine="0"/>
              <w:jc w:val="both"/>
            </w:pPr>
            <w:r>
              <w:rPr>
                <w:color w:val="000000"/>
                <w:spacing w:val="0"/>
                <w:w w:val="100"/>
                <w:position w:val="0"/>
              </w:rPr>
              <w:t>难以实现对动产的 有效监控。</w:t>
            </w:r>
          </w:p>
          <w:p>
            <w:pPr>
              <w:pStyle w:val="Style2"/>
              <w:keepNext w:val="0"/>
              <w:keepLines w:val="0"/>
              <w:widowControl w:val="0"/>
              <w:numPr>
                <w:ilvl w:val="0"/>
                <w:numId w:val="3"/>
              </w:numPr>
              <w:shd w:val="clear" w:color="auto" w:fill="auto"/>
              <w:tabs>
                <w:tab w:pos="235" w:val="left"/>
              </w:tabs>
              <w:bidi w:val="0"/>
              <w:spacing w:before="0" w:after="40" w:line="317" w:lineRule="exact"/>
              <w:ind w:left="0" w:right="0" w:firstLine="0"/>
              <w:jc w:val="both"/>
            </w:pPr>
            <w:r>
              <w:rPr>
                <w:color w:val="000000"/>
                <w:spacing w:val="0"/>
                <w:w w:val="100"/>
                <w:position w:val="0"/>
              </w:rPr>
              <w:t>存在重复融资风 险。</w:t>
            </w:r>
          </w:p>
          <w:p>
            <w:pPr>
              <w:pStyle w:val="Style2"/>
              <w:keepNext w:val="0"/>
              <w:keepLines w:val="0"/>
              <w:widowControl w:val="0"/>
              <w:numPr>
                <w:ilvl w:val="0"/>
                <w:numId w:val="3"/>
              </w:numPr>
              <w:shd w:val="clear" w:color="auto" w:fill="auto"/>
              <w:tabs>
                <w:tab w:pos="226" w:val="left"/>
              </w:tabs>
              <w:bidi w:val="0"/>
              <w:spacing w:before="0" w:after="40" w:line="326" w:lineRule="exact"/>
              <w:ind w:left="0" w:right="0" w:firstLine="0"/>
              <w:jc w:val="both"/>
            </w:pPr>
            <w:r>
              <w:rPr>
                <w:color w:val="000000"/>
                <w:spacing w:val="0"/>
                <w:w w:val="100"/>
                <w:position w:val="0"/>
              </w:rPr>
              <w:t>涉及纸质单据易造 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将建立起一套跨行业、适 应不同场景，不分特定货 品质押的区块链动产质押 融资通用解决方案。在应 用具体的应用场景中，可 以快速部署，数据快速采 集，大大降低项目的开发 成本、节省开发时间，更 快的获得系统的效益。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完整的基于区块链</w:t>
            </w:r>
            <w:r>
              <w:rPr>
                <w:rFonts w:ascii="Times New Roman" w:eastAsia="Times New Roman" w:hAnsi="Times New Roman" w:cs="Times New Roman"/>
                <w:color w:val="000000"/>
                <w:spacing w:val="0"/>
                <w:w w:val="100"/>
                <w:position w:val="0"/>
              </w:rPr>
              <w:t>+</w:t>
            </w:r>
            <w:r>
              <w:rPr>
                <w:color w:val="000000"/>
                <w:spacing w:val="0"/>
                <w:w w:val="100"/>
                <w:position w:val="0"/>
              </w:rPr>
              <w:t>物联 网技术的动产质押融资系 统提升公司的市场竞争 力。</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区块链产品溯源 防伪认证平台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使用区块链技术，建 立起从产品原材料采 购、生产、运输、销 售全过程的溯源体 系，并通过大数据实 现产品的真伪认证； 建立起可展示的通用 项目原型，提升技术 人员的技术及业务能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建立起可展示的通用项目 原型，增强对于此类业务 的理解，积累业务经验， 提升公司在同类型项目中 的竞争力。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积极布局区块链防伪溯源 解决方案，在未来的市场 竞争中赢得先机。</w:t>
            </w:r>
          </w:p>
        </w:tc>
      </w:tr>
      <w:tr>
        <w:trPr>
          <w:trHeight w:val="44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去中心化身份认 证系统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基于区块链的通用去 中心化身份认证系 统，建立起一套通用 的区块链身份认证网 络。通过这套网络， 用户无需将自己的账 户、密码以及个人的 隐私信息存储重复存 储在中心化应用系 统，而是使用自己掌 握密钥就能快速登录 各个接入的应用系 统。基于这套网络， 各个应用系统也无需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可有效保护用户隐私，增 强系统可信。可有效提升 系统稳定性与数据安全。 可有效降低去中心化应用 系统的开发周期与投入成 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丰富了区块链技术的应用 场景，为客户提供了安全 可靠的统一身份认证系 统。</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重复开发身份认证模 块，从而可以更专注 在自己的业务。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跨境数字货币清 结算系统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通过分布式账本技术 的应用，以提高跨境 资金转移效率。在了 解了现有环境中的挑 战后，期待该项目能 解决资金流转的痛 点：低效率、高成本、 有限的可追溯性和复 杂的法规，期望能建 立一个方便实时跨境 资金转移，追求外汇 交易的点对点原子性 模型。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建立起可展示的通用项目 原型。增强对于此类技术 及业务的理解，积累业务 经验。提升公司在同类型 项目中的竞争力。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为公司在数字货币领域提 供有力的技术支持，提升 市场竞争能力。</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PU</w:t>
            </w:r>
            <w:r>
              <w:rPr>
                <w:color w:val="000000"/>
                <w:spacing w:val="0"/>
                <w:w w:val="100"/>
                <w:position w:val="0"/>
              </w:rPr>
              <w:t>运维管理平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台模板管理系统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一期项目已有建设一 个具有模版导入、模 版配置、服务发布、 服务升级等功能的模 版管理系统。为了进 一步完善系统，（二 期）项目工程将优化 服务发布的流程，与 </w:t>
            </w:r>
            <w:r>
              <w:rPr>
                <w:rFonts w:ascii="Times New Roman" w:eastAsia="Times New Roman" w:hAnsi="Times New Roman" w:cs="Times New Roman"/>
                <w:color w:val="000000"/>
                <w:spacing w:val="0"/>
                <w:w w:val="100"/>
                <w:position w:val="0"/>
              </w:rPr>
              <w:t>solace</w:t>
            </w:r>
            <w:r>
              <w:rPr>
                <w:color w:val="000000"/>
                <w:spacing w:val="0"/>
                <w:w w:val="100"/>
                <w:position w:val="0"/>
              </w:rPr>
              <w:t>解耦，以支持基 于不同消息中间件的 服务发布场景。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模板管理系统是运维管理 平台的必要组成部分，是 平台重要的数据输入。与 </w:t>
            </w:r>
            <w:r>
              <w:rPr>
                <w:rFonts w:ascii="Times New Roman" w:eastAsia="Times New Roman" w:hAnsi="Times New Roman" w:cs="Times New Roman"/>
                <w:color w:val="000000"/>
                <w:spacing w:val="0"/>
                <w:w w:val="100"/>
                <w:position w:val="0"/>
              </w:rPr>
              <w:t>Helm Chart</w:t>
            </w:r>
            <w:r>
              <w:rPr>
                <w:color w:val="000000"/>
                <w:spacing w:val="0"/>
                <w:w w:val="100"/>
                <w:position w:val="0"/>
              </w:rPr>
              <w:t>兼容，可以直 接导入开源社区的模板， 并渲染部署。支持不同优 先级的参数输入，灵活， 可控的支持各种部署需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提升了运维管理平台的产 品力，提升公司在金融机 构分布式运维平台的竞争 能力。</w:t>
            </w:r>
          </w:p>
        </w:tc>
      </w:tr>
      <w:tr>
        <w:trPr>
          <w:trHeight w:val="50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PU</w:t>
            </w:r>
            <w:r>
              <w:rPr>
                <w:color w:val="000000"/>
                <w:spacing w:val="0"/>
                <w:w w:val="100"/>
                <w:position w:val="0"/>
              </w:rPr>
              <w:t>核心运行平 台云平台对接管 理系统（二期）</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PU</w:t>
            </w:r>
            <w:r>
              <w:rPr>
                <w:color w:val="000000"/>
                <w:spacing w:val="0"/>
                <w:w w:val="100"/>
                <w:position w:val="0"/>
              </w:rPr>
              <w:t>核心运行平台云平 台对接管理系统（一 期）提供对应用运行 时的解决方案，包括 服务间协同，负载均 衡，高可用管理，</w:t>
            </w:r>
            <w:r>
              <w:rPr>
                <w:rFonts w:ascii="Times New Roman" w:eastAsia="Times New Roman" w:hAnsi="Times New Roman" w:cs="Times New Roman"/>
                <w:color w:val="000000"/>
                <w:spacing w:val="0"/>
                <w:w w:val="100"/>
                <w:position w:val="0"/>
              </w:rPr>
              <w:t xml:space="preserve">API </w:t>
            </w:r>
            <w:r>
              <w:rPr>
                <w:color w:val="000000"/>
                <w:spacing w:val="0"/>
                <w:w w:val="100"/>
                <w:position w:val="0"/>
              </w:rPr>
              <w:t xml:space="preserve">网管等一系列基础功 能，并封装成为一整 套完整、简单易用的 </w:t>
            </w:r>
            <w:r>
              <w:rPr>
                <w:rFonts w:ascii="Times New Roman" w:eastAsia="Times New Roman" w:hAnsi="Times New Roman" w:cs="Times New Roman"/>
                <w:color w:val="000000"/>
                <w:spacing w:val="0"/>
                <w:w w:val="100"/>
                <w:position w:val="0"/>
              </w:rPr>
              <w:t xml:space="preserve">RESTfulAPI </w:t>
            </w:r>
            <w:r>
              <w:rPr>
                <w:color w:val="000000"/>
                <w:spacing w:val="0"/>
                <w:w w:val="100"/>
                <w:position w:val="0"/>
              </w:rPr>
              <w:t>接口对 外提供服务。为了进 一步完善系统，二期 项目工程将与</w:t>
            </w:r>
            <w:r>
              <w:rPr>
                <w:rFonts w:ascii="Times New Roman" w:eastAsia="Times New Roman" w:hAnsi="Times New Roman" w:cs="Times New Roman"/>
                <w:color w:val="000000"/>
                <w:spacing w:val="0"/>
                <w:w w:val="100"/>
                <w:position w:val="0"/>
              </w:rPr>
              <w:t xml:space="preserve">solace </w:t>
            </w:r>
            <w:r>
              <w:rPr>
                <w:color w:val="000000"/>
                <w:spacing w:val="0"/>
                <w:w w:val="100"/>
                <w:position w:val="0"/>
              </w:rPr>
              <w:t>解耦，兼容各通用消 息中间件；提供</w:t>
            </w:r>
            <w:r>
              <w:rPr>
                <w:rFonts w:ascii="Times New Roman" w:eastAsia="Times New Roman" w:hAnsi="Times New Roman" w:cs="Times New Roman"/>
                <w:color w:val="000000"/>
                <w:spacing w:val="0"/>
                <w:w w:val="100"/>
                <w:position w:val="0"/>
              </w:rPr>
              <w:t>java sdk</w:t>
            </w:r>
            <w:r>
              <w:rPr>
                <w:color w:val="000000"/>
                <w:spacing w:val="0"/>
                <w:w w:val="100"/>
                <w:position w:val="0"/>
              </w:rPr>
              <w:t>，</w:t>
            </w:r>
            <w:r>
              <w:rPr>
                <w:color w:val="000000"/>
                <w:spacing w:val="0"/>
                <w:w w:val="100"/>
                <w:position w:val="0"/>
              </w:rPr>
              <w:t>实现兼容</w:t>
            </w:r>
            <w:r>
              <w:rPr>
                <w:rFonts w:ascii="Times New Roman" w:eastAsia="Times New Roman" w:hAnsi="Times New Roman" w:cs="Times New Roman"/>
                <w:color w:val="000000"/>
                <w:spacing w:val="0"/>
                <w:w w:val="100"/>
                <w:position w:val="0"/>
              </w:rPr>
              <w:t>go</w:t>
            </w:r>
            <w:r>
              <w:rPr>
                <w:color w:val="000000"/>
                <w:spacing w:val="0"/>
                <w:w w:val="100"/>
                <w:position w:val="0"/>
              </w:rPr>
              <w:t>、</w:t>
            </w:r>
            <w:r>
              <w:rPr>
                <w:rFonts w:ascii="Times New Roman" w:eastAsia="Times New Roman" w:hAnsi="Times New Roman" w:cs="Times New Roman"/>
                <w:color w:val="000000"/>
                <w:spacing w:val="0"/>
                <w:w w:val="100"/>
                <w:position w:val="0"/>
              </w:rPr>
              <w:t>.java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开发高效快速，系统扩展 能力强，系统成本优势明 显；系统运行效率高，稳 定性好，单个服务故障系 统不会受任何影响；能够 为业务产品创新、降低功 能耦合程度等方面提供更 多的支撑；可快速配合第 三方公司及对方银行需求 进行调整；简化了上层应 用的数据开发流程。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使得公司分布式架构平台 的产品多样化，提升了公 司的市场竞争能力。</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开发的应用服务的核 心运行系统。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PU</w:t>
            </w:r>
            <w:r>
              <w:rPr>
                <w:color w:val="000000"/>
                <w:spacing w:val="0"/>
                <w:w w:val="100"/>
                <w:position w:val="0"/>
              </w:rPr>
              <w:t>资源和应用 监控管理平台日 志管理系统（二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PU</w:t>
            </w:r>
            <w:r>
              <w:rPr>
                <w:color w:val="000000"/>
                <w:spacing w:val="0"/>
                <w:w w:val="100"/>
                <w:position w:val="0"/>
              </w:rPr>
              <w:t>资源和应用监控管 理平台日志管理系统 （一期）项目功能模 块主要包括</w:t>
            </w:r>
            <w:r>
              <w:rPr>
                <w:rFonts w:ascii="Times New Roman" w:eastAsia="Times New Roman" w:hAnsi="Times New Roman" w:cs="Times New Roman"/>
                <w:color w:val="000000"/>
                <w:spacing w:val="0"/>
                <w:w w:val="100"/>
                <w:position w:val="0"/>
              </w:rPr>
              <w:t>Flink</w:t>
            </w:r>
            <w:r>
              <w:rPr>
                <w:color w:val="000000"/>
                <w:spacing w:val="0"/>
                <w:w w:val="100"/>
                <w:position w:val="0"/>
              </w:rPr>
              <w:t>模 块、</w:t>
            </w:r>
            <w:r>
              <w:rPr>
                <w:rFonts w:ascii="Times New Roman" w:eastAsia="Times New Roman" w:hAnsi="Times New Roman" w:cs="Times New Roman"/>
                <w:color w:val="000000"/>
                <w:spacing w:val="0"/>
                <w:w w:val="100"/>
                <w:position w:val="0"/>
              </w:rPr>
              <w:t xml:space="preserve">LogQuery </w:t>
            </w:r>
            <w:r>
              <w:rPr>
                <w:color w:val="000000"/>
                <w:spacing w:val="0"/>
                <w:w w:val="100"/>
                <w:position w:val="0"/>
              </w:rPr>
              <w:t xml:space="preserve">模块、 </w:t>
            </w:r>
            <w:r>
              <w:rPr>
                <w:rFonts w:ascii="Times New Roman" w:eastAsia="Times New Roman" w:hAnsi="Times New Roman" w:cs="Times New Roman"/>
                <w:color w:val="000000"/>
                <w:spacing w:val="0"/>
                <w:w w:val="100"/>
                <w:position w:val="0"/>
              </w:rPr>
              <w:t>Apm</w:t>
            </w:r>
            <w:r>
              <w:rPr>
                <w:color w:val="000000"/>
                <w:spacing w:val="0"/>
                <w:w w:val="100"/>
                <w:position w:val="0"/>
              </w:rPr>
              <w:t xml:space="preserve">模块等，实现了 日志实时收集、存储， 快速查询等功能。（二 期）项目扩展了 </w:t>
            </w:r>
            <w:r>
              <w:rPr>
                <w:rFonts w:ascii="Times New Roman" w:eastAsia="Times New Roman" w:hAnsi="Times New Roman" w:cs="Times New Roman"/>
                <w:color w:val="000000"/>
                <w:spacing w:val="0"/>
                <w:w w:val="100"/>
                <w:position w:val="0"/>
              </w:rPr>
              <w:t xml:space="preserve">java </w:t>
            </w:r>
            <w:r>
              <w:rPr>
                <w:color w:val="000000"/>
                <w:spacing w:val="0"/>
                <w:w w:val="100"/>
                <w:position w:val="0"/>
              </w:rPr>
              <w:t>应用，兼容</w:t>
            </w:r>
            <w:r>
              <w:rPr>
                <w:rFonts w:ascii="Times New Roman" w:eastAsia="Times New Roman" w:hAnsi="Times New Roman" w:cs="Times New Roman"/>
                <w:color w:val="000000"/>
                <w:spacing w:val="0"/>
                <w:w w:val="100"/>
                <w:position w:val="0"/>
              </w:rPr>
              <w:t>java</w:t>
            </w:r>
            <w:r>
              <w:rPr>
                <w:color w:val="000000"/>
                <w:spacing w:val="0"/>
                <w:w w:val="100"/>
                <w:position w:val="0"/>
              </w:rPr>
              <w:t xml:space="preserve">应用 日志管理，并增加对 </w:t>
            </w:r>
            <w:r>
              <w:rPr>
                <w:rFonts w:ascii="Times New Roman" w:eastAsia="Times New Roman" w:hAnsi="Times New Roman" w:cs="Times New Roman"/>
                <w:color w:val="000000"/>
                <w:spacing w:val="0"/>
                <w:w w:val="100"/>
                <w:position w:val="0"/>
              </w:rPr>
              <w:t>RocketMQ</w:t>
            </w:r>
            <w:r>
              <w:rPr>
                <w:color w:val="000000"/>
                <w:spacing w:val="0"/>
                <w:w w:val="100"/>
                <w:position w:val="0"/>
              </w:rPr>
              <w:t xml:space="preserve">， </w:t>
            </w:r>
            <w:r>
              <w:rPr>
                <w:rFonts w:ascii="Times New Roman" w:eastAsia="Times New Roman" w:hAnsi="Times New Roman" w:cs="Times New Roman"/>
                <w:color w:val="000000"/>
                <w:spacing w:val="0"/>
                <w:w w:val="100"/>
                <w:position w:val="0"/>
              </w:rPr>
              <w:t>Kafka</w:t>
            </w:r>
            <w:r>
              <w:rPr>
                <w:color w:val="000000"/>
                <w:spacing w:val="0"/>
                <w:w w:val="100"/>
                <w:position w:val="0"/>
              </w:rPr>
              <w:t xml:space="preserve">， </w:t>
            </w:r>
            <w:r>
              <w:rPr>
                <w:rFonts w:ascii="Times New Roman" w:eastAsia="Times New Roman" w:hAnsi="Times New Roman" w:cs="Times New Roman"/>
                <w:color w:val="000000"/>
                <w:spacing w:val="0"/>
                <w:w w:val="100"/>
                <w:position w:val="0"/>
              </w:rPr>
              <w:t>Oracle</w:t>
            </w:r>
            <w:r>
              <w:rPr>
                <w:color w:val="000000"/>
                <w:spacing w:val="0"/>
                <w:w w:val="100"/>
                <w:position w:val="0"/>
              </w:rPr>
              <w:t>等资源的日志 收集。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rPr>
              <w:t>ELK</w:t>
            </w:r>
            <w:r>
              <w:rPr>
                <w:color w:val="000000"/>
                <w:spacing w:val="0"/>
                <w:w w:val="100"/>
                <w:position w:val="0"/>
              </w:rPr>
              <w:t>套件收集各组件 的日志，实现日志聚合， 并统一管理。通过</w:t>
            </w:r>
            <w:r>
              <w:rPr>
                <w:rFonts w:ascii="Times New Roman" w:eastAsia="Times New Roman" w:hAnsi="Times New Roman" w:cs="Times New Roman"/>
                <w:color w:val="000000"/>
                <w:spacing w:val="0"/>
                <w:w w:val="100"/>
                <w:position w:val="0"/>
              </w:rPr>
              <w:t>Flink</w:t>
            </w:r>
            <w:r>
              <w:rPr>
                <w:color w:val="000000"/>
                <w:spacing w:val="0"/>
                <w:w w:val="100"/>
                <w:position w:val="0"/>
              </w:rPr>
              <w:t>实 时计算应用流量，能监控 到每个组件的流量。可快 速配合第三方公司及对方 银行需求进行调整。系统 维护直观简便，能大大提 高维护效率。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使得公司分布式架构平台 的产品多样化，提升了公 司的市场竞争能力。</w:t>
            </w: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PU</w:t>
            </w:r>
            <w:r>
              <w:rPr>
                <w:color w:val="000000"/>
                <w:spacing w:val="0"/>
                <w:w w:val="100"/>
                <w:position w:val="0"/>
              </w:rPr>
              <w:t>资源和应用 监控管理平台监 控指标采集系统</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PU</w:t>
            </w:r>
            <w:r>
              <w:rPr>
                <w:color w:val="000000"/>
                <w:spacing w:val="0"/>
                <w:w w:val="100"/>
                <w:position w:val="0"/>
              </w:rPr>
              <w:t>资源和应用监控管 理平台监控指标采集 系统（一期）项目包 含了各类型资源的采 集模块，采集散落在 各个地方的监控指 标，并通过</w:t>
            </w:r>
            <w:r>
              <w:rPr>
                <w:rFonts w:ascii="Times New Roman" w:eastAsia="Times New Roman" w:hAnsi="Times New Roman" w:cs="Times New Roman"/>
                <w:color w:val="000000"/>
                <w:spacing w:val="0"/>
                <w:w w:val="100"/>
                <w:position w:val="0"/>
              </w:rPr>
              <w:t xml:space="preserve">Prometheus </w:t>
            </w:r>
            <w:r>
              <w:rPr>
                <w:color w:val="000000"/>
                <w:spacing w:val="0"/>
                <w:w w:val="100"/>
                <w:position w:val="0"/>
              </w:rPr>
              <w:t>模块存储指标数据， 这些指标一方面有利 于分析系统性能，一 方面有利于定位系统 问题，从而为系统的 稳健运行保驾护航。 在一期的基础上，（二 期）项目的目标是扩 展指标采集的范围， 增加对</w:t>
            </w:r>
            <w:r>
              <w:rPr>
                <w:rFonts w:ascii="Times New Roman" w:eastAsia="Times New Roman" w:hAnsi="Times New Roman" w:cs="Times New Roman"/>
                <w:color w:val="000000"/>
                <w:spacing w:val="0"/>
                <w:w w:val="100"/>
                <w:position w:val="0"/>
              </w:rPr>
              <w:t>RocketMq</w:t>
            </w:r>
            <w:r>
              <w:rPr>
                <w:color w:val="000000"/>
                <w:spacing w:val="0"/>
                <w:w w:val="100"/>
                <w:position w:val="0"/>
              </w:rPr>
              <w:t xml:space="preserve">、 </w:t>
            </w:r>
            <w:r>
              <w:rPr>
                <w:rFonts w:ascii="Times New Roman" w:eastAsia="Times New Roman" w:hAnsi="Times New Roman" w:cs="Times New Roman"/>
                <w:color w:val="000000"/>
                <w:spacing w:val="0"/>
                <w:w w:val="100"/>
                <w:position w:val="0"/>
              </w:rPr>
              <w:t>Oracle</w:t>
            </w:r>
            <w:r>
              <w:rPr>
                <w:color w:val="000000"/>
                <w:spacing w:val="0"/>
                <w:w w:val="100"/>
                <w:position w:val="0"/>
              </w:rPr>
              <w:t>等中间件的监 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w:t>
            </w:r>
            <w:r>
              <w:rPr>
                <w:rFonts w:ascii="Times New Roman" w:eastAsia="Times New Roman" w:hAnsi="Times New Roman" w:cs="Times New Roman"/>
                <w:color w:val="000000"/>
                <w:spacing w:val="0"/>
                <w:w w:val="100"/>
                <w:position w:val="0"/>
              </w:rPr>
              <w:t>Prometheus</w:t>
            </w:r>
            <w:r>
              <w:rPr>
                <w:color w:val="000000"/>
                <w:spacing w:val="0"/>
                <w:w w:val="100"/>
                <w:position w:val="0"/>
              </w:rPr>
              <w:t xml:space="preserve">采集中间 件的监控指标，实现后台 系统的实时监控。使用 </w:t>
            </w:r>
            <w:r>
              <w:rPr>
                <w:rFonts w:ascii="Times New Roman" w:eastAsia="Times New Roman" w:hAnsi="Times New Roman" w:cs="Times New Roman"/>
                <w:color w:val="000000"/>
                <w:spacing w:val="0"/>
                <w:w w:val="100"/>
                <w:position w:val="0"/>
              </w:rPr>
              <w:t>Redis</w:t>
            </w:r>
            <w:r>
              <w:rPr>
                <w:color w:val="000000"/>
                <w:spacing w:val="0"/>
                <w:w w:val="100"/>
                <w:position w:val="0"/>
              </w:rPr>
              <w:t>中间件实现指标缓 存。可快速配合第三方公 司及对方银行需求进行调 整。系统维护直观简便， 能大大提高维护效率。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使得公司分布式架构平台 的产品多样化，提升了公 司的市场竞争能力。</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PU</w:t>
            </w:r>
            <w:r>
              <w:rPr>
                <w:color w:val="000000"/>
                <w:spacing w:val="0"/>
                <w:w w:val="100"/>
                <w:position w:val="0"/>
              </w:rPr>
              <w:t>资源和应用 监控管理平台应 用运行监控系统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一期项目建设从硬 件、网络、软件到应 用系统的</w:t>
            </w:r>
            <w:r>
              <w:rPr>
                <w:rFonts w:ascii="Times New Roman" w:eastAsia="Times New Roman" w:hAnsi="Times New Roman" w:cs="Times New Roman"/>
                <w:color w:val="000000"/>
                <w:spacing w:val="0"/>
                <w:w w:val="100"/>
                <w:position w:val="0"/>
              </w:rPr>
              <w:t>IT</w:t>
            </w:r>
            <w:r>
              <w:rPr>
                <w:color w:val="000000"/>
                <w:spacing w:val="0"/>
                <w:w w:val="100"/>
                <w:position w:val="0"/>
              </w:rPr>
              <w:t>资源全栈 技术覆盖的统一监控 平台，实现监控数据 采集、数据存储、告 警事件配置，以及统 一告警通知和展示的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rPr>
              <w:t>Prometheus</w:t>
            </w:r>
            <w:r>
              <w:rPr>
                <w:color w:val="000000"/>
                <w:spacing w:val="0"/>
                <w:w w:val="100"/>
                <w:position w:val="0"/>
              </w:rPr>
              <w:t>开源时序 数据库，存储指标数据； 通过</w:t>
            </w:r>
            <w:r>
              <w:rPr>
                <w:rFonts w:ascii="Times New Roman" w:eastAsia="Times New Roman" w:hAnsi="Times New Roman" w:cs="Times New Roman"/>
                <w:color w:val="000000"/>
                <w:spacing w:val="0"/>
                <w:w w:val="100"/>
                <w:position w:val="0"/>
              </w:rPr>
              <w:t>Flink</w:t>
            </w:r>
            <w:r>
              <w:rPr>
                <w:color w:val="000000"/>
                <w:spacing w:val="0"/>
                <w:w w:val="100"/>
                <w:position w:val="0"/>
              </w:rPr>
              <w:t>实时计算应用 流量，能监控到每个组件 的流量；通过</w:t>
            </w:r>
            <w:r>
              <w:rPr>
                <w:rFonts w:ascii="Times New Roman" w:eastAsia="Times New Roman" w:hAnsi="Times New Roman" w:cs="Times New Roman"/>
                <w:color w:val="000000"/>
                <w:spacing w:val="0"/>
                <w:w w:val="100"/>
                <w:position w:val="0"/>
              </w:rPr>
              <w:t>Redis</w:t>
            </w:r>
            <w:r>
              <w:rPr>
                <w:color w:val="000000"/>
                <w:spacing w:val="0"/>
                <w:w w:val="100"/>
                <w:position w:val="0"/>
              </w:rPr>
              <w:t>缓存， 实现指标的传输和消费； 通过</w:t>
            </w:r>
            <w:r>
              <w:rPr>
                <w:rFonts w:ascii="Times New Roman" w:eastAsia="Times New Roman" w:hAnsi="Times New Roman" w:cs="Times New Roman"/>
                <w:color w:val="000000"/>
                <w:spacing w:val="0"/>
                <w:w w:val="100"/>
                <w:position w:val="0"/>
              </w:rPr>
              <w:t>Hbase</w:t>
            </w:r>
            <w:r>
              <w:rPr>
                <w:color w:val="000000"/>
                <w:spacing w:val="0"/>
                <w:w w:val="100"/>
                <w:position w:val="0"/>
              </w:rPr>
              <w:t>分布式列式数 据库，备份</w:t>
            </w:r>
            <w:r>
              <w:rPr>
                <w:rFonts w:ascii="Times New Roman" w:eastAsia="Times New Roman" w:hAnsi="Times New Roman" w:cs="Times New Roman"/>
                <w:color w:val="000000"/>
                <w:spacing w:val="0"/>
                <w:w w:val="100"/>
                <w:position w:val="0"/>
              </w:rPr>
              <w:t>Pronetheus</w:t>
            </w:r>
            <w:r>
              <w:rPr>
                <w:color w:val="000000"/>
                <w:spacing w:val="0"/>
                <w:w w:val="100"/>
                <w:position w:val="0"/>
              </w:rPr>
              <w:t>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使得公司分布式架构平台 的产品多样化，提升了公 司的市场竞争能力。</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一体化平台。为了进 一步完善系统，（二 期）工程将增加</w:t>
            </w:r>
            <w:r>
              <w:rPr>
                <w:rFonts w:ascii="Times New Roman" w:eastAsia="Times New Roman" w:hAnsi="Times New Roman" w:cs="Times New Roman"/>
                <w:color w:val="000000"/>
                <w:spacing w:val="0"/>
                <w:w w:val="100"/>
                <w:position w:val="0"/>
              </w:rPr>
              <w:t xml:space="preserve">jvm </w:t>
            </w:r>
            <w:r>
              <w:rPr>
                <w:color w:val="000000"/>
                <w:spacing w:val="0"/>
                <w:w w:val="100"/>
                <w:position w:val="0"/>
              </w:rPr>
              <w:t>监控，以满足</w:t>
            </w:r>
            <w:r>
              <w:rPr>
                <w:rFonts w:ascii="Times New Roman" w:eastAsia="Times New Roman" w:hAnsi="Times New Roman" w:cs="Times New Roman"/>
                <w:color w:val="000000"/>
                <w:spacing w:val="0"/>
                <w:w w:val="100"/>
                <w:position w:val="0"/>
              </w:rPr>
              <w:t>PU</w:t>
            </w:r>
            <w:r>
              <w:rPr>
                <w:color w:val="000000"/>
                <w:spacing w:val="0"/>
                <w:w w:val="100"/>
                <w:position w:val="0"/>
              </w:rPr>
              <w:t>平台 对</w:t>
            </w:r>
            <w:r>
              <w:rPr>
                <w:rFonts w:ascii="Times New Roman" w:eastAsia="Times New Roman" w:hAnsi="Times New Roman" w:cs="Times New Roman"/>
                <w:color w:val="000000"/>
                <w:spacing w:val="0"/>
                <w:w w:val="100"/>
                <w:position w:val="0"/>
              </w:rPr>
              <w:t>java</w:t>
            </w:r>
            <w:r>
              <w:rPr>
                <w:color w:val="000000"/>
                <w:spacing w:val="0"/>
                <w:w w:val="100"/>
                <w:position w:val="0"/>
              </w:rPr>
              <w:t>应用的支持。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储的监控指标。建设一套 全自动故障监控自愈体 系。</w:t>
            </w: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企 业架构设计平台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在 </w:t>
            </w:r>
            <w:r>
              <w:rPr>
                <w:rFonts w:ascii="Times New Roman" w:eastAsia="Times New Roman" w:hAnsi="Times New Roman" w:cs="Times New Roman"/>
                <w:color w:val="000000"/>
                <w:spacing w:val="0"/>
                <w:w w:val="100"/>
                <w:position w:val="0"/>
              </w:rPr>
              <w:t xml:space="preserve">Spring Cloud </w:t>
            </w:r>
            <w:r>
              <w:rPr>
                <w:color w:val="000000"/>
                <w:spacing w:val="0"/>
                <w:w w:val="100"/>
                <w:position w:val="0"/>
              </w:rPr>
              <w:t>为主 的微服务架构下，打 造一个可视化的应用 架构设计平台，从而 降低公司微服务平台 的应用架构设计的难 度，提升微服务架构 平台设计的质量，减 少微服务架构设计的 时间。另一个方面也 能帮助公司积累更多 的微服务架构经验， 并且降低微服务架构 项目的开发成本。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降低微服务应用架构的设 计成本，减少微服务应用 架构出错的概率，提高微 服务项目的质量，同时可 以降低运维部署成本。对 同一领域的项目开发有快 速纵向深耕、横向复制的 优点，且在应用架构的可 视化下，对应用平台的设 计、开发、维护非常友好， 降低了难度，提升了质量。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丰富了金融微服务平台产 品的类别，推进金融微服 务平台产品的持续落地， 提高公司竞争力。</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低 代码开发平台系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通过可视化的领域模 型设计器，自动生成 </w:t>
            </w:r>
            <w:r>
              <w:rPr>
                <w:rFonts w:ascii="Times New Roman" w:eastAsia="Times New Roman" w:hAnsi="Times New Roman" w:cs="Times New Roman"/>
                <w:color w:val="000000"/>
                <w:spacing w:val="0"/>
                <w:w w:val="100"/>
                <w:position w:val="0"/>
              </w:rPr>
              <w:t>API</w:t>
            </w:r>
            <w:r>
              <w:rPr>
                <w:color w:val="000000"/>
                <w:spacing w:val="0"/>
                <w:w w:val="100"/>
                <w:position w:val="0"/>
              </w:rPr>
              <w:t>接口服务层这</w:t>
            </w:r>
            <w:r>
              <w:rPr>
                <w:rFonts w:ascii="Times New Roman" w:eastAsia="Times New Roman" w:hAnsi="Times New Roman" w:cs="Times New Roman"/>
                <w:color w:val="000000"/>
                <w:spacing w:val="0"/>
                <w:w w:val="100"/>
                <w:position w:val="0"/>
              </w:rPr>
              <w:t xml:space="preserve">2 </w:t>
            </w:r>
            <w:r>
              <w:rPr>
                <w:color w:val="000000"/>
                <w:spacing w:val="0"/>
                <w:w w:val="100"/>
                <w:position w:val="0"/>
              </w:rPr>
              <w:t>大功能，在基础平台 上实现低代码的开发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可以方便的设计领域模 型，将业务对象以及关系 通过建模的方式展示出 来，并且能够自动化的生 成领域层的服务。除此之 夕卜，还需要能够可视化的 创建</w:t>
            </w:r>
            <w:r>
              <w:rPr>
                <w:rFonts w:ascii="Times New Roman" w:eastAsia="Times New Roman" w:hAnsi="Times New Roman" w:cs="Times New Roman"/>
                <w:color w:val="000000"/>
                <w:spacing w:val="0"/>
                <w:w w:val="100"/>
                <w:position w:val="0"/>
              </w:rPr>
              <w:t>API</w:t>
            </w:r>
            <w:r>
              <w:rPr>
                <w:color w:val="000000"/>
                <w:spacing w:val="0"/>
                <w:w w:val="100"/>
                <w:position w:val="0"/>
              </w:rPr>
              <w:t>，</w:t>
            </w:r>
            <w:r>
              <w:rPr>
                <w:color w:val="000000"/>
                <w:spacing w:val="0"/>
                <w:w w:val="100"/>
                <w:position w:val="0"/>
              </w:rPr>
              <w:t>自动创建</w:t>
            </w:r>
            <w:r>
              <w:rPr>
                <w:rFonts w:ascii="Times New Roman" w:eastAsia="Times New Roman" w:hAnsi="Times New Roman" w:cs="Times New Roman"/>
                <w:color w:val="000000"/>
                <w:spacing w:val="0"/>
                <w:w w:val="100"/>
                <w:position w:val="0"/>
              </w:rPr>
              <w:t xml:space="preserve">REST </w:t>
            </w:r>
            <w:r>
              <w:rPr>
                <w:color w:val="000000"/>
                <w:spacing w:val="0"/>
                <w:w w:val="100"/>
                <w:position w:val="0"/>
              </w:rPr>
              <w:t>服务。这样一来，开发人 员仅仅只需要开发中间的 业务逻辑即可，对于简单 的应用，可能都不需要编 写一行代码。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提高公司金融微服务平台 低代码平台的竞争力。</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用开发平台系统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将微服务开发中的一 些基础通用功能进行 了集成，这些功能包 括：接口请求参数校 验、业务执行审计日 志、统一异常信息返 回、微服务</w:t>
            </w:r>
            <w:r>
              <w:rPr>
                <w:rFonts w:ascii="Times New Roman" w:eastAsia="Times New Roman" w:hAnsi="Times New Roman" w:cs="Times New Roman"/>
                <w:color w:val="000000"/>
                <w:spacing w:val="0"/>
                <w:w w:val="100"/>
                <w:position w:val="0"/>
              </w:rPr>
              <w:t>API</w:t>
            </w:r>
            <w:r>
              <w:rPr>
                <w:color w:val="000000"/>
                <w:spacing w:val="0"/>
                <w:w w:val="100"/>
                <w:position w:val="0"/>
              </w:rPr>
              <w:t>聚合、 业务数据缓存、多数 据源自动配置、接口 权限认证与文件上传</w:t>
            </w:r>
            <w:r>
              <w:rPr>
                <w:rFonts w:ascii="Times New Roman" w:eastAsia="Times New Roman" w:hAnsi="Times New Roman" w:cs="Times New Roman"/>
                <w:color w:val="000000"/>
                <w:spacing w:val="0"/>
                <w:w w:val="100"/>
                <w:position w:val="0"/>
              </w:rPr>
              <w:t xml:space="preserve">/ </w:t>
            </w:r>
            <w:r>
              <w:rPr>
                <w:color w:val="000000"/>
                <w:spacing w:val="0"/>
                <w:w w:val="100"/>
                <w:position w:val="0"/>
              </w:rPr>
              <w:t>大文件断点续传等。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FormssiCloud</w:t>
            </w:r>
            <w:r>
              <w:rPr>
                <w:color w:val="000000"/>
                <w:spacing w:val="0"/>
                <w:w w:val="100"/>
                <w:position w:val="0"/>
              </w:rPr>
              <w:t>应用开发平 台致力于为企业微服务开 发构建出一个支持高并 发、易拓展、前后端分离 的分布式微服务应用开发 平台，让开发人员专只需 注于业务开发，提高微服 务开发效率。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应用开发平台为公司框</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架提</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供基础框架、通用机制、</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框</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架集成，减少公司人力成 本。</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基于 </w:t>
            </w:r>
            <w:r>
              <w:rPr>
                <w:rFonts w:ascii="Times New Roman" w:eastAsia="Times New Roman" w:hAnsi="Times New Roman" w:cs="Times New Roman"/>
                <w:color w:val="000000"/>
                <w:spacing w:val="0"/>
                <w:w w:val="100"/>
                <w:position w:val="0"/>
              </w:rPr>
              <w:t>XXL-Job</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使用流行语言</w:t>
            </w:r>
            <w:r>
              <w:rPr>
                <w:rFonts w:ascii="Times New Roman" w:eastAsia="Times New Roman" w:hAnsi="Times New Roman" w:cs="Times New Roman"/>
                <w:color w:val="000000"/>
                <w:spacing w:val="0"/>
                <w:w w:val="100"/>
                <w:position w:val="0"/>
              </w:rPr>
              <w:t>JAVA</w:t>
            </w:r>
            <w:r>
              <w:rPr>
                <w:color w:val="000000"/>
                <w:spacing w:val="0"/>
                <w:w w:val="100"/>
                <w:position w:val="0"/>
              </w:rPr>
              <w:t>，</w:t>
            </w:r>
            <w:r>
              <w:rPr>
                <w:color w:val="000000"/>
                <w:spacing w:val="0"/>
                <w:w w:val="100"/>
                <w:position w:val="0"/>
              </w:rPr>
              <w:t>开源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丰富产品类型，并且提高</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442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布式任务调度平 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SpringBoot</w:t>
            </w:r>
            <w:r>
              <w:rPr>
                <w:color w:val="000000"/>
                <w:spacing w:val="0"/>
                <w:w w:val="100"/>
                <w:position w:val="0"/>
              </w:rPr>
              <w:t>等主流开 源技术，开发一款分 布式任务调度平台， 用于解决业务系统在 微服务化架构的逐步 演进过程中，运行计 划任务时将面临更多 的挑战和问题。分布 式任务调度平台中执 行计划任务也满足分 布式任务执行时具备 的故障转移，分布式 运行，节点可动态调 整等多个特性。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技术、自主可控、快速迭 代。自动化实现分布式任 务调度管理。提供分布式 容器对接方案，具有高性 能、高可用、高可扩展性。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公司在任务调度平台的市 场竞争力。</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分 布式事务管理平 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针对分布式事务，提 供基于多种解决方案 的不同实现模型，供 业务系统选择使用。 主要提供了以下解决 方案的各种实现：强 一致的解决方案：</w:t>
            </w:r>
            <w:r>
              <w:rPr>
                <w:rFonts w:ascii="Times New Roman" w:eastAsia="Times New Roman" w:hAnsi="Times New Roman" w:cs="Times New Roman"/>
                <w:color w:val="000000"/>
                <w:spacing w:val="0"/>
                <w:w w:val="100"/>
                <w:position w:val="0"/>
              </w:rPr>
              <w:t xml:space="preserve">XA </w:t>
            </w:r>
            <w:r>
              <w:rPr>
                <w:color w:val="000000"/>
                <w:spacing w:val="0"/>
                <w:w w:val="100"/>
                <w:position w:val="0"/>
              </w:rPr>
              <w:t>模型实现；“最终一 致性”的分布式事务 以</w:t>
            </w:r>
            <w:r>
              <w:rPr>
                <w:rFonts w:ascii="Times New Roman" w:eastAsia="Times New Roman" w:hAnsi="Times New Roman" w:cs="Times New Roman"/>
                <w:color w:val="000000"/>
                <w:spacing w:val="0"/>
                <w:w w:val="100"/>
                <w:position w:val="0"/>
              </w:rPr>
              <w:t>TCC</w:t>
            </w:r>
            <w:r>
              <w:rPr>
                <w:color w:val="000000"/>
                <w:spacing w:val="0"/>
                <w:w w:val="100"/>
                <w:position w:val="0"/>
              </w:rPr>
              <w:t>模型，</w:t>
            </w:r>
            <w:r>
              <w:rPr>
                <w:rFonts w:ascii="Times New Roman" w:eastAsia="Times New Roman" w:hAnsi="Times New Roman" w:cs="Times New Roman"/>
                <w:color w:val="000000"/>
                <w:spacing w:val="0"/>
                <w:w w:val="100"/>
                <w:position w:val="0"/>
              </w:rPr>
              <w:t>AT</w:t>
            </w:r>
            <w:r>
              <w:rPr>
                <w:color w:val="000000"/>
                <w:spacing w:val="0"/>
                <w:w w:val="100"/>
                <w:position w:val="0"/>
              </w:rPr>
              <w:t>模型 的解决方案；后台管 理页面，可视化事务 管理：</w:t>
            </w:r>
            <w:r>
              <w:rPr>
                <w:color w:val="000000"/>
                <w:spacing w:val="0"/>
                <w:w w:val="100"/>
                <w:position w:val="0"/>
              </w:rPr>
              <w:t>？</w:t>
            </w:r>
            <w:r>
              <w:rPr>
                <w:color w:val="000000"/>
                <w:spacing w:val="0"/>
                <w:w w:val="100"/>
                <w:position w:val="0"/>
              </w:rPr>
              <w:t>事务执行详细 日志查询、事务状态 查询管理。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研发一套自主可控、易拓 展，易使用、与</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FormssiCloud</w:t>
            </w:r>
            <w:r>
              <w:rPr>
                <w:color w:val="000000"/>
                <w:spacing w:val="0"/>
                <w:w w:val="100"/>
                <w:position w:val="0"/>
              </w:rPr>
              <w:t>或业务系统 无缝集成，集分布式事务 解决方案大成的事务管理 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丰富了金融微服务平台产 品的类别，推进金融微服 务平台产品的持续落地， 提高公司竞争力。</w:t>
            </w:r>
          </w:p>
        </w:tc>
      </w:tr>
      <w:tr>
        <w:trPr>
          <w:trHeight w:val="44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F ormssiCloudAP</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网关管理系统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使用 </w:t>
            </w:r>
            <w:r>
              <w:rPr>
                <w:rFonts w:ascii="Times New Roman" w:eastAsia="Times New Roman" w:hAnsi="Times New Roman" w:cs="Times New Roman"/>
                <w:color w:val="000000"/>
                <w:spacing w:val="0"/>
                <w:w w:val="100"/>
                <w:position w:val="0"/>
              </w:rPr>
              <w:t>SpringCloud gateway</w:t>
            </w:r>
            <w:r>
              <w:rPr>
                <w:color w:val="000000"/>
                <w:spacing w:val="0"/>
                <w:w w:val="100"/>
                <w:position w:val="0"/>
              </w:rPr>
              <w:t>、</w:t>
            </w:r>
            <w:r>
              <w:rPr>
                <w:rFonts w:ascii="Times New Roman" w:eastAsia="Times New Roman" w:hAnsi="Times New Roman" w:cs="Times New Roman"/>
                <w:color w:val="000000"/>
                <w:spacing w:val="0"/>
                <w:w w:val="100"/>
                <w:position w:val="0"/>
              </w:rPr>
              <w:t xml:space="preserve">swagger </w:t>
            </w:r>
            <w:r>
              <w:rPr>
                <w:color w:val="000000"/>
                <w:spacing w:val="0"/>
                <w:w w:val="100"/>
                <w:position w:val="0"/>
              </w:rPr>
              <w:t xml:space="preserve">等主 流开源框架研发一套 </w:t>
            </w:r>
            <w:r>
              <w:rPr>
                <w:rFonts w:ascii="Times New Roman" w:eastAsia="Times New Roman" w:hAnsi="Times New Roman" w:cs="Times New Roman"/>
                <w:color w:val="000000"/>
                <w:spacing w:val="0"/>
                <w:w w:val="100"/>
                <w:position w:val="0"/>
              </w:rPr>
              <w:t>API</w:t>
            </w:r>
            <w:r>
              <w:rPr>
                <w:color w:val="000000"/>
                <w:spacing w:val="0"/>
                <w:w w:val="100"/>
                <w:position w:val="0"/>
              </w:rPr>
              <w:t>网管管理系统，使 后端的微服务拆分对 客户端透明，客户端 无需关心后端服务的 实例地址(</w:t>
            </w:r>
            <w:r>
              <w:rPr>
                <w:rFonts w:ascii="Times New Roman" w:eastAsia="Times New Roman" w:hAnsi="Times New Roman" w:cs="Times New Roman"/>
                <w:color w:val="000000"/>
                <w:spacing w:val="0"/>
                <w:w w:val="100"/>
                <w:position w:val="0"/>
              </w:rPr>
              <w:t xml:space="preserve">IP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port</w:t>
            </w:r>
            <w:r>
              <w:rPr>
                <w:color w:val="000000"/>
                <w:spacing w:val="0"/>
                <w:w w:val="100"/>
                <w:position w:val="0"/>
              </w:rPr>
              <w:t>)</w:t>
            </w:r>
            <w:r>
              <w:rPr>
                <w:color w:val="000000"/>
                <w:spacing w:val="0"/>
                <w:w w:val="100"/>
                <w:position w:val="0"/>
              </w:rPr>
              <w:t>； 可为每个客户端提供 最优</w:t>
            </w:r>
            <w:r>
              <w:rPr>
                <w:rFonts w:ascii="Times New Roman" w:eastAsia="Times New Roman" w:hAnsi="Times New Roman" w:cs="Times New Roman"/>
                <w:color w:val="000000"/>
                <w:spacing w:val="0"/>
                <w:w w:val="100"/>
                <w:position w:val="0"/>
              </w:rPr>
              <w:t>API</w:t>
            </w:r>
            <w:r>
              <w:rPr>
                <w:color w:val="000000"/>
                <w:spacing w:val="0"/>
                <w:w w:val="100"/>
                <w:position w:val="0"/>
              </w:rPr>
              <w:t>，</w:t>
            </w:r>
            <w:r>
              <w:rPr>
                <w:color w:val="000000"/>
                <w:spacing w:val="0"/>
                <w:w w:val="100"/>
                <w:position w:val="0"/>
              </w:rPr>
              <w:t>减少请求次 数；简化客户端的逻 辑(由调用多个后台 服务变为只调用</w:t>
            </w:r>
            <w:r>
              <w:rPr>
                <w:rFonts w:ascii="Times New Roman" w:eastAsia="Times New Roman" w:hAnsi="Times New Roman" w:cs="Times New Roman"/>
                <w:color w:val="000000"/>
                <w:spacing w:val="0"/>
                <w:w w:val="100"/>
                <w:position w:val="0"/>
              </w:rPr>
              <w:t xml:space="preserve">API </w:t>
            </w:r>
            <w:r>
              <w:rPr>
                <w:color w:val="000000"/>
                <w:spacing w:val="0"/>
                <w:w w:val="100"/>
                <w:position w:val="0"/>
              </w:rPr>
              <w:t>网关)。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研发一套功能齐全的</w:t>
            </w:r>
            <w:r>
              <w:rPr>
                <w:rFonts w:ascii="Times New Roman" w:eastAsia="Times New Roman" w:hAnsi="Times New Roman" w:cs="Times New Roman"/>
                <w:color w:val="000000"/>
                <w:spacing w:val="0"/>
                <w:w w:val="100"/>
                <w:position w:val="0"/>
              </w:rPr>
              <w:t xml:space="preserve">API </w:t>
            </w:r>
            <w:r>
              <w:rPr>
                <w:color w:val="000000"/>
                <w:spacing w:val="0"/>
                <w:w w:val="100"/>
                <w:position w:val="0"/>
              </w:rPr>
              <w:t>网关系统，微服务</w:t>
            </w:r>
            <w:r>
              <w:rPr>
                <w:rFonts w:ascii="Times New Roman" w:eastAsia="Times New Roman" w:hAnsi="Times New Roman" w:cs="Times New Roman"/>
                <w:color w:val="000000"/>
                <w:spacing w:val="0"/>
                <w:w w:val="100"/>
                <w:position w:val="0"/>
              </w:rPr>
              <w:t>API</w:t>
            </w:r>
            <w:r>
              <w:rPr>
                <w:color w:val="000000"/>
                <w:spacing w:val="0"/>
                <w:w w:val="100"/>
                <w:position w:val="0"/>
              </w:rPr>
              <w:t>网 关为团队提供了独立发 布，监控和更新微服务的 所有功能，通过开发，测 试，部署等的自动化工作 流程来提高团队的工作效 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丰富了金融微服务平台产 品的类别，推进金融微服 务平台产品的持续落地， 提高公司竞争力。</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57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月艮 务管理平台系统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功能包括：服务架构 设计、服务治理、服 务监控、分布式事务、 分布式任务调度、 </w:t>
            </w:r>
            <w:r>
              <w:rPr>
                <w:rFonts w:ascii="Times New Roman" w:eastAsia="Times New Roman" w:hAnsi="Times New Roman" w:cs="Times New Roman"/>
                <w:color w:val="000000"/>
                <w:spacing w:val="0"/>
                <w:w w:val="100"/>
                <w:position w:val="0"/>
              </w:rPr>
              <w:t>PaaS</w:t>
            </w:r>
            <w:r>
              <w:rPr>
                <w:color w:val="000000"/>
                <w:spacing w:val="0"/>
                <w:w w:val="100"/>
                <w:position w:val="0"/>
              </w:rPr>
              <w:t>产品、用户管理、 运维平台、仓库中心 等。致力于将整个微 服务建设体系所需要 的组件整合成一个平 台级的产品，为微服 务应用全生命周期的 管理能力和数据化运 营提供一个统一的可 视化管理界面。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实现微服务应用全生命周 期管理：提供从创建微服 务应用到运行微服务应用 的全生命周期管理，支持 创建、部署、回滚、扩容、 下线、启动和停止微服务 应用。细粒度服务治理： 提供服务和</w:t>
            </w:r>
            <w:r>
              <w:rPr>
                <w:rFonts w:ascii="Times New Roman" w:eastAsia="Times New Roman" w:hAnsi="Times New Roman" w:cs="Times New Roman"/>
                <w:color w:val="000000"/>
                <w:spacing w:val="0"/>
                <w:w w:val="100"/>
                <w:position w:val="0"/>
              </w:rPr>
              <w:t>API</w:t>
            </w:r>
            <w:r>
              <w:rPr>
                <w:color w:val="000000"/>
                <w:spacing w:val="0"/>
                <w:w w:val="100"/>
                <w:position w:val="0"/>
              </w:rPr>
              <w:t>级别的 服务治理能力，支持控制 台上配置服务路由、服务 限流、服务鉴权规则，支 持分布式配置管理。灵活 运维：支持日志服务、调 用链、基于监控的弹性伸 缩功能，满足不同纬度的 运维需求。提供虚拟机和 容器化两种部署方式，满 足不同客户的使用需求。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丰富了金融微服务平台产 品的类别，推进金融微服 务平台产品的持续落地， 提高公司竞争力。</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微 服务治理平台系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基于 </w:t>
            </w:r>
            <w:r>
              <w:rPr>
                <w:rFonts w:ascii="Times New Roman" w:eastAsia="Times New Roman" w:hAnsi="Times New Roman" w:cs="Times New Roman"/>
                <w:color w:val="000000"/>
                <w:spacing w:val="0"/>
                <w:w w:val="100"/>
                <w:position w:val="0"/>
              </w:rPr>
              <w:t>Spring Cloud Alibaba</w:t>
            </w:r>
            <w:r>
              <w:rPr>
                <w:color w:val="000000"/>
                <w:spacing w:val="0"/>
                <w:w w:val="100"/>
                <w:position w:val="0"/>
              </w:rPr>
              <w:t xml:space="preserve">部分组件和 </w:t>
            </w:r>
            <w:r>
              <w:rPr>
                <w:rFonts w:ascii="Times New Roman" w:eastAsia="Times New Roman" w:hAnsi="Times New Roman" w:cs="Times New Roman"/>
                <w:color w:val="000000"/>
                <w:spacing w:val="0"/>
                <w:w w:val="100"/>
                <w:position w:val="0"/>
              </w:rPr>
              <w:t>skywalking</w:t>
            </w:r>
            <w:r>
              <w:rPr>
                <w:color w:val="000000"/>
                <w:spacing w:val="0"/>
                <w:w w:val="100"/>
                <w:position w:val="0"/>
              </w:rPr>
              <w:t xml:space="preserve">等开源产 品，为基于 </w:t>
            </w: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微服开 发平台开发的业务系 统提供全站式的服务 治理能力。通过本项 目可以对服务治理的 达到如下效果：高可 用；分布式调用；生 命周期管理；健康度 检查；服务注册与发 现；分布式配置管理； 服务限流降级；可观 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实施</w:t>
            </w:r>
            <w:r>
              <w:rPr>
                <w:rFonts w:ascii="Times New Roman" w:eastAsia="Times New Roman" w:hAnsi="Times New Roman" w:cs="Times New Roman"/>
                <w:color w:val="000000"/>
                <w:spacing w:val="0"/>
                <w:w w:val="100"/>
                <w:position w:val="0"/>
              </w:rPr>
              <w:t>FormssiCloud</w:t>
            </w:r>
            <w:r>
              <w:rPr>
                <w:color w:val="000000"/>
                <w:spacing w:val="0"/>
                <w:w w:val="100"/>
                <w:position w:val="0"/>
              </w:rPr>
              <w:t>微服务 治理平台</w:t>
            </w:r>
            <w:r>
              <w:rPr>
                <w:color w:val="000000"/>
                <w:spacing w:val="0"/>
                <w:w w:val="100"/>
                <w:position w:val="0"/>
              </w:rPr>
              <w:t>，</w:t>
            </w:r>
            <w:r>
              <w:rPr>
                <w:color w:val="000000"/>
                <w:spacing w:val="0"/>
                <w:w w:val="100"/>
                <w:position w:val="0"/>
              </w:rPr>
              <w:t>将助力企业落地 微服业务系统时：提升资 源使用和部署效率；让微 服务架构效能更加突出； 帮助服务治理规范深入， 规范化实现敏捷开发。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丰富了金融微服务平台产 品的类别，推进金融微服 务平台产品的持续落地， 提高公司竞争力。</w:t>
            </w:r>
          </w:p>
        </w:tc>
      </w:tr>
      <w:tr>
        <w:trPr>
          <w:trHeight w:val="28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微 服务监控平台系 统</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构建应用系统和分析 系统的桥梁，并将它 们之间的关联解耦， 通过服务发现或静态 配置发现目标。采集 各个模块的指标，统 一风格展示。支持近 实时的在线查询服务 列表，查询各个服务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采用比较流行的</w:t>
            </w:r>
            <w:r>
              <w:rPr>
                <w:rFonts w:ascii="Times New Roman" w:eastAsia="Times New Roman" w:hAnsi="Times New Roman" w:cs="Times New Roman"/>
                <w:color w:val="000000"/>
                <w:spacing w:val="0"/>
                <w:w w:val="100"/>
                <w:position w:val="0"/>
              </w:rPr>
              <w:t>Java</w:t>
            </w:r>
            <w:r>
              <w:rPr>
                <w:color w:val="000000"/>
                <w:spacing w:val="0"/>
                <w:w w:val="100"/>
                <w:position w:val="0"/>
              </w:rPr>
              <w:t>语言 和</w:t>
            </w:r>
            <w:r>
              <w:rPr>
                <w:rFonts w:ascii="Times New Roman" w:eastAsia="Times New Roman" w:hAnsi="Times New Roman" w:cs="Times New Roman"/>
                <w:color w:val="000000"/>
                <w:spacing w:val="0"/>
                <w:w w:val="100"/>
                <w:position w:val="0"/>
              </w:rPr>
              <w:t>Spring Cloud</w:t>
            </w:r>
            <w:r>
              <w:rPr>
                <w:color w:val="000000"/>
                <w:spacing w:val="0"/>
                <w:w w:val="100"/>
                <w:position w:val="0"/>
              </w:rPr>
              <w:t>开源框架， 开源技术，自主可控，安 全风险低；实现自动化实 现秒级业务监控。提供分 布式容器对接解决方案， 具有高性能、高可用、高 可扩展性。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丰富了金融微服务平台产 品的类别，推进金融微服 务平台产品的持续落地， 提高公司竞争力。</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的健康状态。支持查 询每个服务实例在某 个时间段波动图。统 一日志格式，使用 </w:t>
            </w:r>
            <w:r>
              <w:rPr>
                <w:rFonts w:ascii="Times New Roman" w:eastAsia="Times New Roman" w:hAnsi="Times New Roman" w:cs="Times New Roman"/>
                <w:color w:val="000000"/>
                <w:spacing w:val="0"/>
                <w:w w:val="100"/>
                <w:position w:val="0"/>
              </w:rPr>
              <w:t>ELK</w:t>
            </w:r>
            <w:r>
              <w:rPr>
                <w:color w:val="000000"/>
                <w:spacing w:val="0"/>
                <w:w w:val="100"/>
                <w:position w:val="0"/>
              </w:rPr>
              <w:t>架构体系，实现 日志采集。具有高可 扩展性。即：当数据 量增加时，可以通过 增加节点进行水平扩 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全 链路灰度发布平 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基于 </w:t>
            </w:r>
            <w:r>
              <w:rPr>
                <w:rFonts w:ascii="Times New Roman" w:eastAsia="Times New Roman" w:hAnsi="Times New Roman" w:cs="Times New Roman"/>
                <w:color w:val="000000"/>
                <w:spacing w:val="0"/>
                <w:w w:val="100"/>
                <w:position w:val="0"/>
              </w:rPr>
              <w:t>SpringCloud</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Gateway</w:t>
            </w:r>
            <w:r>
              <w:rPr>
                <w:color w:val="000000"/>
                <w:spacing w:val="0"/>
                <w:w w:val="100"/>
                <w:position w:val="0"/>
              </w:rPr>
              <w:t xml:space="preserve">和相关组件 上，为 </w:t>
            </w: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平台实现服务发布过 程中的灰度发布能 力。通过对业务流量 进行染色，联合软负 载均衡、网关、服务 框架等多个组件，实 现染色流量按标签进 行路由，支持跨应用、 跨节点的全链路灰度 路由能力，并建立灰 度发布运维监控体系 和管控机制。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FormssiCloud</w:t>
            </w:r>
            <w:r>
              <w:rPr>
                <w:color w:val="000000"/>
                <w:spacing w:val="0"/>
                <w:w w:val="100"/>
                <w:position w:val="0"/>
              </w:rPr>
              <w:t>全链路灰度 发布平台以“开放性、高 容量、易扩展、成本可控、 安全稳定、便捷研发”为 建设理念，及推动技术创 新、管控升级，致力于覆 盖银行核心交易链路场 景，保证金融服务的稳定 运行，支撑高频业务快速 增长，减少应用接入成本， 提升全链路灰度发布中各 组件兼容适配能力，以适 应复杂的分布式金融交易 场景，为智慧银行建设提 供有力支撑。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丰富了金融微服务平台产 品的类别，推进金融微服 务平台产品的持续落地， 提高公司竞争力。</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全 链路压测平台系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基于线上真实环境和 实际业务场景，模拟 海量用户请求来对整 个系统进行压力测 试。通过本项目其主 要实现的目的有如下 所示：链路构建；数 据构造；压测隔离； 压测控制；压测计划 管理；实时监控。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通过后台管理系统制定测 试计划方案。支持线上线 下执行压力测试，当线上 测试影响到正常交易时可 以及时终止压测。压力测 试时，可以指定</w:t>
            </w:r>
            <w:r>
              <w:rPr>
                <w:rFonts w:ascii="Times New Roman" w:eastAsia="Times New Roman" w:hAnsi="Times New Roman" w:cs="Times New Roman"/>
                <w:color w:val="000000"/>
                <w:spacing w:val="0"/>
                <w:w w:val="100"/>
                <w:position w:val="0"/>
              </w:rPr>
              <w:t>mock</w:t>
            </w:r>
            <w:r>
              <w:rPr>
                <w:color w:val="000000"/>
                <w:spacing w:val="0"/>
                <w:w w:val="100"/>
                <w:position w:val="0"/>
              </w:rPr>
              <w:t>某些 服务以保证压测得完整 性。拟海量的用户请求进 行全链路压测，使得测试 结果更可靠。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丰富了金融微服务平台产 品的类别，推进金融微服 务平台产品的持续落地， 提高公司竞争力。</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FormssiCloud </w:t>
            </w:r>
            <w:r>
              <w:rPr>
                <w:color w:val="000000"/>
                <w:spacing w:val="0"/>
                <w:w w:val="100"/>
                <w:position w:val="0"/>
              </w:rPr>
              <w:t>通 用后端管理系统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集成了每个项目都需 要的通用模块：网关、 授权认证、部门管理、 角色用户、菜单及按 钮授权、服务管理、 文件管理、指标管理、 日志管理等，从开发 到部署服务提供通用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建立起来的一套通用的后 端管理系统。通过这套系 统，让开发者注重专注业 务，降低技术难度，减少 重复的工作，从而节省人 力成本，缩短项目周期， 提高软件安全质量。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丰富了金融微服务平台产 品的类别，推进金融微服 务平台产品的持续落地， 提高公司竞争力。</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16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的一站式技术方案， 支持集群，支持多数 据源，支持分布式事 务，支持进行拆分、 扩展、灵活变动等。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27.15%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7.56%</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84,755,461.76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79,675,041.77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84,315,394.86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659" w:line="1" w:lineRule="exact"/>
      </w:pPr>
    </w:p>
    <w:p>
      <w:pPr>
        <w:pStyle w:val="Style33"/>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5</w:t>
      </w:r>
      <w:bookmarkEnd w:id="142"/>
      <w:r>
        <w:rPr>
          <w:color w:val="000000"/>
          <w:spacing w:val="0"/>
          <w:w w:val="100"/>
          <w:position w:val="0"/>
        </w:rPr>
        <w:t>、现金流</w:t>
      </w:r>
      <w:bookmarkEnd w:id="140"/>
      <w:bookmarkEnd w:id="141"/>
      <w:bookmarkEnd w:id="1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650,171,432.11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552,399,189.90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624,345,294.46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541,061,888.28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25,826,137.65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11,337,301.62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33,038,338.83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3,039,293.33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54,448,018.19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26,459,333.41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-21,409,679.36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-23,420,040.08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37,515,170.79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30,100,682.30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-37,515,170.79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-30,100,682.30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24.63%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-35,564,069.15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-44,983,324.71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20.94%</w:t>
            </w:r>
          </w:p>
        </w:tc>
      </w:tr>
    </w:tbl>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公司经营活动产生的现金流量净额</w:t>
      </w:r>
      <w:r>
        <w:rPr>
          <w:rFonts w:ascii="Times New Roman" w:eastAsia="Times New Roman" w:hAnsi="Times New Roman" w:cs="Times New Roman"/>
          <w:color w:val="000000"/>
          <w:spacing w:val="0"/>
          <w:w w:val="100"/>
          <w:position w:val="0"/>
        </w:rPr>
        <w:t>2021</w:t>
      </w:r>
      <w:r>
        <w:rPr>
          <w:color w:val="000000"/>
          <w:spacing w:val="0"/>
          <w:w w:val="100"/>
          <w:position w:val="0"/>
        </w:rPr>
        <w:t>年较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年增加了 </w:t>
      </w:r>
      <w:r>
        <w:rPr>
          <w:rFonts w:ascii="Times New Roman" w:eastAsia="Times New Roman" w:hAnsi="Times New Roman" w:cs="Times New Roman"/>
          <w:color w:val="000000"/>
          <w:spacing w:val="0"/>
          <w:w w:val="100"/>
          <w:position w:val="0"/>
        </w:rPr>
        <w:t>127.80%</w:t>
      </w:r>
      <w:r>
        <w:rPr>
          <w:color w:val="000000"/>
          <w:spacing w:val="0"/>
          <w:w w:val="100"/>
          <w:position w:val="0"/>
        </w:rPr>
        <w:t>，主要是报告期应收账款回款增加所致。</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投资活动现金流入</w:t>
      </w:r>
      <w:r>
        <w:rPr>
          <w:rFonts w:ascii="Times New Roman" w:eastAsia="Times New Roman" w:hAnsi="Times New Roman" w:cs="Times New Roman"/>
          <w:color w:val="000000"/>
          <w:spacing w:val="0"/>
          <w:w w:val="100"/>
          <w:position w:val="0"/>
        </w:rPr>
        <w:t>2021</w:t>
      </w:r>
      <w:r>
        <w:rPr>
          <w:color w:val="000000"/>
          <w:spacing w:val="0"/>
          <w:w w:val="100"/>
          <w:position w:val="0"/>
        </w:rPr>
        <w:t>年较</w:t>
      </w:r>
      <w:r>
        <w:rPr>
          <w:rFonts w:ascii="Times New Roman" w:eastAsia="Times New Roman" w:hAnsi="Times New Roman" w:cs="Times New Roman"/>
          <w:color w:val="000000"/>
          <w:spacing w:val="0"/>
          <w:w w:val="100"/>
          <w:position w:val="0"/>
        </w:rPr>
        <w:t>2020</w:t>
      </w:r>
      <w:r>
        <w:rPr>
          <w:color w:val="000000"/>
          <w:spacing w:val="0"/>
          <w:w w:val="100"/>
          <w:position w:val="0"/>
        </w:rPr>
        <w:t>年增加</w:t>
      </w:r>
      <w:r>
        <w:rPr>
          <w:rFonts w:ascii="Times New Roman" w:eastAsia="Times New Roman" w:hAnsi="Times New Roman" w:cs="Times New Roman"/>
          <w:color w:val="000000"/>
          <w:spacing w:val="0"/>
          <w:w w:val="100"/>
          <w:position w:val="0"/>
        </w:rPr>
        <w:t>987.04%</w:t>
      </w:r>
      <w:r>
        <w:rPr>
          <w:color w:val="000000"/>
          <w:spacing w:val="0"/>
          <w:w w:val="100"/>
          <w:position w:val="0"/>
        </w:rPr>
        <w:t>，主要是报告期收到股权回购款所致。</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投资活动现金流出</w:t>
      </w:r>
      <w:r>
        <w:rPr>
          <w:rFonts w:ascii="Times New Roman" w:eastAsia="Times New Roman" w:hAnsi="Times New Roman" w:cs="Times New Roman"/>
          <w:color w:val="000000"/>
          <w:spacing w:val="0"/>
          <w:w w:val="100"/>
          <w:position w:val="0"/>
        </w:rPr>
        <w:t>2021</w:t>
      </w:r>
      <w:r>
        <w:rPr>
          <w:color w:val="000000"/>
          <w:spacing w:val="0"/>
          <w:w w:val="100"/>
          <w:position w:val="0"/>
        </w:rPr>
        <w:t>年较</w:t>
      </w:r>
      <w:r>
        <w:rPr>
          <w:rFonts w:ascii="Times New Roman" w:eastAsia="Times New Roman" w:hAnsi="Times New Roman" w:cs="Times New Roman"/>
          <w:color w:val="000000"/>
          <w:spacing w:val="0"/>
          <w:w w:val="100"/>
          <w:position w:val="0"/>
        </w:rPr>
        <w:t>2020</w:t>
      </w:r>
      <w:r>
        <w:rPr>
          <w:color w:val="000000"/>
          <w:spacing w:val="0"/>
          <w:w w:val="100"/>
          <w:position w:val="0"/>
        </w:rPr>
        <w:t>年增加</w:t>
      </w:r>
      <w:r>
        <w:rPr>
          <w:rFonts w:ascii="Times New Roman" w:eastAsia="Times New Roman" w:hAnsi="Times New Roman" w:cs="Times New Roman"/>
          <w:color w:val="000000"/>
          <w:spacing w:val="0"/>
          <w:w w:val="100"/>
          <w:position w:val="0"/>
        </w:rPr>
        <w:t>105.78%</w:t>
      </w:r>
      <w:r>
        <w:rPr>
          <w:color w:val="000000"/>
          <w:spacing w:val="0"/>
          <w:w w:val="100"/>
          <w:position w:val="0"/>
        </w:rPr>
        <w:t>，主要是报告期支付成都办公场地购置款所致。</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8"/>
        <w:keepNext/>
        <w:keepLines/>
        <w:widowControl w:val="0"/>
        <w:shd w:val="clear" w:color="auto" w:fill="auto"/>
        <w:tabs>
          <w:tab w:pos="512" w:val="left"/>
        </w:tabs>
        <w:bidi w:val="0"/>
        <w:spacing w:before="0" w:after="36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sz w:val="24"/>
          <w:szCs w:val="24"/>
        </w:rPr>
        <w:t>五</w:t>
      </w:r>
      <w:bookmarkEnd w:id="146"/>
      <w:r>
        <w:rPr>
          <w:color w:val="000000"/>
          <w:spacing w:val="0"/>
          <w:w w:val="100"/>
          <w:position w:val="0"/>
          <w:sz w:val="24"/>
          <w:szCs w:val="24"/>
        </w:rPr>
        <w:t>、</w:t>
        <w:tab/>
        <w:t>非主营业务情况</w:t>
      </w:r>
      <w:bookmarkEnd w:id="144"/>
      <w:bookmarkEnd w:id="145"/>
      <w:bookmarkEnd w:id="147"/>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8"/>
        <w:keepNext/>
        <w:keepLines/>
        <w:widowControl w:val="0"/>
        <w:shd w:val="clear" w:color="auto" w:fill="auto"/>
        <w:tabs>
          <w:tab w:pos="512" w:val="left"/>
        </w:tabs>
        <w:bidi w:val="0"/>
        <w:spacing w:before="0" w:after="36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sz w:val="24"/>
          <w:szCs w:val="24"/>
        </w:rPr>
        <w:t>六</w:t>
      </w:r>
      <w:bookmarkEnd w:id="150"/>
      <w:r>
        <w:rPr>
          <w:color w:val="000000"/>
          <w:spacing w:val="0"/>
          <w:w w:val="100"/>
          <w:position w:val="0"/>
          <w:sz w:val="24"/>
          <w:szCs w:val="24"/>
        </w:rPr>
        <w:t>、</w:t>
        <w:tab/>
        <w:t>资产及负债状况分析</w:t>
      </w:r>
      <w:bookmarkEnd w:id="148"/>
      <w:bookmarkEnd w:id="149"/>
      <w:bookmarkEnd w:id="151"/>
    </w:p>
    <w:p>
      <w:pPr>
        <w:pStyle w:val="Style33"/>
        <w:keepNext/>
        <w:keepLines/>
        <w:widowControl w:val="0"/>
        <w:shd w:val="clear" w:color="auto" w:fill="auto"/>
        <w:bidi w:val="0"/>
        <w:spacing w:before="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1</w:t>
      </w:r>
      <w:bookmarkEnd w:id="154"/>
      <w:r>
        <w:rPr>
          <w:color w:val="000000"/>
          <w:spacing w:val="0"/>
          <w:w w:val="100"/>
          <w:position w:val="0"/>
        </w:rPr>
        <w:t>、资产构成重大变动情况</w:t>
      </w:r>
      <w:bookmarkEnd w:id="152"/>
      <w:bookmarkEnd w:id="153"/>
      <w:bookmarkEnd w:id="1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475,079,214.</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485,160,678.</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231,132,978.</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209,616,066.</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8,709,327.05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9,267,307.89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103,898,380.</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58,495,239.0</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46,747,663.9</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350,242,523.</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316,069,007.</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13,356,132.4</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12,642,155.6</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11,822,396.0</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13,358,884.6</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3,870,591.66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2,712,654.74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4,532,195.41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6,971,635.28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40,671,840.6</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47,076,310.5</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29,689,811.0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30,652,476.8</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2</w:t>
      </w:r>
      <w:bookmarkEnd w:id="158"/>
      <w:r>
        <w:rPr>
          <w:color w:val="000000"/>
          <w:spacing w:val="0"/>
          <w:w w:val="100"/>
          <w:position w:val="0"/>
        </w:rPr>
        <w:t>、以公允价值计量的资产和负债</w:t>
      </w:r>
      <w:bookmarkEnd w:id="156"/>
      <w:bookmarkEnd w:id="157"/>
      <w:bookmarkEnd w:id="15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0"/>
        <w:gridCol w:w="931"/>
        <w:gridCol w:w="1195"/>
        <w:gridCol w:w="1066"/>
        <w:gridCol w:w="912"/>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提的减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47,076,31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-6,404,469. 94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-47,907,724.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40,671,840.6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47,076,31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-6,404,469. 94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-47,907,724.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40,671,840.6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报告期内公司主要资产计量属性发生重大变化的原因说明及对其经营成果和财务状况影响</w:t>
      </w:r>
    </w:p>
    <w:p>
      <w:pPr>
        <w:pStyle w:val="Style33"/>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、截至报告期末的资产权利受限情况</w:t>
      </w:r>
      <w:bookmarkEnd w:id="160"/>
      <w:bookmarkEnd w:id="161"/>
      <w:bookmarkEnd w:id="163"/>
    </w:p>
    <w:p>
      <w:pPr>
        <w:pStyle w:val="Style31"/>
        <w:keepNext w:val="0"/>
        <w:keepLines w:val="0"/>
        <w:widowControl w:val="0"/>
        <w:shd w:val="clear" w:color="auto" w:fill="auto"/>
        <w:bidi w:val="0"/>
        <w:spacing w:before="0" w:after="0" w:line="240" w:lineRule="auto"/>
        <w:ind w:left="480" w:right="0" w:firstLine="0"/>
        <w:jc w:val="left"/>
        <w:rPr>
          <w:sz w:val="24"/>
          <w:szCs w:val="24"/>
        </w:rPr>
      </w:pPr>
      <w:r>
        <w:rPr>
          <w:color w:val="000000"/>
          <w:spacing w:val="0"/>
          <w:w w:val="100"/>
          <w:position w:val="0"/>
          <w:sz w:val="18"/>
          <w:szCs w:val="18"/>
        </w:rPr>
        <w:t>因抵押、质押或冻结等对使用有限制，以及放在境外且资金汇回受到限制的货币资金明细如下</w:t>
      </w:r>
      <w:r>
        <w:rPr>
          <w:color w:val="000000"/>
          <w:spacing w:val="0"/>
          <w:w w:val="100"/>
          <w:position w:val="0"/>
          <w:sz w:val="24"/>
          <w:szCs w:val="24"/>
        </w:rPr>
        <w:t>:</w:t>
      </w:r>
    </w:p>
    <w:tbl>
      <w:tblPr>
        <w:tblOverlap w:val="never"/>
        <w:jc w:val="center"/>
        <w:tblLayout w:type="fixed"/>
      </w:tblPr>
      <w:tblGrid>
        <w:gridCol w:w="4397"/>
        <w:gridCol w:w="2429"/>
        <w:gridCol w:w="24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7, 002, </w:t>
            </w:r>
            <w:r>
              <w:rPr>
                <w:color w:val="000000"/>
                <w:spacing w:val="0"/>
                <w:w w:val="100"/>
                <w:position w:val="0"/>
              </w:rPr>
              <w:t>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2,000,000.00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909,319.21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32,912, </w:t>
            </w:r>
            <w:r>
              <w:rPr>
                <w:color w:val="000000"/>
                <w:spacing w:val="0"/>
                <w:w w:val="100"/>
                <w:position w:val="0"/>
              </w:rPr>
              <w:t>290.21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2,000,000.00</w:t>
            </w:r>
          </w:p>
        </w:tc>
      </w:tr>
    </w:tbl>
    <w:p>
      <w:pPr>
        <w:widowControl w:val="0"/>
        <w:spacing w:after="619" w:line="1" w:lineRule="exact"/>
      </w:pPr>
    </w:p>
    <w:p>
      <w:pPr>
        <w:pStyle w:val="Style28"/>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七</w:t>
      </w:r>
      <w:bookmarkEnd w:id="166"/>
      <w:r>
        <w:rPr>
          <w:color w:val="000000"/>
          <w:spacing w:val="0"/>
          <w:w w:val="100"/>
          <w:position w:val="0"/>
          <w:sz w:val="24"/>
          <w:szCs w:val="24"/>
        </w:rPr>
        <w:t>、投资状况分析</w:t>
      </w:r>
      <w:bookmarkEnd w:id="164"/>
      <w:bookmarkEnd w:id="165"/>
      <w:bookmarkEnd w:id="167"/>
    </w:p>
    <w:p>
      <w:pPr>
        <w:pStyle w:val="Style33"/>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、总体情况</w:t>
      </w:r>
      <w:bookmarkEnd w:id="168"/>
      <w:bookmarkEnd w:id="169"/>
      <w:bookmarkEnd w:id="17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w:t>
        <w:tab/>
        <w:t>报告期内获取的重大的股权投资情况</w:t>
      </w:r>
      <w:bookmarkEnd w:id="172"/>
      <w:bookmarkEnd w:id="173"/>
      <w:bookmarkEnd w:id="17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w:t>
        <w:tab/>
        <w:t>报告期内正在进行的重大的非股权投资情况</w:t>
      </w:r>
      <w:bookmarkEnd w:id="176"/>
      <w:bookmarkEnd w:id="177"/>
      <w:bookmarkEnd w:id="17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4</w:t>
      </w:r>
      <w:bookmarkEnd w:id="182"/>
      <w:r>
        <w:rPr>
          <w:color w:val="000000"/>
          <w:spacing w:val="0"/>
          <w:w w:val="100"/>
          <w:position w:val="0"/>
        </w:rPr>
        <w:t>、</w:t>
        <w:tab/>
        <w:t>以公允价值计量的金融资产</w:t>
      </w:r>
      <w:bookmarkEnd w:id="180"/>
      <w:bookmarkEnd w:id="181"/>
      <w:bookmarkEnd w:id="183"/>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初始投</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计入权益的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累计公允价</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88,579,5</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-6,404,469.</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-47,907,724.</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40,671,84</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88,579,5</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-6,404,469.</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-47,907,724.</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40,671,84</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5</w:t>
      </w:r>
      <w:bookmarkEnd w:id="186"/>
      <w:r>
        <w:rPr>
          <w:color w:val="000000"/>
          <w:spacing w:val="0"/>
          <w:w w:val="100"/>
          <w:position w:val="0"/>
        </w:rPr>
        <w:t>、募集资金使用情况</w:t>
      </w:r>
      <w:bookmarkEnd w:id="184"/>
      <w:bookmarkEnd w:id="185"/>
      <w:bookmarkEnd w:id="18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8"/>
        <w:keepNext/>
        <w:keepLines/>
        <w:widowControl w:val="0"/>
        <w:shd w:val="clear" w:color="auto" w:fill="auto"/>
        <w:tabs>
          <w:tab w:pos="512" w:val="left"/>
        </w:tabs>
        <w:bidi w:val="0"/>
        <w:spacing w:before="0" w:after="30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八</w:t>
      </w:r>
      <w:bookmarkEnd w:id="190"/>
      <w:r>
        <w:rPr>
          <w:color w:val="000000"/>
          <w:spacing w:val="0"/>
          <w:w w:val="100"/>
          <w:position w:val="0"/>
          <w:sz w:val="24"/>
          <w:szCs w:val="24"/>
        </w:rPr>
        <w:t>、</w:t>
        <w:tab/>
        <w:t>重大资产和股权出售</w:t>
      </w:r>
      <w:bookmarkEnd w:id="188"/>
      <w:bookmarkEnd w:id="189"/>
      <w:bookmarkEnd w:id="191"/>
    </w:p>
    <w:p>
      <w:pPr>
        <w:pStyle w:val="Style33"/>
        <w:keepNext/>
        <w:keepLines/>
        <w:widowControl w:val="0"/>
        <w:shd w:val="clear" w:color="auto" w:fill="auto"/>
        <w:tabs>
          <w:tab w:pos="370"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w:t>
        <w:tab/>
        <w:t>出售重大资产情况</w:t>
      </w:r>
      <w:bookmarkEnd w:id="192"/>
      <w:bookmarkEnd w:id="193"/>
      <w:bookmarkEnd w:id="19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出售重大股权情况</w:t>
      </w:r>
      <w:bookmarkEnd w:id="196"/>
      <w:bookmarkEnd w:id="197"/>
      <w:bookmarkEnd w:id="19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512" w:val="left"/>
        </w:tabs>
        <w:bidi w:val="0"/>
        <w:spacing w:before="0" w:after="36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sz w:val="24"/>
          <w:szCs w:val="24"/>
        </w:rPr>
        <w:t>九</w:t>
      </w:r>
      <w:bookmarkEnd w:id="202"/>
      <w:r>
        <w:rPr>
          <w:color w:val="000000"/>
          <w:spacing w:val="0"/>
          <w:w w:val="100"/>
          <w:position w:val="0"/>
          <w:sz w:val="24"/>
          <w:szCs w:val="24"/>
        </w:rPr>
        <w:t>、</w:t>
        <w:tab/>
        <w:t>主要控股参股公司分析</w:t>
      </w:r>
      <w:bookmarkEnd w:id="200"/>
      <w:bookmarkEnd w:id="201"/>
      <w:bookmarkEnd w:id="203"/>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bl>
    <w:tbl>
      <w:tblPr>
        <w:tblOverlap w:val="never"/>
        <w:jc w:val="center"/>
        <w:tblLayout w:type="fixed"/>
      </w:tblPr>
      <w:tblGrid>
        <w:gridCol w:w="3192"/>
        <w:gridCol w:w="3192"/>
        <w:gridCol w:w="319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成都四方融创科技有限公司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月成立，处于经营初创阶段， 对整体生产经营和业绩的影响较小。</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北京四方融创科技有限公司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月成立，处于经营初创阶段， 对整体生产经营和业绩的影响较小。</w:t>
            </w:r>
          </w:p>
        </w:tc>
      </w:tr>
    </w:tbl>
    <w:p>
      <w:pPr>
        <w:widowControl w:val="0"/>
        <w:spacing w:after="659" w:line="1" w:lineRule="exact"/>
      </w:pPr>
    </w:p>
    <w:p>
      <w:pPr>
        <w:pStyle w:val="Style28"/>
        <w:keepNext/>
        <w:keepLines/>
        <w:widowControl w:val="0"/>
        <w:shd w:val="clear" w:color="auto" w:fill="auto"/>
        <w:bidi w:val="0"/>
        <w:spacing w:before="0" w:after="260" w:line="240" w:lineRule="auto"/>
        <w:ind w:left="0" w:right="0" w:firstLine="0"/>
        <w:jc w:val="left"/>
      </w:pPr>
      <w:bookmarkStart w:id="204" w:name="bookmark204"/>
      <w:bookmarkStart w:id="205" w:name="bookmark205"/>
      <w:bookmarkStart w:id="206" w:name="bookmark206"/>
      <w:r>
        <w:rPr>
          <w:color w:val="000000"/>
          <w:spacing w:val="0"/>
          <w:w w:val="100"/>
          <w:position w:val="0"/>
          <w:sz w:val="24"/>
          <w:szCs w:val="24"/>
        </w:rPr>
        <w:t>十、公司控制的结构化主体情况</w:t>
      </w:r>
      <w:bookmarkEnd w:id="204"/>
      <w:bookmarkEnd w:id="205"/>
      <w:bookmarkEnd w:id="206"/>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260" w:line="240" w:lineRule="auto"/>
        <w:ind w:left="0" w:right="0" w:firstLine="0"/>
        <w:jc w:val="left"/>
      </w:pPr>
      <w:bookmarkStart w:id="207" w:name="bookmark207"/>
      <w:bookmarkStart w:id="208" w:name="bookmark208"/>
      <w:bookmarkStart w:id="209" w:name="bookmark209"/>
      <w:r>
        <w:rPr>
          <w:color w:val="000000"/>
          <w:spacing w:val="0"/>
          <w:w w:val="100"/>
          <w:position w:val="0"/>
          <w:sz w:val="24"/>
          <w:szCs w:val="24"/>
        </w:rPr>
        <w:t>十一、公司未来发展的展望</w:t>
      </w:r>
      <w:bookmarkEnd w:id="207"/>
      <w:bookmarkEnd w:id="208"/>
      <w:bookmarkEnd w:id="209"/>
    </w:p>
    <w:p>
      <w:pPr>
        <w:pStyle w:val="Style2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全球金融机构正进入全新的发展时期，传统架构面临挑战、快速响应能力受限、业务连续性诉求不断提高及运营模式升 级。银行业从传统银行向数字化转型，推进传统架构向分布式架构转型，主要业务系统实现平台化、模块化、服务化，逐步 形成对分布式架构的自主开发设计和独立升级能力。加快推动企业级业务平台建设，加强企业架构设计，实现共性业务功能 的标准化、模块化。加强创新技术的前台应用，丰富智能金融场景，强化移动端金融服务系统建设，加强对开放金融服务接 口的统一管理，实现安全可控运行。</w:t>
      </w:r>
    </w:p>
    <w:p>
      <w:pPr>
        <w:pStyle w:val="Style2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金融服务将嵌入到人们生产生活的各个方面，并朝着智能化方向演进。金融科技行业面临巨大的挑战，但也迎来前所未 有的发展机遇。由传统银行向数字银行、智慧银行、敏捷银行、开放银行发展；基于区块链技术的可信数据交换，促进银行 业务模式创新；政策与监管升级需求的推动下，利用大数据、人工智能等技术优化各类风险管理系统，提升风险管控；以分 布式、微服务为基础技术建设及数据治理和应用是银行数字化转型的关键因素。银行业将全面进入数字化时代，新技术能力 成为核心竞争力，银行服务变得无处不在，融入各类生活场景，提供“数字化、个性化、智能化、实时化、综合化”的金融 服务。银行要以客户体验为中心，通过提供全渠道、无缝式、定制化的产品和服务，全面提升客户体验。</w:t>
      </w:r>
    </w:p>
    <w:p>
      <w:pPr>
        <w:pStyle w:val="Style24"/>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公司作为银行的科技赋能者，将把握金融科技的发展趋势，在继续坚持做好传统核心业务的同时，坚持积极投入分布式、 微服务、区块链、数字货币、人工智能等新技术研发与合作。公司将继续积极推动技术领先的金融级分布式架构以及基于分 布式架构、微服务平台产品的持续落地，为包括银行在内的金融机构提供分布式最佳数字化解决方案与交付运维；公司将继 续积极推动区块链技术创新应用的持续落地；保持并深化央行数字货币及跨进支付的先发优势与研发实施经验，迎接数字货 币的业务机遇；继续积极探索区块链+人才服务创新业务模式；继续坚持境内外业务协同发展，深耕港澳市场，拓展国际市 场，实现业务增长。充分发挥公司面向银行数字化转型的技术能力、全方位解决方案与顾问咨询能力、全球服务能力优势， 依托规模化的金融+科技的复合型人才团队，持续实现产品+服务、平台+服务的业务升级和业务模式创新，促进公司业务发 展。</w:t>
      </w:r>
    </w:p>
    <w:p>
      <w:pPr>
        <w:pStyle w:val="Style24"/>
        <w:keepNext w:val="0"/>
        <w:keepLines w:val="0"/>
        <w:widowControl w:val="0"/>
        <w:shd w:val="clear" w:color="auto" w:fill="auto"/>
        <w:bidi w:val="0"/>
        <w:spacing w:before="0" w:after="360" w:line="317" w:lineRule="exact"/>
        <w:ind w:left="0" w:right="0" w:firstLine="360"/>
        <w:jc w:val="left"/>
      </w:pPr>
      <w:r>
        <w:rPr>
          <w:color w:val="000000"/>
          <w:spacing w:val="0"/>
          <w:w w:val="100"/>
          <w:position w:val="0"/>
        </w:rPr>
        <w:t>展望未来，公司将坚持以人为本，技术引领，做好主营业务；围绕创新驱动，谋求业务持续升级转型；将坚持全球化布 局与创新驱动战略，为客户提供更简单、更敏捷、更安全的产品与解决方案，成为海内外金融机构不可或缺的合作伙伴。</w:t>
      </w:r>
    </w:p>
    <w:p>
      <w:pPr>
        <w:pStyle w:val="Style28"/>
        <w:keepNext/>
        <w:keepLines/>
        <w:widowControl w:val="0"/>
        <w:shd w:val="clear" w:color="auto" w:fill="auto"/>
        <w:bidi w:val="0"/>
        <w:spacing w:before="0" w:after="260" w:line="240" w:lineRule="auto"/>
        <w:ind w:left="0" w:right="0" w:firstLine="0"/>
        <w:jc w:val="left"/>
      </w:pPr>
      <w:bookmarkStart w:id="210" w:name="bookmark210"/>
      <w:bookmarkStart w:id="211" w:name="bookmark211"/>
      <w:bookmarkStart w:id="212" w:name="bookmark212"/>
      <w:r>
        <w:rPr>
          <w:color w:val="000000"/>
          <w:spacing w:val="0"/>
          <w:w w:val="100"/>
          <w:position w:val="0"/>
          <w:sz w:val="24"/>
          <w:szCs w:val="24"/>
        </w:rPr>
        <w:t>十二、报告期内接待调研、沟通、采访等活动登记表</w:t>
      </w:r>
      <w:bookmarkEnd w:id="210"/>
      <w:bookmarkEnd w:id="211"/>
      <w:bookmarkEnd w:id="212"/>
    </w:p>
    <w:p>
      <w:pPr>
        <w:pStyle w:val="Style24"/>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540" w:line="240" w:lineRule="auto"/>
        <w:ind w:left="0" w:right="0" w:firstLine="0"/>
        <w:jc w:val="center"/>
      </w:pPr>
      <w:bookmarkStart w:id="213" w:name="bookmark213"/>
      <w:bookmarkStart w:id="214" w:name="bookmark214"/>
      <w:bookmarkStart w:id="215" w:name="bookmark215"/>
      <w:bookmarkStart w:id="216" w:name="bookmark216"/>
      <w:r>
        <w:rPr>
          <w:color w:val="000000"/>
          <w:spacing w:val="0"/>
          <w:w w:val="100"/>
          <w:position w:val="0"/>
        </w:rPr>
        <w:t>第四节公司治理</w:t>
      </w:r>
      <w:bookmarkEnd w:id="214"/>
      <w:bookmarkEnd w:id="215"/>
      <w:bookmarkEnd w:id="216"/>
      <w:bookmarkEnd w:id="213"/>
    </w:p>
    <w:p>
      <w:pPr>
        <w:pStyle w:val="Style28"/>
        <w:keepNext/>
        <w:keepLines/>
        <w:widowControl w:val="0"/>
        <w:shd w:val="clear" w:color="auto" w:fill="auto"/>
        <w:bidi w:val="0"/>
        <w:spacing w:before="0" w:after="2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一</w:t>
      </w:r>
      <w:bookmarkEnd w:id="219"/>
      <w:r>
        <w:rPr>
          <w:color w:val="000000"/>
          <w:spacing w:val="0"/>
          <w:w w:val="100"/>
          <w:position w:val="0"/>
          <w:sz w:val="24"/>
          <w:szCs w:val="24"/>
        </w:rPr>
        <w:t>、公司治理的基本状况</w:t>
      </w:r>
      <w:bookmarkEnd w:id="217"/>
      <w:bookmarkEnd w:id="218"/>
      <w:bookmarkEnd w:id="220"/>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《深圳证券交易所创业板上市公司规范运作指引》等有关法律法规、规范性文件的要求，不断完善公司法人治理结构，建立 健全公司内部管理制度，完善内部控制制度，促进公司规范运作，提高公司治理水平。截至本报告期末，公司股东大会、董 事会及各专门委员会、监事会、独立董事、董事会秘书和管理层均依法运作，切实履行应尽的职责和义务，未出现违法、违 规现象，公司治理的实际状况符合中国证监会、深圳证券交易所等发布的法律法规和规范性文件的要求。</w:t>
      </w:r>
    </w:p>
    <w:p>
      <w:pPr>
        <w:pStyle w:val="Style24"/>
        <w:keepNext w:val="0"/>
        <w:keepLines w:val="0"/>
        <w:widowControl w:val="0"/>
        <w:shd w:val="clear" w:color="auto" w:fill="auto"/>
        <w:tabs>
          <w:tab w:pos="310" w:val="left"/>
        </w:tabs>
        <w:bidi w:val="0"/>
        <w:spacing w:before="0" w:after="0" w:line="314" w:lineRule="exact"/>
        <w:ind w:left="0" w:right="0" w:firstLine="0"/>
        <w:jc w:val="left"/>
      </w:pPr>
      <w:bookmarkStart w:id="221" w:name="bookmark221"/>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关于股东和股东大会</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公司严格按照《公司法》、《公司章程》和《股东大会议事规则》等法律、法规要求，规范股东大会召集、召开、表决 程序，确保所有股东享有平等地位、平等权利，充分行使自己的权利，并承担相应的义务。报告期内，公司共召开</w:t>
      </w:r>
      <w:r>
        <w:rPr>
          <w:rFonts w:ascii="Times New Roman" w:eastAsia="Times New Roman" w:hAnsi="Times New Roman" w:cs="Times New Roman"/>
          <w:color w:val="000000"/>
          <w:spacing w:val="0"/>
          <w:w w:val="100"/>
          <w:position w:val="0"/>
        </w:rPr>
        <w:t>3</w:t>
      </w:r>
      <w:r>
        <w:rPr>
          <w:color w:val="000000"/>
          <w:spacing w:val="0"/>
          <w:w w:val="100"/>
          <w:position w:val="0"/>
        </w:rPr>
        <w:t>次股东 大会，均使用网络投票和现场投票相结合的形式召开，为股东参加股东大会提供便利。</w:t>
      </w:r>
    </w:p>
    <w:p>
      <w:pPr>
        <w:pStyle w:val="Style24"/>
        <w:keepNext w:val="0"/>
        <w:keepLines w:val="0"/>
        <w:widowControl w:val="0"/>
        <w:shd w:val="clear" w:color="auto" w:fill="auto"/>
        <w:tabs>
          <w:tab w:pos="315" w:val="left"/>
        </w:tabs>
        <w:bidi w:val="0"/>
        <w:spacing w:before="0" w:after="0" w:line="314" w:lineRule="exact"/>
        <w:ind w:left="0" w:right="0" w:firstLine="0"/>
        <w:jc w:val="left"/>
      </w:pPr>
      <w:bookmarkStart w:id="222" w:name="bookmark222"/>
      <w:r>
        <w:rPr>
          <w:rFonts w:ascii="Times New Roman" w:eastAsia="Times New Roman" w:hAnsi="Times New Roman" w:cs="Times New Roman"/>
          <w:color w:val="000000"/>
          <w:spacing w:val="0"/>
          <w:w w:val="100"/>
          <w:position w:val="0"/>
        </w:rPr>
        <w:t>2</w:t>
      </w:r>
      <w:bookmarkEnd w:id="222"/>
      <w:r>
        <w:rPr>
          <w:color w:val="000000"/>
          <w:spacing w:val="0"/>
          <w:w w:val="100"/>
          <w:position w:val="0"/>
        </w:rPr>
        <w:t>、</w:t>
        <w:tab/>
      </w:r>
      <w:r>
        <w:rPr>
          <w:color w:val="000000"/>
          <w:spacing w:val="0"/>
          <w:w w:val="100"/>
          <w:position w:val="0"/>
        </w:rPr>
        <w:t>关于公司与控股股东</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公司拥有独立完整的业务和自主经营能力，在业务、人员、资产、机构、财务上独立于控股股东，公司董事会、监事会 和内部机构独立运作。公司控股股东严格规范自己的行为，没有超越股东大会直接或间接干预公司的决策和经营活动。报告 期内</w:t>
      </w:r>
      <w:r>
        <w:rPr>
          <w:color w:val="000000"/>
          <w:spacing w:val="0"/>
          <w:w w:val="100"/>
          <w:position w:val="0"/>
        </w:rPr>
        <w:t>，</w:t>
      </w:r>
      <w:r>
        <w:rPr>
          <w:color w:val="000000"/>
          <w:spacing w:val="0"/>
          <w:w w:val="100"/>
          <w:position w:val="0"/>
        </w:rPr>
        <w:t>公司没有为控股股东提供担保，亦不存在控股股东非经营性占用公司资金的行为。</w:t>
      </w:r>
    </w:p>
    <w:p>
      <w:pPr>
        <w:pStyle w:val="Style24"/>
        <w:keepNext w:val="0"/>
        <w:keepLines w:val="0"/>
        <w:widowControl w:val="0"/>
        <w:shd w:val="clear" w:color="auto" w:fill="auto"/>
        <w:tabs>
          <w:tab w:pos="324" w:val="left"/>
        </w:tabs>
        <w:bidi w:val="0"/>
        <w:spacing w:before="0" w:after="0" w:line="314" w:lineRule="exact"/>
        <w:ind w:left="0" w:right="0" w:firstLine="0"/>
        <w:jc w:val="left"/>
      </w:pPr>
      <w:bookmarkStart w:id="223" w:name="bookmark223"/>
      <w:r>
        <w:rPr>
          <w:rFonts w:ascii="Times New Roman" w:eastAsia="Times New Roman" w:hAnsi="Times New Roman" w:cs="Times New Roman"/>
          <w:color w:val="000000"/>
          <w:spacing w:val="0"/>
          <w:w w:val="100"/>
          <w:position w:val="0"/>
        </w:rPr>
        <w:t>3</w:t>
      </w:r>
      <w:bookmarkEnd w:id="223"/>
      <w:r>
        <w:rPr>
          <w:color w:val="000000"/>
          <w:spacing w:val="0"/>
          <w:w w:val="100"/>
          <w:position w:val="0"/>
        </w:rPr>
        <w:t>、</w:t>
        <w:tab/>
        <w:t>关于董事和董事会</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名，下设立了审计委员会、提名委员会、薪酬与考核委员会、战略委员会。董事 会对股东大会负责，对公司经营活动中的重大事项进行审议并做出决定，或提交股东大会审议，各位董事均能勤勉尽责、诚 信自律，且对公司重大决策事项、战略规划以及内部控制等方面提出建设性意见。公司已制定《董事会议事规则》、《独立 董事制度》等制度确保董事会规范、高效运作和审慎、科学决策。董事会会议严格按照董事会议事规则召开，本报告期内共 召开董事会会议</w:t>
      </w:r>
      <w:r>
        <w:rPr>
          <w:color w:val="000000"/>
          <w:spacing w:val="0"/>
          <w:w w:val="100"/>
          <w:position w:val="0"/>
        </w:rPr>
        <w:t>7</w:t>
      </w:r>
      <w:r>
        <w:rPr>
          <w:color w:val="000000"/>
          <w:spacing w:val="0"/>
          <w:w w:val="100"/>
          <w:position w:val="0"/>
        </w:rPr>
        <w:t>次。</w:t>
      </w:r>
    </w:p>
    <w:p>
      <w:pPr>
        <w:pStyle w:val="Style24"/>
        <w:keepNext w:val="0"/>
        <w:keepLines w:val="0"/>
        <w:widowControl w:val="0"/>
        <w:shd w:val="clear" w:color="auto" w:fill="auto"/>
        <w:tabs>
          <w:tab w:pos="324" w:val="left"/>
        </w:tabs>
        <w:bidi w:val="0"/>
        <w:spacing w:before="0" w:after="0" w:line="314" w:lineRule="exact"/>
        <w:ind w:left="0" w:right="0" w:firstLine="0"/>
        <w:jc w:val="left"/>
      </w:pPr>
      <w:bookmarkStart w:id="224" w:name="bookmark224"/>
      <w:r>
        <w:rPr>
          <w:rFonts w:ascii="Times New Roman" w:eastAsia="Times New Roman" w:hAnsi="Times New Roman" w:cs="Times New Roman"/>
          <w:color w:val="000000"/>
          <w:spacing w:val="0"/>
          <w:w w:val="100"/>
          <w:position w:val="0"/>
        </w:rPr>
        <w:t>4</w:t>
      </w:r>
      <w:bookmarkEnd w:id="224"/>
      <w:r>
        <w:rPr>
          <w:color w:val="000000"/>
          <w:spacing w:val="0"/>
          <w:w w:val="100"/>
          <w:position w:val="0"/>
        </w:rPr>
        <w:t>、</w:t>
        <w:tab/>
      </w:r>
      <w:r>
        <w:rPr>
          <w:color w:val="000000"/>
          <w:spacing w:val="0"/>
          <w:w w:val="100"/>
          <w:position w:val="0"/>
        </w:rPr>
        <w:t>关于监事和监事会</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名，监事会的人数和构成符合法律、法规的要求。各位监事严格按照《公司法》、 《公司章程》和《监事会议事规则》的有关规定认真履行职责，对公司财务状况、重大事项以及公司董事及高级管理人员履 行职责的合法合规性等进行监督，维护公司及股东的合法权益。报告期内，公司共召开</w:t>
      </w:r>
      <w:r>
        <w:rPr>
          <w:rFonts w:ascii="Times New Roman" w:eastAsia="Times New Roman" w:hAnsi="Times New Roman" w:cs="Times New Roman"/>
          <w:color w:val="000000"/>
          <w:spacing w:val="0"/>
          <w:w w:val="100"/>
          <w:position w:val="0"/>
        </w:rPr>
        <w:t>5</w:t>
      </w:r>
      <w:r>
        <w:rPr>
          <w:color w:val="000000"/>
          <w:spacing w:val="0"/>
          <w:w w:val="100"/>
          <w:position w:val="0"/>
        </w:rPr>
        <w:t>次监事会，会议均由监事会主席召 集、召开。</w:t>
      </w:r>
    </w:p>
    <w:p>
      <w:pPr>
        <w:pStyle w:val="Style24"/>
        <w:keepNext w:val="0"/>
        <w:keepLines w:val="0"/>
        <w:widowControl w:val="0"/>
        <w:shd w:val="clear" w:color="auto" w:fill="auto"/>
        <w:tabs>
          <w:tab w:pos="324" w:val="left"/>
        </w:tabs>
        <w:bidi w:val="0"/>
        <w:spacing w:before="0" w:after="0" w:line="314" w:lineRule="exact"/>
        <w:ind w:left="0" w:right="0" w:firstLine="0"/>
        <w:jc w:val="left"/>
      </w:pPr>
      <w:bookmarkStart w:id="225" w:name="bookmark225"/>
      <w:r>
        <w:rPr>
          <w:rFonts w:ascii="Times New Roman" w:eastAsia="Times New Roman" w:hAnsi="Times New Roman" w:cs="Times New Roman"/>
          <w:color w:val="000000"/>
          <w:spacing w:val="0"/>
          <w:w w:val="100"/>
          <w:position w:val="0"/>
        </w:rPr>
        <w:t>5</w:t>
      </w:r>
      <w:bookmarkEnd w:id="225"/>
      <w:r>
        <w:rPr>
          <w:color w:val="000000"/>
          <w:spacing w:val="0"/>
          <w:w w:val="100"/>
          <w:position w:val="0"/>
        </w:rPr>
        <w:t>、</w:t>
        <w:tab/>
        <w:t>关于绩效评价与激励约束机制</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公司已建立企业绩效激励与评价体系，并不断完善。公司董事、监事和高级管理人员的绩效评价标准和激励约束机制公 开、透明，符合法律、法规的规定。公司董事会设立了薪酬与考核委员会，负责薪酬政策及方案的制定与审定。公司高级管 理人员均认真履行工作职责，较好地完成了董事会制定的经营管理任务。</w:t>
      </w:r>
    </w:p>
    <w:p>
      <w:pPr>
        <w:pStyle w:val="Style24"/>
        <w:keepNext w:val="0"/>
        <w:keepLines w:val="0"/>
        <w:widowControl w:val="0"/>
        <w:shd w:val="clear" w:color="auto" w:fill="auto"/>
        <w:tabs>
          <w:tab w:pos="324" w:val="left"/>
        </w:tabs>
        <w:bidi w:val="0"/>
        <w:spacing w:before="0" w:after="0" w:line="314" w:lineRule="exact"/>
        <w:ind w:left="0" w:right="0" w:firstLine="0"/>
        <w:jc w:val="both"/>
      </w:pPr>
      <w:bookmarkStart w:id="226" w:name="bookmark226"/>
      <w:r>
        <w:rPr>
          <w:rFonts w:ascii="Times New Roman" w:eastAsia="Times New Roman" w:hAnsi="Times New Roman" w:cs="Times New Roman"/>
          <w:color w:val="000000"/>
          <w:spacing w:val="0"/>
          <w:w w:val="100"/>
          <w:position w:val="0"/>
        </w:rPr>
        <w:t>6</w:t>
      </w:r>
      <w:bookmarkEnd w:id="226"/>
      <w:r>
        <w:rPr>
          <w:color w:val="000000"/>
          <w:spacing w:val="0"/>
          <w:w w:val="100"/>
          <w:position w:val="0"/>
        </w:rPr>
        <w:t>、</w:t>
        <w:tab/>
        <w:t>关于相关利益者</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公司能够充分尊重和维护相关利益者的合法权益，积极与相关利益者沟通和交流，努力实现社会、股东、公司、员工等 各方利益的协调平衡，共同推动公司持续、稳定、健康发展。</w:t>
      </w:r>
    </w:p>
    <w:p>
      <w:pPr>
        <w:pStyle w:val="Style24"/>
        <w:keepNext w:val="0"/>
        <w:keepLines w:val="0"/>
        <w:widowControl w:val="0"/>
        <w:shd w:val="clear" w:color="auto" w:fill="auto"/>
        <w:tabs>
          <w:tab w:pos="324" w:val="left"/>
        </w:tabs>
        <w:bidi w:val="0"/>
        <w:spacing w:before="0" w:after="0" w:line="314" w:lineRule="exact"/>
        <w:ind w:left="0" w:right="0" w:firstLine="0"/>
        <w:jc w:val="left"/>
      </w:pPr>
      <w:bookmarkStart w:id="227" w:name="bookmark227"/>
      <w:r>
        <w:rPr>
          <w:rFonts w:ascii="Times New Roman" w:eastAsia="Times New Roman" w:hAnsi="Times New Roman" w:cs="Times New Roman"/>
          <w:color w:val="000000"/>
          <w:spacing w:val="0"/>
          <w:w w:val="100"/>
          <w:position w:val="0"/>
        </w:rPr>
        <w:t>7</w:t>
      </w:r>
      <w:bookmarkEnd w:id="227"/>
      <w:r>
        <w:rPr>
          <w:color w:val="000000"/>
          <w:spacing w:val="0"/>
          <w:w w:val="100"/>
          <w:position w:val="0"/>
        </w:rPr>
        <w:t>、</w:t>
        <w:tab/>
        <w:t>关于信息披露与透明度</w:t>
      </w:r>
    </w:p>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公司严格按照有关法律法规和公司《信息披露管理办法》的规定，加强信息披露事务管理，履行信息披露义务，并指定 《证券时报》、《上海证券报》和中国证监会创业板指定信息披露网站（巨潮资讯网</w:t>
      </w:r>
      <w:r>
        <w:rPr>
          <w:rFonts w:ascii="Times New Roman" w:eastAsia="Times New Roman" w:hAnsi="Times New Roman" w:cs="Times New Roman"/>
          <w:color w:val="000000"/>
          <w:spacing w:val="0"/>
          <w:w w:val="100"/>
          <w:position w:val="0"/>
        </w:rPr>
        <w:t>www.cnmfo.com.cn</w:t>
      </w:r>
      <w:r>
        <w:rPr>
          <w:color w:val="000000"/>
          <w:spacing w:val="0"/>
          <w:w w:val="100"/>
          <w:position w:val="0"/>
        </w:rPr>
        <w:t>）</w:t>
      </w:r>
      <w:r>
        <w:rPr>
          <w:color w:val="000000"/>
          <w:spacing w:val="0"/>
          <w:w w:val="100"/>
          <w:position w:val="0"/>
        </w:rPr>
        <w:t>为公司信息披露 报纸和网站，真实、准确、及时、完整的披露信息，确保所有投资者公平获取公司信息。</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公司治理的实际状况法律、行政法规和中国证监会发布的关于上市公司治理的规定存在重大差异的具体情况及原因说明 公司治理的实际状况与法律、行政法规和中国证监会发布的关于上市公司治理的规定不存在重大差异。</w:t>
      </w:r>
    </w:p>
    <w:p>
      <w:pPr>
        <w:pStyle w:val="Style28"/>
        <w:keepNext/>
        <w:keepLines/>
        <w:widowControl w:val="0"/>
        <w:shd w:val="clear" w:color="auto" w:fill="auto"/>
        <w:bidi w:val="0"/>
        <w:spacing w:before="0" w:after="260" w:line="312" w:lineRule="exact"/>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二</w:t>
      </w:r>
      <w:bookmarkEnd w:id="230"/>
      <w:r>
        <w:rPr>
          <w:color w:val="000000"/>
          <w:spacing w:val="0"/>
          <w:w w:val="100"/>
          <w:position w:val="0"/>
          <w:sz w:val="24"/>
          <w:szCs w:val="24"/>
        </w:rPr>
        <w:t>、公司相对于控股股东、实际控制人在保证公司资产、人员、财务、机构、业务等方面的 独立情况</w:t>
      </w:r>
      <w:bookmarkEnd w:id="228"/>
      <w:bookmarkEnd w:id="229"/>
      <w:bookmarkEnd w:id="231"/>
    </w:p>
    <w:p>
      <w:pPr>
        <w:pStyle w:val="Style24"/>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公司控股股东严格按照《公司法》、《证券法》、《深圳证券交易所创业板股票上市规则》、《深圳证券交易所创业板 上市公司规范运作指引》、《公司章程》等规定和要求，不存在超越公司股东大会直接或间接干预公司的决策和经营活动的 行为，未损害公司及其他股东的利益，不存在控股股东占用公司资金的现象，公司亦无为控股股东提供担保的情形。公司拥 有独立完整的业务和自主经营能力，在业务、人员、资产、机构、财务上独立于控股股东，公司董事会、监事会和内部机构 独立运作。</w:t>
      </w:r>
    </w:p>
    <w:p>
      <w:pPr>
        <w:pStyle w:val="Style28"/>
        <w:keepNext/>
        <w:keepLines/>
        <w:widowControl w:val="0"/>
        <w:shd w:val="clear" w:color="auto" w:fill="auto"/>
        <w:bidi w:val="0"/>
        <w:spacing w:before="0" w:after="34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三</w:t>
      </w:r>
      <w:bookmarkEnd w:id="234"/>
      <w:r>
        <w:rPr>
          <w:color w:val="000000"/>
          <w:spacing w:val="0"/>
          <w:w w:val="100"/>
          <w:position w:val="0"/>
          <w:sz w:val="24"/>
          <w:szCs w:val="24"/>
        </w:rPr>
        <w:t>、同业竞争情况</w:t>
      </w:r>
      <w:bookmarkEnd w:id="232"/>
      <w:bookmarkEnd w:id="233"/>
      <w:bookmarkEnd w:id="235"/>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4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四</w:t>
      </w:r>
      <w:bookmarkEnd w:id="238"/>
      <w:r>
        <w:rPr>
          <w:color w:val="000000"/>
          <w:spacing w:val="0"/>
          <w:w w:val="100"/>
          <w:position w:val="0"/>
          <w:sz w:val="24"/>
          <w:szCs w:val="24"/>
        </w:rPr>
        <w:t>、报告期内召开的年度股东大会和临时股东大会的有关情况</w:t>
      </w:r>
      <w:bookmarkEnd w:id="236"/>
      <w:bookmarkEnd w:id="237"/>
      <w:bookmarkEnd w:id="239"/>
    </w:p>
    <w:p>
      <w:pPr>
        <w:pStyle w:val="Style33"/>
        <w:keepNext/>
        <w:keepLines/>
        <w:widowControl w:val="0"/>
        <w:shd w:val="clear" w:color="auto" w:fill="auto"/>
        <w:bidi w:val="0"/>
        <w:spacing w:before="0" w:after="34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、本报告期股东大会情况</w:t>
      </w:r>
      <w:bookmarkEnd w:id="240"/>
      <w:bookmarkEnd w:id="241"/>
      <w:bookmarkEnd w:id="243"/>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年第一次临 时股东大会决议 公告（公告编号： </w:t>
            </w:r>
            <w:r>
              <w:rPr>
                <w:rFonts w:ascii="Times New Roman" w:eastAsia="Times New Roman" w:hAnsi="Times New Roman" w:cs="Times New Roman"/>
                <w:color w:val="000000"/>
                <w:spacing w:val="0"/>
                <w:w w:val="100"/>
                <w:position w:val="0"/>
              </w:rPr>
              <w:t>2021-017</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n</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 会决议公告（公告 编号：</w:t>
            </w:r>
            <w:r>
              <w:rPr>
                <w:rFonts w:ascii="Times New Roman" w:eastAsia="Times New Roman" w:hAnsi="Times New Roman" w:cs="Times New Roman"/>
                <w:color w:val="000000"/>
                <w:spacing w:val="0"/>
                <w:w w:val="100"/>
                <w:position w:val="0"/>
              </w:rPr>
              <w:t>2021-043</w:t>
            </w:r>
            <w:r>
              <w:rPr>
                <w:color w:val="000000"/>
                <w:spacing w:val="0"/>
                <w:w w:val="100"/>
                <w:position w:val="0"/>
              </w:rPr>
              <w:t xml:space="preserve">） </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n</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年第二次临 时股东大会决议 公告（公告编号： </w:t>
            </w:r>
            <w:r>
              <w:rPr>
                <w:rFonts w:ascii="Times New Roman" w:eastAsia="Times New Roman" w:hAnsi="Times New Roman" w:cs="Times New Roman"/>
                <w:color w:val="000000"/>
                <w:spacing w:val="0"/>
                <w:w w:val="100"/>
                <w:position w:val="0"/>
              </w:rPr>
              <w:t>2021-051</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n</w:t>
            </w:r>
          </w:p>
        </w:tc>
      </w:tr>
    </w:tbl>
    <w:p>
      <w:pPr>
        <w:pStyle w:val="Style33"/>
        <w:keepNext/>
        <w:keepLines/>
        <w:widowControl w:val="0"/>
        <w:shd w:val="clear" w:color="auto" w:fill="auto"/>
        <w:bidi w:val="0"/>
        <w:spacing w:before="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2</w:t>
      </w:r>
      <w:bookmarkEnd w:id="246"/>
      <w:r>
        <w:rPr>
          <w:color w:val="000000"/>
          <w:spacing w:val="0"/>
          <w:w w:val="100"/>
          <w:position w:val="0"/>
        </w:rPr>
        <w:t>、表决权恢复的优先股股东请求召开临时股东大会</w:t>
      </w:r>
      <w:bookmarkEnd w:id="244"/>
      <w:bookmarkEnd w:id="245"/>
      <w:bookmarkEnd w:id="24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512" w:val="left"/>
        </w:tabs>
        <w:bidi w:val="0"/>
        <w:spacing w:before="0" w:after="36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五</w:t>
      </w:r>
      <w:bookmarkEnd w:id="250"/>
      <w:r>
        <w:rPr>
          <w:color w:val="000000"/>
          <w:spacing w:val="0"/>
          <w:w w:val="100"/>
          <w:position w:val="0"/>
          <w:sz w:val="24"/>
          <w:szCs w:val="24"/>
        </w:rPr>
        <w:t>、</w:t>
        <w:tab/>
        <w:t>公司具有表决权差异安排</w:t>
      </w:r>
      <w:bookmarkEnd w:id="248"/>
      <w:bookmarkEnd w:id="249"/>
      <w:bookmarkEnd w:id="25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512" w:val="left"/>
        </w:tabs>
        <w:bidi w:val="0"/>
        <w:spacing w:before="0" w:after="36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六</w:t>
      </w:r>
      <w:bookmarkEnd w:id="254"/>
      <w:r>
        <w:rPr>
          <w:color w:val="000000"/>
          <w:spacing w:val="0"/>
          <w:w w:val="100"/>
          <w:position w:val="0"/>
          <w:sz w:val="24"/>
          <w:szCs w:val="24"/>
        </w:rPr>
        <w:t>、</w:t>
        <w:tab/>
        <w:t>红筹架构公司治理情况</w:t>
      </w:r>
      <w:bookmarkEnd w:id="252"/>
      <w:bookmarkEnd w:id="253"/>
      <w:bookmarkEnd w:id="25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6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七</w:t>
      </w:r>
      <w:bookmarkEnd w:id="258"/>
      <w:r>
        <w:rPr>
          <w:color w:val="000000"/>
          <w:spacing w:val="0"/>
          <w:w w:val="100"/>
          <w:position w:val="0"/>
          <w:sz w:val="24"/>
          <w:szCs w:val="24"/>
        </w:rPr>
        <w:t>、董事、监事和高级管理人员情况</w:t>
      </w:r>
      <w:bookmarkEnd w:id="256"/>
      <w:bookmarkEnd w:id="257"/>
      <w:bookmarkEnd w:id="259"/>
    </w:p>
    <w:p>
      <w:pPr>
        <w:pStyle w:val="Style33"/>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、基本情况</w:t>
      </w:r>
      <w:bookmarkEnd w:id="260"/>
      <w:bookmarkEnd w:id="261"/>
      <w:bookmarkEnd w:id="263"/>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80" w:right="0" w:firstLine="0"/>
              <w:jc w:val="left"/>
            </w:pPr>
            <w:r>
              <w:rPr>
                <w:color w:val="000000"/>
                <w:spacing w:val="0"/>
                <w:w w:val="100"/>
                <w:position w:val="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期初 持股 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期末 持股 数</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周志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 总经 理、董 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540,14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540,14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邓修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陈荣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633,35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633,35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苏哲 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麦荣 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黄开 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赵海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邓玉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朱梓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陈淑 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1,227, 608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1,196, 293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公司董事、监事、高级管理人员变动情况 口适用”不适用</w:t>
      </w:r>
    </w:p>
    <w:p>
      <w:pPr>
        <w:pStyle w:val="Style33"/>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2</w:t>
      </w:r>
      <w:bookmarkEnd w:id="266"/>
      <w:r>
        <w:rPr>
          <w:color w:val="000000"/>
          <w:spacing w:val="0"/>
          <w:w w:val="100"/>
          <w:position w:val="0"/>
        </w:rPr>
        <w:t>、任职情况</w:t>
      </w:r>
      <w:bookmarkEnd w:id="264"/>
      <w:bookmarkEnd w:id="265"/>
      <w:bookmarkEnd w:id="26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360" w:line="240" w:lineRule="auto"/>
        <w:ind w:left="0" w:right="0" w:firstLine="0"/>
        <w:jc w:val="left"/>
      </w:pPr>
      <w:bookmarkStart w:id="268" w:name="bookmark268"/>
      <w:r>
        <w:rPr>
          <w:color w:val="000000"/>
          <w:spacing w:val="0"/>
          <w:w w:val="100"/>
          <w:position w:val="0"/>
        </w:rPr>
        <w:t>（</w:t>
      </w:r>
      <w:bookmarkEnd w:id="268"/>
      <w:r>
        <w:rPr>
          <w:color w:val="000000"/>
          <w:spacing w:val="0"/>
          <w:w w:val="100"/>
          <w:position w:val="0"/>
        </w:rPr>
        <w:t>一）董事会成员</w:t>
      </w:r>
    </w:p>
    <w:p>
      <w:pPr>
        <w:pStyle w:val="Style24"/>
        <w:keepNext w:val="0"/>
        <w:keepLines w:val="0"/>
        <w:widowControl w:val="0"/>
        <w:shd w:val="clear" w:color="auto" w:fill="auto"/>
        <w:tabs>
          <w:tab w:pos="284" w:val="left"/>
        </w:tabs>
        <w:bidi w:val="0"/>
        <w:spacing w:before="0" w:after="40" w:line="310" w:lineRule="exact"/>
        <w:ind w:left="0" w:right="0" w:firstLine="0"/>
        <w:jc w:val="both"/>
      </w:pPr>
      <w:bookmarkStart w:id="269" w:name="bookmark269"/>
      <w:r>
        <w:rPr>
          <w:rFonts w:ascii="Times New Roman" w:eastAsia="Times New Roman" w:hAnsi="Times New Roman" w:cs="Times New Roman"/>
          <w:color w:val="000000"/>
          <w:spacing w:val="0"/>
          <w:w w:val="100"/>
          <w:position w:val="0"/>
        </w:rPr>
        <w:t>1</w:t>
      </w:r>
      <w:bookmarkEnd w:id="269"/>
      <w:r>
        <w:rPr>
          <w:color w:val="000000"/>
          <w:spacing w:val="0"/>
          <w:w w:val="100"/>
          <w:position w:val="0"/>
        </w:rPr>
        <w:t>、</w:t>
        <w:tab/>
        <w:t>周志群，男，</w:t>
      </w:r>
      <w:r>
        <w:rPr>
          <w:color w:val="000000"/>
          <w:spacing w:val="0"/>
          <w:w w:val="100"/>
          <w:position w:val="0"/>
        </w:rPr>
        <w:t>1971</w:t>
      </w:r>
      <w:r>
        <w:rPr>
          <w:color w:val="000000"/>
          <w:spacing w:val="0"/>
          <w:w w:val="100"/>
          <w:position w:val="0"/>
        </w:rPr>
        <w:t>年出生，中国国籍，香港永久居民。毕业于香港中文大学，社会科学学士。</w:t>
      </w:r>
      <w:r>
        <w:rPr>
          <w:color w:val="000000"/>
          <w:spacing w:val="0"/>
          <w:w w:val="100"/>
          <w:position w:val="0"/>
        </w:rPr>
        <w:t>1995</w:t>
      </w:r>
      <w:r>
        <w:rPr>
          <w:color w:val="000000"/>
          <w:spacing w:val="0"/>
          <w:w w:val="100"/>
          <w:position w:val="0"/>
        </w:rPr>
        <w:t>年至</w:t>
      </w:r>
      <w:r>
        <w:rPr>
          <w:color w:val="000000"/>
          <w:spacing w:val="0"/>
          <w:w w:val="100"/>
          <w:position w:val="0"/>
        </w:rPr>
        <w:t>2001</w:t>
      </w:r>
      <w:r>
        <w:rPr>
          <w:color w:val="000000"/>
          <w:spacing w:val="0"/>
          <w:w w:val="100"/>
          <w:position w:val="0"/>
        </w:rPr>
        <w:t>年就职 于永丰余精业科技电子（北京）有限公司，任华南区区域经理；</w:t>
      </w:r>
      <w:r>
        <w:rPr>
          <w:color w:val="000000"/>
          <w:spacing w:val="0"/>
          <w:w w:val="100"/>
          <w:position w:val="0"/>
        </w:rPr>
        <w:t>2001</w:t>
      </w:r>
      <w:r>
        <w:rPr>
          <w:color w:val="000000"/>
          <w:spacing w:val="0"/>
          <w:w w:val="100"/>
          <w:position w:val="0"/>
        </w:rPr>
        <w:t>年至</w:t>
      </w:r>
      <w:r>
        <w:rPr>
          <w:color w:val="000000"/>
          <w:spacing w:val="0"/>
          <w:w w:val="100"/>
          <w:position w:val="0"/>
        </w:rPr>
        <w:t>2003</w:t>
      </w:r>
      <w:r>
        <w:rPr>
          <w:color w:val="000000"/>
          <w:spacing w:val="0"/>
          <w:w w:val="100"/>
          <w:position w:val="0"/>
        </w:rPr>
        <w:t>年就职于深圳联合新创科技有限公司，任总经 理。</w:t>
      </w:r>
      <w:r>
        <w:rPr>
          <w:color w:val="000000"/>
          <w:spacing w:val="0"/>
          <w:w w:val="100"/>
          <w:position w:val="0"/>
        </w:rPr>
        <w:t>2003</w:t>
      </w:r>
      <w:r>
        <w:rPr>
          <w:color w:val="000000"/>
          <w:spacing w:val="0"/>
          <w:w w:val="100"/>
          <w:position w:val="0"/>
        </w:rPr>
        <w:t>年至</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月任四方精创董事长、总经理，四方资讯总经理。</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月至今任四方精创董事长。</w:t>
      </w:r>
    </w:p>
    <w:p>
      <w:pPr>
        <w:pStyle w:val="Style24"/>
        <w:keepNext w:val="0"/>
        <w:keepLines w:val="0"/>
        <w:widowControl w:val="0"/>
        <w:shd w:val="clear" w:color="auto" w:fill="auto"/>
        <w:tabs>
          <w:tab w:pos="294" w:val="left"/>
        </w:tabs>
        <w:bidi w:val="0"/>
        <w:spacing w:before="0" w:after="40" w:line="312" w:lineRule="exact"/>
        <w:ind w:left="0" w:right="0" w:firstLine="0"/>
        <w:jc w:val="both"/>
      </w:pPr>
      <w:bookmarkStart w:id="270" w:name="bookmark270"/>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t>李琳，女，</w:t>
      </w:r>
      <w:r>
        <w:rPr>
          <w:color w:val="000000"/>
          <w:spacing w:val="0"/>
          <w:w w:val="100"/>
          <w:position w:val="0"/>
        </w:rPr>
        <w:t>1966</w:t>
      </w:r>
      <w:r>
        <w:rPr>
          <w:color w:val="000000"/>
          <w:spacing w:val="0"/>
          <w:w w:val="100"/>
          <w:position w:val="0"/>
        </w:rPr>
        <w:t>年出生，中国国籍，香港永久居民。毕业于英国</w:t>
      </w:r>
      <w:r>
        <w:rPr>
          <w:color w:val="000000"/>
          <w:spacing w:val="0"/>
          <w:w w:val="100"/>
          <w:position w:val="0"/>
        </w:rPr>
        <w:t>Edinburgh Napier</w:t>
      </w:r>
      <w:r>
        <w:rPr>
          <w:color w:val="000000"/>
          <w:spacing w:val="0"/>
          <w:w w:val="100"/>
          <w:position w:val="0"/>
        </w:rPr>
        <w:t>大学，工商管理硕士。</w:t>
      </w:r>
      <w:r>
        <w:rPr>
          <w:color w:val="000000"/>
          <w:spacing w:val="0"/>
          <w:w w:val="100"/>
          <w:position w:val="0"/>
        </w:rPr>
        <w:t>1989</w:t>
      </w:r>
      <w:r>
        <w:rPr>
          <w:color w:val="000000"/>
          <w:spacing w:val="0"/>
          <w:w w:val="100"/>
          <w:position w:val="0"/>
        </w:rPr>
        <w:t>年至</w:t>
      </w:r>
      <w:r>
        <w:rPr>
          <w:color w:val="000000"/>
          <w:spacing w:val="0"/>
          <w:w w:val="100"/>
          <w:position w:val="0"/>
        </w:rPr>
        <w:t xml:space="preserve">2006 </w:t>
      </w:r>
      <w:r>
        <w:rPr>
          <w:color w:val="000000"/>
          <w:spacing w:val="0"/>
          <w:w w:val="100"/>
          <w:position w:val="0"/>
        </w:rPr>
        <w:t>年先后就职于成都国营</w:t>
      </w:r>
      <w:r>
        <w:rPr>
          <w:color w:val="000000"/>
          <w:spacing w:val="0"/>
          <w:w w:val="100"/>
          <w:position w:val="0"/>
        </w:rPr>
        <w:t>906</w:t>
      </w:r>
      <w:r>
        <w:rPr>
          <w:color w:val="000000"/>
          <w:spacing w:val="0"/>
          <w:w w:val="100"/>
          <w:position w:val="0"/>
        </w:rPr>
        <w:t>厂、美商卫达国际股份有限公司驻广州办事处及深圳企业联合会、企业家协会等单位。</w:t>
      </w:r>
      <w:r>
        <w:rPr>
          <w:color w:val="000000"/>
          <w:spacing w:val="0"/>
          <w:w w:val="100"/>
          <w:position w:val="0"/>
        </w:rPr>
        <w:t>2008</w:t>
      </w:r>
      <w:r>
        <w:rPr>
          <w:color w:val="000000"/>
          <w:spacing w:val="0"/>
          <w:w w:val="100"/>
          <w:position w:val="0"/>
        </w:rPr>
        <w:t>年 任联合资讯董事。</w:t>
      </w:r>
      <w:r>
        <w:rPr>
          <w:color w:val="000000"/>
          <w:spacing w:val="0"/>
          <w:w w:val="100"/>
          <w:position w:val="0"/>
        </w:rPr>
        <w:t>2009</w:t>
      </w:r>
      <w:r>
        <w:rPr>
          <w:color w:val="000000"/>
          <w:spacing w:val="0"/>
          <w:w w:val="100"/>
          <w:position w:val="0"/>
        </w:rPr>
        <w:t>年至</w:t>
      </w:r>
      <w:r>
        <w:rPr>
          <w:color w:val="000000"/>
          <w:spacing w:val="0"/>
          <w:w w:val="100"/>
          <w:position w:val="0"/>
        </w:rPr>
        <w:t>2012</w:t>
      </w:r>
      <w:r>
        <w:rPr>
          <w:color w:val="000000"/>
          <w:spacing w:val="0"/>
          <w:w w:val="100"/>
          <w:position w:val="0"/>
        </w:rPr>
        <w:t>年任四方精创发展部总监并兼任四方资讯副总经理。</w:t>
      </w:r>
      <w:r>
        <w:rPr>
          <w:color w:val="000000"/>
          <w:spacing w:val="0"/>
          <w:w w:val="100"/>
          <w:position w:val="0"/>
        </w:rPr>
        <w:t>2012</w:t>
      </w:r>
      <w:r>
        <w:rPr>
          <w:color w:val="000000"/>
          <w:spacing w:val="0"/>
          <w:w w:val="100"/>
          <w:position w:val="0"/>
        </w:rPr>
        <w:t>年至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月任四方精创董事、 副总经理兼董事会秘书、财务负责人，四方资讯副总经理。</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月任四方精创董事、常务副总经理兼董事会 秘书、财务负责人，四方资讯副总经理。</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月任四方精创董事、总经理兼董事会秘书、财务负责人、四方 资讯总经理。</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月至今任四方精创董事、总经理兼董事会秘书、四方资讯总经理。</w:t>
      </w:r>
    </w:p>
    <w:p>
      <w:pPr>
        <w:pStyle w:val="Style24"/>
        <w:keepNext w:val="0"/>
        <w:keepLines w:val="0"/>
        <w:widowControl w:val="0"/>
        <w:shd w:val="clear" w:color="auto" w:fill="auto"/>
        <w:tabs>
          <w:tab w:pos="294" w:val="left"/>
        </w:tabs>
        <w:bidi w:val="0"/>
        <w:spacing w:before="0" w:after="40" w:line="314" w:lineRule="exact"/>
        <w:ind w:left="0" w:right="0" w:firstLine="0"/>
        <w:jc w:val="both"/>
      </w:pPr>
      <w:bookmarkStart w:id="271" w:name="bookmark271"/>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邓修生，男，</w:t>
      </w:r>
      <w:r>
        <w:rPr>
          <w:rFonts w:ascii="Times New Roman" w:eastAsia="Times New Roman" w:hAnsi="Times New Roman" w:cs="Times New Roman"/>
          <w:color w:val="000000"/>
          <w:spacing w:val="0"/>
          <w:w w:val="100"/>
          <w:position w:val="0"/>
        </w:rPr>
        <w:t>1967</w:t>
      </w:r>
      <w:r>
        <w:rPr>
          <w:color w:val="000000"/>
          <w:spacing w:val="0"/>
          <w:w w:val="100"/>
          <w:position w:val="0"/>
        </w:rPr>
        <w:t>年生，中国台湾居民。毕业于台湾逢甲大学，资讯工程学学士。</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年就职于永丰余精业科 技电子（北京）有限公司任技术部经理，</w:t>
      </w:r>
      <w:r>
        <w:rPr>
          <w:rFonts w:ascii="Times New Roman" w:eastAsia="Times New Roman" w:hAnsi="Times New Roman" w:cs="Times New Roman"/>
          <w:color w:val="000000"/>
          <w:spacing w:val="0"/>
          <w:w w:val="100"/>
          <w:position w:val="0"/>
        </w:rPr>
        <w:t>2001</w:t>
      </w:r>
      <w:r>
        <w:rPr>
          <w:color w:val="000000"/>
          <w:spacing w:val="0"/>
          <w:w w:val="100"/>
          <w:position w:val="0"/>
        </w:rPr>
        <w:t>年入职宏仁华乙信息技术有限公司任技术部经理，</w:t>
      </w:r>
      <w:r>
        <w:rPr>
          <w:rFonts w:ascii="Times New Roman" w:eastAsia="Times New Roman" w:hAnsi="Times New Roman" w:cs="Times New Roman"/>
          <w:color w:val="000000"/>
          <w:spacing w:val="0"/>
          <w:w w:val="100"/>
          <w:position w:val="0"/>
        </w:rPr>
        <w:t>2002</w:t>
      </w:r>
      <w:r>
        <w:rPr>
          <w:color w:val="000000"/>
          <w:spacing w:val="0"/>
          <w:w w:val="100"/>
          <w:position w:val="0"/>
        </w:rPr>
        <w:t>年入职深圳联合新创科 技有限公司任技术总监。</w:t>
      </w:r>
      <w:r>
        <w:rPr>
          <w:rFonts w:ascii="Times New Roman" w:eastAsia="Times New Roman" w:hAnsi="Times New Roman" w:cs="Times New Roman"/>
          <w:color w:val="000000"/>
          <w:spacing w:val="0"/>
          <w:w w:val="100"/>
          <w:position w:val="0"/>
        </w:rPr>
        <w:t>2003</w:t>
      </w:r>
      <w:r>
        <w:rPr>
          <w:color w:val="000000"/>
          <w:spacing w:val="0"/>
          <w:w w:val="100"/>
          <w:position w:val="0"/>
        </w:rPr>
        <w:t>年和周志群共同创立四方深圳担任技术总监。现任四方精创董事。</w:t>
      </w:r>
    </w:p>
    <w:p>
      <w:pPr>
        <w:pStyle w:val="Style24"/>
        <w:keepNext w:val="0"/>
        <w:keepLines w:val="0"/>
        <w:widowControl w:val="0"/>
        <w:shd w:val="clear" w:color="auto" w:fill="auto"/>
        <w:tabs>
          <w:tab w:pos="294" w:val="left"/>
        </w:tabs>
        <w:bidi w:val="0"/>
        <w:spacing w:before="0" w:after="40" w:line="319" w:lineRule="exact"/>
        <w:ind w:left="0" w:right="0" w:firstLine="0"/>
        <w:jc w:val="both"/>
      </w:pPr>
      <w:bookmarkStart w:id="272" w:name="bookmark272"/>
      <w:r>
        <w:rPr>
          <w:rFonts w:ascii="Times New Roman" w:eastAsia="Times New Roman" w:hAnsi="Times New Roman" w:cs="Times New Roman"/>
          <w:color w:val="000000"/>
          <w:spacing w:val="0"/>
          <w:w w:val="100"/>
          <w:position w:val="0"/>
        </w:rPr>
        <w:t>4</w:t>
      </w:r>
      <w:bookmarkEnd w:id="272"/>
      <w:r>
        <w:rPr>
          <w:color w:val="000000"/>
          <w:spacing w:val="0"/>
          <w:w w:val="100"/>
          <w:position w:val="0"/>
        </w:rPr>
        <w:t>、</w:t>
        <w:tab/>
        <w:t>陈荣发，男，</w:t>
      </w:r>
      <w:r>
        <w:rPr>
          <w:color w:val="000000"/>
          <w:spacing w:val="0"/>
          <w:w w:val="100"/>
          <w:position w:val="0"/>
        </w:rPr>
        <w:t>1973</w:t>
      </w:r>
      <w:r>
        <w:rPr>
          <w:color w:val="000000"/>
          <w:spacing w:val="0"/>
          <w:w w:val="100"/>
          <w:position w:val="0"/>
        </w:rPr>
        <w:t>年出生，中国香港居民。毕业于香港中文大学，社会科学学士。</w:t>
      </w:r>
      <w:r>
        <w:rPr>
          <w:color w:val="000000"/>
          <w:spacing w:val="0"/>
          <w:w w:val="100"/>
          <w:position w:val="0"/>
        </w:rPr>
        <w:t>1996</w:t>
      </w:r>
      <w:r>
        <w:rPr>
          <w:color w:val="000000"/>
          <w:spacing w:val="0"/>
          <w:w w:val="100"/>
          <w:position w:val="0"/>
        </w:rPr>
        <w:t>年至</w:t>
      </w:r>
      <w:r>
        <w:rPr>
          <w:color w:val="000000"/>
          <w:spacing w:val="0"/>
          <w:w w:val="100"/>
          <w:position w:val="0"/>
        </w:rPr>
        <w:t>2017</w:t>
      </w:r>
      <w:r>
        <w:rPr>
          <w:color w:val="000000"/>
          <w:spacing w:val="0"/>
          <w:w w:val="100"/>
          <w:position w:val="0"/>
        </w:rPr>
        <w:t>年期间任职至</w:t>
      </w:r>
      <w:r>
        <w:rPr>
          <w:color w:val="000000"/>
          <w:spacing w:val="0"/>
          <w:w w:val="100"/>
          <w:position w:val="0"/>
        </w:rPr>
        <w:t>IBM</w:t>
      </w:r>
      <w:r>
        <w:rPr>
          <w:color w:val="000000"/>
          <w:spacing w:val="0"/>
          <w:w w:val="100"/>
          <w:position w:val="0"/>
        </w:rPr>
        <w:t>中 国/香港有限公司银行业总经理。</w:t>
      </w:r>
      <w:r>
        <w:rPr>
          <w:color w:val="000000"/>
          <w:spacing w:val="0"/>
          <w:w w:val="100"/>
          <w:position w:val="0"/>
        </w:rPr>
        <w:t>2017</w:t>
      </w:r>
      <w:r>
        <w:rPr>
          <w:color w:val="000000"/>
          <w:spacing w:val="0"/>
          <w:w w:val="100"/>
          <w:position w:val="0"/>
        </w:rPr>
        <w:t>年至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月任四方资讯行政总裁，</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月至今任四方精创董事、副总经理、四 方资讯行政总裁、四方泰国总经理。</w:t>
      </w:r>
    </w:p>
    <w:p>
      <w:pPr>
        <w:pStyle w:val="Style24"/>
        <w:keepNext w:val="0"/>
        <w:keepLines w:val="0"/>
        <w:widowControl w:val="0"/>
        <w:shd w:val="clear" w:color="auto" w:fill="auto"/>
        <w:tabs>
          <w:tab w:pos="294" w:val="left"/>
        </w:tabs>
        <w:bidi w:val="0"/>
        <w:spacing w:before="0" w:after="40" w:line="312" w:lineRule="exact"/>
        <w:ind w:left="0" w:right="0" w:firstLine="0"/>
        <w:jc w:val="both"/>
      </w:pPr>
      <w:bookmarkStart w:id="273" w:name="bookmark273"/>
      <w:r>
        <w:rPr>
          <w:rFonts w:ascii="Times New Roman" w:eastAsia="Times New Roman" w:hAnsi="Times New Roman" w:cs="Times New Roman"/>
          <w:color w:val="000000"/>
          <w:spacing w:val="0"/>
          <w:w w:val="100"/>
          <w:position w:val="0"/>
        </w:rPr>
        <w:t>5</w:t>
      </w:r>
      <w:bookmarkEnd w:id="273"/>
      <w:r>
        <w:rPr>
          <w:color w:val="000000"/>
          <w:spacing w:val="0"/>
          <w:w w:val="100"/>
          <w:position w:val="0"/>
        </w:rPr>
        <w:t>、</w:t>
        <w:tab/>
        <w:t>杨时飞，男，</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年出生，中国国籍，香港永久居民。毕业于香港中文大学，工商管理学系学士，专修专业会计科。</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年任职德勤会计师行，</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年出任瑞致达</w:t>
      </w:r>
      <w:r>
        <w:rPr>
          <w:rFonts w:ascii="Times New Roman" w:eastAsia="Times New Roman" w:hAnsi="Times New Roman" w:cs="Times New Roman"/>
          <w:color w:val="000000"/>
          <w:spacing w:val="0"/>
          <w:w w:val="100"/>
          <w:position w:val="0"/>
        </w:rPr>
        <w:t>（</w:t>
      </w:r>
      <w:r>
        <w:rPr>
          <w:color w:val="000000"/>
          <w:spacing w:val="0"/>
          <w:w w:val="100"/>
          <w:position w:val="0"/>
        </w:rPr>
        <w:t>前为</w:t>
      </w:r>
      <w:r>
        <w:rPr>
          <w:rFonts w:ascii="Times New Roman" w:eastAsia="Times New Roman" w:hAnsi="Times New Roman" w:cs="Times New Roman"/>
          <w:color w:val="000000"/>
          <w:spacing w:val="0"/>
          <w:w w:val="100"/>
          <w:position w:val="0"/>
        </w:rPr>
        <w:t>Acceptor Trust Group</w:t>
      </w:r>
      <w:r>
        <w:rPr>
          <w:rFonts w:ascii="Times New Roman" w:eastAsia="Times New Roman" w:hAnsi="Times New Roman" w:cs="Times New Roman"/>
          <w:color w:val="000000"/>
          <w:spacing w:val="0"/>
          <w:w w:val="100"/>
          <w:position w:val="0"/>
        </w:rPr>
        <w:t>）</w:t>
      </w:r>
      <w:r>
        <w:rPr>
          <w:color w:val="000000"/>
          <w:spacing w:val="0"/>
          <w:w w:val="100"/>
          <w:position w:val="0"/>
        </w:rPr>
        <w:t>企业解决方案及管理高级经理，之后 从事高端客户私人信托规划至今超过十年，曾出任恒生银行于巴哈马海外业务代表，花旗私人银行财富管理信托业务助理副 总裁，交通银行信托及财富管理业务高级经理，华泰金融控股</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有限公司财富策划处私人财富管理副总裁。拥有香港会 计师公会注册会计师</w:t>
      </w:r>
      <w:r>
        <w:rPr>
          <w:rFonts w:ascii="Times New Roman" w:eastAsia="Times New Roman" w:hAnsi="Times New Roman" w:cs="Times New Roman"/>
          <w:color w:val="000000"/>
          <w:spacing w:val="0"/>
          <w:w w:val="100"/>
          <w:position w:val="0"/>
        </w:rPr>
        <w:t>（CPA</w:t>
      </w:r>
      <w:r>
        <w:rPr>
          <w:rFonts w:ascii="Times New Roman" w:eastAsia="Times New Roman" w:hAnsi="Times New Roman" w:cs="Times New Roman"/>
          <w:color w:val="000000"/>
          <w:spacing w:val="0"/>
          <w:w w:val="100"/>
          <w:position w:val="0"/>
        </w:rPr>
        <w:t>）</w:t>
      </w:r>
      <w:r>
        <w:rPr>
          <w:color w:val="000000"/>
          <w:spacing w:val="0"/>
          <w:w w:val="100"/>
          <w:position w:val="0"/>
        </w:rPr>
        <w:t>及信托和遗产从业者协会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TEP）</w:t>
      </w:r>
      <w:r>
        <w:rPr>
          <w:color w:val="000000"/>
          <w:spacing w:val="0"/>
          <w:w w:val="100"/>
          <w:position w:val="0"/>
        </w:rPr>
        <w:t>专业资格，</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月起至今任四方精创独立董事。</w:t>
      </w:r>
    </w:p>
    <w:p>
      <w:pPr>
        <w:pStyle w:val="Style24"/>
        <w:keepNext w:val="0"/>
        <w:keepLines w:val="0"/>
        <w:widowControl w:val="0"/>
        <w:shd w:val="clear" w:color="auto" w:fill="auto"/>
        <w:tabs>
          <w:tab w:pos="294" w:val="left"/>
        </w:tabs>
        <w:bidi w:val="0"/>
        <w:spacing w:before="0" w:after="40" w:line="310" w:lineRule="exact"/>
        <w:ind w:left="0" w:right="0" w:firstLine="0"/>
        <w:jc w:val="both"/>
      </w:pPr>
      <w:bookmarkStart w:id="274" w:name="bookmark274"/>
      <w:r>
        <w:rPr>
          <w:rFonts w:ascii="Times New Roman" w:eastAsia="Times New Roman" w:hAnsi="Times New Roman" w:cs="Times New Roman"/>
          <w:color w:val="000000"/>
          <w:spacing w:val="0"/>
          <w:w w:val="100"/>
          <w:position w:val="0"/>
        </w:rPr>
        <w:t>6</w:t>
      </w:r>
      <w:bookmarkEnd w:id="274"/>
      <w:r>
        <w:rPr>
          <w:color w:val="000000"/>
          <w:spacing w:val="0"/>
          <w:w w:val="100"/>
          <w:position w:val="0"/>
        </w:rPr>
        <w:t>、</w:t>
        <w:tab/>
        <w:t>麦荣昌，男，</w:t>
      </w:r>
      <w:r>
        <w:rPr>
          <w:rFonts w:ascii="Times New Roman" w:eastAsia="Times New Roman" w:hAnsi="Times New Roman" w:cs="Times New Roman"/>
          <w:color w:val="000000"/>
          <w:spacing w:val="0"/>
          <w:w w:val="100"/>
          <w:position w:val="0"/>
        </w:rPr>
        <w:t>1961</w:t>
      </w:r>
      <w:r>
        <w:rPr>
          <w:color w:val="000000"/>
          <w:spacing w:val="0"/>
          <w:w w:val="100"/>
          <w:position w:val="0"/>
        </w:rPr>
        <w:t>年出生，中国国籍，香港永久居民，加拿大居留权，毕业于加拿大滑铁卢大学，数学和电脑学士。</w:t>
      </w:r>
      <w:r>
        <w:rPr>
          <w:rFonts w:ascii="Times New Roman" w:eastAsia="Times New Roman" w:hAnsi="Times New Roman" w:cs="Times New Roman"/>
          <w:color w:val="000000"/>
          <w:spacing w:val="0"/>
          <w:w w:val="100"/>
          <w:position w:val="0"/>
        </w:rPr>
        <w:t xml:space="preserve">1985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月期间任职</w:t>
      </w:r>
      <w:r>
        <w:rPr>
          <w:rFonts w:ascii="Times New Roman" w:eastAsia="Times New Roman" w:hAnsi="Times New Roman" w:cs="Times New Roman"/>
          <w:color w:val="000000"/>
          <w:spacing w:val="0"/>
          <w:w w:val="100"/>
          <w:position w:val="0"/>
        </w:rPr>
        <w:t>IBM China/HongKong Limited</w:t>
      </w:r>
      <w:r>
        <w:rPr>
          <w:color w:val="000000"/>
          <w:spacing w:val="0"/>
          <w:w w:val="100"/>
          <w:position w:val="0"/>
        </w:rPr>
        <w:t>营业经理，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月期间任职</w:t>
      </w:r>
      <w:r>
        <w:rPr>
          <w:rFonts w:ascii="Times New Roman" w:eastAsia="Times New Roman" w:hAnsi="Times New Roman" w:cs="Times New Roman"/>
          <w:color w:val="000000"/>
          <w:spacing w:val="0"/>
          <w:w w:val="100"/>
          <w:position w:val="0"/>
        </w:rPr>
        <w:t>Delano Technology Corp.</w:t>
      </w:r>
      <w:r>
        <w:rPr>
          <w:color w:val="000000"/>
          <w:spacing w:val="0"/>
          <w:w w:val="100"/>
          <w:position w:val="0"/>
        </w:rPr>
        <w:t>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月至今任职马己仙国际（亚洲）有限公司行政总裁，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月起至今任四方精创独立董事。</w:t>
      </w:r>
    </w:p>
    <w:p>
      <w:pPr>
        <w:pStyle w:val="Style24"/>
        <w:keepNext w:val="0"/>
        <w:keepLines w:val="0"/>
        <w:widowControl w:val="0"/>
        <w:shd w:val="clear" w:color="auto" w:fill="auto"/>
        <w:tabs>
          <w:tab w:pos="294" w:val="left"/>
        </w:tabs>
        <w:bidi w:val="0"/>
        <w:spacing w:before="0" w:after="40" w:line="317" w:lineRule="exact"/>
        <w:ind w:left="0" w:right="0" w:firstLine="0"/>
        <w:jc w:val="both"/>
      </w:pPr>
      <w:bookmarkStart w:id="275" w:name="bookmark275"/>
      <w:r>
        <w:rPr>
          <w:rFonts w:ascii="Times New Roman" w:eastAsia="Times New Roman" w:hAnsi="Times New Roman" w:cs="Times New Roman"/>
          <w:color w:val="000000"/>
          <w:spacing w:val="0"/>
          <w:w w:val="100"/>
          <w:position w:val="0"/>
        </w:rPr>
        <w:t>7</w:t>
      </w:r>
      <w:bookmarkEnd w:id="275"/>
      <w:r>
        <w:rPr>
          <w:color w:val="000000"/>
          <w:spacing w:val="0"/>
          <w:w w:val="100"/>
          <w:position w:val="0"/>
        </w:rPr>
        <w:t>、</w:t>
        <w:tab/>
        <w:t>苏哲锋，男，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年出生，中国国籍，香港永久居民，毕业于香港科技大学，电子电机工程学士。</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月期间任职香港加贺电子有限公司销售总监；</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月至今任职德龙微电子技术有限公司总经理，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月起至今任四方 精创独立董事。</w:t>
      </w:r>
    </w:p>
    <w:p>
      <w:pPr>
        <w:pStyle w:val="Style24"/>
        <w:keepNext w:val="0"/>
        <w:keepLines w:val="0"/>
        <w:widowControl w:val="0"/>
        <w:shd w:val="clear" w:color="auto" w:fill="auto"/>
        <w:tabs>
          <w:tab w:pos="471" w:val="left"/>
        </w:tabs>
        <w:bidi w:val="0"/>
        <w:spacing w:before="0" w:after="40" w:line="312" w:lineRule="exact"/>
        <w:ind w:left="0" w:right="0" w:firstLine="0"/>
        <w:jc w:val="both"/>
      </w:pPr>
      <w:bookmarkStart w:id="276" w:name="bookmark276"/>
      <w:r>
        <w:rPr>
          <w:color w:val="000000"/>
          <w:spacing w:val="0"/>
          <w:w w:val="100"/>
          <w:position w:val="0"/>
        </w:rPr>
        <w:t>（</w:t>
      </w:r>
      <w:bookmarkEnd w:id="276"/>
      <w:r>
        <w:rPr>
          <w:color w:val="000000"/>
          <w:spacing w:val="0"/>
          <w:w w:val="100"/>
          <w:position w:val="0"/>
        </w:rPr>
        <w:t>二）</w:t>
        <w:tab/>
        <w:t>监事会成员</w:t>
      </w:r>
    </w:p>
    <w:p>
      <w:pPr>
        <w:pStyle w:val="Style24"/>
        <w:keepNext w:val="0"/>
        <w:keepLines w:val="0"/>
        <w:widowControl w:val="0"/>
        <w:shd w:val="clear" w:color="auto" w:fill="auto"/>
        <w:tabs>
          <w:tab w:pos="284" w:val="left"/>
        </w:tabs>
        <w:bidi w:val="0"/>
        <w:spacing w:before="0" w:after="40" w:line="312" w:lineRule="exact"/>
        <w:ind w:left="0" w:right="0" w:firstLine="0"/>
        <w:jc w:val="both"/>
      </w:pPr>
      <w:bookmarkStart w:id="277" w:name="bookmark277"/>
      <w:r>
        <w:rPr>
          <w:color w:val="000000"/>
          <w:spacing w:val="0"/>
          <w:w w:val="100"/>
          <w:position w:val="0"/>
        </w:rPr>
        <w:t>1</w:t>
      </w:r>
      <w:bookmarkEnd w:id="277"/>
      <w:r>
        <w:rPr>
          <w:color w:val="000000"/>
          <w:spacing w:val="0"/>
          <w:w w:val="100"/>
          <w:position w:val="0"/>
        </w:rPr>
        <w:t>、</w:t>
        <w:tab/>
        <w:t>黄开炳，男，</w:t>
      </w:r>
      <w:r>
        <w:rPr>
          <w:color w:val="000000"/>
          <w:spacing w:val="0"/>
          <w:w w:val="100"/>
          <w:position w:val="0"/>
        </w:rPr>
        <w:t>1981</w:t>
      </w:r>
      <w:r>
        <w:rPr>
          <w:color w:val="000000"/>
          <w:spacing w:val="0"/>
          <w:w w:val="100"/>
          <w:position w:val="0"/>
        </w:rPr>
        <w:t>年出生，中国国籍，无境外永久居留权。毕业于华中科技大学办公自动化专业，大专学历。</w:t>
      </w:r>
      <w:r>
        <w:rPr>
          <w:color w:val="000000"/>
          <w:spacing w:val="0"/>
          <w:w w:val="100"/>
          <w:position w:val="0"/>
        </w:rPr>
        <w:t>2003</w:t>
      </w:r>
      <w:r>
        <w:rPr>
          <w:color w:val="000000"/>
          <w:spacing w:val="0"/>
          <w:w w:val="100"/>
          <w:position w:val="0"/>
        </w:rPr>
        <w:t>年 至</w:t>
      </w:r>
      <w:r>
        <w:rPr>
          <w:color w:val="000000"/>
          <w:spacing w:val="0"/>
          <w:w w:val="100"/>
          <w:position w:val="0"/>
        </w:rPr>
        <w:t>2005</w:t>
      </w:r>
      <w:r>
        <w:rPr>
          <w:color w:val="000000"/>
          <w:spacing w:val="0"/>
          <w:w w:val="100"/>
          <w:position w:val="0"/>
        </w:rPr>
        <w:t>年任深圳市联合新创科技有限公司软件工程师。</w:t>
      </w:r>
      <w:r>
        <w:rPr>
          <w:color w:val="000000"/>
          <w:spacing w:val="0"/>
          <w:w w:val="100"/>
          <w:position w:val="0"/>
        </w:rPr>
        <w:t>2005</w:t>
      </w:r>
      <w:r>
        <w:rPr>
          <w:color w:val="000000"/>
          <w:spacing w:val="0"/>
          <w:w w:val="100"/>
          <w:position w:val="0"/>
        </w:rPr>
        <w:t>至今任四方精创系统分析师、项目经理、部门总监，四方精 创北京分公司副总经理，</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月起至今任四方精创监事会主席。</w:t>
      </w:r>
    </w:p>
    <w:p>
      <w:pPr>
        <w:pStyle w:val="Style24"/>
        <w:keepNext w:val="0"/>
        <w:keepLines w:val="0"/>
        <w:widowControl w:val="0"/>
        <w:shd w:val="clear" w:color="auto" w:fill="auto"/>
        <w:tabs>
          <w:tab w:pos="294" w:val="left"/>
        </w:tabs>
        <w:bidi w:val="0"/>
        <w:spacing w:before="0" w:after="40" w:line="314" w:lineRule="exact"/>
        <w:ind w:left="0" w:right="0" w:firstLine="0"/>
        <w:jc w:val="both"/>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邓玉桂，男，</w:t>
      </w:r>
      <w:r>
        <w:rPr>
          <w:color w:val="000000"/>
          <w:spacing w:val="0"/>
          <w:w w:val="100"/>
          <w:position w:val="0"/>
        </w:rPr>
        <w:t>1983</w:t>
      </w:r>
      <w:r>
        <w:rPr>
          <w:color w:val="000000"/>
          <w:spacing w:val="0"/>
          <w:w w:val="100"/>
          <w:position w:val="0"/>
        </w:rPr>
        <w:t>年出生，中国国籍，无境外永久居留权。毕业于湖南工学院计算机科学专业，大专学历。</w:t>
      </w:r>
      <w:r>
        <w:rPr>
          <w:color w:val="000000"/>
          <w:spacing w:val="0"/>
          <w:w w:val="100"/>
          <w:position w:val="0"/>
        </w:rPr>
        <w:t>2003</w:t>
      </w:r>
      <w:r>
        <w:rPr>
          <w:color w:val="000000"/>
          <w:spacing w:val="0"/>
          <w:w w:val="100"/>
          <w:position w:val="0"/>
        </w:rPr>
        <w:t>年至</w:t>
      </w:r>
      <w:r>
        <w:rPr>
          <w:color w:val="000000"/>
          <w:spacing w:val="0"/>
          <w:w w:val="100"/>
          <w:position w:val="0"/>
        </w:rPr>
        <w:t xml:space="preserve">2004 </w:t>
      </w:r>
      <w:r>
        <w:rPr>
          <w:color w:val="000000"/>
          <w:spacing w:val="0"/>
          <w:w w:val="100"/>
          <w:position w:val="0"/>
        </w:rPr>
        <w:t>年任深圳朗思科技公司软件工程师。</w:t>
      </w:r>
      <w:r>
        <w:rPr>
          <w:color w:val="000000"/>
          <w:spacing w:val="0"/>
          <w:w w:val="100"/>
          <w:position w:val="0"/>
        </w:rPr>
        <w:t>2004</w:t>
      </w:r>
      <w:r>
        <w:rPr>
          <w:color w:val="000000"/>
          <w:spacing w:val="0"/>
          <w:w w:val="100"/>
          <w:position w:val="0"/>
        </w:rPr>
        <w:t>年至</w:t>
      </w:r>
      <w:r>
        <w:rPr>
          <w:color w:val="000000"/>
          <w:spacing w:val="0"/>
          <w:w w:val="100"/>
          <w:position w:val="0"/>
        </w:rPr>
        <w:t>2005</w:t>
      </w:r>
      <w:r>
        <w:rPr>
          <w:color w:val="000000"/>
          <w:spacing w:val="0"/>
          <w:w w:val="100"/>
          <w:position w:val="0"/>
        </w:rPr>
        <w:t>年任深圳高正软件公司软件工程师。</w:t>
      </w:r>
      <w:r>
        <w:rPr>
          <w:color w:val="000000"/>
          <w:spacing w:val="0"/>
          <w:w w:val="100"/>
          <w:position w:val="0"/>
        </w:rPr>
        <w:t>2005</w:t>
      </w:r>
      <w:r>
        <w:rPr>
          <w:color w:val="000000"/>
          <w:spacing w:val="0"/>
          <w:w w:val="100"/>
          <w:position w:val="0"/>
        </w:rPr>
        <w:t>年至今任四方精创软件工程 师、系统分析师、项目经理、部门副总监，</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月起至今任四方精创监事。</w:t>
      </w:r>
    </w:p>
    <w:p>
      <w:pPr>
        <w:pStyle w:val="Style24"/>
        <w:keepNext w:val="0"/>
        <w:keepLines w:val="0"/>
        <w:widowControl w:val="0"/>
        <w:shd w:val="clear" w:color="auto" w:fill="auto"/>
        <w:tabs>
          <w:tab w:pos="294" w:val="left"/>
        </w:tabs>
        <w:bidi w:val="0"/>
        <w:spacing w:before="0" w:after="40" w:line="312" w:lineRule="exact"/>
        <w:ind w:left="0" w:right="0" w:firstLine="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t>赵海洋，男，</w:t>
      </w:r>
      <w:r>
        <w:rPr>
          <w:color w:val="000000"/>
          <w:spacing w:val="0"/>
          <w:w w:val="100"/>
          <w:position w:val="0"/>
        </w:rPr>
        <w:t>1979</w:t>
      </w:r>
      <w:r>
        <w:rPr>
          <w:color w:val="000000"/>
          <w:spacing w:val="0"/>
          <w:w w:val="100"/>
          <w:position w:val="0"/>
        </w:rPr>
        <w:t>年出生，中国国籍，无境外永久居留权。毕业于青岛科技大学材料物理专业，本科学历。</w:t>
      </w:r>
      <w:r>
        <w:rPr>
          <w:color w:val="000000"/>
          <w:spacing w:val="0"/>
          <w:w w:val="100"/>
          <w:position w:val="0"/>
        </w:rPr>
        <w:t>2005</w:t>
      </w:r>
      <w:r>
        <w:rPr>
          <w:color w:val="000000"/>
          <w:spacing w:val="0"/>
          <w:w w:val="100"/>
          <w:position w:val="0"/>
        </w:rPr>
        <w:t>年至 今任四方精创软件工程师、系统分析师、项目经理、部门主管，</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月起至今任四方精创监事。</w:t>
      </w:r>
    </w:p>
    <w:p>
      <w:pPr>
        <w:pStyle w:val="Style24"/>
        <w:keepNext w:val="0"/>
        <w:keepLines w:val="0"/>
        <w:widowControl w:val="0"/>
        <w:shd w:val="clear" w:color="auto" w:fill="auto"/>
        <w:tabs>
          <w:tab w:pos="471" w:val="left"/>
        </w:tabs>
        <w:bidi w:val="0"/>
        <w:spacing w:before="0" w:after="40" w:line="312" w:lineRule="exact"/>
        <w:ind w:left="0" w:right="0" w:firstLine="0"/>
        <w:jc w:val="both"/>
      </w:pPr>
      <w:bookmarkStart w:id="280" w:name="bookmark280"/>
      <w:r>
        <w:rPr>
          <w:color w:val="000000"/>
          <w:spacing w:val="0"/>
          <w:w w:val="100"/>
          <w:position w:val="0"/>
        </w:rPr>
        <w:t>（</w:t>
      </w:r>
      <w:bookmarkEnd w:id="280"/>
      <w:r>
        <w:rPr>
          <w:color w:val="000000"/>
          <w:spacing w:val="0"/>
          <w:w w:val="100"/>
          <w:position w:val="0"/>
        </w:rPr>
        <w:t>三）</w:t>
        <w:tab/>
        <w:t>高级管理人员</w:t>
      </w:r>
    </w:p>
    <w:p>
      <w:pPr>
        <w:pStyle w:val="Style24"/>
        <w:keepNext w:val="0"/>
        <w:keepLines w:val="0"/>
        <w:widowControl w:val="0"/>
        <w:shd w:val="clear" w:color="auto" w:fill="auto"/>
        <w:tabs>
          <w:tab w:pos="274" w:val="left"/>
        </w:tabs>
        <w:bidi w:val="0"/>
        <w:spacing w:before="0" w:after="40" w:line="312" w:lineRule="exact"/>
        <w:ind w:left="0" w:right="0" w:firstLine="0"/>
        <w:jc w:val="both"/>
      </w:pPr>
      <w:bookmarkStart w:id="281" w:name="bookmark281"/>
      <w:r>
        <w:rPr>
          <w:color w:val="000000"/>
          <w:spacing w:val="0"/>
          <w:w w:val="100"/>
          <w:position w:val="0"/>
        </w:rPr>
        <w:t>1</w:t>
      </w:r>
      <w:bookmarkEnd w:id="281"/>
      <w:r>
        <w:rPr>
          <w:color w:val="000000"/>
          <w:spacing w:val="0"/>
          <w:w w:val="100"/>
          <w:position w:val="0"/>
        </w:rPr>
        <w:t>、</w:t>
        <w:tab/>
        <w:t>李琳，总经理，董事会秘书，参见本节（一）董事会成员”。</w:t>
      </w:r>
    </w:p>
    <w:p>
      <w:pPr>
        <w:pStyle w:val="Style24"/>
        <w:keepNext w:val="0"/>
        <w:keepLines w:val="0"/>
        <w:widowControl w:val="0"/>
        <w:shd w:val="clear" w:color="auto" w:fill="auto"/>
        <w:tabs>
          <w:tab w:pos="284" w:val="left"/>
        </w:tabs>
        <w:bidi w:val="0"/>
        <w:spacing w:before="0" w:after="40" w:line="312" w:lineRule="exact"/>
        <w:ind w:left="0" w:right="0" w:firstLine="0"/>
        <w:jc w:val="both"/>
      </w:pPr>
      <w:bookmarkStart w:id="282" w:name="bookmark282"/>
      <w:r>
        <w:rPr>
          <w:color w:val="000000"/>
          <w:spacing w:val="0"/>
          <w:w w:val="100"/>
          <w:position w:val="0"/>
        </w:rPr>
        <w:t>2</w:t>
      </w:r>
      <w:bookmarkEnd w:id="282"/>
      <w:r>
        <w:rPr>
          <w:color w:val="000000"/>
          <w:spacing w:val="0"/>
          <w:w w:val="100"/>
          <w:position w:val="0"/>
        </w:rPr>
        <w:t>、</w:t>
        <w:tab/>
        <w:t>陈荣发，副总经理，参见本节（一）董事会成员”。</w:t>
      </w:r>
    </w:p>
    <w:p>
      <w:pPr>
        <w:pStyle w:val="Style24"/>
        <w:keepNext w:val="0"/>
        <w:keepLines w:val="0"/>
        <w:widowControl w:val="0"/>
        <w:shd w:val="clear" w:color="auto" w:fill="auto"/>
        <w:tabs>
          <w:tab w:pos="284" w:val="left"/>
        </w:tabs>
        <w:bidi w:val="0"/>
        <w:spacing w:before="0" w:after="40" w:line="319" w:lineRule="exact"/>
        <w:ind w:left="0" w:right="0" w:firstLine="0"/>
        <w:jc w:val="both"/>
      </w:pPr>
      <w:bookmarkStart w:id="283" w:name="bookmark283"/>
      <w:r>
        <w:rPr>
          <w:color w:val="000000"/>
          <w:spacing w:val="0"/>
          <w:w w:val="100"/>
          <w:position w:val="0"/>
        </w:rPr>
        <w:t>3</w:t>
      </w:r>
      <w:bookmarkEnd w:id="283"/>
      <w:r>
        <w:rPr>
          <w:color w:val="000000"/>
          <w:spacing w:val="0"/>
          <w:w w:val="100"/>
          <w:position w:val="0"/>
        </w:rPr>
        <w:t>、</w:t>
        <w:tab/>
        <w:t>刘童，男，</w:t>
      </w:r>
      <w:r>
        <w:rPr>
          <w:color w:val="000000"/>
          <w:spacing w:val="0"/>
          <w:w w:val="100"/>
          <w:position w:val="0"/>
        </w:rPr>
        <w:t>1982</w:t>
      </w:r>
      <w:r>
        <w:rPr>
          <w:color w:val="000000"/>
          <w:spacing w:val="0"/>
          <w:w w:val="100"/>
          <w:position w:val="0"/>
        </w:rPr>
        <w:t>年出生，中国国籍，无境外永久居留权。毕业于哈尔滨理工大学计算机科学与技术专业，本科学历，工 学学士。</w:t>
      </w:r>
      <w:r>
        <w:rPr>
          <w:color w:val="000000"/>
          <w:spacing w:val="0"/>
          <w:w w:val="100"/>
          <w:position w:val="0"/>
        </w:rPr>
        <w:t>2004</w:t>
      </w:r>
      <w:r>
        <w:rPr>
          <w:color w:val="000000"/>
          <w:spacing w:val="0"/>
          <w:w w:val="100"/>
          <w:position w:val="0"/>
        </w:rPr>
        <w:t>年至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月任四方精创系统分析师、项目经理、事业群总经理、首席开发总监。现任四方精创副总经理兼 首席开发总监。</w:t>
      </w:r>
    </w:p>
    <w:p>
      <w:pPr>
        <w:pStyle w:val="Style24"/>
        <w:keepNext w:val="0"/>
        <w:keepLines w:val="0"/>
        <w:widowControl w:val="0"/>
        <w:shd w:val="clear" w:color="auto" w:fill="auto"/>
        <w:tabs>
          <w:tab w:pos="289" w:val="left"/>
        </w:tabs>
        <w:bidi w:val="0"/>
        <w:spacing w:before="0" w:after="0" w:line="319" w:lineRule="exact"/>
        <w:ind w:left="0" w:right="0" w:firstLine="0"/>
        <w:jc w:val="both"/>
      </w:pPr>
      <w:bookmarkStart w:id="284" w:name="bookmark284"/>
      <w:r>
        <w:rPr>
          <w:color w:val="000000"/>
          <w:spacing w:val="0"/>
          <w:w w:val="100"/>
          <w:position w:val="0"/>
        </w:rPr>
        <w:t>4</w:t>
      </w:r>
      <w:bookmarkEnd w:id="284"/>
      <w:r>
        <w:rPr>
          <w:color w:val="000000"/>
          <w:spacing w:val="0"/>
          <w:w w:val="100"/>
          <w:position w:val="0"/>
        </w:rPr>
        <w:t>、</w:t>
        <w:tab/>
        <w:t>朱梓昕，女，</w:t>
      </w:r>
      <w:r>
        <w:rPr>
          <w:color w:val="000000"/>
          <w:spacing w:val="0"/>
          <w:w w:val="100"/>
          <w:position w:val="0"/>
        </w:rPr>
        <w:t>1987</w:t>
      </w:r>
      <w:r>
        <w:rPr>
          <w:color w:val="000000"/>
          <w:spacing w:val="0"/>
          <w:w w:val="100"/>
          <w:position w:val="0"/>
        </w:rPr>
        <w:t>年出生，中国国籍，无境外永久居留权。毕业于河北经贸大学人力资源管理专业，本科学历，管理学</w:t>
        <w:br w:type="page"/>
      </w:r>
      <w:r>
        <w:rPr>
          <w:color w:val="000000"/>
          <w:spacing w:val="0"/>
          <w:w w:val="100"/>
          <w:position w:val="0"/>
        </w:rPr>
        <w:t>学士。曾任职唐山镍金实业有限公司，汉能薄膜太阳能有限公司。</w:t>
      </w:r>
      <w:r>
        <w:rPr>
          <w:color w:val="000000"/>
          <w:spacing w:val="0"/>
          <w:w w:val="100"/>
          <w:position w:val="0"/>
        </w:rPr>
        <w:t>2019</w:t>
      </w:r>
      <w:r>
        <w:rPr>
          <w:color w:val="000000"/>
          <w:spacing w:val="0"/>
          <w:w w:val="100"/>
          <w:position w:val="0"/>
        </w:rPr>
        <w:t>年至</w:t>
      </w:r>
      <w:r>
        <w:rPr>
          <w:color w:val="000000"/>
          <w:spacing w:val="0"/>
          <w:w w:val="100"/>
          <w:position w:val="0"/>
        </w:rPr>
        <w:t>2020</w:t>
      </w:r>
      <w:r>
        <w:rPr>
          <w:color w:val="000000"/>
          <w:spacing w:val="0"/>
          <w:w w:val="100"/>
          <w:position w:val="0"/>
        </w:rPr>
        <w:t>年任深圳海韵网络科技服务有限公司人力资 源经理。</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月任四方精创人力资源经理，现任四方精创副总经理兼人力资源经理。</w:t>
      </w:r>
    </w:p>
    <w:p>
      <w:pPr>
        <w:pStyle w:val="Style24"/>
        <w:keepNext w:val="0"/>
        <w:keepLines w:val="0"/>
        <w:widowControl w:val="0"/>
        <w:shd w:val="clear" w:color="auto" w:fill="auto"/>
        <w:bidi w:val="0"/>
        <w:spacing w:before="0" w:after="840" w:line="319" w:lineRule="exact"/>
        <w:ind w:left="0" w:right="0" w:firstLine="0"/>
        <w:jc w:val="both"/>
      </w:pPr>
      <w:bookmarkStart w:id="285" w:name="bookmark285"/>
      <w:r>
        <w:rPr>
          <w:color w:val="000000"/>
          <w:spacing w:val="0"/>
          <w:w w:val="100"/>
          <w:position w:val="0"/>
        </w:rPr>
        <w:t>5</w:t>
      </w:r>
      <w:bookmarkEnd w:id="285"/>
      <w:r>
        <w:rPr>
          <w:color w:val="000000"/>
          <w:spacing w:val="0"/>
          <w:w w:val="100"/>
          <w:position w:val="0"/>
        </w:rPr>
        <w:t>、陈淑玲，女，</w:t>
      </w:r>
      <w:r>
        <w:rPr>
          <w:color w:val="000000"/>
          <w:spacing w:val="0"/>
          <w:w w:val="100"/>
          <w:position w:val="0"/>
        </w:rPr>
        <w:t>1986</w:t>
      </w:r>
      <w:r>
        <w:rPr>
          <w:color w:val="000000"/>
          <w:spacing w:val="0"/>
          <w:w w:val="100"/>
          <w:position w:val="0"/>
        </w:rPr>
        <w:t>年出生，中国国籍，无境外永久居留权。毕业于英国伦敦大学会计学专业，理学硕士学位。特许公认 会计师</w:t>
      </w:r>
      <w:r>
        <w:rPr>
          <w:color w:val="000000"/>
          <w:spacing w:val="0"/>
          <w:w w:val="100"/>
          <w:position w:val="0"/>
        </w:rPr>
        <w:t>（ACCA）</w:t>
      </w:r>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月任新加坡</w:t>
      </w:r>
      <w:r>
        <w:rPr>
          <w:color w:val="000000"/>
          <w:spacing w:val="0"/>
          <w:w w:val="100"/>
          <w:position w:val="0"/>
        </w:rPr>
        <w:t>SC GLOBAL DEVELOPMENT</w:t>
      </w:r>
      <w:r>
        <w:rPr>
          <w:color w:val="000000"/>
          <w:spacing w:val="0"/>
          <w:w w:val="100"/>
          <w:position w:val="0"/>
        </w:rPr>
        <w:t>公司财务主管岗位。</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 方精创财务经理，现任四方精创财务负责人兼财务经理。</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tbl>
      <w:tblPr>
        <w:tblOverlap w:val="never"/>
        <w:jc w:val="center"/>
        <w:tblLayout w:type="fixed"/>
      </w:tblPr>
      <w:tblGrid>
        <w:gridCol w:w="1224"/>
        <w:gridCol w:w="3230"/>
        <w:gridCol w:w="1075"/>
        <w:gridCol w:w="1214"/>
        <w:gridCol w:w="1344"/>
        <w:gridCol w:w="149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邓修生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在其他单位任职情况</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tbl>
      <w:tblPr>
        <w:tblOverlap w:val="never"/>
        <w:jc w:val="center"/>
        <w:tblLayout w:type="fixed"/>
      </w:tblPr>
      <w:tblGrid>
        <w:gridCol w:w="1238"/>
        <w:gridCol w:w="3278"/>
        <w:gridCol w:w="1090"/>
        <w:gridCol w:w="1229"/>
        <w:gridCol w:w="1363"/>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位担任的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否领取报酬津</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4"/>
        <w:keepNext w:val="0"/>
        <w:keepLines w:val="0"/>
        <w:widowControl w:val="0"/>
        <w:shd w:val="clear" w:color="auto" w:fill="auto"/>
        <w:bidi w:val="0"/>
        <w:spacing w:before="0" w:after="360" w:line="350" w:lineRule="exact"/>
        <w:ind w:left="0" w:right="0" w:firstLine="0"/>
        <w:jc w:val="both"/>
      </w:pPr>
      <w:r>
        <w:rPr>
          <w:color w:val="000000"/>
          <w:spacing w:val="0"/>
          <w:w w:val="100"/>
          <w:position w:val="0"/>
        </w:rPr>
        <w:t>公司现任及报告期内离任董事、监事和高级管理人员近三年证券监管机构处罚的情况 口适用”不适用</w:t>
      </w:r>
    </w:p>
    <w:p>
      <w:pPr>
        <w:pStyle w:val="Style33"/>
        <w:keepNext/>
        <w:keepLines/>
        <w:widowControl w:val="0"/>
        <w:shd w:val="clear" w:color="auto" w:fill="auto"/>
        <w:bidi w:val="0"/>
        <w:spacing w:before="0" w:line="240" w:lineRule="auto"/>
        <w:ind w:left="0" w:right="0" w:firstLine="0"/>
        <w:jc w:val="both"/>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3</w:t>
      </w:r>
      <w:bookmarkEnd w:id="288"/>
      <w:r>
        <w:rPr>
          <w:color w:val="000000"/>
          <w:spacing w:val="0"/>
          <w:w w:val="100"/>
          <w:position w:val="0"/>
        </w:rPr>
        <w:t>、董事、监事、高级管理人员报酬情况</w:t>
      </w:r>
      <w:bookmarkEnd w:id="286"/>
      <w:bookmarkEnd w:id="287"/>
      <w:bookmarkEnd w:id="289"/>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tabs>
          <w:tab w:pos="334" w:val="left"/>
        </w:tabs>
        <w:bidi w:val="0"/>
        <w:spacing w:before="0" w:after="100" w:line="240" w:lineRule="auto"/>
        <w:ind w:left="0" w:right="0" w:firstLine="0"/>
        <w:jc w:val="both"/>
      </w:pPr>
      <w:bookmarkStart w:id="290" w:name="bookmark290"/>
      <w:r>
        <w:rPr>
          <w:rFonts w:ascii="Times New Roman" w:eastAsia="Times New Roman" w:hAnsi="Times New Roman" w:cs="Times New Roman"/>
          <w:color w:val="000000"/>
          <w:spacing w:val="0"/>
          <w:w w:val="100"/>
          <w:position w:val="0"/>
        </w:rPr>
        <w:t>1</w:t>
      </w:r>
      <w:bookmarkEnd w:id="290"/>
      <w:r>
        <w:rPr>
          <w:color w:val="000000"/>
          <w:spacing w:val="0"/>
          <w:w w:val="100"/>
          <w:position w:val="0"/>
        </w:rPr>
        <w:t>、</w:t>
        <w:tab/>
        <w:t>董事、监事、高级管理人员报酬决策程序：</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董事、监事及高级管理人员的薪酬方案由董事会薪酬与考核委员会拟定，经董事会、监事会、股东大会审议通过后实施。</w:t>
      </w:r>
    </w:p>
    <w:p>
      <w:pPr>
        <w:pStyle w:val="Style24"/>
        <w:keepNext w:val="0"/>
        <w:keepLines w:val="0"/>
        <w:widowControl w:val="0"/>
        <w:shd w:val="clear" w:color="auto" w:fill="auto"/>
        <w:tabs>
          <w:tab w:pos="354" w:val="left"/>
        </w:tabs>
        <w:bidi w:val="0"/>
        <w:spacing w:before="0" w:after="100" w:line="240" w:lineRule="auto"/>
        <w:ind w:left="0" w:right="0" w:firstLine="0"/>
        <w:jc w:val="both"/>
      </w:pPr>
      <w:bookmarkStart w:id="291" w:name="bookmark291"/>
      <w:r>
        <w:rPr>
          <w:rFonts w:ascii="Times New Roman" w:eastAsia="Times New Roman" w:hAnsi="Times New Roman" w:cs="Times New Roman"/>
          <w:color w:val="000000"/>
          <w:spacing w:val="0"/>
          <w:w w:val="100"/>
          <w:position w:val="0"/>
        </w:rPr>
        <w:t>2</w:t>
      </w:r>
      <w:bookmarkEnd w:id="291"/>
      <w:r>
        <w:rPr>
          <w:color w:val="000000"/>
          <w:spacing w:val="0"/>
          <w:w w:val="100"/>
          <w:position w:val="0"/>
        </w:rPr>
        <w:t>、</w:t>
        <w:tab/>
        <w:t>董事、监事、高级管理人员报酬确定依据：</w:t>
      </w: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董事、监事和高级管理人员的报酬按照公司规定，结合其经营绩效、工作能力、岗位职责等考核确定并发放。</w:t>
      </w:r>
    </w:p>
    <w:p>
      <w:pPr>
        <w:pStyle w:val="Style24"/>
        <w:keepNext w:val="0"/>
        <w:keepLines w:val="0"/>
        <w:widowControl w:val="0"/>
        <w:shd w:val="clear" w:color="auto" w:fill="auto"/>
        <w:bidi w:val="0"/>
        <w:spacing w:before="0" w:line="240" w:lineRule="auto"/>
        <w:ind w:left="0" w:right="0" w:firstLine="0"/>
        <w:jc w:val="left"/>
      </w:pPr>
      <w:bookmarkStart w:id="292" w:name="bookmark292"/>
      <w:r>
        <w:rPr>
          <w:rFonts w:ascii="Times New Roman" w:eastAsia="Times New Roman" w:hAnsi="Times New Roman" w:cs="Times New Roman"/>
          <w:color w:val="000000"/>
          <w:spacing w:val="0"/>
          <w:w w:val="100"/>
          <w:position w:val="0"/>
        </w:rPr>
        <w:t>3</w:t>
      </w:r>
      <w:bookmarkEnd w:id="292"/>
      <w:r>
        <w:rPr>
          <w:color w:val="000000"/>
          <w:spacing w:val="0"/>
          <w:w w:val="100"/>
          <w:position w:val="0"/>
        </w:rPr>
        <w:t>、董事、监事和高级管理人员报酬实际支付情况：</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本报告期实际支付董事、监事和高级管理人员报酬总额为</w:t>
      </w:r>
      <w:r>
        <w:rPr>
          <w:color w:val="000000"/>
          <w:spacing w:val="0"/>
          <w:w w:val="100"/>
          <w:position w:val="0"/>
        </w:rPr>
        <w:t xml:space="preserve">889. </w:t>
      </w:r>
      <w:r>
        <w:rPr>
          <w:color w:val="000000"/>
          <w:spacing w:val="0"/>
          <w:w w:val="100"/>
          <w:position w:val="0"/>
        </w:rPr>
        <w:t>96</w:t>
      </w:r>
      <w:r>
        <w:rPr>
          <w:color w:val="000000"/>
          <w:spacing w:val="0"/>
          <w:w w:val="100"/>
          <w:position w:val="0"/>
        </w:rPr>
        <w:t>万元。</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邓修生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现任（董事）</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离任副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杨时飞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苏哲锋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麦荣昌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黄开炳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邓玉桂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朱梓昕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陈淑玲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889.96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八</w:t>
      </w:r>
      <w:bookmarkEnd w:id="295"/>
      <w:r>
        <w:rPr>
          <w:color w:val="000000"/>
          <w:spacing w:val="0"/>
          <w:w w:val="100"/>
          <w:position w:val="0"/>
          <w:sz w:val="24"/>
          <w:szCs w:val="24"/>
        </w:rPr>
        <w:t>、报告期内董事履行职责的情况</w:t>
      </w:r>
      <w:bookmarkEnd w:id="293"/>
      <w:bookmarkEnd w:id="294"/>
      <w:bookmarkEnd w:id="296"/>
    </w:p>
    <w:p>
      <w:pPr>
        <w:pStyle w:val="Style33"/>
        <w:keepNext/>
        <w:keepLines/>
        <w:widowControl w:val="0"/>
        <w:shd w:val="clear" w:color="auto" w:fill="auto"/>
        <w:bidi w:val="0"/>
        <w:spacing w:before="0" w:after="32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、本报告期董事会情况</w:t>
      </w:r>
      <w:bookmarkEnd w:id="297"/>
      <w:bookmarkEnd w:id="298"/>
      <w:bookmarkEnd w:id="300"/>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第四届董事会第一次会议决 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第四届董事会第二次会议决 议</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第四届董事会第三次会议决 议</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第四届董事会第四次会议决 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第四届董事会第五次会议决 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第四届董事会第六次会议决 议</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第四届董事会第七次会议决 议</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、董事出席董事会及股东大会的情况</w:t>
      </w:r>
      <w:bookmarkEnd w:id="301"/>
      <w:bookmarkEnd w:id="302"/>
      <w:bookmarkEnd w:id="304"/>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以通讯方式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邓修生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杨时飞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麦荣昌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苏哲锋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连续两次未亲自出席董事会的说明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3</w:t>
      </w:r>
      <w:bookmarkEnd w:id="307"/>
      <w:r>
        <w:rPr>
          <w:color w:val="000000"/>
          <w:spacing w:val="0"/>
          <w:w w:val="100"/>
          <w:position w:val="0"/>
        </w:rPr>
        <w:t>、</w:t>
        <w:tab/>
        <w:t>董事对公司有关事项提出异议的情况</w:t>
      </w:r>
      <w:bookmarkEnd w:id="305"/>
      <w:bookmarkEnd w:id="306"/>
      <w:bookmarkEnd w:id="30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4</w:t>
      </w:r>
      <w:bookmarkEnd w:id="311"/>
      <w:r>
        <w:rPr>
          <w:color w:val="000000"/>
          <w:spacing w:val="0"/>
          <w:w w:val="100"/>
          <w:position w:val="0"/>
        </w:rPr>
        <w:t>、</w:t>
        <w:tab/>
        <w:t>董事履行职责的其他说明</w:t>
      </w:r>
      <w:bookmarkEnd w:id="309"/>
      <w:bookmarkEnd w:id="310"/>
      <w:bookmarkEnd w:id="31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r>
        <w:br w:type="page"/>
      </w:r>
    </w:p>
    <w:p>
      <w:pPr>
        <w:pStyle w:val="Style28"/>
        <w:keepNext/>
        <w:keepLines/>
        <w:widowControl w:val="0"/>
        <w:shd w:val="clear" w:color="auto" w:fill="auto"/>
        <w:bidi w:val="0"/>
        <w:spacing w:before="0" w:after="30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九</w:t>
      </w:r>
      <w:bookmarkEnd w:id="315"/>
      <w:r>
        <w:rPr>
          <w:color w:val="000000"/>
          <w:spacing w:val="0"/>
          <w:w w:val="100"/>
          <w:position w:val="0"/>
          <w:sz w:val="24"/>
          <w:szCs w:val="24"/>
        </w:rPr>
        <w:t>、董事会下设专门委员会在报告期内的情况</w:t>
      </w:r>
      <w:bookmarkEnd w:id="313"/>
      <w:bookmarkEnd w:id="314"/>
      <w:bookmarkEnd w:id="316"/>
    </w:p>
    <w:tbl>
      <w:tblPr>
        <w:tblOverlap w:val="never"/>
        <w:jc w:val="center"/>
        <w:tblLayout w:type="fixed"/>
      </w:tblPr>
      <w:tblGrid>
        <w:gridCol w:w="1205"/>
        <w:gridCol w:w="1195"/>
        <w:gridCol w:w="1195"/>
        <w:gridCol w:w="1195"/>
        <w:gridCol w:w="1195"/>
        <w:gridCol w:w="1195"/>
        <w:gridCol w:w="1195"/>
        <w:gridCol w:w="120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提出的重要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异议事项具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体情况（如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会审计委员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w:t>
            </w: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一次会仪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李琳、麦荣 昌、杨时飞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 于审议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年年度报告 全文及其摘 要的议案》； 二）《关于 审议</w:t>
            </w:r>
            <w:r>
              <w:rPr>
                <w:rFonts w:ascii="Times New Roman" w:eastAsia="Times New Roman" w:hAnsi="Times New Roman" w:cs="Times New Roman"/>
                <w:color w:val="000000"/>
                <w:spacing w:val="0"/>
                <w:w w:val="100"/>
                <w:position w:val="0"/>
              </w:rPr>
              <w:t>2020</w:t>
            </w:r>
            <w:r>
              <w:rPr>
                <w:color w:val="000000"/>
                <w:spacing w:val="0"/>
                <w:w w:val="100"/>
                <w:position w:val="0"/>
              </w:rPr>
              <w:t>年 度内部控制 自我评价报 告的议案》； （三）《关 于审议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年度财务决 算报告的议 案》；（四） 《关于审议 </w:t>
            </w:r>
            <w:r>
              <w:rPr>
                <w:rFonts w:ascii="Times New Roman" w:eastAsia="Times New Roman" w:hAnsi="Times New Roman" w:cs="Times New Roman"/>
                <w:color w:val="000000"/>
                <w:spacing w:val="0"/>
                <w:w w:val="100"/>
                <w:position w:val="0"/>
              </w:rPr>
              <w:t>2020</w:t>
            </w:r>
            <w:r>
              <w:rPr>
                <w:color w:val="000000"/>
                <w:spacing w:val="0"/>
                <w:w w:val="100"/>
                <w:position w:val="0"/>
              </w:rPr>
              <w:t>年度利 润分配的议 案》；（五） 《关于公司 续聘会计师 事务所的议 案》；（六） 《关于会计 政策变更的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会审计委员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w:t>
            </w: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李琳、麦荣 昌、杨时飞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 于审议</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 报告全文的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会审计委员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w:t>
            </w: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李琳、麦荣 昌、杨时飞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（一）《关</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于审议</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&lt;2021</w:t>
            </w:r>
            <w:r>
              <w:rPr>
                <w:color w:val="000000"/>
                <w:spacing w:val="0"/>
                <w:w w:val="100"/>
                <w:position w:val="0"/>
              </w:rPr>
              <w:t>年半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及其摘要的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李琳、麦荣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05"/>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会审计委员 会</w:t>
            </w:r>
            <w:r>
              <w:rPr>
                <w:rFonts w:ascii="Times New Roman" w:eastAsia="Times New Roman" w:hAnsi="Times New Roman" w:cs="Times New Roman"/>
                <w:color w:val="000000"/>
                <w:spacing w:val="0"/>
                <w:w w:val="100"/>
                <w:position w:val="0"/>
              </w:rPr>
              <w:t>2021</w:t>
            </w:r>
            <w:r>
              <w:rPr>
                <w:color w:val="000000"/>
                <w:spacing w:val="0"/>
                <w:w w:val="100"/>
                <w:position w:val="0"/>
              </w:rPr>
              <w:t>年第 四次会议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昌、杨时飞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于审议</w:t>
            </w: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年第三季度 报告全文的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会提名委员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w:t>
            </w: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周志群、苏 哲锋、麦荣 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5"/>
              </w:numPr>
              <w:shd w:val="clear" w:color="auto" w:fill="auto"/>
              <w:tabs>
                <w:tab w:pos="173" w:val="left"/>
              </w:tabs>
              <w:bidi w:val="0"/>
              <w:spacing w:before="0" w:after="0" w:line="311" w:lineRule="exact"/>
              <w:ind w:left="0" w:right="0" w:firstLine="0"/>
              <w:jc w:val="left"/>
            </w:pPr>
            <w:r>
              <w:rPr>
                <w:color w:val="000000"/>
                <w:spacing w:val="0"/>
                <w:w w:val="100"/>
                <w:position w:val="0"/>
              </w:rPr>
              <w:t>《关于提名 李琳女士为 公司总经理 兼董事会秘 书的议案》</w:t>
            </w:r>
          </w:p>
          <w:p>
            <w:pPr>
              <w:pStyle w:val="Style2"/>
              <w:keepNext w:val="0"/>
              <w:keepLines w:val="0"/>
              <w:widowControl w:val="0"/>
              <w:numPr>
                <w:ilvl w:val="0"/>
                <w:numId w:val="5"/>
              </w:numPr>
              <w:shd w:val="clear" w:color="auto" w:fill="auto"/>
              <w:tabs>
                <w:tab w:pos="182" w:val="left"/>
              </w:tabs>
              <w:bidi w:val="0"/>
              <w:spacing w:before="0" w:after="0" w:line="311" w:lineRule="exact"/>
              <w:ind w:left="0" w:right="0" w:firstLine="0"/>
              <w:jc w:val="left"/>
            </w:pPr>
            <w:r>
              <w:rPr>
                <w:color w:val="000000"/>
                <w:spacing w:val="0"/>
                <w:w w:val="100"/>
                <w:position w:val="0"/>
              </w:rPr>
              <w:t>《关于审查 公司高级管 理人员任职 资格的议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22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十、监事会工作情况</w:t>
      </w:r>
      <w:bookmarkEnd w:id="317"/>
      <w:bookmarkEnd w:id="318"/>
      <w:bookmarkEnd w:id="319"/>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监事会在报告期内的监督活动中发现公司是否存在风险 口是"否</w:t>
      </w:r>
    </w:p>
    <w:p>
      <w:pPr>
        <w:pStyle w:val="Style24"/>
        <w:keepNext w:val="0"/>
        <w:keepLines w:val="0"/>
        <w:widowControl w:val="0"/>
        <w:shd w:val="clear" w:color="auto" w:fill="auto"/>
        <w:bidi w:val="0"/>
        <w:spacing w:before="0" w:after="320" w:line="350" w:lineRule="exact"/>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十一、公司员工情况</w:t>
      </w:r>
      <w:bookmarkEnd w:id="320"/>
      <w:bookmarkEnd w:id="321"/>
      <w:bookmarkEnd w:id="322"/>
    </w:p>
    <w:p>
      <w:pPr>
        <w:pStyle w:val="Style33"/>
        <w:keepNext/>
        <w:keepLines/>
        <w:widowControl w:val="0"/>
        <w:shd w:val="clear" w:color="auto" w:fill="auto"/>
        <w:bidi w:val="0"/>
        <w:spacing w:before="0" w:after="32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、员工数量、专业构成及教育程度</w:t>
      </w:r>
      <w:bookmarkEnd w:id="323"/>
      <w:bookmarkEnd w:id="324"/>
      <w:bookmarkEnd w:id="32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2143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2271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2332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2064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2271</w:t>
            </w:r>
          </w:p>
        </w:tc>
      </w:tr>
    </w:tbl>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w:t>
            </w:r>
          </w:p>
        </w:tc>
      </w:tr>
    </w:tbl>
    <w:p>
      <w:pPr>
        <w:widowControl w:val="0"/>
        <w:spacing w:after="279" w:line="1" w:lineRule="exact"/>
      </w:pPr>
    </w:p>
    <w:p>
      <w:pPr>
        <w:pStyle w:val="Style33"/>
        <w:keepNext/>
        <w:keepLines/>
        <w:widowControl w:val="0"/>
        <w:shd w:val="clear" w:color="auto" w:fill="auto"/>
        <w:tabs>
          <w:tab w:pos="365" w:val="left"/>
        </w:tabs>
        <w:bidi w:val="0"/>
        <w:spacing w:before="0" w:after="28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w:t>
        <w:tab/>
        <w:t>薪酬政策</w:t>
      </w:r>
      <w:bookmarkEnd w:id="327"/>
      <w:bookmarkEnd w:id="328"/>
      <w:bookmarkEnd w:id="330"/>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公司秉持</w:t>
      </w:r>
      <w:r>
        <w:rPr>
          <w:rFonts w:ascii="Times New Roman" w:eastAsia="Times New Roman" w:hAnsi="Times New Roman" w:cs="Times New Roman"/>
          <w:color w:val="000000"/>
          <w:spacing w:val="0"/>
          <w:w w:val="100"/>
          <w:position w:val="0"/>
        </w:rPr>
        <w:t>“</w:t>
      </w:r>
      <w:r>
        <w:rPr>
          <w:color w:val="000000"/>
          <w:spacing w:val="0"/>
          <w:w w:val="100"/>
          <w:position w:val="0"/>
        </w:rPr>
        <w:t>勿忘初衷，四方精英；创业开拓，贡献社会</w:t>
      </w:r>
      <w:r>
        <w:rPr>
          <w:rFonts w:ascii="Times New Roman" w:eastAsia="Times New Roman" w:hAnsi="Times New Roman" w:cs="Times New Roman"/>
          <w:color w:val="000000"/>
          <w:spacing w:val="0"/>
          <w:w w:val="100"/>
          <w:position w:val="0"/>
        </w:rPr>
        <w:t>”</w:t>
      </w:r>
      <w:r>
        <w:rPr>
          <w:color w:val="000000"/>
          <w:spacing w:val="0"/>
          <w:w w:val="100"/>
          <w:position w:val="0"/>
        </w:rPr>
        <w:t>的经营理念，持续定位有竞争力的薪酬政策，通过不断完善公平、 健全的薪酬绩效体系，保证员工薪酬的内部公平性与外部竞争力。员工薪酬分为基本薪酬和绩效奖金两部分，基本薪酬部分 由岗位价值、专业技术水平等因素确定；绩效奖金部分以企业年度经营目标为导向。</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为进一步吸引和保留核心骨干人才，公司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年均推出限制性股票激励计划，在实现公司与员工共同发展的同 时，彰显了公司在激励优秀人才方面的决心。</w:t>
      </w:r>
    </w:p>
    <w:p>
      <w:pPr>
        <w:pStyle w:val="Style24"/>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报告期内，营业成本中职工薪酬总额为</w:t>
      </w:r>
      <w:r>
        <w:rPr>
          <w:color w:val="000000"/>
          <w:spacing w:val="0"/>
          <w:w w:val="100"/>
          <w:position w:val="0"/>
        </w:rPr>
        <w:t>30727.84</w:t>
      </w:r>
      <w:r>
        <w:rPr>
          <w:color w:val="000000"/>
          <w:spacing w:val="0"/>
          <w:w w:val="100"/>
          <w:position w:val="0"/>
        </w:rPr>
        <w:t>万元，占公司营业成本总额的</w:t>
      </w:r>
      <w:r>
        <w:rPr>
          <w:color w:val="000000"/>
          <w:spacing w:val="0"/>
          <w:w w:val="100"/>
          <w:position w:val="0"/>
        </w:rPr>
        <w:t xml:space="preserve">83. </w:t>
      </w:r>
      <w:r>
        <w:rPr>
          <w:color w:val="000000"/>
          <w:spacing w:val="0"/>
          <w:w w:val="100"/>
          <w:position w:val="0"/>
        </w:rPr>
        <w:t>87%；</w:t>
      </w:r>
      <w:r>
        <w:rPr>
          <w:color w:val="000000"/>
          <w:spacing w:val="0"/>
          <w:w w:val="100"/>
          <w:position w:val="0"/>
        </w:rPr>
        <w:t>公司</w:t>
      </w:r>
      <w:r>
        <w:rPr>
          <w:color w:val="000000"/>
          <w:spacing w:val="0"/>
          <w:w w:val="100"/>
          <w:position w:val="0"/>
        </w:rPr>
        <w:t>2021</w:t>
      </w:r>
      <w:r>
        <w:rPr>
          <w:color w:val="000000"/>
          <w:spacing w:val="0"/>
          <w:w w:val="100"/>
          <w:position w:val="0"/>
        </w:rPr>
        <w:t>年和</w:t>
      </w:r>
      <w:r>
        <w:rPr>
          <w:color w:val="000000"/>
          <w:spacing w:val="0"/>
          <w:w w:val="100"/>
          <w:position w:val="0"/>
        </w:rPr>
        <w:t>2020</w:t>
      </w:r>
      <w:r>
        <w:rPr>
          <w:color w:val="000000"/>
          <w:spacing w:val="0"/>
          <w:w w:val="100"/>
          <w:position w:val="0"/>
        </w:rPr>
        <w:t>年技术研 发人员数量占公司总人数比例分别为</w:t>
      </w:r>
      <w:r>
        <w:rPr>
          <w:color w:val="000000"/>
          <w:spacing w:val="0"/>
          <w:w w:val="100"/>
          <w:position w:val="0"/>
        </w:rPr>
        <w:t xml:space="preserve">91. </w:t>
      </w:r>
      <w:r>
        <w:rPr>
          <w:color w:val="000000"/>
          <w:spacing w:val="0"/>
          <w:w w:val="100"/>
          <w:position w:val="0"/>
        </w:rPr>
        <w:t>05%</w:t>
      </w:r>
      <w:r>
        <w:rPr>
          <w:color w:val="000000"/>
          <w:spacing w:val="0"/>
          <w:w w:val="100"/>
          <w:position w:val="0"/>
        </w:rPr>
        <w:t>和</w:t>
      </w:r>
      <w:r>
        <w:rPr>
          <w:color w:val="000000"/>
          <w:spacing w:val="0"/>
          <w:w w:val="100"/>
          <w:position w:val="0"/>
        </w:rPr>
        <w:t xml:space="preserve">88. </w:t>
      </w:r>
      <w:r>
        <w:rPr>
          <w:color w:val="000000"/>
          <w:spacing w:val="0"/>
          <w:w w:val="100"/>
          <w:position w:val="0"/>
        </w:rPr>
        <w:t>51%；</w:t>
      </w:r>
      <w:r>
        <w:rPr>
          <w:color w:val="000000"/>
          <w:spacing w:val="0"/>
          <w:w w:val="100"/>
          <w:position w:val="0"/>
        </w:rPr>
        <w:t>公司</w:t>
      </w:r>
      <w:r>
        <w:rPr>
          <w:color w:val="000000"/>
          <w:spacing w:val="0"/>
          <w:w w:val="100"/>
          <w:position w:val="0"/>
        </w:rPr>
        <w:t>2021</w:t>
      </w:r>
      <w:r>
        <w:rPr>
          <w:color w:val="000000"/>
          <w:spacing w:val="0"/>
          <w:w w:val="100"/>
          <w:position w:val="0"/>
        </w:rPr>
        <w:t>年和</w:t>
      </w:r>
      <w:r>
        <w:rPr>
          <w:color w:val="000000"/>
          <w:spacing w:val="0"/>
          <w:w w:val="100"/>
          <w:position w:val="0"/>
        </w:rPr>
        <w:t>2020</w:t>
      </w:r>
      <w:r>
        <w:rPr>
          <w:color w:val="000000"/>
          <w:spacing w:val="0"/>
          <w:w w:val="100"/>
          <w:position w:val="0"/>
        </w:rPr>
        <w:t xml:space="preserve">年技术研发人员薪酬占公司总薪酬比例分别为 </w:t>
      </w:r>
      <w:r>
        <w:rPr>
          <w:color w:val="000000"/>
          <w:spacing w:val="0"/>
          <w:w w:val="100"/>
          <w:position w:val="0"/>
        </w:rPr>
        <w:t>97%</w:t>
      </w:r>
      <w:r>
        <w:rPr>
          <w:color w:val="000000"/>
          <w:spacing w:val="0"/>
          <w:w w:val="100"/>
          <w:position w:val="0"/>
        </w:rPr>
        <w:t xml:space="preserve">和 </w:t>
      </w:r>
      <w:r>
        <w:rPr>
          <w:color w:val="000000"/>
          <w:spacing w:val="0"/>
          <w:w w:val="100"/>
          <w:position w:val="0"/>
        </w:rPr>
        <w:t>93%</w:t>
      </w:r>
      <w:r>
        <w:rPr>
          <w:color w:val="000000"/>
          <w:spacing w:val="0"/>
          <w:w w:val="100"/>
          <w:position w:val="0"/>
        </w:rPr>
        <w:t>。</w:t>
      </w:r>
    </w:p>
    <w:p>
      <w:pPr>
        <w:pStyle w:val="Style33"/>
        <w:keepNext/>
        <w:keepLines/>
        <w:widowControl w:val="0"/>
        <w:shd w:val="clear" w:color="auto" w:fill="auto"/>
        <w:tabs>
          <w:tab w:pos="365" w:val="left"/>
        </w:tabs>
        <w:bidi w:val="0"/>
        <w:spacing w:before="0" w:after="2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3</w:t>
      </w:r>
      <w:bookmarkEnd w:id="333"/>
      <w:r>
        <w:rPr>
          <w:color w:val="000000"/>
          <w:spacing w:val="0"/>
          <w:w w:val="100"/>
          <w:position w:val="0"/>
        </w:rPr>
        <w:t>、</w:t>
        <w:tab/>
        <w:t>培训计划</w:t>
      </w:r>
      <w:bookmarkEnd w:id="331"/>
      <w:bookmarkEnd w:id="332"/>
      <w:bookmarkEnd w:id="334"/>
    </w:p>
    <w:p>
      <w:pPr>
        <w:pStyle w:val="Style24"/>
        <w:keepNext w:val="0"/>
        <w:keepLines w:val="0"/>
        <w:widowControl w:val="0"/>
        <w:shd w:val="clear" w:color="auto" w:fill="auto"/>
        <w:bidi w:val="0"/>
        <w:spacing w:before="0" w:after="680" w:line="307" w:lineRule="exact"/>
        <w:ind w:left="0" w:right="0" w:firstLine="380"/>
        <w:jc w:val="both"/>
      </w:pPr>
      <w:r>
        <w:rPr>
          <w:color w:val="000000"/>
          <w:spacing w:val="0"/>
          <w:w w:val="100"/>
          <w:position w:val="0"/>
        </w:rPr>
        <w:t>公司根据人力资源规划制定各部门不同岗位的年度培训计划，采取内训和外训相结合的方式，对各岗位员工进行专门培 训。培训主要包括：入职培训、业务培训，技术培训，高级管理培训，帮助员工提升其职业素养、业务能力及专业技能，提 升公司员工的整体素质，为公司培养发展所需的专业化人才，从而为公司持续发展提供人力资源的保障。</w:t>
      </w:r>
    </w:p>
    <w:p>
      <w:pPr>
        <w:pStyle w:val="Style33"/>
        <w:keepNext/>
        <w:keepLines/>
        <w:widowControl w:val="0"/>
        <w:shd w:val="clear" w:color="auto" w:fill="auto"/>
        <w:bidi w:val="0"/>
        <w:spacing w:before="0" w:after="2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4</w:t>
      </w:r>
      <w:bookmarkEnd w:id="337"/>
      <w:r>
        <w:rPr>
          <w:color w:val="000000"/>
          <w:spacing w:val="0"/>
          <w:w w:val="100"/>
          <w:position w:val="0"/>
        </w:rPr>
        <w:t>、劳务外包情况</w:t>
      </w:r>
      <w:bookmarkEnd w:id="335"/>
      <w:bookmarkEnd w:id="336"/>
      <w:bookmarkEnd w:id="338"/>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28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十二、公司利润分配及资本公积金转增股本情况</w:t>
      </w:r>
      <w:bookmarkEnd w:id="339"/>
      <w:bookmarkEnd w:id="340"/>
      <w:bookmarkEnd w:id="341"/>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日召开第四届董事会第二次会议以及于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日召开年度股东大会审议通过了《关于</w:t>
      </w:r>
      <w:r>
        <w:rPr>
          <w:color w:val="000000"/>
          <w:spacing w:val="0"/>
          <w:w w:val="100"/>
          <w:position w:val="0"/>
        </w:rPr>
        <w:t>2020</w:t>
      </w:r>
      <w:r>
        <w:rPr>
          <w:color w:val="000000"/>
          <w:spacing w:val="0"/>
          <w:w w:val="100"/>
          <w:position w:val="0"/>
        </w:rPr>
        <w:t>年度 利润分配预案》，以截至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 xml:space="preserve">283, 299, </w:t>
      </w:r>
      <w:r>
        <w:rPr>
          <w:color w:val="000000"/>
          <w:spacing w:val="0"/>
          <w:w w:val="100"/>
          <w:position w:val="0"/>
        </w:rPr>
        <w:t>055.00</w:t>
      </w:r>
      <w:r>
        <w:rPr>
          <w:color w:val="000000"/>
          <w:spacing w:val="0"/>
          <w:w w:val="100"/>
          <w:position w:val="0"/>
        </w:rPr>
        <w:t xml:space="preserve">股为基数,拟向全体股东分配共计现金人民币 </w:t>
      </w:r>
      <w:r>
        <w:rPr>
          <w:color w:val="000000"/>
          <w:spacing w:val="0"/>
          <w:w w:val="100"/>
          <w:position w:val="0"/>
        </w:rPr>
        <w:t xml:space="preserve">28, 329, </w:t>
      </w:r>
      <w:r>
        <w:rPr>
          <w:color w:val="000000"/>
          <w:spacing w:val="0"/>
          <w:w w:val="100"/>
          <w:position w:val="0"/>
        </w:rPr>
        <w:t xml:space="preserve">905. </w:t>
      </w:r>
      <w:r>
        <w:rPr>
          <w:color w:val="000000"/>
          <w:spacing w:val="0"/>
          <w:w w:val="100"/>
          <w:position w:val="0"/>
        </w:rPr>
        <w:t>50</w:t>
      </w:r>
      <w:r>
        <w:rPr>
          <w:color w:val="000000"/>
          <w:spacing w:val="0"/>
          <w:w w:val="100"/>
          <w:position w:val="0"/>
        </w:rPr>
        <w:t>元，即每</w:t>
      </w:r>
      <w:r>
        <w:rPr>
          <w:color w:val="000000"/>
          <w:spacing w:val="0"/>
          <w:w w:val="100"/>
          <w:position w:val="0"/>
        </w:rPr>
        <w:t>10</w:t>
      </w:r>
      <w:r>
        <w:rPr>
          <w:color w:val="000000"/>
          <w:spacing w:val="0"/>
          <w:w w:val="100"/>
          <w:position w:val="0"/>
        </w:rPr>
        <w:t>股派发现金股利</w:t>
      </w:r>
      <w:r>
        <w:rPr>
          <w:color w:val="000000"/>
          <w:spacing w:val="0"/>
          <w:w w:val="100"/>
          <w:position w:val="0"/>
        </w:rPr>
        <w:t>1</w:t>
      </w:r>
      <w:r>
        <w:rPr>
          <w:color w:val="000000"/>
          <w:spacing w:val="0"/>
          <w:w w:val="100"/>
          <w:position w:val="0"/>
        </w:rPr>
        <w:t>元人民币（含税）。本次利润分配不转增不送红股，剩余未分配利润结转入下一年 度。（以上净利润额、可分配利润额以及利润分配后剩余未分配利润额以最终经审计数据为准。）董事会审议利润分配预案 后至权益分派实施公告确定的股权登记日前公司股本发生变动的，将按照“现金分红总额、转增股本总额固定不变”的原则 对分配比例进行调整。根据</w:t>
      </w:r>
      <w:r>
        <w:rPr>
          <w:color w:val="000000"/>
          <w:spacing w:val="0"/>
          <w:w w:val="100"/>
          <w:position w:val="0"/>
        </w:rPr>
        <w:t>2020</w:t>
      </w:r>
      <w:r>
        <w:rPr>
          <w:color w:val="000000"/>
          <w:spacing w:val="0"/>
          <w:w w:val="100"/>
          <w:position w:val="0"/>
        </w:rPr>
        <w:t>年度股东大会决议，该利润分配方案</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日已实施完毕。</w:t>
      </w:r>
      <w:r>
        <w:br w:type="page"/>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原因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283,291,058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28,329,105.80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28,329,105.80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432,442,267.82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0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经华兴会计师事务所（特殊普通合伙）审计，截止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日的未分配利润总计</w:t>
            </w:r>
            <w:r>
              <w:rPr>
                <w:rFonts w:ascii="Times New Roman" w:eastAsia="Times New Roman" w:hAnsi="Times New Roman" w:cs="Times New Roman"/>
                <w:color w:val="000000"/>
                <w:spacing w:val="0"/>
                <w:w w:val="100"/>
                <w:position w:val="0"/>
              </w:rPr>
              <w:t>432,442,267.82</w:t>
            </w:r>
            <w:r>
              <w:rPr>
                <w:color w:val="000000"/>
                <w:spacing w:val="0"/>
                <w:w w:val="100"/>
                <w:position w:val="0"/>
              </w:rPr>
              <w:t>元，报告期末资 本公积</w:t>
            </w:r>
            <w:r>
              <w:rPr>
                <w:rFonts w:ascii="Times New Roman" w:eastAsia="Times New Roman" w:hAnsi="Times New Roman" w:cs="Times New Roman"/>
                <w:color w:val="000000"/>
                <w:spacing w:val="0"/>
                <w:w w:val="100"/>
                <w:position w:val="0"/>
              </w:rPr>
              <w:t>437,687,917.07</w:t>
            </w:r>
            <w:r>
              <w:rPr>
                <w:color w:val="000000"/>
                <w:spacing w:val="0"/>
                <w:w w:val="100"/>
                <w:position w:val="0"/>
              </w:rPr>
              <w:t>元，根据公司实际状况和未来可持续协调发展的需求，并根据中国证监会鼓励企业现金分红的指 导意见，在符合利润分配原则、保证公司正常经营和长远发展的前提下，更好地兼顾股东的即期利益和长远利益，根据 《公司法》及《公司章程》的相关规定，现拟定如下利润分配及资本公积金转增股本预案：以截至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公司总股本</w:t>
            </w:r>
            <w:r>
              <w:rPr>
                <w:rFonts w:ascii="Times New Roman" w:eastAsia="Times New Roman" w:hAnsi="Times New Roman" w:cs="Times New Roman"/>
                <w:color w:val="000000"/>
                <w:spacing w:val="0"/>
                <w:w w:val="100"/>
                <w:position w:val="0"/>
              </w:rPr>
              <w:t>283,291,058</w:t>
            </w:r>
            <w:r>
              <w:rPr>
                <w:color w:val="000000"/>
                <w:spacing w:val="0"/>
                <w:w w:val="100"/>
                <w:position w:val="0"/>
              </w:rPr>
              <w:t>股为基数</w:t>
            </w:r>
            <w:r>
              <w:rPr>
                <w:rFonts w:ascii="Times New Roman" w:eastAsia="Times New Roman" w:hAnsi="Times New Roman" w:cs="Times New Roman"/>
                <w:color w:val="000000"/>
                <w:spacing w:val="0"/>
                <w:w w:val="100"/>
                <w:position w:val="0"/>
              </w:rPr>
              <w:t>,</w:t>
            </w:r>
            <w:r>
              <w:rPr>
                <w:color w:val="000000"/>
                <w:spacing w:val="0"/>
                <w:w w:val="100"/>
                <w:position w:val="0"/>
              </w:rPr>
              <w:t>拟向全体股东分配共计现金人民币</w:t>
            </w:r>
            <w:r>
              <w:rPr>
                <w:rFonts w:ascii="Times New Roman" w:eastAsia="Times New Roman" w:hAnsi="Times New Roman" w:cs="Times New Roman"/>
                <w:color w:val="000000"/>
                <w:spacing w:val="0"/>
                <w:w w:val="100"/>
                <w:position w:val="0"/>
              </w:rPr>
              <w:t>28,329,105.80</w:t>
            </w:r>
            <w:r>
              <w:rPr>
                <w:color w:val="000000"/>
                <w:spacing w:val="0"/>
                <w:w w:val="100"/>
                <w:position w:val="0"/>
              </w:rPr>
              <w:t>元，即每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 民币</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股，本次转增股份数量为</w:t>
            </w:r>
            <w:r>
              <w:rPr>
                <w:rFonts w:ascii="Times New Roman" w:eastAsia="Times New Roman" w:hAnsi="Times New Roman" w:cs="Times New Roman"/>
                <w:color w:val="000000"/>
                <w:spacing w:val="0"/>
                <w:w w:val="100"/>
                <w:position w:val="0"/>
              </w:rPr>
              <w:t>226,632,846</w:t>
            </w:r>
            <w:r>
              <w:rPr>
                <w:color w:val="000000"/>
                <w:spacing w:val="0"/>
                <w:w w:val="100"/>
                <w:position w:val="0"/>
              </w:rPr>
              <w:t>股（转增股数系公司根据实 际计算结果四舍五入所得，最终转增数量以中国证券登记结算有限公司实际转增结果为准），转增后公司股本总数将增 加至</w:t>
            </w:r>
            <w:r>
              <w:rPr>
                <w:rFonts w:ascii="Times New Roman" w:eastAsia="Times New Roman" w:hAnsi="Times New Roman" w:cs="Times New Roman"/>
                <w:color w:val="000000"/>
                <w:spacing w:val="0"/>
                <w:w w:val="100"/>
                <w:position w:val="0"/>
              </w:rPr>
              <w:t>509,923,904</w:t>
            </w:r>
            <w:r>
              <w:rPr>
                <w:color w:val="000000"/>
                <w:spacing w:val="0"/>
                <w:w w:val="100"/>
                <w:position w:val="0"/>
              </w:rPr>
              <w:t>股。董事会审议利润分配预案后至权分派实施公告确定的股权登记日前公司股本发生变动的，将按照 “现金分红总额固定不变”的原则对分配比例进行调整。该利润分配方案尚需提交公司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年度股东大会审议。</w:t>
            </w:r>
          </w:p>
        </w:tc>
      </w:tr>
    </w:tbl>
    <w:p>
      <w:pPr>
        <w:pStyle w:val="Style2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公司报告期内盈利且母公司可供股东分配利润为正但未提出现金红利分配预案 口适用”不适用</w:t>
      </w:r>
    </w:p>
    <w:p>
      <w:pPr>
        <w:pStyle w:val="Style28"/>
        <w:keepNext/>
        <w:keepLines/>
        <w:widowControl w:val="0"/>
        <w:shd w:val="clear" w:color="auto" w:fill="auto"/>
        <w:bidi w:val="0"/>
        <w:spacing w:before="0" w:after="26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十三、公司股权激励计划、员工持股计划或其他员工激励措施的实施情况</w:t>
      </w:r>
      <w:bookmarkEnd w:id="342"/>
      <w:bookmarkEnd w:id="343"/>
      <w:bookmarkEnd w:id="344"/>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33"/>
        <w:keepNext/>
        <w:keepLines/>
        <w:widowControl w:val="0"/>
        <w:shd w:val="clear" w:color="auto" w:fill="auto"/>
        <w:bidi w:val="0"/>
        <w:spacing w:before="0" w:after="260" w:line="240" w:lineRule="auto"/>
        <w:ind w:left="0" w:right="0" w:firstLine="0"/>
        <w:jc w:val="left"/>
      </w:pPr>
      <w:bookmarkStart w:id="345" w:name="bookmark345"/>
      <w:bookmarkStart w:id="346" w:name="bookmark346"/>
      <w:bookmarkStart w:id="347" w:name="bookmark347"/>
      <w:r>
        <w:rPr>
          <w:color w:val="000000"/>
          <w:spacing w:val="0"/>
          <w:w w:val="100"/>
          <w:position w:val="0"/>
        </w:rPr>
        <w:t>股权激励</w:t>
      </w:r>
      <w:bookmarkEnd w:id="345"/>
      <w:bookmarkEnd w:id="346"/>
      <w:bookmarkEnd w:id="347"/>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董事、高级管理人员获得的股权激励情况</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348" w:name="bookmark348"/>
      <w:bookmarkStart w:id="349" w:name="bookmark349"/>
      <w:bookmarkStart w:id="350" w:name="bookmark350"/>
      <w:r>
        <w:rPr>
          <w:color w:val="000000"/>
          <w:spacing w:val="0"/>
          <w:w w:val="100"/>
          <w:position w:val="0"/>
        </w:rPr>
        <w:t>其他员工激励措施</w:t>
      </w:r>
      <w:bookmarkEnd w:id="348"/>
      <w:bookmarkEnd w:id="349"/>
      <w:bookmarkEnd w:id="350"/>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十四、报告期内的内部控制制度建设及实施情况</w:t>
      </w:r>
      <w:bookmarkEnd w:id="351"/>
      <w:bookmarkEnd w:id="352"/>
      <w:bookmarkEnd w:id="353"/>
    </w:p>
    <w:p>
      <w:pPr>
        <w:pStyle w:val="Style33"/>
        <w:keepNext/>
        <w:keepLines/>
        <w:widowControl w:val="0"/>
        <w:shd w:val="clear" w:color="auto" w:fill="auto"/>
        <w:tabs>
          <w:tab w:pos="368" w:val="left"/>
        </w:tabs>
        <w:bidi w:val="0"/>
        <w:spacing w:before="0" w:after="26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w:t>
        <w:tab/>
        <w:t>内部控制建设及实施情况</w:t>
      </w:r>
      <w:bookmarkEnd w:id="354"/>
      <w:bookmarkEnd w:id="355"/>
      <w:bookmarkEnd w:id="357"/>
    </w:p>
    <w:p>
      <w:pPr>
        <w:pStyle w:val="Style24"/>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公司已建立一套较为完整且持续有效运行的内控体系，从公司层面到各业务流程层面均建立了必要的内控措施，为公司 经营管理的合法合规、资产安全、财务报告及相关信息的真实完整提供合理保障，审计委员会、内部审计部门共同组成公司 的风险内控管理组织体系，对公司的内部控制管理进行监督与评价。公司通过内部控制体系的运行、分析与评价，有效防范 了经营管理中的风险，促进了内部控制目标的实现。</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报告期内发现的内部控制重大缺陷的具体情况</w:t>
      </w:r>
      <w:bookmarkEnd w:id="358"/>
      <w:bookmarkEnd w:id="359"/>
      <w:bookmarkEnd w:id="361"/>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口是"否</w:t>
      </w:r>
    </w:p>
    <w:p>
      <w:pPr>
        <w:pStyle w:val="Style28"/>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十五、公司报告期内对子公司的管理控制情况</w:t>
      </w:r>
      <w:bookmarkEnd w:id="362"/>
      <w:bookmarkEnd w:id="363"/>
      <w:bookmarkEnd w:id="364"/>
    </w:p>
    <w:tbl>
      <w:tblPr>
        <w:tblOverlap w:val="never"/>
        <w:jc w:val="center"/>
        <w:tblLayout w:type="fixed"/>
      </w:tblPr>
      <w:tblGrid>
        <w:gridCol w:w="1373"/>
        <w:gridCol w:w="1368"/>
        <w:gridCol w:w="1368"/>
        <w:gridCol w:w="1363"/>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十六、内部控制自我评价报告或内部控制审计报告</w:t>
      </w:r>
      <w:bookmarkEnd w:id="365"/>
      <w:bookmarkEnd w:id="366"/>
      <w:bookmarkEnd w:id="367"/>
    </w:p>
    <w:p>
      <w:pPr>
        <w:pStyle w:val="Style33"/>
        <w:keepNext/>
        <w:keepLines/>
        <w:widowControl w:val="0"/>
        <w:shd w:val="clear" w:color="auto" w:fill="auto"/>
        <w:bidi w:val="0"/>
        <w:spacing w:before="0" w:after="32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、内控自我评价报告</w:t>
      </w:r>
      <w:bookmarkEnd w:id="368"/>
      <w:bookmarkEnd w:id="369"/>
      <w:bookmarkEnd w:id="371"/>
    </w:p>
    <w:tbl>
      <w:tblPr>
        <w:tblOverlap w:val="never"/>
        <w:jc w:val="center"/>
        <w:tblLayout w:type="fixed"/>
      </w:tblPr>
      <w:tblGrid>
        <w:gridCol w:w="3202"/>
        <w:gridCol w:w="63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www. cninfo. com.cn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并财务报表营业总收入的比例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、公司董事、监事和高级管理人员的舞 弊行为；</w:t>
            </w:r>
            <w:r>
              <w:rPr>
                <w:rFonts w:ascii="Times New Roman" w:eastAsia="Times New Roman" w:hAnsi="Times New Roman" w:cs="Times New Roman"/>
                <w:color w:val="000000"/>
                <w:spacing w:val="0"/>
                <w:w w:val="100"/>
                <w:position w:val="0"/>
              </w:rPr>
              <w:t>2</w:t>
            </w:r>
            <w:r>
              <w:rPr>
                <w:color w:val="000000"/>
                <w:spacing w:val="0"/>
                <w:w w:val="100"/>
                <w:position w:val="0"/>
              </w:rPr>
              <w:t>、公司更正已公布的财务报告；</w:t>
            </w:r>
          </w:p>
          <w:p>
            <w:pPr>
              <w:pStyle w:val="Style2"/>
              <w:keepNext w:val="0"/>
              <w:keepLines w:val="0"/>
              <w:widowControl w:val="0"/>
              <w:shd w:val="clear" w:color="auto" w:fill="auto"/>
              <w:tabs>
                <w:tab w:pos="226"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注册会计师发现的却未被公司内部控 制识别的当期财务报告中的重大错报；</w:t>
            </w:r>
          </w:p>
          <w:p>
            <w:pPr>
              <w:pStyle w:val="Style2"/>
              <w:keepNext w:val="0"/>
              <w:keepLines w:val="0"/>
              <w:widowControl w:val="0"/>
              <w:shd w:val="clear" w:color="auto" w:fill="auto"/>
              <w:tabs>
                <w:tab w:pos="24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审计部门对公司的对外财务报告和财 务报告内部控制监督无效。财务报告重 要缺陷的迹象包括：未按照公认的会计 准则选择和应用会计政策；未建立反舞 弊程序和控制措施；对于非常规或特殊 交易的账务处理没有建立相应的控制机 制；对期末财务报告过程的控制存在缺 陷不能合理保证财务报表达到真实、完 整的目标。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主要以缺陷对业务流程有效性的影 响程度、发生的可能性作判断。如果 缺陷发生的可能性较小，会降低工作 效率或效果、或加大效果的不确定 性、或使之偏离预期目标为一般缺 陷；如果缺陷发生的可能性较高，会 显著降低工作效率或效果，或显著加 大效果的不确定性、或使之显著偏离 预期目标为重要缺陷；如果缺陷发生 的可能性高，会严重降低工作效率或 效果、或严重加大效果的不确定性、 或使之严重偏离预期目标为重大缺 陷。</w:t>
            </w:r>
          </w:p>
        </w:tc>
      </w:tr>
      <w:tr>
        <w:trPr>
          <w:trHeight w:val="53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量指标。内部控制缺陷可能导致或导致 的损失与利润相关的，以营业收入指标 衡量。如果该缺陷单独或连同其他缺陷 可能导致财务报告错报金额小于营业收 入</w:t>
            </w:r>
            <w:r>
              <w:rPr>
                <w:rFonts w:ascii="Times New Roman" w:eastAsia="Times New Roman" w:hAnsi="Times New Roman" w:cs="Times New Roman"/>
                <w:color w:val="000000"/>
                <w:spacing w:val="0"/>
                <w:w w:val="100"/>
                <w:position w:val="0"/>
              </w:rPr>
              <w:t>0.5%,</w:t>
            </w:r>
            <w:r>
              <w:rPr>
                <w:color w:val="000000"/>
                <w:spacing w:val="0"/>
                <w:w w:val="100"/>
                <w:position w:val="0"/>
              </w:rPr>
              <w:t>则认定为一般缺陷，如果超过营 业收入</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，则认定为重要 缺陷，如果超过营业收入</w:t>
            </w:r>
            <w:r>
              <w:rPr>
                <w:rFonts w:ascii="Times New Roman" w:eastAsia="Times New Roman" w:hAnsi="Times New Roman" w:cs="Times New Roman"/>
                <w:color w:val="000000"/>
                <w:spacing w:val="0"/>
                <w:w w:val="100"/>
                <w:position w:val="0"/>
              </w:rPr>
              <w:t>1%</w:t>
            </w:r>
            <w:r>
              <w:rPr>
                <w:color w:val="000000"/>
                <w:spacing w:val="0"/>
                <w:w w:val="100"/>
                <w:position w:val="0"/>
              </w:rPr>
              <w:t>，则认定为 重大缺陷；内部控制缺陷可能导致或导 致的损失与资产管理相关的，以资产总 额指标衡量，如果该缺陷单独或连同其 他缺陷可能导致的财务报告错误金额小 于资产总额</w:t>
            </w:r>
            <w:r>
              <w:rPr>
                <w:rFonts w:ascii="Times New Roman" w:eastAsia="Times New Roman" w:hAnsi="Times New Roman" w:cs="Times New Roman"/>
                <w:color w:val="000000"/>
                <w:spacing w:val="0"/>
                <w:w w:val="100"/>
                <w:position w:val="0"/>
              </w:rPr>
              <w:t>0.5%</w:t>
            </w:r>
            <w:r>
              <w:rPr>
                <w:color w:val="000000"/>
                <w:spacing w:val="0"/>
                <w:w w:val="100"/>
                <w:position w:val="0"/>
              </w:rPr>
              <w:t>，则认定为一般缺陷， 如果超过资产总额</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则认 定为重要缺陷，如果超过资产总额</w:t>
            </w:r>
            <w:r>
              <w:rPr>
                <w:rFonts w:ascii="Times New Roman" w:eastAsia="Times New Roman" w:hAnsi="Times New Roman" w:cs="Times New Roman"/>
                <w:color w:val="000000"/>
                <w:spacing w:val="0"/>
                <w:w w:val="100"/>
                <w:position w:val="0"/>
              </w:rPr>
              <w:t xml:space="preserve">1%, </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定量标准以营业收入、资产总额作为 衡量指标。内部控制缺陷可能导致或 导致的损失与利润相关的，以营业收 入指标衡量。如果该缺陷单独或连同 其他缺陷可能导致财务报告错报金 额小于营业收入</w:t>
            </w:r>
            <w:r>
              <w:rPr>
                <w:rFonts w:ascii="Times New Roman" w:eastAsia="Times New Roman" w:hAnsi="Times New Roman" w:cs="Times New Roman"/>
                <w:color w:val="000000"/>
                <w:spacing w:val="0"/>
                <w:w w:val="100"/>
                <w:position w:val="0"/>
              </w:rPr>
              <w:t>0.5%</w:t>
            </w:r>
            <w:r>
              <w:rPr>
                <w:color w:val="000000"/>
                <w:spacing w:val="0"/>
                <w:w w:val="100"/>
                <w:position w:val="0"/>
              </w:rPr>
              <w:t>，</w:t>
            </w:r>
            <w:r>
              <w:rPr>
                <w:color w:val="000000"/>
                <w:spacing w:val="0"/>
                <w:w w:val="100"/>
                <w:position w:val="0"/>
              </w:rPr>
              <w:t>则认定为一般 缺陷，如果超过营业收入</w:t>
            </w:r>
            <w:r>
              <w:rPr>
                <w:rFonts w:ascii="Times New Roman" w:eastAsia="Times New Roman" w:hAnsi="Times New Roman" w:cs="Times New Roman"/>
                <w:color w:val="000000"/>
                <w:spacing w:val="0"/>
                <w:w w:val="100"/>
                <w:position w:val="0"/>
              </w:rPr>
              <w:t>0.5%</w:t>
            </w:r>
            <w:r>
              <w:rPr>
                <w:color w:val="000000"/>
                <w:spacing w:val="0"/>
                <w:w w:val="100"/>
                <w:position w:val="0"/>
              </w:rPr>
              <w:t>但小 于</w:t>
            </w:r>
            <w:r>
              <w:rPr>
                <w:rFonts w:ascii="Times New Roman" w:eastAsia="Times New Roman" w:hAnsi="Times New Roman" w:cs="Times New Roman"/>
                <w:color w:val="000000"/>
                <w:spacing w:val="0"/>
                <w:w w:val="100"/>
                <w:position w:val="0"/>
              </w:rPr>
              <w:t>1%</w:t>
            </w:r>
            <w:r>
              <w:rPr>
                <w:color w:val="000000"/>
                <w:spacing w:val="0"/>
                <w:w w:val="100"/>
                <w:position w:val="0"/>
              </w:rPr>
              <w:t>，则认定为重要缺陷，如果超 过营业收入</w:t>
            </w:r>
            <w:r>
              <w:rPr>
                <w:rFonts w:ascii="Times New Roman" w:eastAsia="Times New Roman" w:hAnsi="Times New Roman" w:cs="Times New Roman"/>
                <w:color w:val="000000"/>
                <w:spacing w:val="0"/>
                <w:w w:val="100"/>
                <w:position w:val="0"/>
              </w:rPr>
              <w:t>1%</w:t>
            </w:r>
            <w:r>
              <w:rPr>
                <w:color w:val="000000"/>
                <w:spacing w:val="0"/>
                <w:w w:val="100"/>
                <w:position w:val="0"/>
              </w:rPr>
              <w:t>，则认定为重大缺陷； 内部控制缺陷可能导致或导致的损 失与资产管理相关的，以资产总额指 标衡量，如果该缺陷单独或连同其他 缺陷可能导致的财务报告错误金额 小于资产总额</w:t>
            </w:r>
            <w:r>
              <w:rPr>
                <w:rFonts w:ascii="Times New Roman" w:eastAsia="Times New Roman" w:hAnsi="Times New Roman" w:cs="Times New Roman"/>
                <w:color w:val="000000"/>
                <w:spacing w:val="0"/>
                <w:w w:val="100"/>
                <w:position w:val="0"/>
              </w:rPr>
              <w:t>0.5%</w:t>
            </w:r>
            <w:r>
              <w:rPr>
                <w:color w:val="000000"/>
                <w:spacing w:val="0"/>
                <w:w w:val="100"/>
                <w:position w:val="0"/>
              </w:rPr>
              <w:t>，则认定为一般 缺陷，如果超过资产总额</w:t>
            </w:r>
            <w:r>
              <w:rPr>
                <w:rFonts w:ascii="Times New Roman" w:eastAsia="Times New Roman" w:hAnsi="Times New Roman" w:cs="Times New Roman"/>
                <w:color w:val="000000"/>
                <w:spacing w:val="0"/>
                <w:w w:val="100"/>
                <w:position w:val="0"/>
              </w:rPr>
              <w:t>0.5%</w:t>
            </w:r>
            <w:r>
              <w:rPr>
                <w:color w:val="000000"/>
                <w:spacing w:val="0"/>
                <w:w w:val="100"/>
                <w:position w:val="0"/>
              </w:rPr>
              <w:t>但小 于</w:t>
            </w:r>
            <w:r>
              <w:rPr>
                <w:rFonts w:ascii="Times New Roman" w:eastAsia="Times New Roman" w:hAnsi="Times New Roman" w:cs="Times New Roman"/>
                <w:color w:val="000000"/>
                <w:spacing w:val="0"/>
                <w:w w:val="100"/>
                <w:position w:val="0"/>
              </w:rPr>
              <w:t>1%</w:t>
            </w:r>
            <w:r>
              <w:rPr>
                <w:color w:val="000000"/>
                <w:spacing w:val="0"/>
                <w:w w:val="100"/>
                <w:position w:val="0"/>
              </w:rPr>
              <w:t>则认定为重要缺陷，如果超过 资产总额</w:t>
            </w:r>
            <w:r>
              <w:rPr>
                <w:rFonts w:ascii="Times New Roman" w:eastAsia="Times New Roman" w:hAnsi="Times New Roman" w:cs="Times New Roman"/>
                <w:color w:val="000000"/>
                <w:spacing w:val="0"/>
                <w:w w:val="100"/>
                <w:position w:val="0"/>
              </w:rPr>
              <w:t>1%,</w:t>
            </w:r>
            <w:r>
              <w:rPr>
                <w:color w:val="000000"/>
                <w:spacing w:val="0"/>
                <w:w w:val="100"/>
                <w:position w:val="0"/>
              </w:rPr>
              <w:t>则认定为重大缺陷。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、内部控制审计报告或鉴证报告</w:t>
      </w:r>
      <w:bookmarkEnd w:id="372"/>
      <w:bookmarkEnd w:id="373"/>
      <w:bookmarkEnd w:id="375"/>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十七、上市公司治理专项行动自查问题整改情况</w:t>
      </w:r>
      <w:bookmarkEnd w:id="376"/>
      <w:bookmarkEnd w:id="377"/>
      <w:bookmarkEnd w:id="378"/>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45" w:right="1064" w:bottom="1494" w:left="1050" w:header="0" w:footer="3" w:gutter="0"/>
          <w:cols w:space="720"/>
          <w:noEndnote/>
          <w:rtlGutter w:val="0"/>
          <w:docGrid w:linePitch="360"/>
        </w:sectPr>
      </w:pPr>
      <w:r>
        <w:rPr>
          <w:color w:val="000000"/>
          <w:spacing w:val="0"/>
          <w:w w:val="100"/>
          <w:position w:val="0"/>
        </w:rPr>
        <w:t>报告期内，公司不存在上市公司治理专项行动自查问题整改情况。</w:t>
      </w:r>
    </w:p>
    <w:p>
      <w:pPr>
        <w:pStyle w:val="Style16"/>
        <w:keepNext/>
        <w:keepLines/>
        <w:widowControl w:val="0"/>
        <w:shd w:val="clear" w:color="auto" w:fill="auto"/>
        <w:bidi w:val="0"/>
        <w:spacing w:before="600" w:after="520" w:line="240" w:lineRule="auto"/>
        <w:ind w:left="0" w:right="0" w:firstLine="0"/>
        <w:jc w:val="center"/>
      </w:pPr>
      <w:bookmarkStart w:id="379" w:name="bookmark379"/>
      <w:bookmarkStart w:id="380" w:name="bookmark380"/>
      <w:bookmarkStart w:id="381" w:name="bookmark381"/>
      <w:bookmarkStart w:id="382" w:name="bookmark382"/>
      <w:r>
        <w:rPr>
          <w:color w:val="000000"/>
          <w:spacing w:val="0"/>
          <w:w w:val="100"/>
          <w:position w:val="0"/>
        </w:rPr>
        <w:t>第五节环境和社会责任</w:t>
      </w:r>
      <w:bookmarkEnd w:id="380"/>
      <w:bookmarkEnd w:id="381"/>
      <w:bookmarkEnd w:id="382"/>
      <w:bookmarkEnd w:id="379"/>
    </w:p>
    <w:p>
      <w:pPr>
        <w:pStyle w:val="Style28"/>
        <w:keepNext/>
        <w:keepLines/>
        <w:widowControl w:val="0"/>
        <w:shd w:val="clear" w:color="auto" w:fill="auto"/>
        <w:bidi w:val="0"/>
        <w:spacing w:before="0" w:after="240" w:line="240" w:lineRule="auto"/>
        <w:ind w:left="0" w:right="0" w:firstLine="260"/>
        <w:jc w:val="left"/>
      </w:pPr>
      <w:bookmarkStart w:id="383" w:name="bookmark383"/>
      <w:bookmarkStart w:id="384" w:name="bookmark384"/>
      <w:bookmarkStart w:id="385" w:name="bookmark385"/>
      <w:r>
        <w:rPr>
          <w:color w:val="000000"/>
          <w:spacing w:val="0"/>
          <w:w w:val="100"/>
          <w:position w:val="0"/>
          <w:sz w:val="24"/>
          <w:szCs w:val="24"/>
        </w:rPr>
        <w:t>、重大环保问题</w:t>
      </w:r>
      <w:bookmarkEnd w:id="383"/>
      <w:bookmarkEnd w:id="384"/>
      <w:bookmarkEnd w:id="385"/>
    </w:p>
    <w:p>
      <w:pPr>
        <w:pStyle w:val="Style24"/>
        <w:keepNext w:val="0"/>
        <w:keepLines w:val="0"/>
        <w:widowControl w:val="0"/>
        <w:shd w:val="clear" w:color="auto" w:fill="auto"/>
        <w:bidi w:val="0"/>
        <w:spacing w:before="0" w:line="350" w:lineRule="exact"/>
        <w:ind w:left="0" w:right="0" w:firstLine="0"/>
        <w:jc w:val="both"/>
      </w:pPr>
      <w:r>
        <w:rPr>
          <w:color w:val="000000"/>
          <w:spacing w:val="0"/>
          <w:w w:val="100"/>
          <w:position w:val="0"/>
        </w:rPr>
        <w:t>上市公司及其子公司是否属于环境保护部门公布的重点排污单位 口是"否</w:t>
      </w:r>
    </w:p>
    <w:tbl>
      <w:tblPr>
        <w:tblOverlap w:val="never"/>
        <w:jc w:val="center"/>
        <w:tblLayout w:type="fixed"/>
      </w:tblPr>
      <w:tblGrid>
        <w:gridCol w:w="1603"/>
        <w:gridCol w:w="1594"/>
        <w:gridCol w:w="1594"/>
        <w:gridCol w:w="1594"/>
        <w:gridCol w:w="1594"/>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4"/>
        <w:keepNext w:val="0"/>
        <w:keepLines w:val="0"/>
        <w:widowControl w:val="0"/>
        <w:shd w:val="clear" w:color="auto" w:fill="auto"/>
        <w:bidi w:val="0"/>
        <w:spacing w:before="0" w:after="360" w:line="350" w:lineRule="exact"/>
        <w:ind w:left="0" w:right="0" w:firstLine="0"/>
        <w:jc w:val="both"/>
      </w:pPr>
      <w:r>
        <w:rPr>
          <w:color w:val="000000"/>
          <w:spacing w:val="0"/>
          <w:w w:val="100"/>
          <w:position w:val="0"/>
        </w:rPr>
        <w:t>在报告期内为减少其碳排放所采取的措施及效果 口适用”不适用</w:t>
      </w:r>
    </w:p>
    <w:p>
      <w:pPr>
        <w:pStyle w:val="Style28"/>
        <w:keepNext/>
        <w:keepLines/>
        <w:widowControl w:val="0"/>
        <w:shd w:val="clear" w:color="auto" w:fill="auto"/>
        <w:bidi w:val="0"/>
        <w:spacing w:before="0" w:after="240" w:line="240" w:lineRule="auto"/>
        <w:ind w:left="0" w:right="0" w:firstLine="0"/>
        <w:jc w:val="both"/>
      </w:pPr>
      <w:bookmarkStart w:id="386" w:name="bookmark386"/>
      <w:bookmarkStart w:id="387" w:name="bookmark387"/>
      <w:bookmarkStart w:id="388" w:name="bookmark388"/>
      <w:bookmarkStart w:id="389" w:name="bookmark389"/>
      <w:r>
        <w:rPr>
          <w:color w:val="000000"/>
          <w:spacing w:val="0"/>
          <w:w w:val="100"/>
          <w:position w:val="0"/>
          <w:sz w:val="24"/>
          <w:szCs w:val="24"/>
        </w:rPr>
        <w:t>二</w:t>
      </w:r>
      <w:bookmarkEnd w:id="388"/>
      <w:r>
        <w:rPr>
          <w:color w:val="000000"/>
          <w:spacing w:val="0"/>
          <w:w w:val="100"/>
          <w:position w:val="0"/>
          <w:sz w:val="24"/>
          <w:szCs w:val="24"/>
        </w:rPr>
        <w:t>、社会责任情况</w:t>
      </w:r>
      <w:bookmarkEnd w:id="386"/>
      <w:bookmarkEnd w:id="387"/>
      <w:bookmarkEnd w:id="389"/>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公司严格按《公司法》、《深圳证券交易所创业板股票上市规则》、《上市公司信息披露管理办法》等相关法律法规规 范要求，及时、准确、真实、完整的原则进行信息披露工作；通过实地调研、电话、电子邮箱、公司网站和投资者关系互动 平台等多种方式与投资者进行沟通交流，提高了公司的透明度和诚信度</w:t>
      </w:r>
      <w:r>
        <w:rPr>
          <w:rFonts w:ascii="Times New Roman" w:eastAsia="Times New Roman" w:hAnsi="Times New Roman" w:cs="Times New Roman"/>
          <w:color w:val="000000"/>
          <w:spacing w:val="0"/>
          <w:w w:val="100"/>
          <w:position w:val="0"/>
        </w:rPr>
        <w:t>;</w:t>
      </w:r>
      <w:r>
        <w:rPr>
          <w:color w:val="000000"/>
          <w:spacing w:val="0"/>
          <w:w w:val="100"/>
          <w:position w:val="0"/>
        </w:rPr>
        <w:t>公司十分重视对投资者的合理回报，上市后严格按 照相关承诺及《公司章程》等相关法律法规的要求实施利润分配，每年均以派发现金股利的方式回馈股东。</w:t>
      </w:r>
    </w:p>
    <w:p>
      <w:pPr>
        <w:pStyle w:val="Style24"/>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公司始终将依法经营作为公司运行的基本原则，注重企业经济效益与社会效益的共同发展。公司严格遵守国家法律、法 规、政策的规定，始终依法经营，积极纳税，支持国家与地方的经济发展。</w:t>
      </w:r>
    </w:p>
    <w:p>
      <w:pPr>
        <w:pStyle w:val="Style28"/>
        <w:keepNext/>
        <w:keepLines/>
        <w:widowControl w:val="0"/>
        <w:shd w:val="clear" w:color="auto" w:fill="auto"/>
        <w:bidi w:val="0"/>
        <w:spacing w:before="0" w:after="24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三</w:t>
      </w:r>
      <w:bookmarkEnd w:id="392"/>
      <w:r>
        <w:rPr>
          <w:color w:val="000000"/>
          <w:spacing w:val="0"/>
          <w:w w:val="100"/>
          <w:position w:val="0"/>
          <w:sz w:val="24"/>
          <w:szCs w:val="24"/>
        </w:rPr>
        <w:t>、巩固拓展脱贫攻坚成果、乡村振兴的情况</w:t>
      </w:r>
      <w:bookmarkEnd w:id="390"/>
      <w:bookmarkEnd w:id="391"/>
      <w:bookmarkEnd w:id="393"/>
    </w:p>
    <w:p>
      <w:pPr>
        <w:pStyle w:val="Style24"/>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公司与四川省农村信用社联合社合作的农</w:t>
      </w:r>
      <w:r>
        <w:rPr>
          <w:color w:val="000000"/>
          <w:spacing w:val="0"/>
          <w:w w:val="100"/>
          <w:position w:val="0"/>
        </w:rPr>
        <w:t>e</w:t>
      </w:r>
      <w:r>
        <w:rPr>
          <w:color w:val="000000"/>
          <w:spacing w:val="0"/>
          <w:w w:val="100"/>
          <w:position w:val="0"/>
        </w:rPr>
        <w:t>贷项目，目标是打造一款专门面向农户的线上贷款，解决农户生产生活中的 资金短缺问题。为适应农户贷款这一特定场景，通过客户经理走千访万采集资料，基于大数据的风控模型对潜在客户进行预 授信。客户线上自助激活授信，自助用还款，随借随还。后台定期自动贷后风险检查和预警，智能化程度高。该项目对于金 融系统的快速发展、加快推动新农村金融建设具有非常重要的现实意义。</w:t>
      </w:r>
      <w:r>
        <w:br w:type="page"/>
      </w:r>
    </w:p>
    <w:p>
      <w:pPr>
        <w:pStyle w:val="Style16"/>
        <w:keepNext/>
        <w:keepLines/>
        <w:widowControl w:val="0"/>
        <w:shd w:val="clear" w:color="auto" w:fill="auto"/>
        <w:bidi w:val="0"/>
        <w:spacing w:before="0" w:after="540" w:line="240" w:lineRule="auto"/>
        <w:ind w:left="0" w:right="0" w:firstLine="0"/>
        <w:jc w:val="center"/>
      </w:pPr>
      <w:bookmarkStart w:id="394" w:name="bookmark394"/>
      <w:bookmarkStart w:id="395" w:name="bookmark395"/>
      <w:bookmarkStart w:id="396" w:name="bookmark396"/>
      <w:bookmarkStart w:id="397" w:name="bookmark397"/>
      <w:r>
        <w:rPr>
          <w:color w:val="000000"/>
          <w:spacing w:val="0"/>
          <w:w w:val="100"/>
          <w:position w:val="0"/>
        </w:rPr>
        <w:t>第六节重要事项</w:t>
      </w:r>
      <w:bookmarkEnd w:id="395"/>
      <w:bookmarkEnd w:id="396"/>
      <w:bookmarkEnd w:id="397"/>
      <w:bookmarkEnd w:id="394"/>
    </w:p>
    <w:p>
      <w:pPr>
        <w:pStyle w:val="Style28"/>
        <w:keepNext/>
        <w:keepLines/>
        <w:widowControl w:val="0"/>
        <w:shd w:val="clear" w:color="auto" w:fill="auto"/>
        <w:bidi w:val="0"/>
        <w:spacing w:before="0" w:after="2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一</w:t>
      </w:r>
      <w:bookmarkEnd w:id="400"/>
      <w:r>
        <w:rPr>
          <w:color w:val="000000"/>
          <w:spacing w:val="0"/>
          <w:w w:val="100"/>
          <w:position w:val="0"/>
          <w:sz w:val="24"/>
          <w:szCs w:val="24"/>
        </w:rPr>
        <w:t>、承诺事项履行情况</w:t>
      </w:r>
      <w:bookmarkEnd w:id="398"/>
      <w:bookmarkEnd w:id="399"/>
      <w:bookmarkEnd w:id="401"/>
    </w:p>
    <w:p>
      <w:pPr>
        <w:pStyle w:val="Style33"/>
        <w:keepNext/>
        <w:keepLines/>
        <w:widowControl w:val="0"/>
        <w:shd w:val="clear" w:color="auto" w:fill="auto"/>
        <w:bidi w:val="0"/>
        <w:spacing w:before="0" w:line="322" w:lineRule="exact"/>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、公司实际控制人、股东、关联方、收购人以及公司等承诺相关方在报告期内履行完毕及截至报告期末 尚未履行完毕的承诺事项</w:t>
      </w:r>
      <w:bookmarkEnd w:id="402"/>
      <w:bookmarkEnd w:id="403"/>
      <w:bookmarkEnd w:id="405"/>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77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人、间接持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担任发行人 董事、监事、 高级管理人 员的间接股 东承诺：在 其任职期间 每年通过集 中竞价、大 宗交易、协 议转让等方 式转让的股 份不超过其 所持有公司 股份总数的 百分之二十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有公司股份</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限售股份</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五；离职后</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939"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的董事、监 事、高级管 理人员</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半年内，不 转让其所持 有的公司股 份；其在首 次公开发行 股票上市之 日起六个月 内申报离职 的，自申报 离职之日起 十八个月内 不转让其直 接持有的公 司股份；在 首次公开发 行股票上市</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之日起第七 个月至第十 二个月之间 申报离职 的，自申报 离职之日起 十二个月内 不转让其直 接持有的公 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深圳四方精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创资讯股份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公司实施积 极的利润分 配政策，重 视对股东的 合理投资回 报并兼顾公 司的可持续 发展，利润 分配政策保 持连续性和 稳定性，健 全现金分红 制度。（</w:t>
            </w:r>
            <w:r>
              <w:rPr>
                <w:rFonts w:ascii="Times New Roman" w:eastAsia="Times New Roman" w:hAnsi="Times New Roman" w:cs="Times New Roman"/>
                <w:color w:val="000000"/>
                <w:spacing w:val="0"/>
                <w:w w:val="100"/>
                <w:position w:val="0"/>
              </w:rPr>
              <w:t>1</w:t>
            </w:r>
            <w:r>
              <w:rPr>
                <w:color w:val="000000"/>
                <w:spacing w:val="0"/>
                <w:w w:val="100"/>
                <w:position w:val="0"/>
              </w:rPr>
              <w:t>） 公司可以采 取现金、股 票或者现金 与股票相结 合的方式分 配股利，并 优先采用现 金分红的方 式分配利 润。公司每 年度至少进 行一次利润 分配，公司 董事会可以 根据公司的 盈利及资金 需求状况提 议公司进行 中期股利分 配；（</w:t>
            </w:r>
            <w:r>
              <w:rPr>
                <w:rFonts w:ascii="Times New Roman" w:eastAsia="Times New Roman" w:hAnsi="Times New Roman" w:cs="Times New Roman"/>
                <w:color w:val="000000"/>
                <w:spacing w:val="0"/>
                <w:w w:val="100"/>
                <w:position w:val="0"/>
              </w:rPr>
              <w:t>2</w:t>
            </w:r>
            <w:r>
              <w:rPr>
                <w:color w:val="000000"/>
                <w:spacing w:val="0"/>
                <w:w w:val="100"/>
                <w:position w:val="0"/>
              </w:rPr>
              <w:t>）公 司研究论证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股利分配政 策及利润分 配方案应当 充分考虑独 立董事、监 事和中小股 东的意见。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）在满足 本章程规定 的现金分红 条件的情况 下，公司应 积极实施以 现金方式分 配股利。公 司在当年盈 利、累计未 分配利润为 正且公司现 金流可以满 足公司正常 经营和持续 发展的情况 下，如无重 大投资计划 或重大现金 支出等事项 发生，公司 应当采取现 金方式分配 股利，且每 年以现金方 式分配的利 润应不低于 当年实现的 可分配利润 的 </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在保证公司 股本规模和 股权结构合 理的前提 下，基于回 报投资者和 分享企业价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值的考虑， 从公司成长 性、每股净 资产的摊 薄、公司股 价与公司股 本规模的匹 配性等真实 合理因素出 发，当公司 股票估值处 于合理范围 内，公司可 以在满足现 金股利分配 条件的同 时，制订股 票股利分配 方案。（</w:t>
            </w:r>
            <w:r>
              <w:rPr>
                <w:rFonts w:ascii="Times New Roman" w:eastAsia="Times New Roman" w:hAnsi="Times New Roman" w:cs="Times New Roman"/>
                <w:color w:val="000000"/>
                <w:spacing w:val="0"/>
                <w:w w:val="100"/>
                <w:position w:val="0"/>
              </w:rPr>
              <w:t>5</w:t>
            </w:r>
            <w:r>
              <w:rPr>
                <w:color w:val="000000"/>
                <w:spacing w:val="0"/>
                <w:w w:val="100"/>
                <w:position w:val="0"/>
              </w:rPr>
              <w:t>） 公司董事会 应在定期报 告中披露利 润分配方 案。（</w:t>
            </w:r>
            <w:r>
              <w:rPr>
                <w:rFonts w:ascii="Times New Roman" w:eastAsia="Times New Roman" w:hAnsi="Times New Roman" w:cs="Times New Roman"/>
                <w:color w:val="000000"/>
                <w:spacing w:val="0"/>
                <w:w w:val="100"/>
                <w:position w:val="0"/>
              </w:rPr>
              <w:t>6</w:t>
            </w:r>
            <w:r>
              <w:rPr>
                <w:color w:val="000000"/>
                <w:spacing w:val="0"/>
                <w:w w:val="100"/>
                <w:position w:val="0"/>
              </w:rPr>
              <w:t>）公 司的利润分 配政策不得 随意变更， 以保持其持 续性和稳定 性。（</w:t>
            </w:r>
            <w:r>
              <w:rPr>
                <w:rFonts w:ascii="Times New Roman" w:eastAsia="Times New Roman" w:hAnsi="Times New Roman" w:cs="Times New Roman"/>
                <w:color w:val="000000"/>
                <w:spacing w:val="0"/>
                <w:w w:val="100"/>
                <w:position w:val="0"/>
              </w:rPr>
              <w:t>7</w:t>
            </w:r>
            <w:r>
              <w:rPr>
                <w:color w:val="000000"/>
                <w:spacing w:val="0"/>
                <w:w w:val="100"/>
                <w:position w:val="0"/>
              </w:rPr>
              <w:t>）股 东违规占用 公司资金情 况的，公司 应当扣减该 股东所分配 的现金红 利，以偿还 其占用的资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益群集 团控股有限 公司</w:t>
            </w:r>
            <w:r>
              <w:rPr>
                <w:rFonts w:ascii="Times New Roman" w:eastAsia="Times New Roman" w:hAnsi="Times New Roman" w:cs="Times New Roman"/>
                <w:color w:val="000000"/>
                <w:spacing w:val="0"/>
                <w:w w:val="100"/>
                <w:position w:val="0"/>
              </w:rPr>
              <w:t>;</w:t>
            </w:r>
            <w:r>
              <w:rPr>
                <w:color w:val="000000"/>
                <w:spacing w:val="0"/>
                <w:w w:val="100"/>
                <w:position w:val="0"/>
              </w:rPr>
              <w:t>益威 集团控股有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、实际控制 人的承诺为 避免实际控 制人未来可 能与公司发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rPr>
              <w:t>;</w:t>
            </w:r>
            <w:r>
              <w:rPr>
                <w:color w:val="000000"/>
                <w:spacing w:val="0"/>
                <w:w w:val="100"/>
                <w:position w:val="0"/>
              </w:rPr>
              <w:t>益 志集团控股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生同业竞 争，公司的 实际控制人 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日向 公司出具了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 竞争的承诺 函》，承诺 内容如下： 本人依照中 国法律法规 被确认为四 方精创实际 控制人及关 联方期间， 将不会在中 国境内或境 外以任何方 式（包括但 不限于单独 经营、通过 合资经营或 拥有另一公 司或企业的 股权及其它 权益）直接 或间接从事 或参与任何 与四方精创 构成竞争的 任何业务或 活动，不以 任何方式从 事或参与生 产任何与四 方精创相 同、相似或 可能取代四 方精创的业 务活动；本 人如从任何 第三方获得 的商业机会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与四方精创 经营的业务 有竞争或可 能有竞争， 则本公司将 立即通知四 方精创，并 将该商业机 会让予四方 精创；本人 承诺不利用 任何方式从 事影响或可 能影响四方 精创经营、 发展的业务 或活动。</w:t>
            </w:r>
            <w:r>
              <w:rPr>
                <w:rFonts w:ascii="Times New Roman" w:eastAsia="Times New Roman" w:hAnsi="Times New Roman" w:cs="Times New Roman"/>
                <w:color w:val="000000"/>
                <w:spacing w:val="0"/>
                <w:w w:val="100"/>
                <w:position w:val="0"/>
              </w:rPr>
              <w:t>2</w:t>
            </w:r>
            <w:r>
              <w:rPr>
                <w:color w:val="000000"/>
                <w:spacing w:val="0"/>
                <w:w w:val="100"/>
                <w:position w:val="0"/>
              </w:rPr>
              <w:t xml:space="preserve">、 益群控股、 益威控股和 益志控股的 承诺为避免 控股股东未 来可能与公 司发生同业 竞争，公司 的控股股东 益群控股和 益威控股以 及益志控股 已分别于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日向公 司出具了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 竞争的承诺 函》，承诺 内容如下： 本公司依照 中国法律法 规被确认为 四方精创控 股股东及关 联方期间， 将不会在中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国境内或境 外以任何方 式（包括但 不限于单独 经营、通过 合资经营或 拥有另一公 司或企业的 股权及其它 权益）直接 或间接从事 或参与任何 与四方精创 构成竞争的 任何业务或 活动，不以 任何方式从 事或参与生 产任何与四 方精创相 同、相似或 可能取代四 方精创的业 务活动；本 公司如从任 何第三方获 得的商业机 会与四方精 创经营的业 务有竞争或 可能有竞 争，则本公 司将立即通 知四方精 创，并将该 商业机会让 予四方精 创；本公司 承诺不利用 任何方式从 事影响或可 能影响四方 精创经营、 发展的业务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6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深圳四方精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创资讯股份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填补被摊薄 即期回报的 措施及承诺 国务院办公 厅于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日发布 了《国务院 办公厅关于 进一步加强 资本市场中 小投资者合 法权益保护 工作的意 见》（国办 发【</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110</w:t>
            </w:r>
            <w:r>
              <w:rPr>
                <w:color w:val="000000"/>
                <w:spacing w:val="0"/>
                <w:w w:val="100"/>
                <w:position w:val="0"/>
              </w:rPr>
              <w:t>号）并 提出，</w:t>
            </w:r>
            <w:r>
              <w:rPr>
                <w:rFonts w:ascii="Times New Roman" w:eastAsia="Times New Roman" w:hAnsi="Times New Roman" w:cs="Times New Roman"/>
                <w:color w:val="000000"/>
                <w:spacing w:val="0"/>
                <w:w w:val="100"/>
                <w:position w:val="0"/>
              </w:rPr>
              <w:t>"</w:t>
            </w:r>
            <w:r>
              <w:rPr>
                <w:color w:val="000000"/>
                <w:spacing w:val="0"/>
                <w:w w:val="100"/>
                <w:position w:val="0"/>
              </w:rPr>
              <w:t>公司 首次公开发 行股票、上 市公司再融 资或者并购 重组摊薄即 期回报的， 应当承诺并 兑现填补回 报的具体措 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年，公司实 现归属于母 公司股东的 净利润 </w:t>
            </w:r>
            <w:r>
              <w:rPr>
                <w:rFonts w:ascii="Times New Roman" w:eastAsia="Times New Roman" w:hAnsi="Times New Roman" w:cs="Times New Roman"/>
                <w:color w:val="000000"/>
                <w:spacing w:val="0"/>
                <w:w w:val="100"/>
                <w:position w:val="0"/>
              </w:rPr>
              <w:t xml:space="preserve">8,428.38 </w:t>
            </w:r>
            <w:r>
              <w:rPr>
                <w:color w:val="000000"/>
                <w:spacing w:val="0"/>
                <w:w w:val="100"/>
                <w:position w:val="0"/>
              </w:rPr>
              <w:t>万 元，每股收 益为</w:t>
            </w:r>
            <w:r>
              <w:rPr>
                <w:rFonts w:ascii="Times New Roman" w:eastAsia="Times New Roman" w:hAnsi="Times New Roman" w:cs="Times New Roman"/>
                <w:color w:val="000000"/>
                <w:spacing w:val="0"/>
                <w:w w:val="100"/>
                <w:position w:val="0"/>
              </w:rPr>
              <w:t xml:space="preserve">1.12 </w:t>
            </w:r>
            <w:r>
              <w:rPr>
                <w:color w:val="000000"/>
                <w:spacing w:val="0"/>
                <w:w w:val="100"/>
                <w:position w:val="0"/>
              </w:rPr>
              <w:t xml:space="preserve">元，加权平 均净资产收 益率为 </w:t>
            </w:r>
            <w:r>
              <w:rPr>
                <w:rFonts w:ascii="Times New Roman" w:eastAsia="Times New Roman" w:hAnsi="Times New Roman" w:cs="Times New Roman"/>
                <w:color w:val="000000"/>
                <w:spacing w:val="0"/>
                <w:w w:val="100"/>
                <w:position w:val="0"/>
              </w:rPr>
              <w:t>27.85%</w:t>
            </w:r>
            <w:r>
              <w:rPr>
                <w:color w:val="000000"/>
                <w:spacing w:val="0"/>
                <w:w w:val="100"/>
                <w:position w:val="0"/>
              </w:rPr>
              <w:t xml:space="preserve">。本 次发行前公 司总股本为 </w:t>
            </w:r>
            <w:r>
              <w:rPr>
                <w:rFonts w:ascii="Times New Roman" w:eastAsia="Times New Roman" w:hAnsi="Times New Roman" w:cs="Times New Roman"/>
                <w:color w:val="000000"/>
                <w:spacing w:val="0"/>
                <w:w w:val="100"/>
                <w:position w:val="0"/>
              </w:rPr>
              <w:t>7,500</w:t>
            </w:r>
            <w:r>
              <w:rPr>
                <w:color w:val="000000"/>
                <w:spacing w:val="0"/>
                <w:w w:val="100"/>
                <w:position w:val="0"/>
              </w:rPr>
              <w:t>万股， 本次发行完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成后，公司 总股本和归 属母公司股 东所有者权 益将有较大 幅度的增 加。虽然本 公司的募集 资金项目将 用于公司主 营业务发展 并进行严格 论证，但募 集资金投资 项目建设需 要一定周 期，在公司 股本和净资 产均增加的 情况下，短 期内，公司 的每股收益 和加权平均 净资产收益 率等指标将 出现一定幅 度的下降。 针对上述情 况，本公司 对填补回报 提出若干措 施并承诺如 下：（一） 提升核心竞 争力，增强 公司可持续 盈利能力 </w:t>
            </w:r>
            <w:r>
              <w:rPr>
                <w:rFonts w:ascii="Times New Roman" w:eastAsia="Times New Roman" w:hAnsi="Times New Roman" w:cs="Times New Roman"/>
                <w:color w:val="000000"/>
                <w:spacing w:val="0"/>
                <w:w w:val="100"/>
                <w:position w:val="0"/>
              </w:rPr>
              <w:t>1</w:t>
            </w:r>
            <w:r>
              <w:rPr>
                <w:color w:val="000000"/>
                <w:spacing w:val="0"/>
                <w:w w:val="100"/>
                <w:position w:val="0"/>
              </w:rPr>
              <w:t>、凭借公司 在业内多年 积累的项目 经验、服务 信誉、国际 化视野等方 面的优势，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坚持高端化 发展，以大 型商业银行 的大型机业 务为主要市 场发展方 向，进一步 凝聚高层次 人才，拓展 </w:t>
            </w:r>
            <w:r>
              <w:rPr>
                <w:rFonts w:ascii="Times New Roman" w:eastAsia="Times New Roman" w:hAnsi="Times New Roman" w:cs="Times New Roman"/>
                <w:color w:val="000000"/>
                <w:spacing w:val="0"/>
                <w:w w:val="100"/>
                <w:position w:val="0"/>
              </w:rPr>
              <w:t>IT</w:t>
            </w:r>
            <w:r>
              <w:rPr>
                <w:color w:val="000000"/>
                <w:spacing w:val="0"/>
                <w:w w:val="100"/>
                <w:position w:val="0"/>
              </w:rPr>
              <w:t>系统综 合服务能 力，通过与 客户之间的 全面合作， 构造客户聚 集效应。</w:t>
            </w:r>
            <w:r>
              <w:rPr>
                <w:rFonts w:ascii="Times New Roman" w:eastAsia="Times New Roman" w:hAnsi="Times New Roman" w:cs="Times New Roman"/>
                <w:color w:val="000000"/>
                <w:spacing w:val="0"/>
                <w:w w:val="100"/>
                <w:position w:val="0"/>
              </w:rPr>
              <w:t>2</w:t>
            </w:r>
            <w:r>
              <w:rPr>
                <w:color w:val="000000"/>
                <w:spacing w:val="0"/>
                <w:w w:val="100"/>
                <w:position w:val="0"/>
              </w:rPr>
              <w:t>、 强化专业化 发展原则， 继续巩固和 深化公司在 银行核心业 务系统服务 方面的专业 化能力，加 大研发投入 和技术储 备，进一步 扩大核心领 域的业务规 模，提升市 场占有率。</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、坚持国际 市场与国内 市场互动发 展原则，完 善国际市场 布局，进一 步提升全球 服务交付能 力，大力拓 展国内市 场，充分抓 住中国产业 升级背景下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w:t>
            </w:r>
            <w:r>
              <w:rPr>
                <w:rFonts w:ascii="Times New Roman" w:eastAsia="Times New Roman" w:hAnsi="Times New Roman" w:cs="Times New Roman"/>
                <w:color w:val="000000"/>
                <w:spacing w:val="0"/>
                <w:w w:val="100"/>
                <w:position w:val="0"/>
              </w:rPr>
              <w:t>IT</w:t>
            </w:r>
            <w:r>
              <w:rPr>
                <w:color w:val="000000"/>
                <w:spacing w:val="0"/>
                <w:w w:val="100"/>
                <w:position w:val="0"/>
              </w:rPr>
              <w:t>系 统服务大发 展的市场机 遇。（二） 加快募投项 目投资进 度，争取早 日实现项目 预期效益。 本次募集资 金项目中</w:t>
            </w:r>
            <w:r>
              <w:rPr>
                <w:rFonts w:ascii="Times New Roman" w:eastAsia="Times New Roman" w:hAnsi="Times New Roman" w:cs="Times New Roman"/>
                <w:color w:val="000000"/>
                <w:spacing w:val="0"/>
                <w:w w:val="100"/>
                <w:position w:val="0"/>
              </w:rPr>
              <w:t xml:space="preserve">" </w:t>
            </w:r>
            <w:r>
              <w:rPr>
                <w:color w:val="000000"/>
                <w:spacing w:val="0"/>
                <w:w w:val="100"/>
                <w:position w:val="0"/>
              </w:rPr>
              <w:t>银行软件技 术服务交付 中心建设项 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研发 中心建设项 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新一 代银行核心 业务系统建 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普惠金融云 服务中心建 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银行移动应 用平台建设 项目''等都 是围绕公司 主营业务而 进行，有利 于大幅提升 公司软件测 试能力和交 付质量、有 利于提升公 司的基础研 发体系、提 升向小型金 融机构提供 普惠金融云 服务解决方 案的能力， 加大公司前 瞻性投入， 持续对银行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移动应用业 务进行研 究。公司将 加快上述募 投项目的投 资进度，争 取早日实现 项目的预期 效益，尽快 提升公司的 盈利能力。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（三）提高 资金使用效 率，保证公 司经营规模 的扩大，公 司将提高募 集资金的使 用效率，以 保证公司经 营规模的扩 大，并为公 司持续健康 发展及业务 链延伸提供 资金支持。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深圳四方精 创资讯股份 有限公司； 董事、监事、 高级管理人 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关于承诺履 行的约束措 施（一）发 行人将严格 履行本公司 就首次公开 发行股票并 上市所作出 的所有公开 承诺事项， 积极接受社 会监督。如 未能履行、 确已无法履 行或无法按 期履行其在 招股说明书 中所作出的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相关承诺， 其将采取如 下措施：</w:t>
            </w:r>
            <w:r>
              <w:rPr>
                <w:rFonts w:ascii="Times New Roman" w:eastAsia="Times New Roman" w:hAnsi="Times New Roman" w:cs="Times New Roman"/>
                <w:color w:val="000000"/>
                <w:spacing w:val="0"/>
                <w:w w:val="100"/>
                <w:position w:val="0"/>
              </w:rPr>
              <w:t>1</w:t>
            </w:r>
            <w:r>
              <w:rPr>
                <w:color w:val="000000"/>
                <w:spacing w:val="0"/>
                <w:w w:val="100"/>
                <w:position w:val="0"/>
              </w:rPr>
              <w:t>、 如非因不可 抗力原因导 致未能履行 公开承诺事 项的，需提 出新的承诺 （相关承诺 需按法律、 法规、公司 章程的规定 履行相关审 批程序）并 接受如下约 束措施，直 至新的承诺 履行完毕或 相应补救措 施实施完 毕：（</w:t>
            </w:r>
            <w:r>
              <w:rPr>
                <w:rFonts w:ascii="Times New Roman" w:eastAsia="Times New Roman" w:hAnsi="Times New Roman" w:cs="Times New Roman"/>
                <w:color w:val="000000"/>
                <w:spacing w:val="0"/>
                <w:w w:val="100"/>
                <w:position w:val="0"/>
              </w:rPr>
              <w:t>1</w:t>
            </w:r>
            <w:r>
              <w:rPr>
                <w:color w:val="000000"/>
                <w:spacing w:val="0"/>
                <w:w w:val="100"/>
                <w:position w:val="0"/>
              </w:rPr>
              <w:t>）在 股东大会及 中国证监会 指定的披露 媒体上公开 说明未履行 的原因、具 体情况和相 关约束性措 施并向股东 和社会公众 投资者道 歉；（</w:t>
            </w:r>
            <w:r>
              <w:rPr>
                <w:rFonts w:ascii="Times New Roman" w:eastAsia="Times New Roman" w:hAnsi="Times New Roman" w:cs="Times New Roman"/>
                <w:color w:val="000000"/>
                <w:spacing w:val="0"/>
                <w:w w:val="100"/>
                <w:position w:val="0"/>
              </w:rPr>
              <w:t>2</w:t>
            </w:r>
            <w:r>
              <w:rPr>
                <w:color w:val="000000"/>
                <w:spacing w:val="0"/>
                <w:w w:val="100"/>
                <w:position w:val="0"/>
              </w:rPr>
              <w:t>）不 得进行公开 再融资；（</w:t>
            </w:r>
            <w:r>
              <w:rPr>
                <w:rFonts w:ascii="Times New Roman" w:eastAsia="Times New Roman" w:hAnsi="Times New Roman" w:cs="Times New Roman"/>
                <w:color w:val="000000"/>
                <w:spacing w:val="0"/>
                <w:w w:val="100"/>
                <w:position w:val="0"/>
              </w:rPr>
              <w:t>3</w:t>
            </w:r>
            <w:r>
              <w:rPr>
                <w:color w:val="000000"/>
                <w:spacing w:val="0"/>
                <w:w w:val="100"/>
                <w:position w:val="0"/>
              </w:rPr>
              <w:t>） 对公司该等 未履行承诺 的行为负有 个人责任的 董事、监事、 高级管理人 员调减或停 发薪酬或津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贴；（</w:t>
            </w:r>
            <w:r>
              <w:rPr>
                <w:rFonts w:ascii="Times New Roman" w:eastAsia="Times New Roman" w:hAnsi="Times New Roman" w:cs="Times New Roman"/>
                <w:color w:val="000000"/>
                <w:spacing w:val="0"/>
                <w:w w:val="100"/>
                <w:position w:val="0"/>
              </w:rPr>
              <w:t>4</w:t>
            </w:r>
            <w:r>
              <w:rPr>
                <w:color w:val="000000"/>
                <w:spacing w:val="0"/>
                <w:w w:val="100"/>
                <w:position w:val="0"/>
              </w:rPr>
              <w:t>）不 得批准未履 行承诺的董 事、监事、 高级管理人 员的主动离 职申请，但 可以进行职 务变更；（</w:t>
            </w:r>
            <w:r>
              <w:rPr>
                <w:rFonts w:ascii="Times New Roman" w:eastAsia="Times New Roman" w:hAnsi="Times New Roman" w:cs="Times New Roman"/>
                <w:color w:val="000000"/>
                <w:spacing w:val="0"/>
                <w:w w:val="100"/>
                <w:position w:val="0"/>
              </w:rPr>
              <w:t>5</w:t>
            </w:r>
            <w:r>
              <w:rPr>
                <w:color w:val="000000"/>
                <w:spacing w:val="0"/>
                <w:w w:val="100"/>
                <w:position w:val="0"/>
              </w:rPr>
              <w:t>） 给投资者造 成损失的， 本公司将向 投资者依法 承担赔偿责 任。</w:t>
            </w:r>
            <w:r>
              <w:rPr>
                <w:rFonts w:ascii="Times New Roman" w:eastAsia="Times New Roman" w:hAnsi="Times New Roman" w:cs="Times New Roman"/>
                <w:color w:val="000000"/>
                <w:spacing w:val="0"/>
                <w:w w:val="100"/>
                <w:position w:val="0"/>
              </w:rPr>
              <w:t>2</w:t>
            </w:r>
            <w:r>
              <w:rPr>
                <w:color w:val="000000"/>
                <w:spacing w:val="0"/>
                <w:w w:val="100"/>
                <w:position w:val="0"/>
              </w:rPr>
              <w:t>、如因 不可抗力原 因导致未能 履行公开承 诺事项的， 需提出新的 承诺（相关 承诺需按法 律、法规、 公司章程的 规定履行相 关审批程 序）并接受 如下约束措 施，直至新 的承诺履行 完毕或相应 补救措施实 施完毕：（</w:t>
            </w:r>
            <w:r>
              <w:rPr>
                <w:rFonts w:ascii="Times New Roman" w:eastAsia="Times New Roman" w:hAnsi="Times New Roman" w:cs="Times New Roman"/>
                <w:color w:val="000000"/>
                <w:spacing w:val="0"/>
                <w:w w:val="100"/>
                <w:position w:val="0"/>
              </w:rPr>
              <w:t>1</w:t>
            </w:r>
            <w:r>
              <w:rPr>
                <w:color w:val="000000"/>
                <w:spacing w:val="0"/>
                <w:w w:val="100"/>
                <w:position w:val="0"/>
              </w:rPr>
              <w:t>） 在股东大会 及中国证监 会指定的披 露媒体上公 开说明未履 行的原因、 具体情况和 相关约束性 措施并向股 东和社会公 众投资者道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歉；（</w:t>
            </w:r>
            <w:r>
              <w:rPr>
                <w:rFonts w:ascii="Times New Roman" w:eastAsia="Times New Roman" w:hAnsi="Times New Roman" w:cs="Times New Roman"/>
                <w:color w:val="000000"/>
                <w:spacing w:val="0"/>
                <w:w w:val="100"/>
                <w:position w:val="0"/>
              </w:rPr>
              <w:t>2</w:t>
            </w:r>
            <w:r>
              <w:rPr>
                <w:color w:val="000000"/>
                <w:spacing w:val="0"/>
                <w:w w:val="100"/>
                <w:position w:val="0"/>
              </w:rPr>
              <w:t>）尽 快研究将投 资者利益损 失降低到最 小的处理方 案，并提交 股东大会审 议，尽可能 地保护本公 司投资者利 益。（二） 实际控制 人、董事、 监事及高级 管理人员如 未能履行、 确已无法履 行或无法按 期履行其在 招股说明书 中所作出的 相关承诺， 其将采取如 下措施：</w:t>
            </w:r>
            <w:r>
              <w:rPr>
                <w:rFonts w:ascii="Times New Roman" w:eastAsia="Times New Roman" w:hAnsi="Times New Roman" w:cs="Times New Roman"/>
                <w:color w:val="000000"/>
                <w:spacing w:val="0"/>
                <w:w w:val="100"/>
                <w:position w:val="0"/>
              </w:rPr>
              <w:t>1</w:t>
            </w:r>
            <w:r>
              <w:rPr>
                <w:color w:val="000000"/>
                <w:spacing w:val="0"/>
                <w:w w:val="100"/>
                <w:position w:val="0"/>
              </w:rPr>
              <w:t>、 如本人非因 不可抗力原 因导致未能 履行公开承 诺事项的， 需提出新的 承诺并接受 如下约束措 施，直至新 的承诺履行 完毕或相应 补救措施实 施完毕：（</w:t>
            </w:r>
            <w:r>
              <w:rPr>
                <w:rFonts w:ascii="Times New Roman" w:eastAsia="Times New Roman" w:hAnsi="Times New Roman" w:cs="Times New Roman"/>
                <w:color w:val="000000"/>
                <w:spacing w:val="0"/>
                <w:w w:val="100"/>
                <w:position w:val="0"/>
              </w:rPr>
              <w:t>1</w:t>
            </w:r>
            <w:r>
              <w:rPr>
                <w:color w:val="000000"/>
                <w:spacing w:val="0"/>
                <w:w w:val="100"/>
                <w:position w:val="0"/>
              </w:rPr>
              <w:t>） 在股东大会 及中国证监 会指定的披 露媒体上公 开说明未履 行的原因、 具体情况和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相关约束性 措施并向股 东和社会公 众投资者道 歉；（</w:t>
            </w:r>
            <w:r>
              <w:rPr>
                <w:rFonts w:ascii="Times New Roman" w:eastAsia="Times New Roman" w:hAnsi="Times New Roman" w:cs="Times New Roman"/>
                <w:color w:val="000000"/>
                <w:spacing w:val="0"/>
                <w:w w:val="100"/>
                <w:position w:val="0"/>
              </w:rPr>
              <w:t>2</w:t>
            </w:r>
            <w:r>
              <w:rPr>
                <w:color w:val="000000"/>
                <w:spacing w:val="0"/>
                <w:w w:val="100"/>
                <w:position w:val="0"/>
              </w:rPr>
              <w:t>）不 得转让公司 股份。因继 承、被强制 执行、上市 公司重组、 为履行保护 投资者利益 承诺等必须 转股的情形 除外；（</w:t>
            </w:r>
            <w:r>
              <w:rPr>
                <w:rFonts w:ascii="Times New Roman" w:eastAsia="Times New Roman" w:hAnsi="Times New Roman" w:cs="Times New Roman"/>
                <w:color w:val="000000"/>
                <w:spacing w:val="0"/>
                <w:w w:val="100"/>
                <w:position w:val="0"/>
              </w:rPr>
              <w:t>3</w:t>
            </w:r>
            <w:r>
              <w:rPr>
                <w:color w:val="000000"/>
                <w:spacing w:val="0"/>
                <w:w w:val="100"/>
                <w:position w:val="0"/>
              </w:rPr>
              <w:t>） 暂不领取公 司分配利润 中归属于个 人的部分；</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）可以职 务变更但不 得主动要求 离职；（</w:t>
            </w:r>
            <w:r>
              <w:rPr>
                <w:rFonts w:ascii="Times New Roman" w:eastAsia="Times New Roman" w:hAnsi="Times New Roman" w:cs="Times New Roman"/>
                <w:color w:val="000000"/>
                <w:spacing w:val="0"/>
                <w:w w:val="100"/>
                <w:position w:val="0"/>
              </w:rPr>
              <w:t>5</w:t>
            </w:r>
            <w:r>
              <w:rPr>
                <w:color w:val="000000"/>
                <w:spacing w:val="0"/>
                <w:w w:val="100"/>
                <w:position w:val="0"/>
              </w:rPr>
              <w:t>） 主动申请调 减或停发薪 酬或津贴；</w:t>
            </w:r>
          </w:p>
          <w:p>
            <w:pPr>
              <w:pStyle w:val="Style2"/>
              <w:keepNext w:val="0"/>
              <w:keepLines w:val="0"/>
              <w:widowControl w:val="0"/>
              <w:shd w:val="clear" w:color="auto" w:fill="auto"/>
              <w:tabs>
                <w:tab w:pos="374"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如果因 未履行相关 承诺事项而 获得收益 的，所获收 益归公司所 有，并在获 得收益的五 个工作日内 将所获收益 支付给公司 指定账户；</w:t>
            </w:r>
          </w:p>
          <w:p>
            <w:pPr>
              <w:pStyle w:val="Style2"/>
              <w:keepNext w:val="0"/>
              <w:keepLines w:val="0"/>
              <w:widowControl w:val="0"/>
              <w:shd w:val="clear" w:color="auto" w:fill="auto"/>
              <w:tabs>
                <w:tab w:pos="374"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tab/>
              <w:t>未履行 上述承诺及 招股说明书 的其他承诺 事项，给投 资者造成损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失的，依法 赔偿投资者 损失；（</w:t>
            </w:r>
            <w:r>
              <w:rPr>
                <w:rFonts w:ascii="Times New Roman" w:eastAsia="Times New Roman" w:hAnsi="Times New Roman" w:cs="Times New Roman"/>
                <w:color w:val="000000"/>
                <w:spacing w:val="0"/>
                <w:w w:val="100"/>
                <w:position w:val="0"/>
              </w:rPr>
              <w:t>8</w:t>
            </w:r>
            <w:r>
              <w:rPr>
                <w:color w:val="000000"/>
                <w:spacing w:val="0"/>
                <w:w w:val="100"/>
                <w:position w:val="0"/>
              </w:rPr>
              <w:t>） 公司未履行 上述承诺及 招股说明书 的其他承诺 事项，给投 资者造成损 失的，将依 法承担连带 赔偿责任。</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、如本人因 不可抗力原 因导致未能 履行公开承 诺事项的， 需提出新的 承诺并接受 如下约束措 施，直至新 的承诺履行 完毕或相应 补救措施实 施完毕：（</w:t>
            </w:r>
            <w:r>
              <w:rPr>
                <w:rFonts w:ascii="Times New Roman" w:eastAsia="Times New Roman" w:hAnsi="Times New Roman" w:cs="Times New Roman"/>
                <w:color w:val="000000"/>
                <w:spacing w:val="0"/>
                <w:w w:val="100"/>
                <w:position w:val="0"/>
              </w:rPr>
              <w:t>1</w:t>
            </w:r>
            <w:r>
              <w:rPr>
                <w:color w:val="000000"/>
                <w:spacing w:val="0"/>
                <w:w w:val="100"/>
                <w:position w:val="0"/>
              </w:rPr>
              <w:t>） 在股东大会 及中国证监 会指定的披 露媒体上公 开说明未履 行的原因、 具体情况和 相关约束性 措施并向股 东和社会公 众投资者道 歉；（</w:t>
            </w:r>
            <w:r>
              <w:rPr>
                <w:rFonts w:ascii="Times New Roman" w:eastAsia="Times New Roman" w:hAnsi="Times New Roman" w:cs="Times New Roman"/>
                <w:color w:val="000000"/>
                <w:spacing w:val="0"/>
                <w:w w:val="100"/>
                <w:position w:val="0"/>
              </w:rPr>
              <w:t>2</w:t>
            </w:r>
            <w:r>
              <w:rPr>
                <w:color w:val="000000"/>
                <w:spacing w:val="0"/>
                <w:w w:val="100"/>
                <w:position w:val="0"/>
              </w:rPr>
              <w:t>）尽 快研究将投 资者利益损 失降低到最 小的处理方 案，尽可能 地保护本公 司投资者利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益。（三） 独立董事如 未能履行、 确已无法履 行或无法按 期履行其在 招股说明书 中所作出的 相关承诺， 其将采取如 下措施：</w:t>
            </w:r>
            <w:r>
              <w:rPr>
                <w:rFonts w:ascii="Times New Roman" w:eastAsia="Times New Roman" w:hAnsi="Times New Roman" w:cs="Times New Roman"/>
                <w:color w:val="000000"/>
                <w:spacing w:val="0"/>
                <w:w w:val="100"/>
                <w:position w:val="0"/>
              </w:rPr>
              <w:t>1</w:t>
            </w:r>
            <w:r>
              <w:rPr>
                <w:color w:val="000000"/>
                <w:spacing w:val="0"/>
                <w:w w:val="100"/>
                <w:position w:val="0"/>
              </w:rPr>
              <w:t>、 如本人非因 不可抗力原 因导致未能 履行公开承 诺事项的， 需提出新的 承诺并接受 如下约束措 施，直至新 的承诺履行 完毕或相应 补救措施实 施完毕：（</w:t>
            </w:r>
            <w:r>
              <w:rPr>
                <w:rFonts w:ascii="Times New Roman" w:eastAsia="Times New Roman" w:hAnsi="Times New Roman" w:cs="Times New Roman"/>
                <w:color w:val="000000"/>
                <w:spacing w:val="0"/>
                <w:w w:val="100"/>
                <w:position w:val="0"/>
              </w:rPr>
              <w:t>1</w:t>
            </w:r>
            <w:r>
              <w:rPr>
                <w:color w:val="000000"/>
                <w:spacing w:val="0"/>
                <w:w w:val="100"/>
                <w:position w:val="0"/>
              </w:rPr>
              <w:t>） 在股东大会 及中国证监 会指定的披 露媒体上公 开说明未履 行的原因、 具体情况和 相关约束性 措施并向股 东和社会公 众投资者道 歉；（</w:t>
            </w:r>
            <w:r>
              <w:rPr>
                <w:rFonts w:ascii="Times New Roman" w:eastAsia="Times New Roman" w:hAnsi="Times New Roman" w:cs="Times New Roman"/>
                <w:color w:val="000000"/>
                <w:spacing w:val="0"/>
                <w:w w:val="100"/>
                <w:position w:val="0"/>
              </w:rPr>
              <w:t>2</w:t>
            </w:r>
            <w:r>
              <w:rPr>
                <w:color w:val="000000"/>
                <w:spacing w:val="0"/>
                <w:w w:val="100"/>
                <w:position w:val="0"/>
              </w:rPr>
              <w:t>）可 以职务变更 但不得主动 要求离职；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）主动申 请调减或停 发薪酬或津 贴；（</w:t>
            </w:r>
            <w:r>
              <w:rPr>
                <w:rFonts w:ascii="Times New Roman" w:eastAsia="Times New Roman" w:hAnsi="Times New Roman" w:cs="Times New Roman"/>
                <w:color w:val="000000"/>
                <w:spacing w:val="0"/>
                <w:w w:val="100"/>
                <w:position w:val="0"/>
              </w:rPr>
              <w:t>4</w:t>
            </w:r>
            <w:r>
              <w:rPr>
                <w:color w:val="000000"/>
                <w:spacing w:val="0"/>
                <w:w w:val="100"/>
                <w:position w:val="0"/>
              </w:rPr>
              <w:t>）如 果因未履行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相关承诺事 项而获得收 益的，所获 收益归公司 所有，并在 获得收益的 五个工作日 内将所获收 益支付给公 司指定账 户；（</w:t>
            </w:r>
            <w:r>
              <w:rPr>
                <w:rFonts w:ascii="Times New Roman" w:eastAsia="Times New Roman" w:hAnsi="Times New Roman" w:cs="Times New Roman"/>
                <w:color w:val="000000"/>
                <w:spacing w:val="0"/>
                <w:w w:val="100"/>
                <w:position w:val="0"/>
              </w:rPr>
              <w:t>5</w:t>
            </w:r>
            <w:r>
              <w:rPr>
                <w:color w:val="000000"/>
                <w:spacing w:val="0"/>
                <w:w w:val="100"/>
                <w:position w:val="0"/>
              </w:rPr>
              <w:t>）本 人未履行上 述承诺及招 股说明书的 其他承诺事 项，给投资 者造成损失 的，依法赔 偿投资者损 失；（</w:t>
            </w:r>
            <w:r>
              <w:rPr>
                <w:rFonts w:ascii="Times New Roman" w:eastAsia="Times New Roman" w:hAnsi="Times New Roman" w:cs="Times New Roman"/>
                <w:color w:val="000000"/>
                <w:spacing w:val="0"/>
                <w:w w:val="100"/>
                <w:position w:val="0"/>
              </w:rPr>
              <w:t>6</w:t>
            </w:r>
            <w:r>
              <w:rPr>
                <w:color w:val="000000"/>
                <w:spacing w:val="0"/>
                <w:w w:val="100"/>
                <w:position w:val="0"/>
              </w:rPr>
              <w:t>）公 司未履行上 述承诺及招 股说明书的 其他承诺事 项，给投资 者造成损失 的，本人依 法承担连带 赔偿责任。</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、如本人因 不可抗力原 因导致未能 履行公开承 诺事项的， 需提出新的 承诺并接受 如下约束措 施，直至新 的承诺履行 完毕或相应 补救措施实 施完毕（</w:t>
            </w:r>
            <w:r>
              <w:rPr>
                <w:rFonts w:ascii="Times New Roman" w:eastAsia="Times New Roman" w:hAnsi="Times New Roman" w:cs="Times New Roman"/>
                <w:color w:val="000000"/>
                <w:spacing w:val="0"/>
                <w:w w:val="100"/>
                <w:position w:val="0"/>
              </w:rPr>
              <w:t>1</w:t>
            </w:r>
            <w:r>
              <w:rPr>
                <w:color w:val="000000"/>
                <w:spacing w:val="0"/>
                <w:w w:val="100"/>
                <w:position w:val="0"/>
              </w:rPr>
              <w:t>） 在股东大会 及中国证监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会指定的披 露媒体上公 开说明未履 行的原因、 具体情况和 相关约束性 措施并向股 东和社会公 众投资者道 歉；（</w:t>
            </w:r>
            <w:r>
              <w:rPr>
                <w:rFonts w:ascii="Times New Roman" w:eastAsia="Times New Roman" w:hAnsi="Times New Roman" w:cs="Times New Roman"/>
                <w:color w:val="000000"/>
                <w:spacing w:val="0"/>
                <w:w w:val="100"/>
                <w:position w:val="0"/>
              </w:rPr>
              <w:t>2</w:t>
            </w:r>
            <w:r>
              <w:rPr>
                <w:color w:val="000000"/>
                <w:spacing w:val="0"/>
                <w:w w:val="100"/>
                <w:position w:val="0"/>
              </w:rPr>
              <w:t>）尽 快研究将投 资者利益损 失降低到最 小的处理方 案，尽可能 地保护本公 司投资者利 益。（四） 公司发行前 持股</w:t>
            </w:r>
            <w:r>
              <w:rPr>
                <w:rFonts w:ascii="Times New Roman" w:eastAsia="Times New Roman" w:hAnsi="Times New Roman" w:cs="Times New Roman"/>
                <w:color w:val="000000"/>
                <w:spacing w:val="0"/>
                <w:w w:val="100"/>
                <w:position w:val="0"/>
              </w:rPr>
              <w:t>5%</w:t>
            </w:r>
            <w:r>
              <w:rPr>
                <w:color w:val="000000"/>
                <w:spacing w:val="0"/>
                <w:w w:val="100"/>
                <w:position w:val="0"/>
              </w:rPr>
              <w:t>以 上股东如未 能履行、确 已无法履行 或无法按期 履行其所作 出的减持意 向承诺，其 将采取如下 措施：</w:t>
            </w:r>
            <w:r>
              <w:rPr>
                <w:rFonts w:ascii="Times New Roman" w:eastAsia="Times New Roman" w:hAnsi="Times New Roman" w:cs="Times New Roman"/>
                <w:color w:val="000000"/>
                <w:spacing w:val="0"/>
                <w:w w:val="100"/>
                <w:position w:val="0"/>
              </w:rPr>
              <w:t>1</w:t>
            </w:r>
            <w:r>
              <w:rPr>
                <w:color w:val="000000"/>
                <w:spacing w:val="0"/>
                <w:w w:val="100"/>
                <w:position w:val="0"/>
              </w:rPr>
              <w:t>、在 股东大会及 中国证监会 指定的披露 媒体上公开 说明未履行 承诺的原 因、具体情 况和相关约 束性措施并 向公司股东 和社会公众 投资者道 歉；</w:t>
            </w:r>
            <w:r>
              <w:rPr>
                <w:rFonts w:ascii="Times New Roman" w:eastAsia="Times New Roman" w:hAnsi="Times New Roman" w:cs="Times New Roman"/>
                <w:color w:val="000000"/>
                <w:spacing w:val="0"/>
                <w:w w:val="100"/>
                <w:position w:val="0"/>
              </w:rPr>
              <w:t>2</w:t>
            </w:r>
            <w:r>
              <w:rPr>
                <w:color w:val="000000"/>
                <w:spacing w:val="0"/>
                <w:w w:val="100"/>
                <w:position w:val="0"/>
              </w:rPr>
              <w:t>、转让 相关股份所 取得的收益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2"/>
        <w:gridCol w:w="1123"/>
        <w:gridCol w:w="1128"/>
        <w:gridCol w:w="1128"/>
        <w:gridCol w:w="1123"/>
        <w:gridCol w:w="1123"/>
        <w:gridCol w:w="1109"/>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归公司所 有；</w:t>
            </w:r>
            <w:r>
              <w:rPr>
                <w:rFonts w:ascii="Times New Roman" w:eastAsia="Times New Roman" w:hAnsi="Times New Roman" w:cs="Times New Roman"/>
                <w:color w:val="000000"/>
                <w:spacing w:val="0"/>
                <w:w w:val="100"/>
                <w:position w:val="0"/>
              </w:rPr>
              <w:t>3</w:t>
            </w:r>
            <w:r>
              <w:rPr>
                <w:color w:val="000000"/>
                <w:spacing w:val="0"/>
                <w:w w:val="100"/>
                <w:position w:val="0"/>
              </w:rPr>
              <w:t>、如未 履行减持意 向，其持有 的公司股份 自其未履行 上述减持意 向之日起</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个月内不得 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4"/>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33"/>
        <w:keepNext/>
        <w:keepLines/>
        <w:widowControl w:val="0"/>
        <w:shd w:val="clear" w:color="auto" w:fill="auto"/>
        <w:bidi w:val="0"/>
        <w:spacing w:before="0" w:after="260" w:line="317" w:lineRule="exact"/>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、公司资产或项目存在盈利预测，且报告期仍处在盈利预测期间，公司就资产或项目达到原盈利预测及 其原因做出说明</w:t>
      </w:r>
      <w:bookmarkEnd w:id="406"/>
      <w:bookmarkEnd w:id="407"/>
      <w:bookmarkEnd w:id="409"/>
    </w:p>
    <w:p>
      <w:pPr>
        <w:pStyle w:val="Style24"/>
        <w:keepNext w:val="0"/>
        <w:keepLines w:val="0"/>
        <w:widowControl w:val="0"/>
        <w:shd w:val="clear" w:color="auto" w:fill="auto"/>
        <w:bidi w:val="0"/>
        <w:spacing w:before="0" w:after="320" w:line="320" w:lineRule="exact"/>
        <w:ind w:left="0" w:right="0" w:firstLine="0"/>
        <w:jc w:val="left"/>
      </w:pPr>
      <w:r>
        <w:rPr>
          <w:color w:val="000000"/>
          <w:spacing w:val="0"/>
          <w:w w:val="100"/>
          <w:position w:val="0"/>
        </w:rPr>
        <w:t>口适用”不适用</w:t>
      </w:r>
    </w:p>
    <w:p>
      <w:pPr>
        <w:pStyle w:val="Style28"/>
        <w:keepNext/>
        <w:keepLines/>
        <w:widowControl w:val="0"/>
        <w:shd w:val="clear" w:color="auto" w:fill="auto"/>
        <w:tabs>
          <w:tab w:pos="512" w:val="left"/>
        </w:tabs>
        <w:bidi w:val="0"/>
        <w:spacing w:before="0" w:after="260" w:line="326"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sz w:val="24"/>
          <w:szCs w:val="24"/>
        </w:rPr>
        <w:t>二</w:t>
      </w:r>
      <w:bookmarkEnd w:id="412"/>
      <w:r>
        <w:rPr>
          <w:color w:val="000000"/>
          <w:spacing w:val="0"/>
          <w:w w:val="100"/>
          <w:position w:val="0"/>
          <w:sz w:val="24"/>
          <w:szCs w:val="24"/>
        </w:rPr>
        <w:t>、</w:t>
        <w:tab/>
        <w:t>控股股东及其他关联方对上市公司的非经营性占用资金情况</w:t>
      </w:r>
      <w:bookmarkEnd w:id="410"/>
      <w:bookmarkEnd w:id="411"/>
      <w:bookmarkEnd w:id="413"/>
    </w:p>
    <w:p>
      <w:pPr>
        <w:pStyle w:val="Style24"/>
        <w:keepNext w:val="0"/>
        <w:keepLines w:val="0"/>
        <w:widowControl w:val="0"/>
        <w:shd w:val="clear" w:color="auto" w:fill="auto"/>
        <w:bidi w:val="0"/>
        <w:spacing w:before="0" w:after="320" w:line="320" w:lineRule="exact"/>
        <w:ind w:left="0" w:right="0" w:firstLine="0"/>
        <w:jc w:val="left"/>
      </w:pPr>
      <w:r>
        <w:rPr>
          <w:color w:val="000000"/>
          <w:spacing w:val="0"/>
          <w:w w:val="100"/>
          <w:position w:val="0"/>
        </w:rPr>
        <w:t>口适用”不适用</w:t>
      </w:r>
    </w:p>
    <w:p>
      <w:pPr>
        <w:pStyle w:val="Style28"/>
        <w:keepNext/>
        <w:keepLines/>
        <w:widowControl w:val="0"/>
        <w:shd w:val="clear" w:color="auto" w:fill="auto"/>
        <w:tabs>
          <w:tab w:pos="517" w:val="left"/>
        </w:tabs>
        <w:bidi w:val="0"/>
        <w:spacing w:before="0" w:after="260" w:line="326" w:lineRule="exact"/>
        <w:ind w:left="0" w:right="0" w:firstLine="0"/>
        <w:jc w:val="left"/>
      </w:pPr>
      <w:bookmarkStart w:id="414" w:name="bookmark414"/>
      <w:bookmarkStart w:id="415" w:name="bookmark415"/>
      <w:bookmarkStart w:id="416" w:name="bookmark416"/>
      <w:bookmarkStart w:id="417" w:name="bookmark417"/>
      <w:r>
        <w:rPr>
          <w:color w:val="000000"/>
          <w:spacing w:val="0"/>
          <w:w w:val="100"/>
          <w:position w:val="0"/>
          <w:sz w:val="24"/>
          <w:szCs w:val="24"/>
        </w:rPr>
        <w:t>三</w:t>
      </w:r>
      <w:bookmarkEnd w:id="416"/>
      <w:r>
        <w:rPr>
          <w:color w:val="000000"/>
          <w:spacing w:val="0"/>
          <w:w w:val="100"/>
          <w:position w:val="0"/>
          <w:sz w:val="24"/>
          <w:szCs w:val="24"/>
        </w:rPr>
        <w:t>、</w:t>
        <w:tab/>
        <w:t>违规对外担保情况</w:t>
      </w:r>
      <w:bookmarkEnd w:id="414"/>
      <w:bookmarkEnd w:id="415"/>
      <w:bookmarkEnd w:id="417"/>
    </w:p>
    <w:p>
      <w:pPr>
        <w:pStyle w:val="Style24"/>
        <w:keepNext w:val="0"/>
        <w:keepLines w:val="0"/>
        <w:widowControl w:val="0"/>
        <w:shd w:val="clear" w:color="auto" w:fill="auto"/>
        <w:bidi w:val="0"/>
        <w:spacing w:before="0" w:after="320" w:line="320" w:lineRule="exact"/>
        <w:ind w:left="0" w:right="0" w:firstLine="0"/>
        <w:jc w:val="left"/>
      </w:pPr>
      <w:r>
        <w:rPr>
          <w:color w:val="000000"/>
          <w:spacing w:val="0"/>
          <w:w w:val="100"/>
          <w:position w:val="0"/>
        </w:rPr>
        <w:t>口适用”不适用</w:t>
      </w:r>
    </w:p>
    <w:p>
      <w:pPr>
        <w:pStyle w:val="Style28"/>
        <w:keepNext/>
        <w:keepLines/>
        <w:widowControl w:val="0"/>
        <w:shd w:val="clear" w:color="auto" w:fill="auto"/>
        <w:tabs>
          <w:tab w:pos="517" w:val="left"/>
        </w:tabs>
        <w:bidi w:val="0"/>
        <w:spacing w:before="0" w:after="260" w:line="326" w:lineRule="exact"/>
        <w:ind w:left="0" w:right="0" w:firstLine="0"/>
        <w:jc w:val="left"/>
      </w:pPr>
      <w:bookmarkStart w:id="418" w:name="bookmark418"/>
      <w:bookmarkStart w:id="419" w:name="bookmark419"/>
      <w:bookmarkStart w:id="420" w:name="bookmark420"/>
      <w:bookmarkStart w:id="421" w:name="bookmark421"/>
      <w:r>
        <w:rPr>
          <w:color w:val="000000"/>
          <w:spacing w:val="0"/>
          <w:w w:val="100"/>
          <w:position w:val="0"/>
          <w:sz w:val="24"/>
          <w:szCs w:val="24"/>
        </w:rPr>
        <w:t>四</w:t>
      </w:r>
      <w:bookmarkEnd w:id="420"/>
      <w:r>
        <w:rPr>
          <w:color w:val="000000"/>
          <w:spacing w:val="0"/>
          <w:w w:val="100"/>
          <w:position w:val="0"/>
          <w:sz w:val="24"/>
          <w:szCs w:val="24"/>
        </w:rPr>
        <w:t>、</w:t>
        <w:tab/>
        <w:t>董事会对最近一期“非标准审计报告”相关情况的说明</w:t>
      </w:r>
      <w:bookmarkEnd w:id="418"/>
      <w:bookmarkEnd w:id="419"/>
      <w:bookmarkEnd w:id="421"/>
    </w:p>
    <w:p>
      <w:pPr>
        <w:pStyle w:val="Style24"/>
        <w:keepNext w:val="0"/>
        <w:keepLines w:val="0"/>
        <w:widowControl w:val="0"/>
        <w:shd w:val="clear" w:color="auto" w:fill="auto"/>
        <w:bidi w:val="0"/>
        <w:spacing w:before="0" w:after="320" w:line="320" w:lineRule="exact"/>
        <w:ind w:left="0" w:right="0" w:firstLine="0"/>
        <w:jc w:val="left"/>
      </w:pPr>
      <w:r>
        <w:rPr>
          <w:color w:val="000000"/>
          <w:spacing w:val="0"/>
          <w:w w:val="100"/>
          <w:position w:val="0"/>
        </w:rPr>
        <w:t>口适用”不适用</w:t>
      </w:r>
    </w:p>
    <w:p>
      <w:pPr>
        <w:pStyle w:val="Style28"/>
        <w:keepNext/>
        <w:keepLines/>
        <w:widowControl w:val="0"/>
        <w:shd w:val="clear" w:color="auto" w:fill="auto"/>
        <w:tabs>
          <w:tab w:pos="517" w:val="left"/>
        </w:tabs>
        <w:bidi w:val="0"/>
        <w:spacing w:before="0" w:after="260" w:line="326" w:lineRule="exact"/>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五</w:t>
      </w:r>
      <w:bookmarkEnd w:id="424"/>
      <w:r>
        <w:rPr>
          <w:color w:val="000000"/>
          <w:spacing w:val="0"/>
          <w:w w:val="100"/>
          <w:position w:val="0"/>
          <w:sz w:val="24"/>
          <w:szCs w:val="24"/>
        </w:rPr>
        <w:t>、</w:t>
        <w:tab/>
        <w:t>董事会、监事会、独立董事（如有）对会计师事务所本报告期“非标准审计报告”的说 明</w:t>
      </w:r>
      <w:bookmarkEnd w:id="422"/>
      <w:bookmarkEnd w:id="423"/>
      <w:bookmarkEnd w:id="425"/>
    </w:p>
    <w:p>
      <w:pPr>
        <w:pStyle w:val="Style24"/>
        <w:keepNext w:val="0"/>
        <w:keepLines w:val="0"/>
        <w:widowControl w:val="0"/>
        <w:shd w:val="clear" w:color="auto" w:fill="auto"/>
        <w:bidi w:val="0"/>
        <w:spacing w:before="0" w:after="320" w:line="320" w:lineRule="exact"/>
        <w:ind w:left="0" w:right="0" w:firstLine="0"/>
        <w:jc w:val="left"/>
      </w:pPr>
      <w:r>
        <w:rPr>
          <w:color w:val="000000"/>
          <w:spacing w:val="0"/>
          <w:w w:val="100"/>
          <w:position w:val="0"/>
        </w:rPr>
        <w:t>口适用”不适用</w:t>
      </w:r>
    </w:p>
    <w:p>
      <w:pPr>
        <w:pStyle w:val="Style28"/>
        <w:keepNext/>
        <w:keepLines/>
        <w:widowControl w:val="0"/>
        <w:shd w:val="clear" w:color="auto" w:fill="auto"/>
        <w:tabs>
          <w:tab w:pos="517" w:val="left"/>
        </w:tabs>
        <w:bidi w:val="0"/>
        <w:spacing w:before="0" w:after="260" w:line="326" w:lineRule="exact"/>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六</w:t>
      </w:r>
      <w:bookmarkEnd w:id="428"/>
      <w:r>
        <w:rPr>
          <w:color w:val="000000"/>
          <w:spacing w:val="0"/>
          <w:w w:val="100"/>
          <w:position w:val="0"/>
          <w:sz w:val="24"/>
          <w:szCs w:val="24"/>
        </w:rPr>
        <w:t>、</w:t>
        <w:tab/>
        <w:t>董事会关于报告期会计政策、会计估计变更或重大会计差错更正的说明</w:t>
      </w:r>
      <w:bookmarkEnd w:id="426"/>
      <w:bookmarkEnd w:id="427"/>
      <w:bookmarkEnd w:id="429"/>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日，财政部发布了解释第</w:t>
      </w:r>
      <w:r>
        <w:rPr>
          <w:color w:val="000000"/>
          <w:spacing w:val="0"/>
          <w:w w:val="100"/>
          <w:position w:val="0"/>
        </w:rPr>
        <w:t>15</w:t>
      </w:r>
      <w:r>
        <w:rPr>
          <w:color w:val="000000"/>
          <w:spacing w:val="0"/>
          <w:w w:val="100"/>
          <w:position w:val="0"/>
        </w:rPr>
        <w:t>号，“关于资金集中管理相关列报”内容自公布之日起施行。本公司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30 </w:t>
      </w:r>
      <w:r>
        <w:rPr>
          <w:color w:val="000000"/>
          <w:spacing w:val="0"/>
          <w:w w:val="100"/>
          <w:position w:val="0"/>
        </w:rPr>
        <w:t>日起执行该解释。</w:t>
      </w:r>
    </w:p>
    <w:p>
      <w:pPr>
        <w:pStyle w:val="Style24"/>
        <w:keepNext w:val="0"/>
        <w:keepLines w:val="0"/>
        <w:widowControl w:val="0"/>
        <w:shd w:val="clear" w:color="auto" w:fill="auto"/>
        <w:bidi w:val="0"/>
        <w:spacing w:before="0" w:after="280" w:line="320" w:lineRule="exact"/>
        <w:ind w:left="0" w:right="0" w:firstLine="0"/>
        <w:jc w:val="left"/>
      </w:pPr>
      <w:r>
        <w:rPr>
          <w:color w:val="000000"/>
          <w:spacing w:val="0"/>
          <w:w w:val="100"/>
          <w:position w:val="0"/>
        </w:rPr>
        <w:t>解释第</w:t>
      </w:r>
      <w:r>
        <w:rPr>
          <w:color w:val="000000"/>
          <w:spacing w:val="0"/>
          <w:w w:val="100"/>
          <w:position w:val="0"/>
        </w:rPr>
        <w:t>15</w:t>
      </w:r>
      <w:r>
        <w:rPr>
          <w:color w:val="000000"/>
          <w:spacing w:val="0"/>
          <w:w w:val="100"/>
          <w:position w:val="0"/>
        </w:rPr>
        <w:t>号对通过内部结算中心、财务公司等对母公司及成员单位资金实行集中统一管理的，区分成员单位是归集至集团母 公司账户的资金还是未归集至集团母公司账户而直接存入财务公司的资金，分别明确了成员单位、财务公司及母公司应当在 资产负债表列报的项目。并对资金集中管理相关金融资产和金融负债项目是否能进行抵消进行了明确。</w:t>
      </w:r>
    </w:p>
    <w:p>
      <w:pPr>
        <w:pStyle w:val="Style28"/>
        <w:keepNext/>
        <w:keepLines/>
        <w:widowControl w:val="0"/>
        <w:shd w:val="clear" w:color="auto" w:fill="auto"/>
        <w:tabs>
          <w:tab w:pos="517" w:val="left"/>
        </w:tabs>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七</w:t>
      </w:r>
      <w:bookmarkEnd w:id="432"/>
      <w:r>
        <w:rPr>
          <w:color w:val="000000"/>
          <w:spacing w:val="0"/>
          <w:w w:val="100"/>
          <w:position w:val="0"/>
          <w:sz w:val="24"/>
          <w:szCs w:val="24"/>
        </w:rPr>
        <w:t>、</w:t>
        <w:tab/>
        <w:t>与上年度财务报告相比，合并报表范围发生变化的情况说明</w:t>
      </w:r>
      <w:bookmarkEnd w:id="430"/>
      <w:bookmarkEnd w:id="431"/>
      <w:bookmarkEnd w:id="433"/>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八</w:t>
      </w:r>
      <w:bookmarkEnd w:id="436"/>
      <w:r>
        <w:rPr>
          <w:color w:val="000000"/>
          <w:spacing w:val="0"/>
          <w:w w:val="100"/>
          <w:position w:val="0"/>
          <w:sz w:val="24"/>
          <w:szCs w:val="24"/>
        </w:rPr>
        <w:t>、</w:t>
        <w:tab/>
        <w:t>聘任、解聘会计师事务所情况</w:t>
      </w:r>
      <w:bookmarkEnd w:id="434"/>
      <w:bookmarkEnd w:id="435"/>
      <w:bookmarkEnd w:id="437"/>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华兴会计师事务所（特殊普通合伙）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俞健业、杨新春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年</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是否在审计期间改聘会计师事务所</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6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九</w:t>
      </w:r>
      <w:bookmarkEnd w:id="440"/>
      <w:r>
        <w:rPr>
          <w:color w:val="000000"/>
          <w:spacing w:val="0"/>
          <w:w w:val="100"/>
          <w:position w:val="0"/>
          <w:sz w:val="24"/>
          <w:szCs w:val="24"/>
        </w:rPr>
        <w:t>、年度报告披露后面临退市情况</w:t>
      </w:r>
      <w:bookmarkEnd w:id="438"/>
      <w:bookmarkEnd w:id="439"/>
      <w:bookmarkEnd w:id="44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十、破产重整相关事项</w:t>
      </w:r>
      <w:bookmarkEnd w:id="442"/>
      <w:bookmarkEnd w:id="443"/>
      <w:bookmarkEnd w:id="44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6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十一、重大诉讼、仲裁事项</w:t>
      </w:r>
      <w:bookmarkEnd w:id="445"/>
      <w:bookmarkEnd w:id="446"/>
      <w:bookmarkEnd w:id="44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r>
        <w:rPr>
          <w:color w:val="000000"/>
          <w:spacing w:val="0"/>
          <w:w w:val="100"/>
          <w:position w:val="0"/>
          <w:sz w:val="24"/>
          <w:szCs w:val="24"/>
        </w:rPr>
        <w:t>十二、处罚及整改情况</w:t>
      </w:r>
      <w:bookmarkEnd w:id="448"/>
      <w:bookmarkEnd w:id="449"/>
      <w:bookmarkEnd w:id="45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6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十三、公司及其控股股东、实际控制人的诚信状况</w:t>
      </w:r>
      <w:bookmarkEnd w:id="451"/>
      <w:bookmarkEnd w:id="452"/>
      <w:bookmarkEnd w:id="453"/>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60" w:line="240" w:lineRule="auto"/>
        <w:ind w:left="0" w:right="0" w:firstLine="0"/>
        <w:jc w:val="both"/>
      </w:pPr>
      <w:bookmarkStart w:id="454" w:name="bookmark454"/>
      <w:bookmarkStart w:id="455" w:name="bookmark455"/>
      <w:bookmarkStart w:id="456" w:name="bookmark456"/>
      <w:r>
        <w:rPr>
          <w:color w:val="000000"/>
          <w:spacing w:val="0"/>
          <w:w w:val="100"/>
          <w:position w:val="0"/>
          <w:sz w:val="24"/>
          <w:szCs w:val="24"/>
        </w:rPr>
        <w:t>十四、重大关联交易</w:t>
      </w:r>
      <w:bookmarkEnd w:id="454"/>
      <w:bookmarkEnd w:id="455"/>
      <w:bookmarkEnd w:id="456"/>
    </w:p>
    <w:p>
      <w:pPr>
        <w:pStyle w:val="Style33"/>
        <w:keepNext/>
        <w:keepLines/>
        <w:widowControl w:val="0"/>
        <w:shd w:val="clear" w:color="auto" w:fill="auto"/>
        <w:tabs>
          <w:tab w:pos="368" w:val="left"/>
        </w:tabs>
        <w:bidi w:val="0"/>
        <w:spacing w:before="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w:t>
        <w:tab/>
        <w:t>与日常经营相关的关联交易</w:t>
      </w:r>
      <w:bookmarkEnd w:id="457"/>
      <w:bookmarkEnd w:id="458"/>
      <w:bookmarkEnd w:id="460"/>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资产或股权收购、出售发生的关联交易</w:t>
      </w:r>
      <w:bookmarkEnd w:id="461"/>
      <w:bookmarkEnd w:id="462"/>
      <w:bookmarkEnd w:id="464"/>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共同对外投资的关联交易</w:t>
      </w:r>
      <w:bookmarkEnd w:id="465"/>
      <w:bookmarkEnd w:id="466"/>
      <w:bookmarkEnd w:id="468"/>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4</w:t>
      </w:r>
      <w:bookmarkEnd w:id="471"/>
      <w:r>
        <w:rPr>
          <w:color w:val="000000"/>
          <w:spacing w:val="0"/>
          <w:w w:val="100"/>
          <w:position w:val="0"/>
        </w:rPr>
        <w:t>、</w:t>
        <w:tab/>
        <w:t>关联债权债务往来</w:t>
      </w:r>
      <w:bookmarkEnd w:id="469"/>
      <w:bookmarkEnd w:id="470"/>
      <w:bookmarkEnd w:id="472"/>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5</w:t>
      </w:r>
      <w:bookmarkEnd w:id="475"/>
      <w:r>
        <w:rPr>
          <w:color w:val="000000"/>
          <w:spacing w:val="0"/>
          <w:w w:val="100"/>
          <w:position w:val="0"/>
        </w:rPr>
        <w:t>、</w:t>
        <w:tab/>
        <w:t>与存在关联关系的财务公司的往来情况</w:t>
      </w:r>
      <w:bookmarkEnd w:id="473"/>
      <w:bookmarkEnd w:id="474"/>
      <w:bookmarkEnd w:id="476"/>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6</w:t>
      </w:r>
      <w:bookmarkEnd w:id="479"/>
      <w:r>
        <w:rPr>
          <w:color w:val="000000"/>
          <w:spacing w:val="0"/>
          <w:w w:val="100"/>
          <w:position w:val="0"/>
        </w:rPr>
        <w:t>、</w:t>
        <w:tab/>
        <w:t>公司控股的财务公司与关联方的往来情况</w:t>
      </w:r>
      <w:bookmarkEnd w:id="477"/>
      <w:bookmarkEnd w:id="478"/>
      <w:bookmarkEnd w:id="480"/>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7</w:t>
      </w:r>
      <w:bookmarkEnd w:id="483"/>
      <w:r>
        <w:rPr>
          <w:color w:val="000000"/>
          <w:spacing w:val="0"/>
          <w:w w:val="100"/>
          <w:position w:val="0"/>
        </w:rPr>
        <w:t>、</w:t>
        <w:tab/>
        <w:t>其他重大关联交易</w:t>
      </w:r>
      <w:bookmarkEnd w:id="481"/>
      <w:bookmarkEnd w:id="482"/>
      <w:bookmarkEnd w:id="484"/>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8"/>
        <w:keepNext/>
        <w:keepLines/>
        <w:widowControl w:val="0"/>
        <w:shd w:val="clear" w:color="auto" w:fill="auto"/>
        <w:bidi w:val="0"/>
        <w:spacing w:before="0" w:after="360" w:line="240" w:lineRule="auto"/>
        <w:ind w:left="0" w:right="0" w:firstLine="0"/>
        <w:jc w:val="both"/>
      </w:pPr>
      <w:bookmarkStart w:id="485" w:name="bookmark485"/>
      <w:bookmarkStart w:id="486" w:name="bookmark486"/>
      <w:bookmarkStart w:id="487" w:name="bookmark487"/>
      <w:r>
        <w:rPr>
          <w:color w:val="000000"/>
          <w:spacing w:val="0"/>
          <w:w w:val="100"/>
          <w:position w:val="0"/>
          <w:sz w:val="24"/>
          <w:szCs w:val="24"/>
        </w:rPr>
        <w:t>十五、重大合同及其履行情况</w:t>
      </w:r>
      <w:bookmarkEnd w:id="485"/>
      <w:bookmarkEnd w:id="486"/>
      <w:bookmarkEnd w:id="487"/>
    </w:p>
    <w:p>
      <w:pPr>
        <w:pStyle w:val="Style33"/>
        <w:keepNext/>
        <w:keepLines/>
        <w:widowControl w:val="0"/>
        <w:shd w:val="clear" w:color="auto" w:fill="auto"/>
        <w:bidi w:val="0"/>
        <w:spacing w:before="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、托管、承包、租赁事项情况</w:t>
      </w:r>
      <w:bookmarkEnd w:id="488"/>
      <w:bookmarkEnd w:id="489"/>
      <w:bookmarkEnd w:id="491"/>
    </w:p>
    <w:p>
      <w:pPr>
        <w:pStyle w:val="Style52"/>
        <w:keepNext w:val="0"/>
        <w:keepLines w:val="0"/>
        <w:widowControl w:val="0"/>
        <w:numPr>
          <w:ilvl w:val="0"/>
          <w:numId w:val="7"/>
        </w:numPr>
        <w:shd w:val="clear" w:color="auto" w:fill="auto"/>
        <w:tabs>
          <w:tab w:pos="493" w:val="left"/>
        </w:tabs>
        <w:bidi w:val="0"/>
        <w:spacing w:before="0" w:line="240" w:lineRule="auto"/>
        <w:ind w:left="0" w:right="0" w:firstLine="0"/>
        <w:jc w:val="both"/>
      </w:pPr>
      <w:bookmarkStart w:id="492" w:name="bookmark492"/>
      <w:bookmarkStart w:id="493" w:name="bookmark493"/>
      <w:bookmarkEnd w:id="492"/>
      <w:r>
        <w:rPr>
          <w:color w:val="000000"/>
          <w:spacing w:val="0"/>
          <w:w w:val="100"/>
          <w:position w:val="0"/>
        </w:rPr>
        <w:t>托管情况</w:t>
      </w:r>
      <w:bookmarkEnd w:id="493"/>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52"/>
        <w:keepNext w:val="0"/>
        <w:keepLines w:val="0"/>
        <w:widowControl w:val="0"/>
        <w:numPr>
          <w:ilvl w:val="0"/>
          <w:numId w:val="7"/>
        </w:numPr>
        <w:shd w:val="clear" w:color="auto" w:fill="auto"/>
        <w:tabs>
          <w:tab w:pos="493" w:val="left"/>
        </w:tabs>
        <w:bidi w:val="0"/>
        <w:spacing w:before="0" w:line="240" w:lineRule="auto"/>
        <w:ind w:left="0" w:right="0" w:firstLine="0"/>
        <w:jc w:val="both"/>
      </w:pPr>
      <w:bookmarkStart w:id="494" w:name="bookmark494"/>
      <w:bookmarkStart w:id="495" w:name="bookmark495"/>
      <w:bookmarkEnd w:id="494"/>
      <w:r>
        <w:rPr>
          <w:color w:val="000000"/>
          <w:spacing w:val="0"/>
          <w:w w:val="100"/>
          <w:position w:val="0"/>
        </w:rPr>
        <w:t>承包情况</w:t>
      </w:r>
      <w:bookmarkEnd w:id="495"/>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52"/>
        <w:keepNext w:val="0"/>
        <w:keepLines w:val="0"/>
        <w:widowControl w:val="0"/>
        <w:numPr>
          <w:ilvl w:val="0"/>
          <w:numId w:val="7"/>
        </w:numPr>
        <w:shd w:val="clear" w:color="auto" w:fill="auto"/>
        <w:tabs>
          <w:tab w:pos="493" w:val="left"/>
        </w:tabs>
        <w:bidi w:val="0"/>
        <w:spacing w:before="0" w:line="240" w:lineRule="auto"/>
        <w:ind w:left="0" w:right="0" w:firstLine="0"/>
        <w:jc w:val="both"/>
      </w:pPr>
      <w:bookmarkStart w:id="496" w:name="bookmark496"/>
      <w:bookmarkStart w:id="497" w:name="bookmark497"/>
      <w:bookmarkEnd w:id="496"/>
      <w:r>
        <w:rPr>
          <w:color w:val="000000"/>
          <w:spacing w:val="0"/>
          <w:w w:val="100"/>
          <w:position w:val="0"/>
        </w:rPr>
        <w:t>租赁情况</w:t>
      </w:r>
      <w:bookmarkEnd w:id="497"/>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w:t>
        <w:tab/>
        <w:t>重大担保</w:t>
      </w:r>
      <w:bookmarkEnd w:id="498"/>
      <w:bookmarkEnd w:id="499"/>
      <w:bookmarkEnd w:id="50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委托他人进行现金资产管理情况</w:t>
      </w:r>
      <w:bookmarkEnd w:id="502"/>
      <w:bookmarkEnd w:id="503"/>
      <w:bookmarkEnd w:id="505"/>
    </w:p>
    <w:p>
      <w:pPr>
        <w:pStyle w:val="Style38"/>
        <w:keepNext/>
        <w:keepLines/>
        <w:widowControl w:val="0"/>
        <w:shd w:val="clear" w:color="auto" w:fill="auto"/>
        <w:tabs>
          <w:tab w:pos="493" w:val="left"/>
        </w:tabs>
        <w:bidi w:val="0"/>
        <w:spacing w:before="0" w:after="3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06"/>
      <w:bookmarkEnd w:id="507"/>
      <w:bookmarkEnd w:id="50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8"/>
        <w:keepNext/>
        <w:keepLines/>
        <w:widowControl w:val="0"/>
        <w:shd w:val="clear" w:color="auto" w:fill="auto"/>
        <w:tabs>
          <w:tab w:pos="493" w:val="left"/>
        </w:tabs>
        <w:bidi w:val="0"/>
        <w:spacing w:before="0" w:after="3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w:t>
      </w:r>
      <w:bookmarkEnd w:id="51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10"/>
      <w:bookmarkEnd w:id="511"/>
      <w:bookmarkEnd w:id="513"/>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4</w:t>
      </w:r>
      <w:bookmarkEnd w:id="516"/>
      <w:r>
        <w:rPr>
          <w:color w:val="000000"/>
          <w:spacing w:val="0"/>
          <w:w w:val="100"/>
          <w:position w:val="0"/>
        </w:rPr>
        <w:t>、</w:t>
        <w:tab/>
        <w:t>其他重大合同</w:t>
      </w:r>
      <w:bookmarkEnd w:id="514"/>
      <w:bookmarkEnd w:id="515"/>
      <w:bookmarkEnd w:id="51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适用”不适用</w:t>
      </w:r>
    </w:p>
    <w:p>
      <w:pPr>
        <w:pStyle w:val="Style28"/>
        <w:keepNext/>
        <w:keepLines/>
        <w:widowControl w:val="0"/>
        <w:shd w:val="clear" w:color="auto" w:fill="auto"/>
        <w:bidi w:val="0"/>
        <w:spacing w:before="0" w:after="360" w:line="240" w:lineRule="auto"/>
        <w:ind w:left="0" w:right="0" w:firstLine="0"/>
        <w:jc w:val="left"/>
      </w:pPr>
      <w:bookmarkStart w:id="518" w:name="bookmark518"/>
      <w:bookmarkStart w:id="519" w:name="bookmark519"/>
      <w:bookmarkStart w:id="520" w:name="bookmark520"/>
      <w:r>
        <w:rPr>
          <w:color w:val="000000"/>
          <w:spacing w:val="0"/>
          <w:w w:val="100"/>
          <w:position w:val="0"/>
          <w:sz w:val="24"/>
          <w:szCs w:val="24"/>
        </w:rPr>
        <w:t>十六、其他重大事项的说明</w:t>
      </w:r>
      <w:bookmarkEnd w:id="518"/>
      <w:bookmarkEnd w:id="519"/>
      <w:bookmarkEnd w:id="52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适用”不适用</w:t>
      </w:r>
    </w:p>
    <w:p>
      <w:pPr>
        <w:pStyle w:val="Style28"/>
        <w:keepNext/>
        <w:keepLines/>
        <w:widowControl w:val="0"/>
        <w:shd w:val="clear" w:color="auto" w:fill="auto"/>
        <w:bidi w:val="0"/>
        <w:spacing w:before="0" w:after="360" w:line="240" w:lineRule="auto"/>
        <w:ind w:left="0" w:right="0" w:firstLine="0"/>
        <w:jc w:val="left"/>
      </w:pPr>
      <w:bookmarkStart w:id="521" w:name="bookmark521"/>
      <w:bookmarkStart w:id="522" w:name="bookmark522"/>
      <w:bookmarkStart w:id="523" w:name="bookmark523"/>
      <w:r>
        <w:rPr>
          <w:color w:val="000000"/>
          <w:spacing w:val="0"/>
          <w:w w:val="100"/>
          <w:position w:val="0"/>
          <w:sz w:val="24"/>
          <w:szCs w:val="24"/>
        </w:rPr>
        <w:t>十七、公司子公司重大事项</w:t>
      </w:r>
      <w:bookmarkEnd w:id="521"/>
      <w:bookmarkEnd w:id="522"/>
      <w:bookmarkEnd w:id="523"/>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tabs>
          <w:tab w:pos="334" w:val="left"/>
        </w:tabs>
        <w:bidi w:val="0"/>
        <w:spacing w:before="0" w:after="120" w:line="240" w:lineRule="auto"/>
        <w:ind w:left="0" w:right="0" w:firstLine="0"/>
        <w:jc w:val="left"/>
      </w:pPr>
      <w:bookmarkStart w:id="524" w:name="bookmark524"/>
      <w:r>
        <w:rPr>
          <w:color w:val="000000"/>
          <w:spacing w:val="0"/>
          <w:w w:val="100"/>
          <w:position w:val="0"/>
        </w:rPr>
        <w:t>1</w:t>
      </w:r>
      <w:bookmarkEnd w:id="524"/>
      <w:r>
        <w:rPr>
          <w:color w:val="000000"/>
          <w:spacing w:val="0"/>
          <w:w w:val="100"/>
          <w:position w:val="0"/>
        </w:rPr>
        <w:t>、</w:t>
        <w:tab/>
        <w:t>深圳四方精创资讯有限公司于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日成立全资子公司北京四方融创科技有限公司。</w:t>
      </w:r>
    </w:p>
    <w:p>
      <w:pPr>
        <w:pStyle w:val="Style24"/>
        <w:keepNext w:val="0"/>
        <w:keepLines w:val="0"/>
        <w:widowControl w:val="0"/>
        <w:shd w:val="clear" w:color="auto" w:fill="auto"/>
        <w:tabs>
          <w:tab w:pos="344" w:val="left"/>
        </w:tabs>
        <w:bidi w:val="0"/>
        <w:spacing w:before="0" w:after="580" w:line="240" w:lineRule="auto"/>
        <w:ind w:left="0" w:right="0" w:firstLine="0"/>
        <w:jc w:val="left"/>
      </w:pPr>
      <w:bookmarkStart w:id="525" w:name="bookmark525"/>
      <w:r>
        <w:rPr>
          <w:color w:val="000000"/>
          <w:spacing w:val="0"/>
          <w:w w:val="100"/>
          <w:position w:val="0"/>
        </w:rPr>
        <w:t>2</w:t>
      </w:r>
      <w:bookmarkEnd w:id="525"/>
      <w:r>
        <w:rPr>
          <w:color w:val="000000"/>
          <w:spacing w:val="0"/>
          <w:w w:val="100"/>
          <w:position w:val="0"/>
        </w:rPr>
        <w:t>、</w:t>
        <w:tab/>
        <w:t>深圳四方精创资讯有限公司于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日成立全资子公司成都四方融创科技有限公司。</w:t>
      </w:r>
    </w:p>
    <w:p>
      <w:pPr>
        <w:pStyle w:val="Style16"/>
        <w:keepNext/>
        <w:keepLines/>
        <w:widowControl w:val="0"/>
        <w:shd w:val="clear" w:color="auto" w:fill="auto"/>
        <w:bidi w:val="0"/>
        <w:spacing w:before="0" w:after="540" w:line="240" w:lineRule="auto"/>
        <w:ind w:left="0" w:right="0" w:firstLine="0"/>
        <w:jc w:val="center"/>
      </w:pPr>
      <w:bookmarkStart w:id="526" w:name="bookmark526"/>
      <w:bookmarkStart w:id="527" w:name="bookmark527"/>
      <w:bookmarkStart w:id="528" w:name="bookmark528"/>
      <w:bookmarkStart w:id="529" w:name="bookmark529"/>
      <w:r>
        <w:rPr>
          <w:color w:val="000000"/>
          <w:spacing w:val="0"/>
          <w:w w:val="100"/>
          <w:position w:val="0"/>
        </w:rPr>
        <w:t>第七节股份变动及股东情况</w:t>
      </w:r>
      <w:bookmarkEnd w:id="527"/>
      <w:bookmarkEnd w:id="528"/>
      <w:bookmarkEnd w:id="529"/>
      <w:bookmarkEnd w:id="526"/>
    </w:p>
    <w:p>
      <w:pPr>
        <w:pStyle w:val="Style28"/>
        <w:keepNext/>
        <w:keepLines/>
        <w:widowControl w:val="0"/>
        <w:shd w:val="clear" w:color="auto" w:fill="auto"/>
        <w:bidi w:val="0"/>
        <w:spacing w:before="0" w:after="36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一</w:t>
      </w:r>
      <w:bookmarkEnd w:id="532"/>
      <w:r>
        <w:rPr>
          <w:color w:val="000000"/>
          <w:spacing w:val="0"/>
          <w:w w:val="100"/>
          <w:position w:val="0"/>
          <w:sz w:val="24"/>
          <w:szCs w:val="24"/>
        </w:rPr>
        <w:t>、股份变动情况</w:t>
      </w:r>
      <w:bookmarkEnd w:id="530"/>
      <w:bookmarkEnd w:id="531"/>
      <w:bookmarkEnd w:id="533"/>
    </w:p>
    <w:p>
      <w:pPr>
        <w:pStyle w:val="Style33"/>
        <w:keepNext/>
        <w:keepLines/>
        <w:widowControl w:val="0"/>
        <w:shd w:val="clear" w:color="auto" w:fill="auto"/>
        <w:bidi w:val="0"/>
        <w:spacing w:before="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、股份变动情况</w:t>
      </w:r>
      <w:bookmarkEnd w:id="534"/>
      <w:bookmarkEnd w:id="535"/>
      <w:bookmarkEnd w:id="5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900,44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880,12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境外自然人持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880,12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282,885</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-495,33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-495,33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282,39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282,885</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-495,33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-495,33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282,39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283,299</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283,29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鉴于公司</w:t>
      </w:r>
      <w:r>
        <w:rPr>
          <w:color w:val="000000"/>
          <w:spacing w:val="0"/>
          <w:w w:val="100"/>
          <w:position w:val="0"/>
        </w:rPr>
        <w:t>2017</w:t>
      </w:r>
      <w:r>
        <w:rPr>
          <w:color w:val="000000"/>
          <w:spacing w:val="0"/>
          <w:w w:val="100"/>
          <w:position w:val="0"/>
        </w:rPr>
        <w:t>年限制性股票激励计划激励对象龙乐钦已离职，根据《深圳四方精创资讯股份有限公司</w:t>
      </w:r>
      <w:r>
        <w:rPr>
          <w:color w:val="000000"/>
          <w:spacing w:val="0"/>
          <w:w w:val="100"/>
          <w:position w:val="0"/>
        </w:rPr>
        <w:t>2017</w:t>
      </w:r>
      <w:r>
        <w:rPr>
          <w:color w:val="000000"/>
          <w:spacing w:val="0"/>
          <w:w w:val="100"/>
          <w:position w:val="0"/>
        </w:rPr>
        <w:t>年限制性股票激励 计划（草案）》，上述激励对象已不具备激励对象资格，需回购注销上述激励对象已获授但未解锁的全部限制性股票</w:t>
      </w:r>
      <w:r>
        <w:rPr>
          <w:color w:val="000000"/>
          <w:spacing w:val="0"/>
          <w:w w:val="100"/>
          <w:position w:val="0"/>
        </w:rPr>
        <w:t xml:space="preserve">7,997 </w:t>
      </w:r>
      <w:r>
        <w:rPr>
          <w:color w:val="000000"/>
          <w:spacing w:val="0"/>
          <w:w w:val="100"/>
          <w:position w:val="0"/>
        </w:rPr>
        <w:t>股，公司于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日在中国证券登记结算有限责任公司深圳分公司完成了回购注销登记手续。本次回购前，公司总股 本为</w:t>
      </w:r>
      <w:r>
        <w:rPr>
          <w:color w:val="000000"/>
          <w:spacing w:val="0"/>
          <w:w w:val="100"/>
          <w:position w:val="0"/>
        </w:rPr>
        <w:t>283,299,055</w:t>
      </w:r>
      <w:r>
        <w:rPr>
          <w:color w:val="000000"/>
          <w:spacing w:val="0"/>
          <w:w w:val="100"/>
          <w:position w:val="0"/>
        </w:rPr>
        <w:t>股，本次回购注销的股份数量为</w:t>
      </w:r>
      <w:r>
        <w:rPr>
          <w:color w:val="000000"/>
          <w:spacing w:val="0"/>
          <w:w w:val="100"/>
          <w:position w:val="0"/>
        </w:rPr>
        <w:t>7,997</w:t>
      </w:r>
      <w:r>
        <w:rPr>
          <w:color w:val="000000"/>
          <w:spacing w:val="0"/>
          <w:w w:val="100"/>
          <w:position w:val="0"/>
        </w:rPr>
        <w:t>股，占回购前公司总股本的</w:t>
      </w:r>
      <w:r>
        <w:rPr>
          <w:color w:val="000000"/>
          <w:spacing w:val="0"/>
          <w:w w:val="100"/>
          <w:position w:val="0"/>
        </w:rPr>
        <w:t>0.0028%</w:t>
      </w:r>
      <w:r>
        <w:rPr>
          <w:color w:val="000000"/>
          <w:spacing w:val="0"/>
          <w:w w:val="100"/>
          <w:position w:val="0"/>
        </w:rPr>
        <w:t>。本次回购注销完成后，公司总 股本由</w:t>
      </w:r>
      <w:r>
        <w:rPr>
          <w:color w:val="000000"/>
          <w:spacing w:val="0"/>
          <w:w w:val="100"/>
          <w:position w:val="0"/>
        </w:rPr>
        <w:t>283, 299, 055</w:t>
      </w:r>
      <w:r>
        <w:rPr>
          <w:color w:val="000000"/>
          <w:spacing w:val="0"/>
          <w:w w:val="100"/>
          <w:position w:val="0"/>
        </w:rPr>
        <w:t>股减少至</w:t>
      </w:r>
      <w:r>
        <w:rPr>
          <w:color w:val="000000"/>
          <w:spacing w:val="0"/>
          <w:w w:val="100"/>
          <w:position w:val="0"/>
        </w:rPr>
        <w:t>283, 291, 058</w:t>
      </w:r>
      <w:r>
        <w:rPr>
          <w:color w:val="000000"/>
          <w:spacing w:val="0"/>
          <w:w w:val="100"/>
          <w:position w:val="0"/>
        </w:rPr>
        <w:t>股。</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w:t>
      </w:r>
      <w:r>
        <w:rPr>
          <w:color w:val="000000"/>
          <w:spacing w:val="0"/>
          <w:w w:val="100"/>
          <w:position w:val="0"/>
        </w:rPr>
        <w:t>日，公司召开第三届董事会第二十二次会议和第三届监事会第十六次会议，审议通过了《关于调整回购注销部分 已授予限制性股票价格的议案》，监事会对本次回购注销部分限制性股票相关事项进行了核实，独立董事根据相关规定对本 次调整方法进行了认真核查且发表了同意的独立意见。由于</w:t>
      </w:r>
      <w:r>
        <w:rPr>
          <w:color w:val="000000"/>
          <w:spacing w:val="0"/>
          <w:w w:val="100"/>
          <w:position w:val="0"/>
        </w:rPr>
        <w:t>2017</w:t>
      </w:r>
      <w:r>
        <w:rPr>
          <w:color w:val="000000"/>
          <w:spacing w:val="0"/>
          <w:w w:val="100"/>
          <w:position w:val="0"/>
        </w:rPr>
        <w:t>年限制性股票激励计划已授予但尚未解除限售的限制性股票 的回购价格调整为人民币</w:t>
      </w:r>
      <w:r>
        <w:rPr>
          <w:color w:val="000000"/>
          <w:spacing w:val="0"/>
          <w:w w:val="100"/>
          <w:position w:val="0"/>
        </w:rPr>
        <w:t xml:space="preserve">7. </w:t>
      </w:r>
      <w:r>
        <w:rPr>
          <w:color w:val="000000"/>
          <w:spacing w:val="0"/>
          <w:w w:val="100"/>
          <w:position w:val="0"/>
        </w:rPr>
        <w:t>8697</w:t>
      </w:r>
      <w:r>
        <w:rPr>
          <w:color w:val="000000"/>
          <w:spacing w:val="0"/>
          <w:w w:val="100"/>
          <w:position w:val="0"/>
        </w:rPr>
        <w:t>元/股，公司于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日召开的第三届董事会第二十一次会议审议通过的《关于回购注 销部分已授予限制性股票的议案》相应调整为：鉴于公司</w:t>
      </w:r>
      <w:r>
        <w:rPr>
          <w:color w:val="000000"/>
          <w:spacing w:val="0"/>
          <w:w w:val="100"/>
          <w:position w:val="0"/>
        </w:rPr>
        <w:t>2017</w:t>
      </w:r>
      <w:r>
        <w:rPr>
          <w:color w:val="000000"/>
          <w:spacing w:val="0"/>
          <w:w w:val="100"/>
          <w:position w:val="0"/>
        </w:rPr>
        <w:t>年限制性股票激励计划激励对象龙乐钦已离职，根据《深圳四 方精创资讯股份有限公司</w:t>
      </w:r>
      <w:r>
        <w:rPr>
          <w:color w:val="000000"/>
          <w:spacing w:val="0"/>
          <w:w w:val="100"/>
          <w:position w:val="0"/>
        </w:rPr>
        <w:t>2017</w:t>
      </w:r>
      <w:r>
        <w:rPr>
          <w:color w:val="000000"/>
          <w:spacing w:val="0"/>
          <w:w w:val="100"/>
          <w:position w:val="0"/>
        </w:rPr>
        <w:t>年限制性股票激励计划（草案）》</w:t>
      </w:r>
      <w:r>
        <w:rPr>
          <w:color w:val="000000"/>
          <w:spacing w:val="0"/>
          <w:w w:val="100"/>
          <w:position w:val="0"/>
        </w:rPr>
        <w:t>，</w:t>
      </w:r>
      <w:r>
        <w:rPr>
          <w:color w:val="000000"/>
          <w:spacing w:val="0"/>
          <w:w w:val="100"/>
          <w:position w:val="0"/>
        </w:rPr>
        <w:t>上述激励对象已不具备激励对象资格，需回购注销上述激 励对象已获授但未解锁的全部限制性股票</w:t>
      </w:r>
      <w:r>
        <w:rPr>
          <w:color w:val="000000"/>
          <w:spacing w:val="0"/>
          <w:w w:val="100"/>
          <w:position w:val="0"/>
        </w:rPr>
        <w:t>7,997</w:t>
      </w:r>
      <w:r>
        <w:rPr>
          <w:color w:val="000000"/>
          <w:spacing w:val="0"/>
          <w:w w:val="100"/>
          <w:position w:val="0"/>
        </w:rPr>
        <w:t>股，回购价格为人民币</w:t>
      </w:r>
      <w:r>
        <w:rPr>
          <w:color w:val="000000"/>
          <w:spacing w:val="0"/>
          <w:w w:val="100"/>
          <w:position w:val="0"/>
        </w:rPr>
        <w:t>7.869</w:t>
      </w:r>
      <w:r>
        <w:rPr>
          <w:color w:val="000000"/>
          <w:spacing w:val="0"/>
          <w:w w:val="100"/>
          <w:position w:val="0"/>
        </w:rPr>
        <w:t>7</w:t>
      </w:r>
      <w:r>
        <w:rPr>
          <w:color w:val="000000"/>
          <w:spacing w:val="0"/>
          <w:w w:val="100"/>
          <w:position w:val="0"/>
        </w:rPr>
        <w:t>元/股。公司于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日在中国证券登记 结算有限责任公司深圳分公司完成了回购注销登记手续。本次回购前，公司总股本为</w:t>
      </w:r>
      <w:r>
        <w:rPr>
          <w:color w:val="000000"/>
          <w:spacing w:val="0"/>
          <w:w w:val="100"/>
          <w:position w:val="0"/>
        </w:rPr>
        <w:t>283,299,055</w:t>
      </w:r>
      <w:r>
        <w:rPr>
          <w:color w:val="000000"/>
          <w:spacing w:val="0"/>
          <w:w w:val="100"/>
          <w:position w:val="0"/>
        </w:rPr>
        <w:t>股，本次回购注销的股份 数量为</w:t>
      </w:r>
      <w:r>
        <w:rPr>
          <w:color w:val="000000"/>
          <w:spacing w:val="0"/>
          <w:w w:val="100"/>
          <w:position w:val="0"/>
        </w:rPr>
        <w:t>7,997</w:t>
      </w:r>
      <w:r>
        <w:rPr>
          <w:color w:val="000000"/>
          <w:spacing w:val="0"/>
          <w:w w:val="100"/>
          <w:position w:val="0"/>
        </w:rPr>
        <w:t>股，占回购前公司总股本的</w:t>
      </w:r>
      <w:r>
        <w:rPr>
          <w:color w:val="000000"/>
          <w:spacing w:val="0"/>
          <w:w w:val="100"/>
          <w:position w:val="0"/>
        </w:rPr>
        <w:t>0.0028%</w:t>
      </w:r>
      <w:r>
        <w:rPr>
          <w:color w:val="000000"/>
          <w:spacing w:val="0"/>
          <w:w w:val="100"/>
          <w:position w:val="0"/>
        </w:rPr>
        <w:t>。本次回购注销完成后，公司总股本由</w:t>
      </w:r>
      <w:r>
        <w:rPr>
          <w:color w:val="000000"/>
          <w:spacing w:val="0"/>
          <w:w w:val="100"/>
          <w:position w:val="0"/>
        </w:rPr>
        <w:t>283,299,055</w:t>
      </w:r>
      <w:r>
        <w:rPr>
          <w:color w:val="000000"/>
          <w:spacing w:val="0"/>
          <w:w w:val="100"/>
          <w:position w:val="0"/>
        </w:rPr>
        <w:t>股减少至</w:t>
      </w:r>
      <w:r>
        <w:rPr>
          <w:color w:val="000000"/>
          <w:spacing w:val="0"/>
          <w:w w:val="100"/>
          <w:position w:val="0"/>
        </w:rPr>
        <w:t xml:space="preserve">283,291,058 </w:t>
      </w:r>
      <w:r>
        <w:rPr>
          <w:color w:val="000000"/>
          <w:spacing w:val="0"/>
          <w:w w:val="100"/>
          <w:position w:val="0"/>
        </w:rPr>
        <w:t>股。</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股份变动的过户情况</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w:t>
      </w:r>
      <w:r>
        <w:rPr>
          <w:color w:val="000000"/>
          <w:spacing w:val="0"/>
          <w:w w:val="100"/>
          <w:position w:val="0"/>
        </w:rPr>
        <w:t>日，公司召开第三届董事会第二十二次会议和第三届监事会第十六次会议，审议通过了《关于调整回购注销部分 已授予限制性股票价格的议案》，监事会对本次回购注销部分限制性股票相关事项进行了核实，独立董事根据相关规定对本 次调整方法进行了认真核查且发表了同意的独立意见。由于</w:t>
      </w:r>
      <w:r>
        <w:rPr>
          <w:color w:val="000000"/>
          <w:spacing w:val="0"/>
          <w:w w:val="100"/>
          <w:position w:val="0"/>
        </w:rPr>
        <w:t>2017</w:t>
      </w:r>
      <w:r>
        <w:rPr>
          <w:color w:val="000000"/>
          <w:spacing w:val="0"/>
          <w:w w:val="100"/>
          <w:position w:val="0"/>
        </w:rPr>
        <w:t>年限制性股票激励计划已授予但尚未解除限售的限制性股票 的回购价格调整为人民币</w:t>
      </w:r>
      <w:r>
        <w:rPr>
          <w:color w:val="000000"/>
          <w:spacing w:val="0"/>
          <w:w w:val="100"/>
          <w:position w:val="0"/>
        </w:rPr>
        <w:t xml:space="preserve">7. </w:t>
      </w:r>
      <w:r>
        <w:rPr>
          <w:color w:val="000000"/>
          <w:spacing w:val="0"/>
          <w:w w:val="100"/>
          <w:position w:val="0"/>
        </w:rPr>
        <w:t>8697</w:t>
      </w:r>
      <w:r>
        <w:rPr>
          <w:color w:val="000000"/>
          <w:spacing w:val="0"/>
          <w:w w:val="100"/>
          <w:position w:val="0"/>
        </w:rPr>
        <w:t>元/股，公司于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日召开的第三届董事会第二十一次会议审议通过的《关于回购注 销部分已授予限制性股票的议案》相应调整为：鉴于公司</w:t>
      </w:r>
      <w:r>
        <w:rPr>
          <w:color w:val="000000"/>
          <w:spacing w:val="0"/>
          <w:w w:val="100"/>
          <w:position w:val="0"/>
        </w:rPr>
        <w:t>2017</w:t>
      </w:r>
      <w:r>
        <w:rPr>
          <w:color w:val="000000"/>
          <w:spacing w:val="0"/>
          <w:w w:val="100"/>
          <w:position w:val="0"/>
        </w:rPr>
        <w:t>年限制性股票激励计划激励对象龙乐钦已离职，根据《深圳四 方精创资讯股份有限公司</w:t>
      </w:r>
      <w:r>
        <w:rPr>
          <w:color w:val="000000"/>
          <w:spacing w:val="0"/>
          <w:w w:val="100"/>
          <w:position w:val="0"/>
        </w:rPr>
        <w:t>2017</w:t>
      </w:r>
      <w:r>
        <w:rPr>
          <w:color w:val="000000"/>
          <w:spacing w:val="0"/>
          <w:w w:val="100"/>
          <w:position w:val="0"/>
        </w:rPr>
        <w:t>年限制性股票激励计划（草案）》</w:t>
      </w:r>
      <w:r>
        <w:rPr>
          <w:color w:val="000000"/>
          <w:spacing w:val="0"/>
          <w:w w:val="100"/>
          <w:position w:val="0"/>
        </w:rPr>
        <w:t>，</w:t>
      </w:r>
      <w:r>
        <w:rPr>
          <w:color w:val="000000"/>
          <w:spacing w:val="0"/>
          <w:w w:val="100"/>
          <w:position w:val="0"/>
        </w:rPr>
        <w:t>上述激励对象已不具备激励对象资格，需回购注销上述激 励对象已获授但未解锁的全部限制性股票</w:t>
      </w:r>
      <w:r>
        <w:rPr>
          <w:color w:val="000000"/>
          <w:spacing w:val="0"/>
          <w:w w:val="100"/>
          <w:position w:val="0"/>
        </w:rPr>
        <w:t>7,997</w:t>
      </w:r>
      <w:r>
        <w:rPr>
          <w:color w:val="000000"/>
          <w:spacing w:val="0"/>
          <w:w w:val="100"/>
          <w:position w:val="0"/>
        </w:rPr>
        <w:t>股，回购价格为人民币</w:t>
      </w:r>
      <w:r>
        <w:rPr>
          <w:color w:val="000000"/>
          <w:spacing w:val="0"/>
          <w:w w:val="100"/>
          <w:position w:val="0"/>
        </w:rPr>
        <w:t>7.869</w:t>
      </w:r>
      <w:r>
        <w:rPr>
          <w:color w:val="000000"/>
          <w:spacing w:val="0"/>
          <w:w w:val="100"/>
          <w:position w:val="0"/>
        </w:rPr>
        <w:t>7</w:t>
      </w:r>
      <w:r>
        <w:rPr>
          <w:color w:val="000000"/>
          <w:spacing w:val="0"/>
          <w:w w:val="100"/>
          <w:position w:val="0"/>
        </w:rPr>
        <w:t>元/股。公司于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日在中国证券登记 结算有限责任公司深圳分公司完成了回购注销登记手续。本次回购前，公司总股本为</w:t>
      </w:r>
      <w:r>
        <w:rPr>
          <w:color w:val="000000"/>
          <w:spacing w:val="0"/>
          <w:w w:val="100"/>
          <w:position w:val="0"/>
        </w:rPr>
        <w:t>283,299,055</w:t>
      </w:r>
      <w:r>
        <w:rPr>
          <w:color w:val="000000"/>
          <w:spacing w:val="0"/>
          <w:w w:val="100"/>
          <w:position w:val="0"/>
        </w:rPr>
        <w:t>股，本次回购注销的股份 数量为</w:t>
      </w:r>
      <w:r>
        <w:rPr>
          <w:color w:val="000000"/>
          <w:spacing w:val="0"/>
          <w:w w:val="100"/>
          <w:position w:val="0"/>
        </w:rPr>
        <w:t>7,997</w:t>
      </w:r>
      <w:r>
        <w:rPr>
          <w:color w:val="000000"/>
          <w:spacing w:val="0"/>
          <w:w w:val="100"/>
          <w:position w:val="0"/>
        </w:rPr>
        <w:t>股，占回购前公司总股本的</w:t>
      </w:r>
      <w:r>
        <w:rPr>
          <w:color w:val="000000"/>
          <w:spacing w:val="0"/>
          <w:w w:val="100"/>
          <w:position w:val="0"/>
        </w:rPr>
        <w:t>0.0028%</w:t>
      </w:r>
      <w:r>
        <w:rPr>
          <w:color w:val="000000"/>
          <w:spacing w:val="0"/>
          <w:w w:val="100"/>
          <w:position w:val="0"/>
        </w:rPr>
        <w:t>。本次回购注销完成后，公司总股本由</w:t>
      </w:r>
      <w:r>
        <w:rPr>
          <w:color w:val="000000"/>
          <w:spacing w:val="0"/>
          <w:w w:val="100"/>
          <w:position w:val="0"/>
        </w:rPr>
        <w:t>283,299,055</w:t>
      </w:r>
      <w:r>
        <w:rPr>
          <w:color w:val="000000"/>
          <w:spacing w:val="0"/>
          <w:w w:val="100"/>
          <w:position w:val="0"/>
        </w:rPr>
        <w:t>股减少至</w:t>
      </w:r>
      <w:r>
        <w:rPr>
          <w:color w:val="000000"/>
          <w:spacing w:val="0"/>
          <w:w w:val="100"/>
          <w:position w:val="0"/>
        </w:rPr>
        <w:t xml:space="preserve">283,291,058 </w:t>
      </w:r>
      <w:r>
        <w:rPr>
          <w:color w:val="000000"/>
          <w:spacing w:val="0"/>
          <w:w w:val="100"/>
          <w:position w:val="0"/>
        </w:rPr>
        <w:t>股。</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 口适用”不适用</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口适用”不适用</w:t>
      </w:r>
    </w:p>
    <w:p>
      <w:pPr>
        <w:pStyle w:val="Style33"/>
        <w:keepNext/>
        <w:keepLines/>
        <w:widowControl w:val="0"/>
        <w:shd w:val="clear" w:color="auto" w:fill="auto"/>
        <w:bidi w:val="0"/>
        <w:spacing w:before="0" w:after="2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、限售股份变动情况</w:t>
      </w:r>
      <w:bookmarkEnd w:id="538"/>
      <w:bookmarkEnd w:id="539"/>
      <w:bookmarkEnd w:id="541"/>
    </w:p>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 日期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 xml:space="preserve">年首期 限制性股票 激励对象 </w:t>
            </w:r>
            <w:r>
              <w:rPr>
                <w:rFonts w:ascii="Times New Roman" w:eastAsia="Times New Roman" w:hAnsi="Times New Roman" w:cs="Times New Roman"/>
                <w:color w:val="000000"/>
                <w:spacing w:val="0"/>
                <w:w w:val="100"/>
                <w:position w:val="0"/>
              </w:rPr>
              <w:t>160</w:t>
            </w:r>
            <w:r>
              <w:rPr>
                <w:color w:val="000000"/>
                <w:spacing w:val="0"/>
                <w:w w:val="100"/>
                <w:position w:val="0"/>
              </w:rPr>
              <w:t>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已完结</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二</w:t>
      </w:r>
      <w:bookmarkEnd w:id="544"/>
      <w:r>
        <w:rPr>
          <w:color w:val="000000"/>
          <w:spacing w:val="0"/>
          <w:w w:val="100"/>
          <w:position w:val="0"/>
          <w:sz w:val="24"/>
          <w:szCs w:val="24"/>
        </w:rPr>
        <w:t>、证券发行与上市情况</w:t>
      </w:r>
      <w:bookmarkEnd w:id="542"/>
      <w:bookmarkEnd w:id="543"/>
      <w:bookmarkEnd w:id="545"/>
    </w:p>
    <w:p>
      <w:pPr>
        <w:pStyle w:val="Style33"/>
        <w:keepNext/>
        <w:keepLines/>
        <w:widowControl w:val="0"/>
        <w:shd w:val="clear" w:color="auto" w:fill="auto"/>
        <w:tabs>
          <w:tab w:pos="333"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报告期内证券发行（不含优先股）情况</w:t>
      </w:r>
      <w:bookmarkEnd w:id="546"/>
      <w:bookmarkEnd w:id="547"/>
      <w:bookmarkEnd w:id="549"/>
    </w:p>
    <w:p>
      <w:pPr>
        <w:pStyle w:val="Style2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口适用”不适用</w:t>
      </w:r>
    </w:p>
    <w:p>
      <w:pPr>
        <w:pStyle w:val="Style33"/>
        <w:keepNext/>
        <w:keepLines/>
        <w:widowControl w:val="0"/>
        <w:shd w:val="clear" w:color="auto" w:fill="auto"/>
        <w:tabs>
          <w:tab w:pos="343"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公司股份总数及股东结构的变动、公司资产和负债结构的变动情况说明</w:t>
      </w:r>
      <w:bookmarkEnd w:id="550"/>
      <w:bookmarkEnd w:id="551"/>
      <w:bookmarkEnd w:id="553"/>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w:t>
      </w:r>
      <w:r>
        <w:rPr>
          <w:color w:val="000000"/>
          <w:spacing w:val="0"/>
          <w:w w:val="100"/>
          <w:position w:val="0"/>
        </w:rPr>
        <w:t>日，公司召开第三届董事会第二十二次会议和第三届监事会第十六次会议，审议通过了《关于调整回购注销部分 已授予限制性股票价格的议案》，监事会对本次回购注销部分限制性股票相关事项进行了核实，独立董事根据相关规定对本 次调整方法进行了认真核查且发表了同意的独立意见。由于</w:t>
      </w:r>
      <w:r>
        <w:rPr>
          <w:color w:val="000000"/>
          <w:spacing w:val="0"/>
          <w:w w:val="100"/>
          <w:position w:val="0"/>
        </w:rPr>
        <w:t>2017</w:t>
      </w:r>
      <w:r>
        <w:rPr>
          <w:color w:val="000000"/>
          <w:spacing w:val="0"/>
          <w:w w:val="100"/>
          <w:position w:val="0"/>
        </w:rPr>
        <w:t>年限制性股票激励计划已授予但尚未解除限售的限制性股票 的回购价格调整为人民币</w:t>
      </w:r>
      <w:r>
        <w:rPr>
          <w:color w:val="000000"/>
          <w:spacing w:val="0"/>
          <w:w w:val="100"/>
          <w:position w:val="0"/>
        </w:rPr>
        <w:t xml:space="preserve">7. </w:t>
      </w:r>
      <w:r>
        <w:rPr>
          <w:color w:val="000000"/>
          <w:spacing w:val="0"/>
          <w:w w:val="100"/>
          <w:position w:val="0"/>
        </w:rPr>
        <w:t>8697</w:t>
      </w:r>
      <w:r>
        <w:rPr>
          <w:color w:val="000000"/>
          <w:spacing w:val="0"/>
          <w:w w:val="100"/>
          <w:position w:val="0"/>
        </w:rPr>
        <w:t>元/股，公司于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日召开的第三届董事会第二十一次会议审议通过的《关于回购注 销部分已授予限制性股票的议案》相应调整为：鉴于公司</w:t>
      </w:r>
      <w:r>
        <w:rPr>
          <w:color w:val="000000"/>
          <w:spacing w:val="0"/>
          <w:w w:val="100"/>
          <w:position w:val="0"/>
        </w:rPr>
        <w:t>2017</w:t>
      </w:r>
      <w:r>
        <w:rPr>
          <w:color w:val="000000"/>
          <w:spacing w:val="0"/>
          <w:w w:val="100"/>
          <w:position w:val="0"/>
        </w:rPr>
        <w:t>年限制性股票激励计划激励对象龙乐钦已离职，根据《深圳四 方精创资讯股份有限公司</w:t>
      </w:r>
      <w:r>
        <w:rPr>
          <w:color w:val="000000"/>
          <w:spacing w:val="0"/>
          <w:w w:val="100"/>
          <w:position w:val="0"/>
        </w:rPr>
        <w:t>2017</w:t>
      </w:r>
      <w:r>
        <w:rPr>
          <w:color w:val="000000"/>
          <w:spacing w:val="0"/>
          <w:w w:val="100"/>
          <w:position w:val="0"/>
        </w:rPr>
        <w:t>年限制性股票激励计划（草案）》</w:t>
      </w:r>
      <w:r>
        <w:rPr>
          <w:color w:val="000000"/>
          <w:spacing w:val="0"/>
          <w:w w:val="100"/>
          <w:position w:val="0"/>
        </w:rPr>
        <w:t>，</w:t>
      </w:r>
      <w:r>
        <w:rPr>
          <w:color w:val="000000"/>
          <w:spacing w:val="0"/>
          <w:w w:val="100"/>
          <w:position w:val="0"/>
        </w:rPr>
        <w:t>上述激励对象已不具备激励对象资格，需回购注销上述激 励对象已获授但未解锁的全部限制性股票</w:t>
      </w:r>
      <w:r>
        <w:rPr>
          <w:color w:val="000000"/>
          <w:spacing w:val="0"/>
          <w:w w:val="100"/>
          <w:position w:val="0"/>
        </w:rPr>
        <w:t>7,997</w:t>
      </w:r>
      <w:r>
        <w:rPr>
          <w:color w:val="000000"/>
          <w:spacing w:val="0"/>
          <w:w w:val="100"/>
          <w:position w:val="0"/>
        </w:rPr>
        <w:t>股，回购价格为人民币</w:t>
      </w:r>
      <w:r>
        <w:rPr>
          <w:color w:val="000000"/>
          <w:spacing w:val="0"/>
          <w:w w:val="100"/>
          <w:position w:val="0"/>
        </w:rPr>
        <w:t>7.869</w:t>
      </w:r>
      <w:r>
        <w:rPr>
          <w:color w:val="000000"/>
          <w:spacing w:val="0"/>
          <w:w w:val="100"/>
          <w:position w:val="0"/>
        </w:rPr>
        <w:t>7</w:t>
      </w:r>
      <w:r>
        <w:rPr>
          <w:color w:val="000000"/>
          <w:spacing w:val="0"/>
          <w:w w:val="100"/>
          <w:position w:val="0"/>
        </w:rPr>
        <w:t>元/股。公司于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 xml:space="preserve">日在中国证券登记 </w:t>
      </w:r>
      <w:r>
        <w:rPr>
          <w:color w:val="000000"/>
          <w:spacing w:val="0"/>
          <w:w w:val="100"/>
          <w:position w:val="0"/>
        </w:rPr>
        <w:t>结算有限责任公司深圳分公司完成了回购注销登记手续。本次回购前，公司总股本为</w:t>
      </w:r>
      <w:r>
        <w:rPr>
          <w:color w:val="000000"/>
          <w:spacing w:val="0"/>
          <w:w w:val="100"/>
          <w:position w:val="0"/>
        </w:rPr>
        <w:t>283,299,055</w:t>
      </w:r>
      <w:r>
        <w:rPr>
          <w:color w:val="000000"/>
          <w:spacing w:val="0"/>
          <w:w w:val="100"/>
          <w:position w:val="0"/>
        </w:rPr>
        <w:t>股，本次回购注销的股份 数量为</w:t>
      </w:r>
      <w:r>
        <w:rPr>
          <w:color w:val="000000"/>
          <w:spacing w:val="0"/>
          <w:w w:val="100"/>
          <w:position w:val="0"/>
        </w:rPr>
        <w:t>7,997</w:t>
      </w:r>
      <w:r>
        <w:rPr>
          <w:color w:val="000000"/>
          <w:spacing w:val="0"/>
          <w:w w:val="100"/>
          <w:position w:val="0"/>
        </w:rPr>
        <w:t>股，占回购前公司总股本的</w:t>
      </w:r>
      <w:r>
        <w:rPr>
          <w:color w:val="000000"/>
          <w:spacing w:val="0"/>
          <w:w w:val="100"/>
          <w:position w:val="0"/>
        </w:rPr>
        <w:t>0.0028%</w:t>
      </w:r>
      <w:r>
        <w:rPr>
          <w:color w:val="000000"/>
          <w:spacing w:val="0"/>
          <w:w w:val="100"/>
          <w:position w:val="0"/>
        </w:rPr>
        <w:t>。本次回购注销完成后，公司总股本由</w:t>
      </w:r>
      <w:r>
        <w:rPr>
          <w:color w:val="000000"/>
          <w:spacing w:val="0"/>
          <w:w w:val="100"/>
          <w:position w:val="0"/>
        </w:rPr>
        <w:t>283,299,055</w:t>
      </w:r>
      <w:r>
        <w:rPr>
          <w:color w:val="000000"/>
          <w:spacing w:val="0"/>
          <w:w w:val="100"/>
          <w:position w:val="0"/>
        </w:rPr>
        <w:t>股减少至</w:t>
      </w:r>
      <w:r>
        <w:rPr>
          <w:color w:val="000000"/>
          <w:spacing w:val="0"/>
          <w:w w:val="100"/>
          <w:position w:val="0"/>
        </w:rPr>
        <w:t xml:space="preserve">283,291,058 </w:t>
      </w:r>
      <w:r>
        <w:rPr>
          <w:color w:val="000000"/>
          <w:spacing w:val="0"/>
          <w:w w:val="100"/>
          <w:position w:val="0"/>
        </w:rPr>
        <w:t>股。</w:t>
      </w:r>
    </w:p>
    <w:p>
      <w:pPr>
        <w:pStyle w:val="Style33"/>
        <w:keepNext/>
        <w:keepLines/>
        <w:widowControl w:val="0"/>
        <w:shd w:val="clear" w:color="auto" w:fill="auto"/>
        <w:bidi w:val="0"/>
        <w:spacing w:before="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、现存的内部职工股情况</w:t>
      </w:r>
      <w:bookmarkEnd w:id="554"/>
      <w:bookmarkEnd w:id="555"/>
      <w:bookmarkEnd w:id="557"/>
    </w:p>
    <w:p>
      <w:pPr>
        <w:pStyle w:val="Style24"/>
        <w:keepNext w:val="0"/>
        <w:keepLines w:val="0"/>
        <w:widowControl w:val="0"/>
        <w:shd w:val="clear" w:color="auto" w:fill="auto"/>
        <w:bidi w:val="0"/>
        <w:spacing w:before="0" w:after="360" w:line="240" w:lineRule="auto"/>
        <w:ind w:left="0" w:right="0" w:firstLine="0"/>
        <w:jc w:val="left"/>
      </w:pPr>
      <w:bookmarkStart w:id="558" w:name="bookmark558"/>
      <w:r>
        <w:rPr>
          <w:b/>
          <w:bCs/>
          <w:color w:val="000000"/>
          <w:spacing w:val="0"/>
          <w:w w:val="100"/>
          <w:position w:val="0"/>
        </w:rPr>
        <w:t>口适用"不适用</w:t>
      </w:r>
      <w:bookmarkEnd w:id="558"/>
    </w:p>
    <w:p>
      <w:pPr>
        <w:pStyle w:val="Style28"/>
        <w:keepNext/>
        <w:keepLines/>
        <w:widowControl w:val="0"/>
        <w:shd w:val="clear" w:color="auto" w:fill="auto"/>
        <w:bidi w:val="0"/>
        <w:spacing w:before="0" w:after="3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三</w:t>
      </w:r>
      <w:bookmarkEnd w:id="561"/>
      <w:r>
        <w:rPr>
          <w:color w:val="000000"/>
          <w:spacing w:val="0"/>
          <w:w w:val="100"/>
          <w:position w:val="0"/>
          <w:sz w:val="24"/>
          <w:szCs w:val="24"/>
        </w:rPr>
        <w:t>、股东和实际控制人情况</w:t>
      </w:r>
      <w:bookmarkEnd w:id="559"/>
      <w:bookmarkEnd w:id="560"/>
      <w:bookmarkEnd w:id="562"/>
    </w:p>
    <w:p>
      <w:pPr>
        <w:pStyle w:val="Style33"/>
        <w:keepNext/>
        <w:keepLines/>
        <w:widowControl w:val="0"/>
        <w:shd w:val="clear" w:color="auto" w:fill="auto"/>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、公司股东数量及持股情况</w:t>
      </w:r>
      <w:bookmarkEnd w:id="563"/>
      <w:bookmarkEnd w:id="564"/>
      <w:bookmarkEnd w:id="566"/>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74"/>
        <w:gridCol w:w="1632"/>
        <w:gridCol w:w="864"/>
        <w:gridCol w:w="869"/>
        <w:gridCol w:w="869"/>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38,745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57,080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末表决 权恢复 的优先 股股东</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总数（如 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 别表决 权股份 的股东 总数（如</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持有无限售条件 的股份数量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股份状 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益群集团</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控股有限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24.46</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69,280,5 01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69,280,501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益志集团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18,611,3 51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18,611,351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益威集团</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控股有限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10,478,7</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10,478,765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3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 银行股份 有限公司 一信达澳 银新能源 产业股票 型证券投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1,698,67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1,698,67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1,698,678</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74"/>
        <w:gridCol w:w="1632"/>
        <w:gridCol w:w="864"/>
        <w:gridCol w:w="17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李凤姣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1,039,90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1,039,90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810,048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李奕霖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713,900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信达澳银 基金一北 京诚通金 控投资有 限公司一 信达澳银 诚通金控 </w:t>
            </w:r>
            <w:r>
              <w:rPr>
                <w:rFonts w:ascii="Times New Roman" w:eastAsia="Times New Roman" w:hAnsi="Times New Roman" w:cs="Times New Roman"/>
                <w:color w:val="000000"/>
                <w:spacing w:val="0"/>
                <w:w w:val="100"/>
                <w:position w:val="0"/>
              </w:rPr>
              <w:t>4</w:t>
            </w:r>
            <w:r>
              <w:rPr>
                <w:color w:val="000000"/>
                <w:spacing w:val="0"/>
                <w:w w:val="100"/>
                <w:position w:val="0"/>
              </w:rPr>
              <w:t>号单一 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475,018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633,357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杜文彪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596,771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公司实际控制人为周志群先生，周志群先生持有公司控股股东益群集团控股有限公司</w:t>
            </w:r>
            <w:r>
              <w:rPr>
                <w:rFonts w:ascii="Times New Roman" w:eastAsia="Times New Roman" w:hAnsi="Times New Roman" w:cs="Times New Roman"/>
                <w:color w:val="000000"/>
                <w:spacing w:val="0"/>
                <w:w w:val="100"/>
                <w:position w:val="0"/>
              </w:rPr>
              <w:t>100%</w:t>
            </w:r>
            <w:r>
              <w:rPr>
                <w:color w:val="000000"/>
                <w:spacing w:val="0"/>
                <w:w w:val="100"/>
                <w:position w:val="0"/>
              </w:rPr>
              <w:t>股 权。</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715"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股份种 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益群集团控股有限公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rPr>
              <w:t>69,280,501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69,280,501</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益志集团控股有限公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rPr>
              <w:t>18,611,351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18,611,351</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益威集团控股有限公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rPr>
              <w:t>10,478,765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10,478,765</w:t>
            </w:r>
          </w:p>
        </w:tc>
      </w:tr>
      <w:tr>
        <w:trPr>
          <w:trHeight w:val="1339"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中国建设银行股份有 限公司一信达澳银新 能源产业股票型证券 投资基金</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1,698,678</w:t>
            </w:r>
          </w:p>
        </w:tc>
      </w:tr>
    </w:tbl>
    <w:p>
      <w:pPr>
        <w:spacing w:lineRule="exact" w:line="1"/>
        <w:rPr>
          <w:sz w:val="2"/>
          <w:szCs w:val="2"/>
        </w:rPr>
      </w:pPr>
      <w:r>
        <w:br w:type="page"/>
      </w:r>
    </w:p>
    <w:tbl>
      <w:tblPr>
        <w:tblOverlap w:val="never"/>
        <w:jc w:val="center"/>
        <w:tblLayout w:type="fixed"/>
      </w:tblPr>
      <w:tblGrid>
        <w:gridCol w:w="1968"/>
        <w:gridCol w:w="5006"/>
        <w:gridCol w:w="864"/>
        <w:gridCol w:w="173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李凤姣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810,048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810,048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李奕霖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713,900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713,900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信达澳银基金一北京 诚通金控投资有限公 司一信达澳银诚通金 控</w:t>
            </w:r>
            <w:r>
              <w:rPr>
                <w:rFonts w:ascii="Times New Roman" w:eastAsia="Times New Roman" w:hAnsi="Times New Roman" w:cs="Times New Roman"/>
                <w:color w:val="000000"/>
                <w:spacing w:val="0"/>
                <w:w w:val="100"/>
                <w:position w:val="0"/>
              </w:rPr>
              <w:t>4</w:t>
            </w:r>
            <w:r>
              <w:rPr>
                <w:color w:val="000000"/>
                <w:spacing w:val="0"/>
                <w:w w:val="100"/>
                <w:position w:val="0"/>
              </w:rPr>
              <w:t>号单一资产管理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651,000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651,000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杜文彪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596,771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596,771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深圳俊图精科投资有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595,500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595,500</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公司实际控制人为周志群先生，周志群先生持有公司控股股东益群集团控股有限公司</w:t>
            </w:r>
            <w:r>
              <w:rPr>
                <w:rFonts w:ascii="Times New Roman" w:eastAsia="Times New Roman" w:hAnsi="Times New Roman" w:cs="Times New Roman"/>
                <w:color w:val="000000"/>
                <w:spacing w:val="0"/>
                <w:w w:val="100"/>
                <w:position w:val="0"/>
              </w:rPr>
              <w:t>100%</w:t>
            </w:r>
            <w:r>
              <w:rPr>
                <w:color w:val="000000"/>
                <w:spacing w:val="0"/>
                <w:w w:val="100"/>
                <w:position w:val="0"/>
              </w:rPr>
              <w:t>股 权。</w:t>
            </w:r>
          </w:p>
        </w:tc>
      </w:tr>
      <w:tr>
        <w:trPr>
          <w:trHeight w:val="10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东情况说明（如有（参</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公司股东何志明除通过普通证券账户持有</w:t>
            </w:r>
            <w:r>
              <w:rPr>
                <w:rFonts w:ascii="Times New Roman" w:eastAsia="Times New Roman" w:hAnsi="Times New Roman" w:cs="Times New Roman"/>
                <w:color w:val="000000"/>
                <w:spacing w:val="0"/>
                <w:w w:val="100"/>
                <w:position w:val="0"/>
              </w:rPr>
              <w:t>27,500</w:t>
            </w:r>
            <w:r>
              <w:rPr>
                <w:color w:val="000000"/>
                <w:spacing w:val="0"/>
                <w:w w:val="100"/>
                <w:position w:val="0"/>
              </w:rPr>
              <w:t>股外，还通过中信证券股份有限公司客户信用 交易担保证券账户持有</w:t>
            </w:r>
            <w:r>
              <w:rPr>
                <w:rFonts w:ascii="Times New Roman" w:eastAsia="Times New Roman" w:hAnsi="Times New Roman" w:cs="Times New Roman"/>
                <w:color w:val="000000"/>
                <w:spacing w:val="0"/>
                <w:w w:val="100"/>
                <w:position w:val="0"/>
              </w:rPr>
              <w:t>782,548</w:t>
            </w:r>
            <w:r>
              <w:rPr>
                <w:color w:val="000000"/>
                <w:spacing w:val="0"/>
                <w:w w:val="100"/>
                <w:position w:val="0"/>
              </w:rPr>
              <w:t>股，实际合计持有</w:t>
            </w:r>
            <w:r>
              <w:rPr>
                <w:rFonts w:ascii="Times New Roman" w:eastAsia="Times New Roman" w:hAnsi="Times New Roman" w:cs="Times New Roman"/>
                <w:color w:val="000000"/>
                <w:spacing w:val="0"/>
                <w:w w:val="100"/>
                <w:position w:val="0"/>
              </w:rPr>
              <w:t>810,048</w:t>
            </w:r>
            <w:r>
              <w:rPr>
                <w:color w:val="000000"/>
                <w:spacing w:val="0"/>
                <w:w w:val="100"/>
                <w:position w:val="0"/>
              </w:rPr>
              <w:t>股。</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公司股东李弈霖通过平安证券股份有限公司客户信用交易担保证券账户持有</w:t>
            </w:r>
            <w:r>
              <w:rPr>
                <w:rFonts w:ascii="Times New Roman" w:eastAsia="Times New Roman" w:hAnsi="Times New Roman" w:cs="Times New Roman"/>
                <w:color w:val="000000"/>
                <w:spacing w:val="0"/>
                <w:w w:val="100"/>
                <w:position w:val="0"/>
              </w:rPr>
              <w:t>713,900</w:t>
            </w:r>
            <w:r>
              <w:rPr>
                <w:color w:val="000000"/>
                <w:spacing w:val="0"/>
                <w:w w:val="100"/>
                <w:position w:val="0"/>
              </w:rPr>
              <w:t>股。</w:t>
            </w:r>
          </w:p>
        </w:tc>
      </w:tr>
    </w:tbl>
    <w:p>
      <w:pPr>
        <w:pStyle w:val="Style24"/>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公司是否具有表决权差异安排</w:t>
      </w:r>
    </w:p>
    <w:p>
      <w:pPr>
        <w:pStyle w:val="Style24"/>
        <w:keepNext w:val="0"/>
        <w:keepLines w:val="0"/>
        <w:widowControl w:val="0"/>
        <w:shd w:val="clear" w:color="auto" w:fill="auto"/>
        <w:bidi w:val="0"/>
        <w:spacing w:before="0" w:after="0" w:line="360" w:lineRule="exact"/>
        <w:ind w:left="0" w:right="0" w:firstLine="0"/>
        <w:jc w:val="both"/>
      </w:pPr>
      <w:r>
        <w:rPr>
          <w:color w:val="000000"/>
          <w:spacing w:val="0"/>
          <w:w w:val="100"/>
          <w:position w:val="0"/>
        </w:rPr>
        <w:t>口适用”不适用</w:t>
      </w:r>
    </w:p>
    <w:p>
      <w:pPr>
        <w:pStyle w:val="Style24"/>
        <w:keepNext w:val="0"/>
        <w:keepLines w:val="0"/>
        <w:widowControl w:val="0"/>
        <w:shd w:val="clear" w:color="auto" w:fill="auto"/>
        <w:bidi w:val="0"/>
        <w:spacing w:before="0" w:after="340" w:line="360"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3"/>
        <w:keepNext/>
        <w:keepLines/>
        <w:widowControl w:val="0"/>
        <w:shd w:val="clear" w:color="auto" w:fill="auto"/>
        <w:bidi w:val="0"/>
        <w:spacing w:before="0" w:after="34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2</w:t>
      </w:r>
      <w:bookmarkEnd w:id="569"/>
      <w:r>
        <w:rPr>
          <w:color w:val="000000"/>
          <w:spacing w:val="0"/>
          <w:w w:val="100"/>
          <w:position w:val="0"/>
        </w:rPr>
        <w:t>、公司控股股东情况</w:t>
      </w:r>
      <w:bookmarkEnd w:id="567"/>
      <w:bookmarkEnd w:id="568"/>
      <w:bookmarkEnd w:id="570"/>
    </w:p>
    <w:tbl>
      <w:tblPr>
        <w:tblOverlap w:val="never"/>
        <w:jc w:val="center"/>
        <w:tblLayout w:type="fixed"/>
      </w:tblPr>
      <w:tblGrid>
        <w:gridCol w:w="2203"/>
        <w:gridCol w:w="1795"/>
        <w:gridCol w:w="1594"/>
        <w:gridCol w:w="1752"/>
        <w:gridCol w:w="22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除投资本公司外，无其他 经营业务</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keepLines/>
        <w:widowControl w:val="0"/>
        <w:shd w:val="clear" w:color="auto" w:fill="auto"/>
        <w:bidi w:val="0"/>
        <w:spacing w:before="0" w:line="24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3</w:t>
      </w:r>
      <w:bookmarkEnd w:id="573"/>
      <w:r>
        <w:rPr>
          <w:color w:val="000000"/>
          <w:spacing w:val="0"/>
          <w:w w:val="100"/>
          <w:position w:val="0"/>
        </w:rPr>
        <w:t>、公司实际控制人及其一致行动人</w:t>
      </w:r>
      <w:bookmarkEnd w:id="571"/>
      <w:bookmarkEnd w:id="572"/>
      <w:bookmarkEnd w:id="574"/>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1000" w:line="240" w:lineRule="auto"/>
        <w:ind w:left="0" w:right="0" w:firstLine="0"/>
        <w:jc w:val="both"/>
      </w:pPr>
      <w:r>
        <w:rPr>
          <w:color w:val="000000"/>
          <w:spacing w:val="0"/>
          <w:w w:val="100"/>
          <w:position w:val="0"/>
        </w:rPr>
        <w:t>公司与实际控制人之间的产权及控制关系的方框图</w:t>
      </w:r>
    </w:p>
    <w:p>
      <w:pPr>
        <w:pStyle w:val="Style57"/>
        <w:keepNext w:val="0"/>
        <w:keepLines w:val="0"/>
        <w:widowControl w:val="0"/>
        <w:shd w:val="clear" w:color="auto" w:fill="auto"/>
        <w:bidi w:val="0"/>
        <w:spacing w:before="0" w:after="300" w:line="240" w:lineRule="auto"/>
        <w:ind w:left="0" w:right="0" w:firstLine="0"/>
        <w:jc w:val="center"/>
      </w:pPr>
      <w:r>
        <w:rPr>
          <w:spacing w:val="0"/>
          <w:w w:val="100"/>
          <w:position w:val="0"/>
        </w:rPr>
        <w:t>周志群</w:t>
      </w:r>
    </w:p>
    <w:p>
      <w:pPr>
        <w:pStyle w:val="Style2"/>
        <w:keepNext w:val="0"/>
        <w:keepLines w:val="0"/>
        <w:widowControl w:val="0"/>
        <w:shd w:val="clear" w:color="auto" w:fill="auto"/>
        <w:bidi w:val="0"/>
        <w:spacing w:before="0" w:after="360" w:line="240" w:lineRule="auto"/>
        <w:ind w:left="5180" w:right="0" w:firstLine="0"/>
        <w:jc w:val="left"/>
        <w:rPr>
          <w:sz w:val="13"/>
          <w:szCs w:val="13"/>
        </w:rPr>
      </w:pPr>
      <w:r>
        <w:rPr>
          <w:rFonts w:ascii="Times New Roman" w:eastAsia="Times New Roman" w:hAnsi="Times New Roman" w:cs="Times New Roman"/>
          <w:b/>
          <w:bCs/>
          <w:color w:val="333333"/>
          <w:spacing w:val="0"/>
          <w:w w:val="100"/>
          <w:position w:val="0"/>
          <w:sz w:val="13"/>
          <w:szCs w:val="13"/>
        </w:rPr>
        <w:t>100%</w:t>
      </w:r>
    </w:p>
    <w:p>
      <w:pPr>
        <w:pStyle w:val="Style57"/>
        <w:keepNext w:val="0"/>
        <w:keepLines w:val="0"/>
        <w:widowControl w:val="0"/>
        <w:shd w:val="clear" w:color="auto" w:fill="auto"/>
        <w:bidi w:val="0"/>
        <w:spacing w:before="0" w:after="300" w:line="240" w:lineRule="auto"/>
        <w:ind w:left="0" w:right="0" w:firstLine="0"/>
        <w:jc w:val="center"/>
      </w:pPr>
      <w:r>
        <w:rPr>
          <w:spacing w:val="0"/>
          <w:w w:val="100"/>
          <w:position w:val="0"/>
        </w:rPr>
        <w:t>益群集团控股有限公司</w:t>
      </w:r>
    </w:p>
    <w:p>
      <w:pPr>
        <w:pStyle w:val="Style2"/>
        <w:keepNext w:val="0"/>
        <w:keepLines w:val="0"/>
        <w:widowControl w:val="0"/>
        <w:shd w:val="clear" w:color="auto" w:fill="auto"/>
        <w:bidi w:val="0"/>
        <w:spacing w:before="0" w:after="360" w:line="240" w:lineRule="auto"/>
        <w:ind w:left="5180" w:right="0" w:firstLine="0"/>
        <w:jc w:val="left"/>
        <w:rPr>
          <w:sz w:val="16"/>
          <w:szCs w:val="16"/>
        </w:rPr>
      </w:pPr>
      <w:r>
        <w:rPr>
          <w:color w:val="333333"/>
          <w:spacing w:val="0"/>
          <w:w w:val="100"/>
          <w:position w:val="0"/>
          <w:sz w:val="16"/>
          <w:szCs w:val="16"/>
        </w:rPr>
        <w:t>24.46%</w:t>
      </w:r>
    </w:p>
    <w:p>
      <w:pPr>
        <w:pStyle w:val="Style57"/>
        <w:keepNext w:val="0"/>
        <w:keepLines w:val="0"/>
        <w:widowControl w:val="0"/>
        <w:shd w:val="clear" w:color="auto" w:fill="auto"/>
        <w:bidi w:val="0"/>
        <w:spacing w:before="0" w:after="1360" w:line="240" w:lineRule="auto"/>
        <w:ind w:left="0" w:right="0" w:firstLine="0"/>
        <w:jc w:val="center"/>
      </w:pPr>
      <w:r>
        <w:rPr>
          <w:spacing w:val="0"/>
          <w:w w:val="100"/>
          <w:position w:val="0"/>
        </w:rPr>
        <w:t>深圳四方精创资讯股份有限公司</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60" w:line="240" w:lineRule="auto"/>
        <w:ind w:left="0" w:right="0" w:firstLine="0"/>
        <w:jc w:val="left"/>
      </w:pPr>
      <w:bookmarkStart w:id="575" w:name="bookmark575"/>
      <w:r>
        <w:rPr>
          <w:b/>
          <w:bCs/>
          <w:color w:val="000000"/>
          <w:spacing w:val="0"/>
          <w:w w:val="100"/>
          <w:position w:val="0"/>
        </w:rPr>
        <w:t>口适用"不适用</w:t>
      </w:r>
      <w:bookmarkEnd w:id="575"/>
    </w:p>
    <w:p>
      <w:pPr>
        <w:pStyle w:val="Style33"/>
        <w:keepNext/>
        <w:keepLines/>
        <w:widowControl w:val="0"/>
        <w:shd w:val="clear" w:color="auto" w:fill="auto"/>
        <w:tabs>
          <w:tab w:pos="378"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4</w:t>
      </w:r>
      <w:bookmarkEnd w:id="578"/>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76"/>
      <w:bookmarkEnd w:id="577"/>
      <w:bookmarkEnd w:id="57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5</w:t>
      </w:r>
      <w:bookmarkEnd w:id="58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0"/>
      <w:bookmarkEnd w:id="581"/>
      <w:bookmarkEnd w:id="583"/>
    </w:p>
    <w:p>
      <w:pPr>
        <w:pStyle w:val="Style24"/>
        <w:keepNext w:val="0"/>
        <w:keepLines w:val="0"/>
        <w:widowControl w:val="0"/>
        <w:shd w:val="clear" w:color="auto" w:fill="auto"/>
        <w:bidi w:val="0"/>
        <w:spacing w:before="0" w:after="360" w:line="240" w:lineRule="auto"/>
        <w:ind w:left="0" w:right="0" w:firstLine="0"/>
        <w:jc w:val="left"/>
      </w:pPr>
      <w:bookmarkStart w:id="584" w:name="bookmark584"/>
      <w:r>
        <w:rPr>
          <w:b/>
          <w:bCs/>
          <w:color w:val="000000"/>
          <w:spacing w:val="0"/>
          <w:w w:val="100"/>
          <w:position w:val="0"/>
        </w:rPr>
        <w:t>口适用"不适用</w:t>
      </w:r>
      <w:bookmarkEnd w:id="584"/>
    </w:p>
    <w:p>
      <w:pPr>
        <w:pStyle w:val="Style33"/>
        <w:keepNext/>
        <w:keepLines/>
        <w:widowControl w:val="0"/>
        <w:shd w:val="clear" w:color="auto" w:fill="auto"/>
        <w:tabs>
          <w:tab w:pos="378" w:val="left"/>
        </w:tabs>
        <w:bidi w:val="0"/>
        <w:spacing w:before="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6</w:t>
      </w:r>
      <w:bookmarkEnd w:id="587"/>
      <w:r>
        <w:rPr>
          <w:color w:val="000000"/>
          <w:spacing w:val="0"/>
          <w:w w:val="100"/>
          <w:position w:val="0"/>
        </w:rPr>
        <w:t>、</w:t>
        <w:tab/>
        <w:t>控股股东、实际控制人、重组方及其他承诺主体股份限制减持情况</w:t>
      </w:r>
      <w:bookmarkEnd w:id="585"/>
      <w:bookmarkEnd w:id="586"/>
      <w:bookmarkEnd w:id="588"/>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8"/>
        <w:keepNext/>
        <w:keepLines/>
        <w:widowControl w:val="0"/>
        <w:shd w:val="clear" w:color="auto" w:fill="auto"/>
        <w:bidi w:val="0"/>
        <w:spacing w:before="0" w:after="360" w:line="240" w:lineRule="auto"/>
        <w:ind w:left="0" w:right="0" w:firstLine="0"/>
        <w:jc w:val="both"/>
      </w:pPr>
      <w:bookmarkStart w:id="589" w:name="bookmark589"/>
      <w:bookmarkStart w:id="590" w:name="bookmark590"/>
      <w:bookmarkStart w:id="591" w:name="bookmark591"/>
      <w:bookmarkStart w:id="592" w:name="bookmark592"/>
      <w:r>
        <w:rPr>
          <w:color w:val="000000"/>
          <w:spacing w:val="0"/>
          <w:w w:val="100"/>
          <w:position w:val="0"/>
          <w:sz w:val="24"/>
          <w:szCs w:val="24"/>
        </w:rPr>
        <w:t>四</w:t>
      </w:r>
      <w:bookmarkEnd w:id="591"/>
      <w:r>
        <w:rPr>
          <w:color w:val="000000"/>
          <w:spacing w:val="0"/>
          <w:w w:val="100"/>
          <w:position w:val="0"/>
          <w:sz w:val="24"/>
          <w:szCs w:val="24"/>
        </w:rPr>
        <w:t>、股份回购在报告期的具体实施情况</w:t>
      </w:r>
      <w:bookmarkEnd w:id="589"/>
      <w:bookmarkEnd w:id="590"/>
      <w:bookmarkEnd w:id="592"/>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tbl>
      <w:tblPr>
        <w:tblOverlap w:val="never"/>
        <w:jc w:val="center"/>
        <w:tblLayout w:type="fixed"/>
      </w:tblPr>
      <w:tblGrid>
        <w:gridCol w:w="1205"/>
        <w:gridCol w:w="1200"/>
        <w:gridCol w:w="1195"/>
        <w:gridCol w:w="1195"/>
        <w:gridCol w:w="1195"/>
        <w:gridCol w:w="1195"/>
        <w:gridCol w:w="1195"/>
        <w:gridCol w:w="1200"/>
      </w:tblGrid>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方案披露时 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拟回购股份</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占总股本的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已回购数量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已回购数量 占股权激励 计划所涉及 的标的股票 的比例（如 有）</w:t>
            </w:r>
          </w:p>
        </w:tc>
      </w:tr>
    </w:tbl>
    <w:p>
      <w:pPr>
        <w:spacing w:lineRule="exact" w:line="1"/>
        <w:rPr>
          <w:sz w:val="2"/>
          <w:szCs w:val="2"/>
        </w:rPr>
      </w:pPr>
      <w:r>
        <w:br w:type="page"/>
      </w:r>
    </w:p>
    <w:tbl>
      <w:tblPr>
        <w:tblOverlap w:val="never"/>
        <w:jc w:val="center"/>
        <w:tblLayout w:type="fixed"/>
      </w:tblPr>
      <w:tblGrid>
        <w:gridCol w:w="1205"/>
        <w:gridCol w:w="1200"/>
        <w:gridCol w:w="1195"/>
        <w:gridCol w:w="1195"/>
        <w:gridCol w:w="1195"/>
        <w:gridCol w:w="1195"/>
        <w:gridCol w:w="1195"/>
        <w:gridCol w:w="1200"/>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2021.2.3-202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50" w:lineRule="exact"/>
        <w:ind w:left="0" w:right="0" w:firstLine="0"/>
        <w:jc w:val="left"/>
        <w:sectPr>
          <w:footnotePr>
            <w:pos w:val="pageBottom"/>
            <w:numFmt w:val="decimal"/>
            <w:numRestart w:val="continuous"/>
          </w:footnotePr>
          <w:pgSz w:w="11900" w:h="16840"/>
          <w:pgMar w:top="1374" w:right="1114" w:bottom="1456" w:left="1065" w:header="0" w:footer="3" w:gutter="0"/>
          <w:cols w:space="720"/>
          <w:noEndnote/>
          <w:rtlGutter w:val="0"/>
          <w:docGrid w:linePitch="360"/>
        </w:sectPr>
      </w:pPr>
      <w:r>
        <w:rPr>
          <w:color w:val="000000"/>
          <w:spacing w:val="0"/>
          <w:w w:val="100"/>
          <w:position w:val="0"/>
        </w:rPr>
        <w:t>采用集中竞价方式减持回购股份的实施进展情况 口适用</w:t>
      </w:r>
      <w:r>
        <w:rPr>
          <w:color w:val="000000"/>
          <w:spacing w:val="0"/>
          <w:w w:val="100"/>
          <w:position w:val="0"/>
        </w:rPr>
        <w:t>J</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2696210</wp:posOffset>
                </wp:positionH>
                <wp:positionV relativeFrom="paragraph">
                  <wp:posOffset>0</wp:posOffset>
                </wp:positionV>
                <wp:extent cx="2164080" cy="243840"/>
                <wp:wrapTopAndBottom/>
                <wp:docPr id="1" name="Shape 1"/>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93" w:name="bookmark593"/>
                            <w:bookmarkStart w:id="594" w:name="bookmark594"/>
                            <w:bookmarkStart w:id="595" w:name="bookmark595"/>
                            <w:bookmarkStart w:id="596" w:name="bookmark596"/>
                            <w:r>
                              <w:rPr>
                                <w:color w:val="000000"/>
                                <w:spacing w:val="0"/>
                                <w:w w:val="100"/>
                                <w:position w:val="0"/>
                              </w:rPr>
                              <w:t>第八节优先股相关情况</w:t>
                            </w:r>
                            <w:bookmarkEnd w:id="594"/>
                            <w:bookmarkEnd w:id="595"/>
                            <w:bookmarkEnd w:id="596"/>
                            <w:bookmarkEnd w:id="59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2.30000000000001pt;margin-top:0;width:170.40000000000001pt;height:19.199999999999999pt;z-index:-125829375;mso-wrap-distance-left:0;mso-wrap-distance-right:0;mso-wrap-distance-bottom:22.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93" w:name="bookmark593"/>
                      <w:bookmarkStart w:id="594" w:name="bookmark594"/>
                      <w:bookmarkStart w:id="595" w:name="bookmark595"/>
                      <w:bookmarkStart w:id="596" w:name="bookmark596"/>
                      <w:r>
                        <w:rPr>
                          <w:color w:val="000000"/>
                          <w:spacing w:val="0"/>
                          <w:w w:val="100"/>
                          <w:position w:val="0"/>
                        </w:rPr>
                        <w:t>第八节优先股相关情况</w:t>
                      </w:r>
                      <w:bookmarkEnd w:id="594"/>
                      <w:bookmarkEnd w:id="595"/>
                      <w:bookmarkEnd w:id="596"/>
                      <w:bookmarkEnd w:id="593"/>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4" w:bottom="1935" w:left="1112" w:header="0" w:footer="3" w:gutter="0"/>
          <w:cols w:space="720"/>
          <w:noEndnote/>
          <w:rtlGutter w:val="0"/>
          <w:docGrid w:linePitch="360"/>
        </w:sectPr>
      </w:pPr>
      <w:bookmarkStart w:id="597" w:name="bookmark597"/>
      <w:r>
        <w:rPr>
          <w:color w:val="000000"/>
          <w:spacing w:val="0"/>
          <w:w w:val="100"/>
          <w:position w:val="0"/>
        </w:rPr>
        <w:t>报告期公司不存在优先股。</w:t>
      </w:r>
      <w:bookmarkEnd w:id="597"/>
    </w:p>
    <w:p>
      <w:pPr>
        <w:pStyle w:val="Style10"/>
        <w:keepNext w:val="0"/>
        <w:keepLines w:val="0"/>
        <w:widowControl w:val="0"/>
        <w:shd w:val="clear" w:color="auto" w:fill="auto"/>
        <w:bidi w:val="0"/>
        <w:spacing w:before="0" w:after="560" w:line="240" w:lineRule="auto"/>
        <w:ind w:left="0" w:right="0" w:firstLine="0"/>
        <w:jc w:val="center"/>
      </w:pPr>
      <w:bookmarkStart w:id="598" w:name="bookmark598"/>
      <w:r>
        <w:rPr>
          <w:color w:val="000000"/>
          <w:spacing w:val="0"/>
          <w:w w:val="100"/>
          <w:position w:val="0"/>
        </w:rPr>
        <w:t>第九节债券相关情况</w:t>
      </w:r>
      <w:bookmarkEnd w:id="598"/>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194" w:bottom="1940" w:left="1112" w:header="0" w:footer="3" w:gutter="0"/>
          <w:cols w:space="720"/>
          <w:noEndnote/>
          <w:rtlGutter w:val="0"/>
          <w:docGrid w:linePitch="360"/>
        </w:sectPr>
      </w:pPr>
      <w:bookmarkStart w:id="599" w:name="bookmark599"/>
      <w:r>
        <w:rPr>
          <w:color w:val="000000"/>
          <w:spacing w:val="0"/>
          <w:w w:val="100"/>
          <w:position w:val="0"/>
        </w:rPr>
        <w:t>口适用</w:t>
      </w:r>
      <w:r>
        <w:rPr>
          <w:color w:val="000000"/>
          <w:spacing w:val="0"/>
          <w:w w:val="100"/>
          <w:position w:val="0"/>
        </w:rPr>
        <w:t>J</w:t>
      </w:r>
      <w:r>
        <w:rPr>
          <w:color w:val="000000"/>
          <w:spacing w:val="0"/>
          <w:w w:val="100"/>
          <w:position w:val="0"/>
        </w:rPr>
        <w:t>不适用</w:t>
      </w:r>
      <w:bookmarkEnd w:id="599"/>
    </w:p>
    <w:p>
      <w:pPr>
        <w:pStyle w:val="Style10"/>
        <w:keepNext w:val="0"/>
        <w:keepLines w:val="0"/>
        <w:widowControl w:val="0"/>
        <w:shd w:val="clear" w:color="auto" w:fill="auto"/>
        <w:bidi w:val="0"/>
        <w:spacing w:before="720" w:after="540" w:line="240" w:lineRule="auto"/>
        <w:ind w:left="0" w:right="0" w:firstLine="0"/>
        <w:jc w:val="center"/>
      </w:pPr>
      <w:bookmarkStart w:id="600" w:name="bookmark600"/>
      <w:r>
        <w:rPr>
          <w:color w:val="000000"/>
          <w:spacing w:val="0"/>
          <w:w w:val="100"/>
          <w:position w:val="0"/>
        </w:rPr>
        <w:t>第十节财务报告</w:t>
      </w:r>
      <w:bookmarkEnd w:id="600"/>
    </w:p>
    <w:p>
      <w:pPr>
        <w:pStyle w:val="Style28"/>
        <w:keepNext/>
        <w:keepLines/>
        <w:widowControl w:val="0"/>
        <w:shd w:val="clear" w:color="auto" w:fill="auto"/>
        <w:bidi w:val="0"/>
        <w:spacing w:before="0" w:after="300" w:line="240" w:lineRule="auto"/>
        <w:ind w:left="0" w:right="0" w:firstLine="200"/>
        <w:jc w:val="left"/>
      </w:pPr>
      <w:bookmarkStart w:id="601" w:name="bookmark601"/>
      <w:bookmarkStart w:id="602" w:name="bookmark602"/>
      <w:bookmarkStart w:id="603" w:name="bookmark603"/>
      <w:r>
        <w:rPr>
          <w:color w:val="000000"/>
          <w:spacing w:val="0"/>
          <w:w w:val="100"/>
          <w:position w:val="0"/>
          <w:sz w:val="24"/>
          <w:szCs w:val="24"/>
        </w:rPr>
        <w:t>、审计报告</w:t>
      </w:r>
      <w:bookmarkEnd w:id="601"/>
      <w:bookmarkEnd w:id="602"/>
      <w:bookmarkEnd w:id="60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华兴审字</w:t>
            </w:r>
            <w:r>
              <w:rPr>
                <w:rFonts w:ascii="Times New Roman" w:eastAsia="Times New Roman" w:hAnsi="Times New Roman" w:cs="Times New Roman"/>
                <w:color w:val="000000"/>
                <w:spacing w:val="0"/>
                <w:w w:val="100"/>
                <w:position w:val="0"/>
              </w:rPr>
              <w:t xml:space="preserve">[2022]21013040019 </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俞健业、杨新春</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审计报告正文</w:t>
      </w:r>
    </w:p>
    <w:p>
      <w:pPr>
        <w:pStyle w:val="Style24"/>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深圳四方精创资讯股份有限公司全体股东：</w:t>
      </w:r>
    </w:p>
    <w:p>
      <w:pPr>
        <w:pStyle w:val="Style24"/>
        <w:keepNext w:val="0"/>
        <w:keepLines w:val="0"/>
        <w:widowControl w:val="0"/>
        <w:shd w:val="clear" w:color="auto" w:fill="auto"/>
        <w:tabs>
          <w:tab w:pos="435" w:val="left"/>
        </w:tabs>
        <w:bidi w:val="0"/>
        <w:spacing w:before="0" w:after="0" w:line="240" w:lineRule="auto"/>
        <w:ind w:left="0" w:right="0" w:firstLine="0"/>
        <w:jc w:val="both"/>
      </w:pPr>
      <w:bookmarkStart w:id="604" w:name="bookmark604"/>
      <w:r>
        <w:rPr>
          <w:b/>
          <w:bCs/>
          <w:color w:val="000000"/>
          <w:spacing w:val="0"/>
          <w:w w:val="100"/>
          <w:position w:val="0"/>
        </w:rPr>
        <w:t>一</w:t>
      </w:r>
      <w:bookmarkEnd w:id="604"/>
      <w:r>
        <w:rPr>
          <w:b/>
          <w:bCs/>
          <w:color w:val="000000"/>
          <w:spacing w:val="0"/>
          <w:w w:val="100"/>
          <w:position w:val="0"/>
        </w:rPr>
        <w:t>、</w:t>
        <w:tab/>
        <w:t>审计意见</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我们审计了深圳四方精创资讯股份有限公司（以下简称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四方精创</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 相关财务报表附注。</w:t>
      </w:r>
    </w:p>
    <w:p>
      <w:pPr>
        <w:pStyle w:val="Style24"/>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我们认为，后附的财务报表在所有重大方面按照企业会计准则的规定编制，公允反映了四方精创</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4"/>
        <w:keepNext w:val="0"/>
        <w:keepLines w:val="0"/>
        <w:widowControl w:val="0"/>
        <w:shd w:val="clear" w:color="auto" w:fill="auto"/>
        <w:tabs>
          <w:tab w:pos="435" w:val="left"/>
        </w:tabs>
        <w:bidi w:val="0"/>
        <w:spacing w:before="0" w:after="0" w:line="240" w:lineRule="auto"/>
        <w:ind w:left="0" w:right="0" w:firstLine="0"/>
        <w:jc w:val="left"/>
      </w:pPr>
      <w:bookmarkStart w:id="605" w:name="bookmark605"/>
      <w:r>
        <w:rPr>
          <w:b/>
          <w:bCs/>
          <w:color w:val="000000"/>
          <w:spacing w:val="0"/>
          <w:w w:val="100"/>
          <w:position w:val="0"/>
        </w:rPr>
        <w:t>二</w:t>
      </w:r>
      <w:bookmarkEnd w:id="605"/>
      <w:r>
        <w:rPr>
          <w:b/>
          <w:bCs/>
          <w:color w:val="000000"/>
          <w:spacing w:val="0"/>
          <w:w w:val="100"/>
          <w:position w:val="0"/>
        </w:rPr>
        <w:t>、</w:t>
        <w:tab/>
        <w:t>形成审计意见的基础</w:t>
      </w:r>
    </w:p>
    <w:p>
      <w:pPr>
        <w:pStyle w:val="Style24"/>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阐述了我们在这些准则下的责任。按照中国注册会计师职业道德守则，我们独立于四方精创，并履行了职业道德方面的其他 责任。我们相信，我们获取的审计证据是充分、适当的，为发表审计意见提供了基础。</w:t>
      </w:r>
    </w:p>
    <w:p>
      <w:pPr>
        <w:pStyle w:val="Style24"/>
        <w:keepNext w:val="0"/>
        <w:keepLines w:val="0"/>
        <w:widowControl w:val="0"/>
        <w:shd w:val="clear" w:color="auto" w:fill="auto"/>
        <w:tabs>
          <w:tab w:pos="440" w:val="left"/>
        </w:tabs>
        <w:bidi w:val="0"/>
        <w:spacing w:before="0" w:after="0" w:line="240" w:lineRule="auto"/>
        <w:ind w:left="0" w:right="0" w:firstLine="0"/>
        <w:jc w:val="both"/>
      </w:pPr>
      <w:bookmarkStart w:id="606" w:name="bookmark606"/>
      <w:r>
        <w:rPr>
          <w:b/>
          <w:bCs/>
          <w:color w:val="000000"/>
          <w:spacing w:val="0"/>
          <w:w w:val="100"/>
          <w:position w:val="0"/>
        </w:rPr>
        <w:t>三</w:t>
      </w:r>
      <w:bookmarkEnd w:id="606"/>
      <w:r>
        <w:rPr>
          <w:b/>
          <w:bCs/>
          <w:color w:val="000000"/>
          <w:spacing w:val="0"/>
          <w:w w:val="100"/>
          <w:position w:val="0"/>
        </w:rPr>
        <w:t>、</w:t>
        <w:tab/>
        <w:t>关键审计事项</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4"/>
        <w:keepNext w:val="0"/>
        <w:keepLines w:val="0"/>
        <w:widowControl w:val="0"/>
        <w:shd w:val="clear" w:color="auto" w:fill="auto"/>
        <w:bidi w:val="0"/>
        <w:spacing w:before="0" w:after="120" w:line="316" w:lineRule="exact"/>
        <w:ind w:left="0" w:right="0" w:firstLine="0"/>
        <w:jc w:val="both"/>
      </w:pPr>
      <w:r>
        <w:rPr>
          <w:color w:val="000000"/>
          <w:spacing w:val="0"/>
          <w:w w:val="100"/>
          <w:position w:val="0"/>
        </w:rPr>
        <w:t>（一）收入确认</w:t>
      </w:r>
    </w:p>
    <w:p>
      <w:pPr>
        <w:pStyle w:val="Style24"/>
        <w:keepNext w:val="0"/>
        <w:keepLines w:val="0"/>
        <w:widowControl w:val="0"/>
        <w:shd w:val="clear" w:color="auto" w:fill="auto"/>
        <w:tabs>
          <w:tab w:pos="334" w:val="left"/>
        </w:tabs>
        <w:bidi w:val="0"/>
        <w:spacing w:before="0" w:after="0"/>
        <w:ind w:left="0" w:right="0" w:firstLine="0"/>
        <w:jc w:val="both"/>
      </w:pPr>
      <w:bookmarkStart w:id="607" w:name="bookmark607"/>
      <w:r>
        <w:rPr>
          <w:rFonts w:ascii="Times New Roman" w:eastAsia="Times New Roman" w:hAnsi="Times New Roman" w:cs="Times New Roman"/>
          <w:color w:val="000000"/>
          <w:spacing w:val="0"/>
          <w:w w:val="100"/>
          <w:position w:val="0"/>
        </w:rPr>
        <w:t>1</w:t>
      </w:r>
      <w:bookmarkEnd w:id="607"/>
      <w:r>
        <w:rPr>
          <w:color w:val="000000"/>
          <w:spacing w:val="0"/>
          <w:w w:val="100"/>
          <w:position w:val="0"/>
        </w:rPr>
        <w:t>、</w:t>
        <w:tab/>
        <w:t>事项描述</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”32</w:t>
      </w:r>
      <w:r>
        <w:rPr>
          <w:color w:val="000000"/>
          <w:spacing w:val="0"/>
          <w:w w:val="100"/>
          <w:position w:val="0"/>
        </w:rPr>
        <w:t>所述的会计政策、</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”31</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十七、 母公司财务报表主要项目注释</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4"/>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四方精创主要从事大型商业银行的软件开发、应用维护及系统集成业务。由于营业收入是四方精创关键业绩指标之一， 且在收入确认方面可能存在重大错报风险，因此，我们将收入的确认作为关键审计事项。</w:t>
      </w:r>
    </w:p>
    <w:p>
      <w:pPr>
        <w:pStyle w:val="Style24"/>
        <w:keepNext w:val="0"/>
        <w:keepLines w:val="0"/>
        <w:widowControl w:val="0"/>
        <w:shd w:val="clear" w:color="auto" w:fill="auto"/>
        <w:tabs>
          <w:tab w:pos="354" w:val="left"/>
        </w:tabs>
        <w:bidi w:val="0"/>
        <w:spacing w:before="0" w:after="0"/>
        <w:ind w:left="0" w:right="0" w:firstLine="0"/>
        <w:jc w:val="both"/>
      </w:pPr>
      <w:bookmarkStart w:id="608" w:name="bookmark608"/>
      <w:r>
        <w:rPr>
          <w:rFonts w:ascii="Times New Roman" w:eastAsia="Times New Roman" w:hAnsi="Times New Roman" w:cs="Times New Roman"/>
          <w:color w:val="000000"/>
          <w:spacing w:val="0"/>
          <w:w w:val="100"/>
          <w:position w:val="0"/>
        </w:rPr>
        <w:t>2</w:t>
      </w:r>
      <w:bookmarkEnd w:id="608"/>
      <w:r>
        <w:rPr>
          <w:color w:val="000000"/>
          <w:spacing w:val="0"/>
          <w:w w:val="100"/>
          <w:position w:val="0"/>
        </w:rPr>
        <w:t>、</w:t>
        <w:tab/>
        <w:t>审计应对</w:t>
      </w:r>
    </w:p>
    <w:p>
      <w:pPr>
        <w:pStyle w:val="Style24"/>
        <w:keepNext w:val="0"/>
        <w:keepLines w:val="0"/>
        <w:widowControl w:val="0"/>
        <w:shd w:val="clear" w:color="auto" w:fill="auto"/>
        <w:tabs>
          <w:tab w:pos="665" w:val="left"/>
        </w:tabs>
        <w:bidi w:val="0"/>
        <w:spacing w:before="0" w:after="0" w:line="316" w:lineRule="exact"/>
        <w:ind w:left="0" w:right="0" w:firstLine="220"/>
        <w:jc w:val="left"/>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rPr>
        <w:t>1</w:t>
      </w:r>
      <w:r>
        <w:rPr>
          <w:color w:val="000000"/>
          <w:spacing w:val="0"/>
          <w:w w:val="100"/>
          <w:position w:val="0"/>
        </w:rPr>
        <w:t>）</w:t>
        <w:tab/>
        <w:t>评价和测试四方精创与收入确认相关的关键内部控制的设计和运行有效性；</w:t>
      </w:r>
    </w:p>
    <w:p>
      <w:pPr>
        <w:pStyle w:val="Style24"/>
        <w:keepNext w:val="0"/>
        <w:keepLines w:val="0"/>
        <w:widowControl w:val="0"/>
        <w:shd w:val="clear" w:color="auto" w:fill="auto"/>
        <w:tabs>
          <w:tab w:pos="665" w:val="left"/>
        </w:tabs>
        <w:bidi w:val="0"/>
        <w:spacing w:before="0" w:after="0" w:line="316" w:lineRule="exact"/>
        <w:ind w:left="0" w:right="0" w:firstLine="220"/>
        <w:jc w:val="left"/>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2</w:t>
      </w:r>
      <w:r>
        <w:rPr>
          <w:color w:val="000000"/>
          <w:spacing w:val="0"/>
          <w:w w:val="100"/>
          <w:position w:val="0"/>
        </w:rPr>
        <w:t>）</w:t>
        <w:tab/>
        <w:t>检查主要客户合同相关条款，并评价收入确认是否符合会计准则的要求；</w:t>
      </w:r>
    </w:p>
    <w:p>
      <w:pPr>
        <w:pStyle w:val="Style24"/>
        <w:keepNext w:val="0"/>
        <w:keepLines w:val="0"/>
        <w:widowControl w:val="0"/>
        <w:shd w:val="clear" w:color="auto" w:fill="auto"/>
        <w:tabs>
          <w:tab w:pos="718" w:val="left"/>
        </w:tabs>
        <w:bidi w:val="0"/>
        <w:spacing w:before="0" w:after="0" w:line="322" w:lineRule="exact"/>
        <w:ind w:left="0" w:right="0" w:firstLine="220"/>
        <w:jc w:val="left"/>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rPr>
        <w:t>3</w:t>
      </w:r>
      <w:r>
        <w:rPr>
          <w:color w:val="000000"/>
          <w:spacing w:val="0"/>
          <w:w w:val="100"/>
          <w:position w:val="0"/>
        </w:rPr>
        <w:t>）</w:t>
        <w:tab/>
        <w:t>检查本年销售合同台账，对本年记录的收入交易选取样本，核对销售合同、发票、送货单、验收单（工作量确认单） 等支持性文件，并结合函证程序，评价收入确认的真实性和完整性；</w:t>
      </w:r>
    </w:p>
    <w:p>
      <w:pPr>
        <w:pStyle w:val="Style24"/>
        <w:keepNext w:val="0"/>
        <w:keepLines w:val="0"/>
        <w:widowControl w:val="0"/>
        <w:shd w:val="clear" w:color="auto" w:fill="auto"/>
        <w:tabs>
          <w:tab w:pos="718" w:val="left"/>
        </w:tabs>
        <w:bidi w:val="0"/>
        <w:spacing w:before="0" w:after="0" w:line="322" w:lineRule="exact"/>
        <w:ind w:left="0" w:right="0" w:firstLine="220"/>
        <w:jc w:val="left"/>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4</w:t>
      </w:r>
      <w:r>
        <w:rPr>
          <w:color w:val="000000"/>
          <w:spacing w:val="0"/>
          <w:w w:val="100"/>
          <w:position w:val="0"/>
        </w:rPr>
        <w:t>）</w:t>
        <w:tab/>
        <w:t>对收入和成本执行分析性程序，包括：本期各月份收入、成本、毛利率波动分析，各类型服务本期收入、成本、毛 利率与上期比较分析等分析性程序，评价收入确认的准确性；</w:t>
      </w:r>
    </w:p>
    <w:p>
      <w:pPr>
        <w:pStyle w:val="Style24"/>
        <w:keepNext w:val="0"/>
        <w:keepLines w:val="0"/>
        <w:widowControl w:val="0"/>
        <w:shd w:val="clear" w:color="auto" w:fill="auto"/>
        <w:tabs>
          <w:tab w:pos="665" w:val="left"/>
        </w:tabs>
        <w:bidi w:val="0"/>
        <w:spacing w:before="0" w:line="316" w:lineRule="exact"/>
        <w:ind w:left="0" w:right="0" w:firstLine="220"/>
        <w:jc w:val="left"/>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rPr>
        <w:t>5</w:t>
      </w:r>
      <w:r>
        <w:rPr>
          <w:color w:val="000000"/>
          <w:spacing w:val="0"/>
          <w:w w:val="100"/>
          <w:position w:val="0"/>
        </w:rPr>
        <w:t>）</w:t>
        <w:tab/>
        <w:t>对营业收入执行截止测试，确认收入确认是否记录在正确的会计期间；</w:t>
      </w:r>
    </w:p>
    <w:p>
      <w:pPr>
        <w:pStyle w:val="Style24"/>
        <w:keepNext w:val="0"/>
        <w:keepLines w:val="0"/>
        <w:widowControl w:val="0"/>
        <w:shd w:val="clear" w:color="auto" w:fill="auto"/>
        <w:bidi w:val="0"/>
        <w:spacing w:before="0" w:after="0" w:line="317" w:lineRule="exact"/>
        <w:ind w:left="0" w:right="0" w:firstLine="200"/>
        <w:jc w:val="left"/>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rPr>
        <w:t>6</w:t>
      </w:r>
      <w:r>
        <w:rPr>
          <w:color w:val="000000"/>
          <w:spacing w:val="0"/>
          <w:w w:val="100"/>
          <w:position w:val="0"/>
        </w:rPr>
        <w:t>）对本年新增的大客户进行背景了解，关注是否存在关联交易。</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（二）应收账款减值准备的计提</w:t>
      </w:r>
    </w:p>
    <w:p>
      <w:pPr>
        <w:pStyle w:val="Style24"/>
        <w:keepNext w:val="0"/>
        <w:keepLines w:val="0"/>
        <w:widowControl w:val="0"/>
        <w:shd w:val="clear" w:color="auto" w:fill="auto"/>
        <w:tabs>
          <w:tab w:pos="334" w:val="left"/>
        </w:tabs>
        <w:bidi w:val="0"/>
        <w:spacing w:before="0" w:after="0" w:line="317" w:lineRule="exact"/>
        <w:ind w:left="0" w:right="0" w:firstLine="0"/>
        <w:jc w:val="both"/>
      </w:pPr>
      <w:bookmarkStart w:id="615" w:name="bookmark615"/>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事项描述</w:t>
      </w:r>
    </w:p>
    <w:p>
      <w:pPr>
        <w:pStyle w:val="Style24"/>
        <w:keepNext w:val="0"/>
        <w:keepLines w:val="0"/>
        <w:widowControl w:val="0"/>
        <w:shd w:val="clear" w:color="auto" w:fill="auto"/>
        <w:bidi w:val="0"/>
        <w:spacing w:before="0" w:after="0" w:line="318" w:lineRule="exact"/>
        <w:ind w:left="0" w:right="0" w:firstLine="38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”10</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”2</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十七、母 公司财务报表主要项目注释</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4"/>
        <w:keepNext w:val="0"/>
        <w:keepLines w:val="0"/>
        <w:widowControl w:val="0"/>
        <w:shd w:val="clear" w:color="auto" w:fill="auto"/>
        <w:bidi w:val="0"/>
        <w:spacing w:before="0" w:after="0" w:line="318"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日，四方精创应收账款余额</w:t>
      </w:r>
      <w:r>
        <w:rPr>
          <w:rFonts w:ascii="Times New Roman" w:eastAsia="Times New Roman" w:hAnsi="Times New Roman" w:cs="Times New Roman"/>
          <w:color w:val="000000"/>
          <w:spacing w:val="0"/>
          <w:w w:val="100"/>
          <w:position w:val="0"/>
        </w:rPr>
        <w:t>23,673.82</w:t>
      </w:r>
      <w:r>
        <w:rPr>
          <w:color w:val="000000"/>
          <w:spacing w:val="0"/>
          <w:w w:val="100"/>
          <w:position w:val="0"/>
        </w:rPr>
        <w:t>万元，坏账准备余额</w:t>
      </w:r>
      <w:r>
        <w:rPr>
          <w:rFonts w:ascii="Times New Roman" w:eastAsia="Times New Roman" w:hAnsi="Times New Roman" w:cs="Times New Roman"/>
          <w:color w:val="000000"/>
          <w:spacing w:val="0"/>
          <w:w w:val="100"/>
          <w:position w:val="0"/>
        </w:rPr>
        <w:t>560.52</w:t>
      </w:r>
      <w:r>
        <w:rPr>
          <w:color w:val="000000"/>
          <w:spacing w:val="0"/>
          <w:w w:val="100"/>
          <w:position w:val="0"/>
        </w:rPr>
        <w:t>万元。应收账款坏账准备余额 反应了四方精创管理层（以下简称</w:t>
      </w:r>
      <w:r>
        <w:rPr>
          <w:rFonts w:ascii="Times New Roman" w:eastAsia="Times New Roman" w:hAnsi="Times New Roman" w:cs="Times New Roman"/>
          <w:color w:val="000000"/>
          <w:spacing w:val="0"/>
          <w:w w:val="100"/>
          <w:position w:val="0"/>
        </w:rPr>
        <w:t>“</w:t>
      </w:r>
      <w:r>
        <w:rPr>
          <w:color w:val="000000"/>
          <w:spacing w:val="0"/>
          <w:w w:val="100"/>
          <w:position w:val="0"/>
        </w:rPr>
        <w:t>管理层</w:t>
      </w:r>
      <w:r>
        <w:rPr>
          <w:rFonts w:ascii="Times New Roman" w:eastAsia="Times New Roman" w:hAnsi="Times New Roman" w:cs="Times New Roman"/>
          <w:color w:val="000000"/>
          <w:spacing w:val="0"/>
          <w:w w:val="100"/>
          <w:position w:val="0"/>
        </w:rPr>
        <w:t>”</w:t>
      </w:r>
      <w:r>
        <w:rPr>
          <w:color w:val="000000"/>
          <w:spacing w:val="0"/>
          <w:w w:val="100"/>
          <w:position w:val="0"/>
        </w:rPr>
        <w:t>）采用《企业会计准则第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金融工具确认和计量》预期信用损失模型，在报 表日对预期信用损失作出的最佳估计。管理层按照应收账款整个存续期内预期信用损失的金额计量其减值准备。由于应收账 款金额较大，且管理层在确定应收账款减值时作出了重大判断，因此我们将应收账款减值确定为关键审计事项。</w:t>
      </w:r>
    </w:p>
    <w:p>
      <w:pPr>
        <w:pStyle w:val="Style24"/>
        <w:keepNext w:val="0"/>
        <w:keepLines w:val="0"/>
        <w:widowControl w:val="0"/>
        <w:shd w:val="clear" w:color="auto" w:fill="auto"/>
        <w:tabs>
          <w:tab w:pos="354" w:val="left"/>
        </w:tabs>
        <w:bidi w:val="0"/>
        <w:spacing w:before="0" w:after="0" w:line="317" w:lineRule="exact"/>
        <w:ind w:left="0" w:right="0" w:firstLine="0"/>
        <w:jc w:val="both"/>
      </w:pPr>
      <w:bookmarkStart w:id="616" w:name="bookmark616"/>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审计应对</w:t>
      </w:r>
    </w:p>
    <w:p>
      <w:pPr>
        <w:pStyle w:val="Style24"/>
        <w:keepNext w:val="0"/>
        <w:keepLines w:val="0"/>
        <w:widowControl w:val="0"/>
        <w:shd w:val="clear" w:color="auto" w:fill="auto"/>
        <w:tabs>
          <w:tab w:pos="645" w:val="left"/>
        </w:tabs>
        <w:bidi w:val="0"/>
        <w:spacing w:before="0" w:after="0" w:line="317" w:lineRule="exact"/>
        <w:ind w:left="0" w:right="0" w:firstLine="200"/>
        <w:jc w:val="both"/>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rPr>
        <w:t>1</w:t>
      </w:r>
      <w:r>
        <w:rPr>
          <w:color w:val="000000"/>
          <w:spacing w:val="0"/>
          <w:w w:val="100"/>
          <w:position w:val="0"/>
        </w:rPr>
        <w:t>）</w:t>
        <w:tab/>
        <w:t>测试和评价四方精创应收账款内部控制制度的设计和运行的有效性；</w:t>
      </w:r>
    </w:p>
    <w:p>
      <w:pPr>
        <w:pStyle w:val="Style24"/>
        <w:keepNext w:val="0"/>
        <w:keepLines w:val="0"/>
        <w:widowControl w:val="0"/>
        <w:shd w:val="clear" w:color="auto" w:fill="auto"/>
        <w:tabs>
          <w:tab w:pos="645" w:val="left"/>
        </w:tabs>
        <w:bidi w:val="0"/>
        <w:spacing w:before="0" w:after="0" w:line="317" w:lineRule="exact"/>
        <w:ind w:left="0" w:right="0" w:firstLine="200"/>
        <w:jc w:val="both"/>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rPr>
        <w:t>2</w:t>
      </w:r>
      <w:r>
        <w:rPr>
          <w:color w:val="000000"/>
          <w:spacing w:val="0"/>
          <w:w w:val="100"/>
          <w:position w:val="0"/>
        </w:rPr>
        <w:t>）</w:t>
        <w:tab/>
        <w:t>获取并复核管理层编制的应收账款账龄分析表的准确性；</w:t>
      </w:r>
    </w:p>
    <w:p>
      <w:pPr>
        <w:pStyle w:val="Style24"/>
        <w:keepNext w:val="0"/>
        <w:keepLines w:val="0"/>
        <w:widowControl w:val="0"/>
        <w:shd w:val="clear" w:color="auto" w:fill="auto"/>
        <w:tabs>
          <w:tab w:pos="718" w:val="left"/>
        </w:tabs>
        <w:bidi w:val="0"/>
        <w:spacing w:before="0" w:after="0" w:line="322" w:lineRule="exact"/>
        <w:ind w:left="0" w:right="0" w:firstLine="200"/>
        <w:jc w:val="both"/>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rPr>
        <w:t>3</w:t>
      </w:r>
      <w:r>
        <w:rPr>
          <w:color w:val="000000"/>
          <w:spacing w:val="0"/>
          <w:w w:val="100"/>
          <w:position w:val="0"/>
        </w:rPr>
        <w:t>）</w:t>
        <w:tab/>
        <w:t>通过考虑历史上同类应收账款组合的实际坏账发生金额及情况，结合客户回款情况及市场条件等因素，评估管理层 将应收账款划分为若干组合进行减值评估的方法和计算是否恰当；</w:t>
      </w:r>
    </w:p>
    <w:p>
      <w:pPr>
        <w:pStyle w:val="Style24"/>
        <w:keepNext w:val="0"/>
        <w:keepLines w:val="0"/>
        <w:widowControl w:val="0"/>
        <w:shd w:val="clear" w:color="auto" w:fill="auto"/>
        <w:tabs>
          <w:tab w:pos="645" w:val="left"/>
        </w:tabs>
        <w:bidi w:val="0"/>
        <w:spacing w:before="0" w:after="0" w:line="322" w:lineRule="exact"/>
        <w:ind w:left="0" w:right="0" w:firstLine="20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rPr>
        <w:t>4</w:t>
      </w:r>
      <w:r>
        <w:rPr>
          <w:color w:val="000000"/>
          <w:spacing w:val="0"/>
          <w:w w:val="100"/>
          <w:position w:val="0"/>
        </w:rPr>
        <w:t>）</w:t>
        <w:tab/>
        <w:t>评估管理层在预期信用损失模型中采用的前瞻性信息；</w:t>
      </w:r>
    </w:p>
    <w:p>
      <w:pPr>
        <w:pStyle w:val="Style24"/>
        <w:keepNext w:val="0"/>
        <w:keepLines w:val="0"/>
        <w:widowControl w:val="0"/>
        <w:shd w:val="clear" w:color="auto" w:fill="auto"/>
        <w:tabs>
          <w:tab w:pos="704" w:val="left"/>
        </w:tabs>
        <w:bidi w:val="0"/>
        <w:spacing w:before="0" w:after="0" w:line="322" w:lineRule="exact"/>
        <w:ind w:left="0" w:right="0" w:firstLine="200"/>
        <w:jc w:val="both"/>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rPr>
        <w:t>5</w:t>
      </w:r>
      <w:r>
        <w:rPr>
          <w:color w:val="000000"/>
          <w:spacing w:val="0"/>
          <w:w w:val="100"/>
          <w:position w:val="0"/>
        </w:rPr>
        <w:t>）</w:t>
        <w:tab/>
        <w:t>选取样本对金额重大的应收账款余额实施了函证程序，并将函证结果与公司账面记录的金额进行核对，对于未回函 的余额执行替代程序；</w:t>
      </w:r>
    </w:p>
    <w:p>
      <w:pPr>
        <w:pStyle w:val="Style24"/>
        <w:keepNext w:val="0"/>
        <w:keepLines w:val="0"/>
        <w:widowControl w:val="0"/>
        <w:shd w:val="clear" w:color="auto" w:fill="auto"/>
        <w:tabs>
          <w:tab w:pos="718" w:val="left"/>
        </w:tabs>
        <w:bidi w:val="0"/>
        <w:spacing w:before="0" w:after="140" w:line="317" w:lineRule="exact"/>
        <w:ind w:left="0" w:right="0" w:firstLine="200"/>
        <w:jc w:val="both"/>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rPr>
        <w:t>6</w:t>
      </w:r>
      <w:r>
        <w:rPr>
          <w:color w:val="000000"/>
          <w:spacing w:val="0"/>
          <w:w w:val="100"/>
          <w:position w:val="0"/>
        </w:rPr>
        <w:t>）</w:t>
        <w:tab/>
        <w:t>对应收账款余额较大及账龄时间长的客户，我们通过公开渠道查询与债务人有关的信息，必要时实施走访，以识别 是否存在影响公司应收账款坏账准备评估结果的情形。对于账龄时间长的应收账款，我们还与管理层进行了沟通，了解账龄 时间长的原因以及管理层对于其可回收性的评估。</w:t>
      </w:r>
    </w:p>
    <w:p>
      <w:pPr>
        <w:pStyle w:val="Style24"/>
        <w:keepNext w:val="0"/>
        <w:keepLines w:val="0"/>
        <w:widowControl w:val="0"/>
        <w:shd w:val="clear" w:color="auto" w:fill="auto"/>
        <w:tabs>
          <w:tab w:pos="421" w:val="left"/>
        </w:tabs>
        <w:bidi w:val="0"/>
        <w:spacing w:before="0" w:after="0" w:line="240" w:lineRule="auto"/>
        <w:ind w:left="0" w:right="0" w:firstLine="0"/>
        <w:jc w:val="both"/>
      </w:pPr>
      <w:bookmarkStart w:id="623" w:name="bookmark623"/>
      <w:r>
        <w:rPr>
          <w:b/>
          <w:bCs/>
          <w:color w:val="000000"/>
          <w:spacing w:val="0"/>
          <w:w w:val="100"/>
          <w:position w:val="0"/>
        </w:rPr>
        <w:t>四</w:t>
      </w:r>
      <w:bookmarkEnd w:id="623"/>
      <w:r>
        <w:rPr>
          <w:b/>
          <w:bCs/>
          <w:color w:val="000000"/>
          <w:spacing w:val="0"/>
          <w:w w:val="100"/>
          <w:position w:val="0"/>
        </w:rPr>
        <w:t>、</w:t>
        <w:tab/>
        <w:t>其他信息</w:t>
      </w:r>
    </w:p>
    <w:p>
      <w:pPr>
        <w:pStyle w:val="Style24"/>
        <w:keepNext w:val="0"/>
        <w:keepLines w:val="0"/>
        <w:widowControl w:val="0"/>
        <w:shd w:val="clear" w:color="auto" w:fill="auto"/>
        <w:bidi w:val="0"/>
        <w:spacing w:before="0" w:after="0" w:line="370" w:lineRule="exact"/>
        <w:ind w:left="0" w:right="0" w:firstLine="380"/>
        <w:jc w:val="both"/>
      </w:pPr>
      <w:r>
        <w:rPr>
          <w:color w:val="000000"/>
          <w:spacing w:val="0"/>
          <w:w w:val="100"/>
          <w:position w:val="0"/>
        </w:rPr>
        <w:t>管理层对其他信息负责。其他信息包括四方精创</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年度报告中涵盖的信息，但不包括财务报表和我们的审计报告。 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4"/>
        <w:keepNext w:val="0"/>
        <w:keepLines w:val="0"/>
        <w:widowControl w:val="0"/>
        <w:shd w:val="clear" w:color="auto" w:fill="auto"/>
        <w:tabs>
          <w:tab w:pos="435" w:val="left"/>
        </w:tabs>
        <w:bidi w:val="0"/>
        <w:spacing w:before="0" w:after="0" w:line="240" w:lineRule="auto"/>
        <w:ind w:left="0" w:right="0" w:firstLine="0"/>
        <w:jc w:val="left"/>
      </w:pPr>
      <w:bookmarkStart w:id="624" w:name="bookmark624"/>
      <w:r>
        <w:rPr>
          <w:b/>
          <w:bCs/>
          <w:color w:val="000000"/>
          <w:spacing w:val="0"/>
          <w:w w:val="100"/>
          <w:position w:val="0"/>
        </w:rPr>
        <w:t>五</w:t>
      </w:r>
      <w:bookmarkEnd w:id="624"/>
      <w:r>
        <w:rPr>
          <w:b/>
          <w:bCs/>
          <w:color w:val="000000"/>
          <w:spacing w:val="0"/>
          <w:w w:val="100"/>
          <w:position w:val="0"/>
        </w:rPr>
        <w:t>、</w:t>
        <w:tab/>
        <w:t>管理层和治理层对财务报表的责任</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在编制财务报表时，管理层负责评估四方精创的持续经营能力，披露与持续经营相关的事项（如适用），并运用持续经 营假设，除非管理层计划清算四方精创、终止运营或别无其他现实的选择。</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治理层负责监督四方精创的财务报告过程。</w:t>
      </w:r>
    </w:p>
    <w:p>
      <w:pPr>
        <w:pStyle w:val="Style24"/>
        <w:keepNext w:val="0"/>
        <w:keepLines w:val="0"/>
        <w:widowControl w:val="0"/>
        <w:shd w:val="clear" w:color="auto" w:fill="auto"/>
        <w:tabs>
          <w:tab w:pos="440" w:val="left"/>
        </w:tabs>
        <w:bidi w:val="0"/>
        <w:spacing w:before="0" w:after="0" w:line="240" w:lineRule="auto"/>
        <w:ind w:left="0" w:right="0" w:firstLine="0"/>
        <w:jc w:val="left"/>
      </w:pPr>
      <w:bookmarkStart w:id="625" w:name="bookmark625"/>
      <w:r>
        <w:rPr>
          <w:b/>
          <w:bCs/>
          <w:color w:val="000000"/>
          <w:spacing w:val="0"/>
          <w:w w:val="100"/>
          <w:position w:val="0"/>
        </w:rPr>
        <w:t>六</w:t>
      </w:r>
      <w:bookmarkEnd w:id="625"/>
      <w:r>
        <w:rPr>
          <w:b/>
          <w:bCs/>
          <w:color w:val="000000"/>
          <w:spacing w:val="0"/>
          <w:w w:val="100"/>
          <w:position w:val="0"/>
        </w:rPr>
        <w:t>、</w:t>
        <w:tab/>
        <w:t>注册会计师对财务报表审计的责任</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shd w:val="clear" w:color="auto" w:fill="auto"/>
        <w:bidi w:val="0"/>
        <w:spacing w:before="0" w:after="0" w:line="312" w:lineRule="exact"/>
        <w:ind w:left="0" w:right="0" w:firstLine="200"/>
        <w:jc w:val="both"/>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rPr>
        <w:t>1</w:t>
      </w:r>
      <w:r>
        <w:rPr>
          <w:color w:val="000000"/>
          <w:spacing w:val="0"/>
          <w:w w:val="100"/>
          <w:position w:val="0"/>
        </w:rPr>
        <w:t xml:space="preserve">）识别和评估由于舞弊或错误导致的财务报表重大错报风险，设计和实施审计程序以应对这些风险，并获取充分、适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w:t>
      </w:r>
      <w:r>
        <w:rPr>
          <w:color w:val="000000"/>
          <w:spacing w:val="0"/>
          <w:w w:val="100"/>
          <w:position w:val="0"/>
        </w:rPr>
        <w:t>能发现由于舞弊导致的重大错报的风险高于未能发现由于错误导致的重大错报的风险。</w:t>
      </w:r>
    </w:p>
    <w:p>
      <w:pPr>
        <w:pStyle w:val="Style24"/>
        <w:keepNext w:val="0"/>
        <w:keepLines w:val="0"/>
        <w:widowControl w:val="0"/>
        <w:shd w:val="clear" w:color="auto" w:fill="auto"/>
        <w:tabs>
          <w:tab w:pos="645" w:val="left"/>
        </w:tabs>
        <w:bidi w:val="0"/>
        <w:spacing w:before="0" w:after="0" w:line="313" w:lineRule="exact"/>
        <w:ind w:left="0" w:right="0" w:firstLine="200"/>
        <w:jc w:val="both"/>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24"/>
        <w:keepNext w:val="0"/>
        <w:keepLines w:val="0"/>
        <w:widowControl w:val="0"/>
        <w:shd w:val="clear" w:color="auto" w:fill="auto"/>
        <w:tabs>
          <w:tab w:pos="645" w:val="left"/>
        </w:tabs>
        <w:bidi w:val="0"/>
        <w:spacing w:before="0" w:after="0" w:line="313" w:lineRule="exact"/>
        <w:ind w:left="0" w:right="0" w:firstLine="20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4"/>
        <w:keepNext w:val="0"/>
        <w:keepLines w:val="0"/>
        <w:widowControl w:val="0"/>
        <w:shd w:val="clear" w:color="auto" w:fill="auto"/>
        <w:tabs>
          <w:tab w:pos="718" w:val="left"/>
        </w:tabs>
        <w:bidi w:val="0"/>
        <w:spacing w:before="0" w:after="0" w:line="314" w:lineRule="exact"/>
        <w:ind w:left="0" w:right="0" w:firstLine="20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对管理层使用持续经营假设的恰当性得出结论。同时，根据获取的审计证据，就可能导致对四方精创持续经营能力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截至审计报告日可获得的信息。然而，未来的事项或情况可能导致四方精创不能持续经营。</w:t>
      </w:r>
    </w:p>
    <w:p>
      <w:pPr>
        <w:pStyle w:val="Style24"/>
        <w:keepNext w:val="0"/>
        <w:keepLines w:val="0"/>
        <w:widowControl w:val="0"/>
        <w:shd w:val="clear" w:color="auto" w:fill="auto"/>
        <w:tabs>
          <w:tab w:pos="645" w:val="left"/>
        </w:tabs>
        <w:bidi w:val="0"/>
        <w:spacing w:before="0" w:after="0" w:line="313" w:lineRule="exact"/>
        <w:ind w:left="0" w:right="0" w:firstLine="20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24"/>
        <w:keepNext w:val="0"/>
        <w:keepLines w:val="0"/>
        <w:widowControl w:val="0"/>
        <w:shd w:val="clear" w:color="auto" w:fill="auto"/>
        <w:tabs>
          <w:tab w:pos="718" w:val="left"/>
        </w:tabs>
        <w:bidi w:val="0"/>
        <w:spacing w:before="0" w:after="0" w:line="322" w:lineRule="exact"/>
        <w:ind w:left="0" w:right="0" w:firstLine="20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6</w:t>
      </w:r>
      <w:r>
        <w:rPr>
          <w:color w:val="000000"/>
          <w:spacing w:val="0"/>
          <w:w w:val="100"/>
          <w:position w:val="0"/>
        </w:rPr>
        <w:t>）</w:t>
        <w:tab/>
        <w:t>就四方精创中实体或业务活动的财务信息获取充分、适当的审计证据，以对财务报表发表审计意见。我们负责指导、 监督和执行集团审计，并对审计意见承担全部责任。</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1040" w:line="310"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8"/>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r>
        <w:rPr>
          <w:color w:val="000000"/>
          <w:spacing w:val="0"/>
          <w:w w:val="100"/>
          <w:position w:val="0"/>
          <w:sz w:val="24"/>
          <w:szCs w:val="24"/>
        </w:rPr>
        <w:t>二、财务报表</w:t>
      </w:r>
      <w:bookmarkEnd w:id="632"/>
      <w:bookmarkEnd w:id="633"/>
      <w:bookmarkEnd w:id="63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、合并资产负债表</w:t>
      </w:r>
      <w:bookmarkEnd w:id="635"/>
      <w:bookmarkEnd w:id="636"/>
      <w:bookmarkEnd w:id="63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编制单位：深圳四方精创资讯股份有限公司</w:t>
      </w:r>
    </w:p>
    <w:p>
      <w:pPr>
        <w:pStyle w:val="Style2"/>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475,079,214.38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485,160,678.74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231,132,978.91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209,616,066.11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2,892,610.44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2,850,494.85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16,755,705.49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10,638,484.17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103,898,380.03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58,495,239.05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8,709,327.05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9,267,307.89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674,452.77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2,662,686.08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839,142,669.07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778,690,956.89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46,747,663.92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40,671,840.65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47,076,310.59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350,242,523.80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316,069,007.71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13,356,132.49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12,642,155.60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11,822,396.04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29,689,811.00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30,652,476.87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4,936,410.94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2,051,373.43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8,231,373.63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14,045,970.34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688,784.27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3,795,555.46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459,639,272.82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473,080,513.92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1,298,781,941.89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1,251,771,470.81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1,347,626.57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1,774,878.03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3,870,591.66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2,712,654.74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71,027,323.08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61,198,660.95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10,955,470.94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10,724,806.01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2,840,343.27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5,604,343.26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7,383,720.15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97,425,075.67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82,015,342.99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4,532,195.41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3,873,318.82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4,312,520.17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8,405,514.23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4,312,520.17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105,830,589.90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86,327,863.16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283,291,058.00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283,299,055.00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437,687,917.07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439,688,923.31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-44,431,647.94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-35,459,434.37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83,961,757.04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73,570,768.42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432,442,267.82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404,407,229.29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1,192,951,351.99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1,165,443,607.65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1,192,951,351.99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1,165,443,607.65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1,298,781,941.89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1,251,771,470.81</w:t>
            </w:r>
          </w:p>
        </w:tc>
      </w:tr>
    </w:tbl>
    <w:p>
      <w:pPr>
        <w:pStyle w:val="Style33"/>
        <w:keepNext/>
        <w:keepLines/>
        <w:widowControl w:val="0"/>
        <w:shd w:val="clear" w:color="auto" w:fill="auto"/>
        <w:bidi w:val="0"/>
        <w:spacing w:before="0" w:line="240" w:lineRule="auto"/>
        <w:ind w:left="0" w:right="0" w:firstLine="0"/>
        <w:jc w:val="left"/>
      </w:pPr>
      <w:r>
        <mc:AlternateContent>
          <mc:Choice Requires="wps">
            <w:drawing>
              <wp:anchor distT="152400" distB="3175" distL="114300" distR="5146675" simplePos="0" relativeHeight="125829380" behindDoc="0" locked="0" layoutInCell="1" allowOverlap="1">
                <wp:simplePos x="0" y="0"/>
                <wp:positionH relativeFrom="page">
                  <wp:posOffset>713105</wp:posOffset>
                </wp:positionH>
                <wp:positionV relativeFrom="margin">
                  <wp:posOffset>6245225</wp:posOffset>
                </wp:positionV>
                <wp:extent cx="1054735" cy="149225"/>
                <wp:wrapTopAndBottom/>
                <wp:docPr id="3" name="Shape 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法定代表人：周志群</w:t>
                            </w:r>
                          </w:p>
                        </w:txbxContent>
                      </wps:txbx>
                      <wps:bodyPr wrap="none" lIns="0" tIns="0" rIns="0" bIns="0">
                        <a:noAutoFit/>
                      </wps:bodyPr>
                    </wps:wsp>
                  </a:graphicData>
                </a:graphic>
              </wp:anchor>
            </w:drawing>
          </mc:Choice>
          <mc:Fallback>
            <w:pict>
              <v:shape id="_x0000_s1029" type="#_x0000_t202" style="position:absolute;margin-left:56.149999999999999pt;margin-top:491.75pt;width:83.049999999999997pt;height:11.75pt;z-index:-125829373;mso-wrap-distance-left:9.pt;mso-wrap-distance-top:12.pt;mso-wrap-distance-right:405.25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法定代表人：周志群</w:t>
                      </w:r>
                    </w:p>
                  </w:txbxContent>
                </v:textbox>
                <w10:wrap type="topAndBottom" anchorx="page" anchory="margin"/>
              </v:shape>
            </w:pict>
          </mc:Fallback>
        </mc:AlternateContent>
      </w:r>
      <w:r>
        <mc:AlternateContent>
          <mc:Choice Requires="wps">
            <w:drawing>
              <wp:anchor distT="152400" distB="6350" distL="2284730" distR="2513330" simplePos="0" relativeHeight="125829382" behindDoc="0" locked="0" layoutInCell="1" allowOverlap="1">
                <wp:simplePos x="0" y="0"/>
                <wp:positionH relativeFrom="page">
                  <wp:posOffset>2883535</wp:posOffset>
                </wp:positionH>
                <wp:positionV relativeFrom="margin">
                  <wp:posOffset>6245225</wp:posOffset>
                </wp:positionV>
                <wp:extent cx="1517650" cy="146050"/>
                <wp:wrapTopAndBottom/>
                <wp:docPr id="5" name="Shape 5"/>
                <a:graphic xmlns:a="http://schemas.openxmlformats.org/drawingml/2006/main">
                  <a:graphicData uri="http://schemas.microsoft.com/office/word/2010/wordprocessingShape">
                    <wps:wsp>
                      <wps:cNvSpPr txBox="1"/>
                      <wps:spPr>
                        <a:xfrm>
                          <a:ext cx="151765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主管会计工作负责人：陈淑玲</w:t>
                            </w:r>
                          </w:p>
                        </w:txbxContent>
                      </wps:txbx>
                      <wps:bodyPr wrap="none" lIns="0" tIns="0" rIns="0" bIns="0">
                        <a:noAutoFit/>
                      </wps:bodyPr>
                    </wps:wsp>
                  </a:graphicData>
                </a:graphic>
              </wp:anchor>
            </w:drawing>
          </mc:Choice>
          <mc:Fallback>
            <w:pict>
              <v:shape id="_x0000_s1031" type="#_x0000_t202" style="position:absolute;margin-left:227.05000000000001pt;margin-top:491.75pt;width:119.5pt;height:11.5pt;z-index:-125829371;mso-wrap-distance-left:179.90000000000001pt;mso-wrap-distance-top:12.pt;mso-wrap-distance-right:197.90000000000001pt;mso-wrap-distance-bottom:0.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主管会计工作负责人：陈淑玲</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5513705</wp:posOffset>
                </wp:positionH>
                <wp:positionV relativeFrom="margin">
                  <wp:posOffset>6245225</wp:posOffset>
                </wp:positionV>
                <wp:extent cx="1286510" cy="152400"/>
                <wp:wrapTopAndBottom/>
                <wp:docPr id="7" name="Shape 7"/>
                <a:graphic xmlns:a="http://schemas.openxmlformats.org/drawingml/2006/main">
                  <a:graphicData uri="http://schemas.microsoft.com/office/word/2010/wordprocessingShape">
                    <wps:wsp>
                      <wps:cNvSpPr txBox="1"/>
                      <wps:spPr>
                        <a:xfrm>
                          <a:ext cx="1286510"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会计机构负责人：陈淑玲</w:t>
                            </w:r>
                          </w:p>
                        </w:txbxContent>
                      </wps:txbx>
                      <wps:bodyPr wrap="none" lIns="0" tIns="0" rIns="0" bIns="0">
                        <a:noAutoFit/>
                      </wps:bodyPr>
                    </wps:wsp>
                  </a:graphicData>
                </a:graphic>
              </wp:anchor>
            </w:drawing>
          </mc:Choice>
          <mc:Fallback>
            <w:pict>
              <v:shape id="_x0000_s1033" type="#_x0000_t202" style="position:absolute;margin-left:434.15000000000003pt;margin-top:491.75pt;width:101.3pt;height:12.pt;z-index:-125829369;mso-wrap-distance-left:387.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会计机构负责人：陈淑玲</w:t>
                      </w:r>
                    </w:p>
                  </w:txbxContent>
                </v:textbox>
                <w10:wrap type="topAndBottom" anchorx="page" anchory="margin"/>
              </v:shape>
            </w:pict>
          </mc:Fallback>
        </mc:AlternateContent>
      </w: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、母公司资产负债表</w:t>
      </w:r>
      <w:bookmarkEnd w:id="639"/>
      <w:bookmarkEnd w:id="640"/>
      <w:bookmarkEnd w:id="6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224,514,520.46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287,944,653.00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457,138,091.98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382,568,098.02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2,392,353.83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2,440,013.37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37,850,211.10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3,320,068.57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80,356,538.16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34,829,752.84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8,709,327.05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9,267,307.89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2,061,906.52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810,966,567.83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722,431,800.21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57,713,705.33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59,197,812.44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40,671,840.65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47,076,310.59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312,253,053.22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306,102,044.97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13,356,132.49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12,642,155.60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7,942,888.62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29,689,811.00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30,652,476.87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3,965,734.34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1,530,928.52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7,842,768.16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13,317,281.13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688,784.27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3,795,555.46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474,124,718.08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474,314,565.58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1,285,091,285.91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1,196,746,365.79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821,474.69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1,130,517.56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1,652,164.67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133,348.93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61,522,386.54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53,790,198.38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10,746,751.34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6,081,353.73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1,317,975.40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4,698,237.19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4,735,582.28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80,796,334.92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65,833,655.79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3,247,196.01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3,247,196.01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84,043,530.93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65,833,655.79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283,291,058.00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283,299,055.00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439,641,622.40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439,696,559.40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-40,721,565.73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-35,277,766.27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83,961,757.04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73,570,768.42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434,874,883.27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369,687,027.45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1,201,047,754.98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1,130,912,710.00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1,285,091,285.91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1,196,746,365.79</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、合并利润表</w:t>
      </w:r>
      <w:bookmarkEnd w:id="643"/>
      <w:bookmarkEnd w:id="644"/>
      <w:bookmarkEnd w:id="64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641,544,678.55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573,983,631.21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641,544,678.55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573,983,631.21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572,392,029.06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503,129,845.12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366,361,831.14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300,258,889.01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2,407,537.46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862,547.86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10,250,515.22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9,081,208.94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99,665,833.77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111,449,341.92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84,755,461.76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79,675,041.77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8,950,849.70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1,802,815.62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447,111.67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2,964,707.64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5,368,831.65</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2,826,817.95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1,888,002.85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-1,392,064.63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1,362,601.43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362,462.03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-1,312,398.57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1,775,682.84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-1,596,370.05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-3,541,728.45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113,973.51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68,821,357.20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72,621,993.83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3,277,370.48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5,858,763.71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723,131.64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71,926,786.34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77,757,625.90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5,169,717.41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3,202,594.45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66,757,068.93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74,555,031.45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66,757,068.93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74,555,031.45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66,757,068.93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74,555,031.45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-8,972,213.57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-9,400,322.62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-8,972,213.57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-9,400,322.62</w:t>
            </w: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-5,443,799.46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-6,600,418.67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-5,443,799.46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-6,600,418.67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-3,528,414.11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-2,799,903.95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-3,528,414.11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-2,799,903.95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57,784,855.36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65,154,708.83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57,784,855.36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65,154,708.83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4"/>
        <w:keepNext w:val="0"/>
        <w:keepLines w:val="0"/>
        <w:widowControl w:val="0"/>
        <w:shd w:val="clear" w:color="auto" w:fill="auto"/>
        <w:tabs>
          <w:tab w:pos="3413" w:val="left"/>
          <w:tab w:pos="7526" w:val="left"/>
        </w:tabs>
        <w:bidi w:val="0"/>
        <w:spacing w:before="0" w:after="0" w:line="240" w:lineRule="auto"/>
        <w:ind w:left="0" w:right="0" w:firstLine="0"/>
        <w:jc w:val="center"/>
      </w:pPr>
      <w:r>
        <w:rPr>
          <w:color w:val="000000"/>
          <w:spacing w:val="0"/>
          <w:w w:val="100"/>
          <w:position w:val="0"/>
        </w:rPr>
        <w:t>法定代表人：周志群</w:t>
        <w:tab/>
        <w:t>主管会计工作负责人：陈淑玲</w:t>
        <w:tab/>
        <w:t>会计机构负责人：陈淑玲</w:t>
      </w:r>
      <w:r>
        <w:br w:type="page"/>
      </w:r>
    </w:p>
    <w:p>
      <w:pPr>
        <w:pStyle w:val="Style33"/>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4</w:t>
      </w:r>
      <w:bookmarkEnd w:id="649"/>
      <w:r>
        <w:rPr>
          <w:color w:val="000000"/>
          <w:spacing w:val="0"/>
          <w:w w:val="100"/>
          <w:position w:val="0"/>
        </w:rPr>
        <w:t>、母公司利润表</w:t>
      </w:r>
      <w:bookmarkEnd w:id="647"/>
      <w:bookmarkEnd w:id="648"/>
      <w:bookmarkEnd w:id="6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557,391,330.25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484,842,777.76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295,407,013.56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288,269,774.49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2,344,576.47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760,224.66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4,383,469.25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3,247,756.49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65,129,258.58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58,496,280.18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84,755,461.76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79,675,041.77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3,294,226.97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9,322,244.14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351,583.29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2,628,698.13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4,358,017.38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2,825,821.32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1,887,054.14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2,349,226.22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3,886,264.36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1,211,264.36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8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2,071,476.58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-1,008,794.11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113,973.51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109,107,603.48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49,949,953.93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3,220,899.20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3,179,985.47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169,450.14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37,101.64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三、利润总额（亏损总额以“一” 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112,159,052.54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53,092,837.76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8,249,166.32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-3,081,581.85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103,909,886.22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56,174,419.61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103,909,886.22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56,174,419.61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-5,443,799.46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-6,600,418.67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-5,443,799.46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-6,600,418.67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-5,443,799.46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-6,600,418.67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98,466,086.76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49,574,000.94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5</w:t>
      </w:r>
      <w:bookmarkEnd w:id="653"/>
      <w:r>
        <w:rPr>
          <w:color w:val="000000"/>
          <w:spacing w:val="0"/>
          <w:w w:val="100"/>
          <w:position w:val="0"/>
        </w:rPr>
        <w:t>、合并现金流量表</w:t>
      </w:r>
      <w:bookmarkEnd w:id="651"/>
      <w:bookmarkEnd w:id="652"/>
      <w:bookmarkEnd w:id="6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631,914,469.33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527,388,569.78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14,762,857.67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18,256,962.78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10,247,762.45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650,171,432.11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552,399,189.90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64,072,707.66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30,355,702.30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支付给职工以及为职工支付的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487,079,156.58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447,744,922.40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8,796,050.68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15,329,042.00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64,397,379.54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47,632,221.58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624,345,294.46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541,061,888.28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25,826,137.65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11,337,301.62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30,366,040.18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2,639,268.65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3,008,333.33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33,038,338.83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3,039,293.33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54,448,018.19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26,459,333.41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54,448,018.19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26,459,333.41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-21,409,679.36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-23,420,040.08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29,326,705.02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28,112,345.49</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8,188,465.77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1,988,336.81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37,515,170.79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30,100,682.30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-37,515,170.79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-30,100,682.30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-2,465,356.65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-2,799,903.95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-35,564,069.15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-44,983,324.71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477,536,337.77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522,519,662.48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441,972,268.62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477,536,337.77</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6</w:t>
      </w:r>
      <w:bookmarkEnd w:id="657"/>
      <w:r>
        <w:rPr>
          <w:color w:val="000000"/>
          <w:spacing w:val="0"/>
          <w:w w:val="100"/>
          <w:position w:val="0"/>
        </w:rPr>
        <w:t>、母公司现金流量表</w:t>
      </w:r>
      <w:bookmarkEnd w:id="655"/>
      <w:bookmarkEnd w:id="656"/>
      <w:bookmarkEnd w:id="6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490,809,904.12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408,032,293.57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14,762,857.67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14,113,441.15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6,558,169.94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504923345.27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429,353,321.18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12,839,556.14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11,497,605.71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427,841,735.08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388,930,004.78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5,440,622.01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14,415,503.68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93,419,047.63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28,058,450.43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539,540,960.86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442,901,564.60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-34,617,615.59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-13,548,243.42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3,008,333.33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18,866,363.33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3,039,293.33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22,454,745.39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21,241,004.63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37,454,745.39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21,241,004.63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-18,588,382.06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-18,201,711.30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29,326,705.02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28,112,345.49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6,380,034.66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1,988,336.81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35,706,739.68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30,100,682.30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-35,706,739.68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-30,100,682.30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-88,912,737.33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-61,850,637.02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280,320,312.03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342,170,949.05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191,407,574.70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280,320,312.03</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7</w:t>
      </w:r>
      <w:bookmarkEnd w:id="661"/>
      <w:r>
        <w:rPr>
          <w:color w:val="000000"/>
          <w:spacing w:val="0"/>
          <w:w w:val="100"/>
          <w:position w:val="0"/>
        </w:rPr>
        <w:t>、合并所有者权益变动表</w:t>
      </w:r>
      <w:bookmarkEnd w:id="659"/>
      <w:bookmarkEnd w:id="660"/>
      <w:bookmarkEnd w:id="662"/>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本期金额</w:t>
      </w: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439,</w:t>
            </w:r>
          </w:p>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688, 923.</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434.</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923.</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434.</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997</w:t>
            </w:r>
          </w:p>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06.2</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27,5 07,7 44.3</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937.</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937.</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-62,</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62,9</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-38,</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722,</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030.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041.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041.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390,</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988.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331,</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041.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041.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041.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69.2</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46,0</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283</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58.</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left"/>
            </w:pPr>
            <w:r>
              <w:rPr>
                <w:rFonts w:ascii="Times New Roman" w:eastAsia="Times New Roman" w:hAnsi="Times New Roman" w:cs="Times New Roman"/>
                <w:color w:val="000000"/>
                <w:spacing w:val="0"/>
                <w:w w:val="100"/>
                <w:position w:val="0"/>
              </w:rPr>
              <w:t xml:space="preserve">437, 687, </w:t>
            </w:r>
            <w:r>
              <w:rPr>
                <w:rFonts w:ascii="Times New Roman" w:eastAsia="Times New Roman" w:hAnsi="Times New Roman" w:cs="Times New Roman"/>
                <w:color w:val="000000"/>
                <w:spacing w:val="0"/>
                <w:w w:val="100"/>
                <w:position w:val="0"/>
              </w:rPr>
              <w:t>917.</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647.</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83,9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432,</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442,</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267.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1,19</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2,95</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1,35</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188</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182.</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75.6</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-26, 059, 111.</w:t>
            </w:r>
          </w:p>
          <w:p>
            <w:pPr>
              <w:pStyle w:val="Style2"/>
              <w:keepNext w:val="0"/>
              <w:keepLines w:val="0"/>
              <w:widowControl w:val="0"/>
              <w:shd w:val="clear" w:color="auto" w:fill="auto"/>
              <w:bidi w:val="0"/>
              <w:spacing w:before="0" w:after="0" w:line="360" w:lineRule="auto"/>
              <w:ind w:left="0" w:right="0" w:firstLine="28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2,43</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5,61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1,102 ,435, 617.3</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524,</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182.</w:t>
            </w:r>
          </w:p>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47,3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75.6</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059,</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111.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53,3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385.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668.2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835,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258.</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441.</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rFonts w:ascii="Times New Roman" w:eastAsia="Times New Roman" w:hAnsi="Times New Roman" w:cs="Times New Roman"/>
                <w:color w:val="000000"/>
                <w:spacing w:val="0"/>
                <w:w w:val="100"/>
                <w:position w:val="0"/>
              </w:rPr>
              <w:t>-9,4 00,3 22.6</w:t>
            </w:r>
          </w:p>
          <w:p>
            <w:pPr>
              <w:pStyle w:val="Style2"/>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5,61</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7,44</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3,939</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.43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rFonts w:ascii="Times New Roman" w:eastAsia="Times New Roman" w:hAnsi="Times New Roman" w:cs="Times New Roman"/>
                <w:color w:val="000000"/>
                <w:spacing w:val="0"/>
                <w:w w:val="100"/>
                <w:position w:val="0"/>
              </w:rPr>
              <w:t>-9,4 00,3 22.6</w:t>
            </w:r>
          </w:p>
          <w:p>
            <w:pPr>
              <w:pStyle w:val="Style2"/>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08.8</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65,15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4,708</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.83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03.5</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441.</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30,41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1,808</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06.8</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8,336</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.81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815,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703.</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441.</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32,4 00,1 44.9 0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0,144</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5,61</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7,44</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5,61</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7,44</w:t>
            </w:r>
          </w:p>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90,74</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484,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124.</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484,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124.</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1,831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439,</w:t>
            </w:r>
          </w:p>
          <w:p>
            <w:pPr>
              <w:pStyle w:val="Style2"/>
              <w:keepNext w:val="0"/>
              <w:keepLines w:val="0"/>
              <w:widowControl w:val="0"/>
              <w:shd w:val="clear" w:color="auto" w:fill="auto"/>
              <w:bidi w:val="0"/>
              <w:spacing w:before="0" w:after="0" w:line="360" w:lineRule="auto"/>
              <w:ind w:left="140" w:right="0" w:firstLine="20"/>
              <w:jc w:val="both"/>
            </w:pPr>
            <w:r>
              <w:rPr>
                <w:rFonts w:ascii="Times New Roman" w:eastAsia="Times New Roman" w:hAnsi="Times New Roman" w:cs="Times New Roman"/>
                <w:color w:val="000000"/>
                <w:spacing w:val="0"/>
                <w:w w:val="100"/>
                <w:position w:val="0"/>
              </w:rPr>
              <w:t>688, 923.</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459,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434.</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73,5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68.4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5,44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3,60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1,165 ,443, 607.6</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8</w:t>
      </w:r>
      <w:bookmarkEnd w:id="665"/>
      <w:r>
        <w:rPr>
          <w:color w:val="000000"/>
          <w:spacing w:val="0"/>
          <w:w w:val="100"/>
          <w:position w:val="0"/>
        </w:rPr>
        <w:t>、母公司所有者权益变动表</w:t>
      </w:r>
      <w:bookmarkEnd w:id="663"/>
      <w:bookmarkEnd w:id="664"/>
      <w:bookmarkEnd w:id="66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99,05</w:t>
            </w:r>
          </w:p>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439,69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6,559.</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62,934</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7,766.</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73,570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,768.4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369,</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687,</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027.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1,130,91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99,05</w:t>
            </w:r>
          </w:p>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439,69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6,559.</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62,934</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7,766.</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73,570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,768.4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369,</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687,</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027.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1,130,91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变动金额（减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少以“_”号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-7,99</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-54,93</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-62,93</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-5,443,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10,390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65,1</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87,8</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70,135,0</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44.98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-5,443,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909,</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98,466,0</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-7,99</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-54,93</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-62,93</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-7,99</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-54,93</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-62,934.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-62,93</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62,934.0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10,390 ,988.6 2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-38,7</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22,0</w:t>
            </w:r>
          </w:p>
          <w:p>
            <w:pPr>
              <w:pStyle w:val="Style2"/>
              <w:keepNext w:val="0"/>
              <w:keepLines w:val="0"/>
              <w:widowControl w:val="0"/>
              <w:shd w:val="clear" w:color="auto" w:fill="auto"/>
              <w:bidi w:val="0"/>
              <w:spacing w:before="0" w:after="0" w:line="360" w:lineRule="auto"/>
              <w:ind w:left="400" w:right="0" w:hanging="240"/>
              <w:jc w:val="both"/>
            </w:pPr>
            <w:r>
              <w:rPr>
                <w:rFonts w:ascii="Times New Roman" w:eastAsia="Times New Roman" w:hAnsi="Times New Roman" w:cs="Times New Roman"/>
                <w:color w:val="000000"/>
                <w:spacing w:val="0"/>
                <w:w w:val="100"/>
                <w:position w:val="0"/>
              </w:rPr>
              <w:t>30.4 0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-28,331,</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041.78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10,390 ,988.6 2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-28,3 31,0 41.7 8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-28,331,</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041.78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91,05</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439,64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1,622.</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-40,72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83,961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1,201,04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7,754.98</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31,81</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7,375.</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7,347.</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68,24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6,921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350,06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3,150.1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1,083,48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5,427.59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rFonts w:ascii="Times New Roman" w:eastAsia="Times New Roman" w:hAnsi="Times New Roman" w:cs="Times New Roman"/>
                <w:color w:val="000000"/>
                <w:spacing w:val="0"/>
                <w:w w:val="100"/>
                <w:position w:val="0"/>
              </w:rPr>
              <w:t>-2,642, 354.22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-2,935,94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31,81</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7,375.</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7,347.</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67,95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3,326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347,42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0,795.8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1,080,54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9,478.46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94.0</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-96,83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5,258.</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4,441.</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-6,600</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,418.6 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5,617 ,441.</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22,266,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50,363,2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-6,600</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,418.6 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56,174,</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49,574,0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330.</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,303.5</w:t>
            </w:r>
          </w:p>
          <w:p>
            <w:pPr>
              <w:pStyle w:val="Style2"/>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4,441.</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30,411,80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330.</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,006.8</w:t>
            </w:r>
          </w:p>
          <w:p>
            <w:pPr>
              <w:pStyle w:val="Style2"/>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-1,988,33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32,400,1</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4,441.</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5,617 ,441.</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-33,908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-28,290,7</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46.09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5,617 ,441.</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-5,617, 441.96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-28,290,7</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权益内部结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94,4</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84,1</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24.0</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4,124.</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94,4</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84,1</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24.0</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4,124.</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-1,331,83</w:t>
            </w:r>
          </w:p>
        </w:tc>
      </w:tr>
    </w:tbl>
    <w:p>
      <w:pPr>
        <w:widowControl w:val="0"/>
        <w:spacing w:line="1" w:lineRule="exact"/>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283,</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299,</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055.</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439,6</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96,55</w:t>
            </w:r>
          </w:p>
          <w:p>
            <w:pPr>
              <w:pStyle w:val="Style2"/>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62,93</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73,57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0,768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369,68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7,027.4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1,130,91</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2,710.00</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667" w:name="bookmark667"/>
      <w:bookmarkStart w:id="668" w:name="bookmark668"/>
      <w:bookmarkStart w:id="669" w:name="bookmark669"/>
      <w:r>
        <w:rPr>
          <w:color w:val="000000"/>
          <w:spacing w:val="0"/>
          <w:w w:val="100"/>
          <w:position w:val="0"/>
          <w:sz w:val="24"/>
          <w:szCs w:val="24"/>
        </w:rPr>
        <w:t>三、公司基本情况</w:t>
      </w:r>
      <w:bookmarkEnd w:id="667"/>
      <w:bookmarkEnd w:id="668"/>
      <w:bookmarkEnd w:id="669"/>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（一）公司概况</w:t>
      </w:r>
    </w:p>
    <w:p>
      <w:pPr>
        <w:pStyle w:val="Style24"/>
        <w:keepNext w:val="0"/>
        <w:keepLines w:val="0"/>
        <w:widowControl w:val="0"/>
        <w:shd w:val="clear" w:color="auto" w:fill="auto"/>
        <w:bidi w:val="0"/>
        <w:spacing w:before="0" w:after="0" w:line="312" w:lineRule="exact"/>
        <w:ind w:left="0" w:right="0" w:firstLine="0"/>
        <w:jc w:val="both"/>
      </w:pPr>
      <w:bookmarkStart w:id="670" w:name="bookmark670"/>
      <w:r>
        <w:rPr>
          <w:color w:val="000000"/>
          <w:spacing w:val="0"/>
          <w:w w:val="100"/>
          <w:position w:val="0"/>
        </w:rPr>
        <w:t>1</w:t>
      </w:r>
      <w:bookmarkEnd w:id="670"/>
      <w:r>
        <w:rPr>
          <w:color w:val="000000"/>
          <w:spacing w:val="0"/>
          <w:w w:val="100"/>
          <w:position w:val="0"/>
        </w:rPr>
        <w:t>、公司历史沿革</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深圳四方精创资讯股份有限公司（以下简称“公司”、”四方精创”）前身为四方精创资讯（深圳）有限公司（以下简 称“四方有限”</w:t>
      </w:r>
      <w:r>
        <w:rPr>
          <w:color w:val="000000"/>
          <w:spacing w:val="0"/>
          <w:w w:val="100"/>
          <w:position w:val="0"/>
        </w:rPr>
        <w:t>），</w:t>
      </w:r>
      <w:r>
        <w:rPr>
          <w:color w:val="000000"/>
          <w:spacing w:val="0"/>
          <w:w w:val="100"/>
          <w:position w:val="0"/>
        </w:rPr>
        <w:t>成立于</w:t>
      </w:r>
      <w:r>
        <w:rPr>
          <w:color w:val="000000"/>
          <w:spacing w:val="0"/>
          <w:w w:val="100"/>
          <w:position w:val="0"/>
        </w:rPr>
        <w:t>2003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21</w:t>
      </w:r>
      <w:r>
        <w:rPr>
          <w:color w:val="000000"/>
          <w:spacing w:val="0"/>
          <w:w w:val="100"/>
          <w:position w:val="0"/>
        </w:rPr>
        <w:t>日，成立时注册资本人民币</w:t>
      </w:r>
      <w:r>
        <w:rPr>
          <w:color w:val="000000"/>
          <w:spacing w:val="0"/>
          <w:w w:val="100"/>
          <w:position w:val="0"/>
        </w:rPr>
        <w:t>100</w:t>
      </w:r>
      <w:r>
        <w:rPr>
          <w:color w:val="000000"/>
          <w:spacing w:val="0"/>
          <w:w w:val="100"/>
          <w:position w:val="0"/>
        </w:rPr>
        <w:t>万元。</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23</w:t>
      </w:r>
      <w:r>
        <w:rPr>
          <w:color w:val="000000"/>
          <w:spacing w:val="0"/>
          <w:w w:val="100"/>
          <w:position w:val="0"/>
        </w:rPr>
        <w:t>日四方精创领取股份公司营业执 照，注册号为</w:t>
      </w:r>
      <w:r>
        <w:rPr>
          <w:color w:val="000000"/>
          <w:spacing w:val="0"/>
          <w:w w:val="100"/>
          <w:position w:val="0"/>
        </w:rPr>
        <w:t>440301503230043</w:t>
      </w:r>
      <w:r>
        <w:rPr>
          <w:color w:val="000000"/>
          <w:spacing w:val="0"/>
          <w:w w:val="100"/>
          <w:position w:val="0"/>
        </w:rPr>
        <w:t>号，注册资本为人民币</w:t>
      </w:r>
      <w:r>
        <w:rPr>
          <w:color w:val="000000"/>
          <w:spacing w:val="0"/>
          <w:w w:val="100"/>
          <w:position w:val="0"/>
        </w:rPr>
        <w:t>75,000,000.0</w:t>
      </w:r>
      <w:r>
        <w:rPr>
          <w:color w:val="000000"/>
          <w:spacing w:val="0"/>
          <w:w w:val="100"/>
          <w:position w:val="0"/>
        </w:rPr>
        <w:t>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根据四方精创</w:t>
      </w:r>
      <w:r>
        <w:rPr>
          <w:color w:val="000000"/>
          <w:spacing w:val="0"/>
          <w:w w:val="100"/>
          <w:position w:val="0"/>
        </w:rPr>
        <w:t>2014</w:t>
      </w:r>
      <w:r>
        <w:rPr>
          <w:color w:val="000000"/>
          <w:spacing w:val="0"/>
          <w:w w:val="100"/>
          <w:position w:val="0"/>
        </w:rPr>
        <w:t>年第一次临时股东大会决议，同时经中国证券监督管理委员会“证监许可</w:t>
      </w:r>
      <w:r>
        <w:rPr>
          <w:color w:val="000000"/>
          <w:spacing w:val="0"/>
          <w:w w:val="100"/>
          <w:position w:val="0"/>
        </w:rPr>
        <w:t xml:space="preserve">[2015] </w:t>
      </w:r>
      <w:r>
        <w:rPr>
          <w:color w:val="000000"/>
          <w:spacing w:val="0"/>
          <w:w w:val="100"/>
          <w:position w:val="0"/>
        </w:rPr>
        <w:t>840</w:t>
      </w:r>
      <w:r>
        <w:rPr>
          <w:color w:val="000000"/>
          <w:spacing w:val="0"/>
          <w:w w:val="100"/>
          <w:position w:val="0"/>
        </w:rPr>
        <w:t>号”文《关 于核准深圳四方精创资讯股份有限公司首次公开发行股票的批复》</w:t>
      </w:r>
      <w:r>
        <w:rPr>
          <w:color w:val="000000"/>
          <w:spacing w:val="0"/>
          <w:w w:val="100"/>
          <w:position w:val="0"/>
        </w:rPr>
        <w:t>，</w:t>
      </w:r>
      <w:r>
        <w:rPr>
          <w:color w:val="000000"/>
          <w:spacing w:val="0"/>
          <w:w w:val="100"/>
          <w:position w:val="0"/>
        </w:rPr>
        <w:t>公司于</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日向社会公众发行人民币普通股</w:t>
      </w:r>
      <w:r>
        <w:rPr>
          <w:color w:val="000000"/>
          <w:spacing w:val="0"/>
          <w:w w:val="100"/>
          <w:position w:val="0"/>
        </w:rPr>
        <w:t xml:space="preserve">（A </w:t>
      </w:r>
      <w:r>
        <w:rPr>
          <w:color w:val="000000"/>
          <w:spacing w:val="0"/>
          <w:w w:val="100"/>
          <w:position w:val="0"/>
        </w:rPr>
        <w:t>股）</w:t>
      </w:r>
      <w:r>
        <w:rPr>
          <w:color w:val="000000"/>
          <w:spacing w:val="0"/>
          <w:w w:val="100"/>
          <w:position w:val="0"/>
        </w:rPr>
        <w:t>2,500</w:t>
      </w:r>
      <w:r>
        <w:rPr>
          <w:color w:val="000000"/>
          <w:spacing w:val="0"/>
          <w:w w:val="100"/>
          <w:position w:val="0"/>
        </w:rPr>
        <w:t>万股，每股面值</w:t>
      </w:r>
      <w:r>
        <w:rPr>
          <w:color w:val="000000"/>
          <w:spacing w:val="0"/>
          <w:w w:val="100"/>
          <w:position w:val="0"/>
        </w:rPr>
        <w:t>1</w:t>
      </w:r>
      <w:r>
        <w:rPr>
          <w:color w:val="000000"/>
          <w:spacing w:val="0"/>
          <w:w w:val="100"/>
          <w:position w:val="0"/>
        </w:rPr>
        <w:t>元,股票发行后，公司注册资本变更为人民币</w:t>
      </w:r>
      <w:r>
        <w:rPr>
          <w:color w:val="000000"/>
          <w:spacing w:val="0"/>
          <w:w w:val="100"/>
          <w:position w:val="0"/>
        </w:rPr>
        <w:t>100,000,000.00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2016</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13</w:t>
      </w:r>
      <w:r>
        <w:rPr>
          <w:color w:val="000000"/>
          <w:spacing w:val="0"/>
          <w:w w:val="100"/>
          <w:position w:val="0"/>
        </w:rPr>
        <w:t>日，根据公司</w:t>
      </w:r>
      <w:r>
        <w:rPr>
          <w:color w:val="000000"/>
          <w:spacing w:val="0"/>
          <w:w w:val="100"/>
          <w:position w:val="0"/>
        </w:rPr>
        <w:t>2016</w:t>
      </w:r>
      <w:r>
        <w:rPr>
          <w:color w:val="000000"/>
          <w:spacing w:val="0"/>
          <w:w w:val="100"/>
          <w:position w:val="0"/>
        </w:rPr>
        <w:t>年第一次临时股东大会会议审议通过的《关于审核〈深圳四方精创资讯股份有限公司 限制性股票激励计划（草案）〉及其摘要的议案》、《关于授权董事会办理公司限制性股票激励计划相关事宜的议案》，第 二届董事会第九次会议审议通过的《关于向激励对象授予限制性股票的议案》，公司向包括公司董事及高级管理人员、公司 中层管理人员、公司核心技术人员及核心业务人员，以</w:t>
      </w:r>
      <w:r>
        <w:rPr>
          <w:color w:val="000000"/>
          <w:spacing w:val="0"/>
          <w:w w:val="100"/>
          <w:position w:val="0"/>
        </w:rPr>
        <w:t>25.59</w:t>
      </w:r>
      <w:r>
        <w:rPr>
          <w:color w:val="000000"/>
          <w:spacing w:val="0"/>
          <w:w w:val="100"/>
          <w:position w:val="0"/>
        </w:rPr>
        <w:t>元/股的价格授予限制性股票</w:t>
      </w:r>
      <w:r>
        <w:rPr>
          <w:color w:val="000000"/>
          <w:spacing w:val="0"/>
          <w:w w:val="100"/>
          <w:position w:val="0"/>
        </w:rPr>
        <w:t xml:space="preserve">3, </w:t>
      </w:r>
      <w:r>
        <w:rPr>
          <w:color w:val="000000"/>
          <w:spacing w:val="0"/>
          <w:w w:val="100"/>
          <w:position w:val="0"/>
        </w:rPr>
        <w:t>921,500.00</w:t>
      </w:r>
      <w:r>
        <w:rPr>
          <w:color w:val="000000"/>
          <w:spacing w:val="0"/>
          <w:w w:val="100"/>
          <w:position w:val="0"/>
        </w:rPr>
        <w:t>股，变更后的注册资 本为人民币</w:t>
      </w:r>
      <w:r>
        <w:rPr>
          <w:color w:val="000000"/>
          <w:spacing w:val="0"/>
          <w:w w:val="100"/>
          <w:position w:val="0"/>
        </w:rPr>
        <w:t xml:space="preserve">103, 921, </w:t>
      </w:r>
      <w:r>
        <w:rPr>
          <w:color w:val="000000"/>
          <w:spacing w:val="0"/>
          <w:w w:val="100"/>
          <w:position w:val="0"/>
        </w:rPr>
        <w:t xml:space="preserve">500. </w:t>
      </w:r>
      <w:r>
        <w:rPr>
          <w:color w:val="000000"/>
          <w:spacing w:val="0"/>
          <w:w w:val="100"/>
          <w:position w:val="0"/>
        </w:rPr>
        <w:t>00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w:t>
      </w:r>
      <w:r>
        <w:rPr>
          <w:color w:val="000000"/>
          <w:spacing w:val="0"/>
          <w:w w:val="100"/>
          <w:position w:val="0"/>
        </w:rPr>
        <w:t>根据公司第二届董事会第十三次会议决议通过的《关于回购注销部分已授予限制性股票的议案》</w:t>
      </w:r>
      <w:r>
        <w:rPr>
          <w:color w:val="000000"/>
          <w:spacing w:val="0"/>
          <w:w w:val="100"/>
          <w:position w:val="0"/>
        </w:rPr>
        <w:t>，</w:t>
      </w:r>
      <w:r>
        <w:rPr>
          <w:color w:val="000000"/>
          <w:spacing w:val="0"/>
          <w:w w:val="100"/>
          <w:position w:val="0"/>
        </w:rPr>
        <w:t>回 购注销离职员工已授予的限制性股票</w:t>
      </w:r>
      <w:r>
        <w:rPr>
          <w:color w:val="000000"/>
          <w:spacing w:val="0"/>
          <w:w w:val="100"/>
          <w:position w:val="0"/>
        </w:rPr>
        <w:t xml:space="preserve">18, </w:t>
      </w:r>
      <w:r>
        <w:rPr>
          <w:color w:val="000000"/>
          <w:spacing w:val="0"/>
          <w:w w:val="100"/>
          <w:position w:val="0"/>
        </w:rPr>
        <w:t xml:space="preserve">600. </w:t>
      </w:r>
      <w:r>
        <w:rPr>
          <w:color w:val="000000"/>
          <w:spacing w:val="0"/>
          <w:w w:val="100"/>
          <w:position w:val="0"/>
        </w:rPr>
        <w:t>00</w:t>
      </w:r>
      <w:r>
        <w:rPr>
          <w:color w:val="000000"/>
          <w:spacing w:val="0"/>
          <w:w w:val="100"/>
          <w:position w:val="0"/>
        </w:rPr>
        <w:t>股，公司变更后的注册资本为</w:t>
      </w:r>
      <w:r>
        <w:rPr>
          <w:color w:val="000000"/>
          <w:spacing w:val="0"/>
          <w:w w:val="100"/>
          <w:position w:val="0"/>
        </w:rPr>
        <w:t xml:space="preserve">103, 902, </w:t>
      </w:r>
      <w:r>
        <w:rPr>
          <w:color w:val="000000"/>
          <w:spacing w:val="0"/>
          <w:w w:val="100"/>
          <w:position w:val="0"/>
        </w:rPr>
        <w:t xml:space="preserve">900. </w:t>
      </w:r>
      <w:r>
        <w:rPr>
          <w:color w:val="000000"/>
          <w:spacing w:val="0"/>
          <w:w w:val="100"/>
          <w:position w:val="0"/>
        </w:rPr>
        <w:t>00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日，根据公司</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w:t>
      </w:r>
      <w:r>
        <w:rPr>
          <w:color w:val="000000"/>
          <w:spacing w:val="0"/>
          <w:w w:val="100"/>
          <w:position w:val="0"/>
        </w:rPr>
        <w:t>2016</w:t>
      </w:r>
      <w:r>
        <w:rPr>
          <w:color w:val="000000"/>
          <w:spacing w:val="0"/>
          <w:w w:val="100"/>
          <w:position w:val="0"/>
        </w:rPr>
        <w:t>年第一次临时股东大会会议审议通过的《关于审核〈深圳四方精创资讯 股份有限公司限制性股票激励计划（草案）〉及其摘要的议案》以及第二届董事会第十五次会议决议通过的《关于向激励对象 授予预留限制性股票的议案》，公司以</w:t>
      </w:r>
      <w:r>
        <w:rPr>
          <w:color w:val="000000"/>
          <w:spacing w:val="0"/>
          <w:w w:val="100"/>
          <w:position w:val="0"/>
        </w:rPr>
        <w:t>28.9</w:t>
      </w:r>
      <w:r>
        <w:rPr>
          <w:color w:val="000000"/>
          <w:spacing w:val="0"/>
          <w:w w:val="100"/>
          <w:position w:val="0"/>
        </w:rPr>
        <w:t>0</w:t>
      </w:r>
      <w:r>
        <w:rPr>
          <w:color w:val="000000"/>
          <w:spacing w:val="0"/>
          <w:w w:val="100"/>
          <w:position w:val="0"/>
        </w:rPr>
        <w:t>元/股的价格向刘童授予</w:t>
      </w:r>
      <w:r>
        <w:rPr>
          <w:color w:val="000000"/>
          <w:spacing w:val="0"/>
          <w:w w:val="100"/>
          <w:position w:val="0"/>
        </w:rPr>
        <w:t xml:space="preserve">430,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股限制性股票，变更后的股本为人民币 </w:t>
      </w:r>
      <w:r>
        <w:rPr>
          <w:color w:val="000000"/>
          <w:spacing w:val="0"/>
          <w:w w:val="100"/>
          <w:position w:val="0"/>
        </w:rPr>
        <w:t xml:space="preserve">104, 332, </w:t>
      </w:r>
      <w:r>
        <w:rPr>
          <w:color w:val="000000"/>
          <w:spacing w:val="0"/>
          <w:w w:val="100"/>
          <w:position w:val="0"/>
        </w:rPr>
        <w:t xml:space="preserve">900. </w:t>
      </w:r>
      <w:r>
        <w:rPr>
          <w:color w:val="000000"/>
          <w:spacing w:val="0"/>
          <w:w w:val="100"/>
          <w:position w:val="0"/>
        </w:rPr>
        <w:t>00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13</w:t>
      </w:r>
      <w:r>
        <w:rPr>
          <w:color w:val="000000"/>
          <w:spacing w:val="0"/>
          <w:w w:val="100"/>
          <w:position w:val="0"/>
        </w:rPr>
        <w:t>日，根据公司</w:t>
      </w:r>
      <w:r>
        <w:rPr>
          <w:color w:val="000000"/>
          <w:spacing w:val="0"/>
          <w:w w:val="100"/>
          <w:position w:val="0"/>
        </w:rPr>
        <w:t>2017</w:t>
      </w:r>
      <w:r>
        <w:rPr>
          <w:color w:val="000000"/>
          <w:spacing w:val="0"/>
          <w:w w:val="100"/>
          <w:position w:val="0"/>
        </w:rPr>
        <w:t>年第一次临时股东大会会议审议通过的《关于审核〈深圳四方精创资讯股份有限公司限 制性股票激励计划（草案）＞及其摘要的议案》以及第二届董事会第十七次会议决议通过的《关于向激励对象授予限制性股票 的议案》，四方精创以</w:t>
      </w:r>
      <w:r>
        <w:rPr>
          <w:color w:val="000000"/>
          <w:spacing w:val="0"/>
          <w:w w:val="100"/>
          <w:position w:val="0"/>
        </w:rPr>
        <w:t>28.90</w:t>
      </w:r>
      <w:r>
        <w:rPr>
          <w:color w:val="000000"/>
          <w:spacing w:val="0"/>
          <w:w w:val="100"/>
          <w:position w:val="0"/>
        </w:rPr>
        <w:t>元/股的价格向激励对象授予</w:t>
      </w:r>
      <w:r>
        <w:rPr>
          <w:color w:val="000000"/>
          <w:spacing w:val="0"/>
          <w:w w:val="100"/>
          <w:position w:val="0"/>
        </w:rPr>
        <w:t xml:space="preserve">1, 076, </w:t>
      </w:r>
      <w:r>
        <w:rPr>
          <w:color w:val="000000"/>
          <w:spacing w:val="0"/>
          <w:w w:val="100"/>
          <w:position w:val="0"/>
        </w:rPr>
        <w:t xml:space="preserve">800. </w:t>
      </w:r>
      <w:r>
        <w:rPr>
          <w:color w:val="000000"/>
          <w:spacing w:val="0"/>
          <w:w w:val="100"/>
          <w:position w:val="0"/>
        </w:rPr>
        <w:t>00</w:t>
      </w:r>
      <w:r>
        <w:rPr>
          <w:color w:val="000000"/>
          <w:spacing w:val="0"/>
          <w:w w:val="100"/>
          <w:position w:val="0"/>
        </w:rPr>
        <w:t>股限制性股票，变更后的股本为人民币</w:t>
      </w:r>
      <w:r>
        <w:rPr>
          <w:color w:val="000000"/>
          <w:spacing w:val="0"/>
          <w:w w:val="100"/>
          <w:position w:val="0"/>
        </w:rPr>
        <w:t xml:space="preserve">105,409,700.00 </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日，根据四方精创第二届董事会第二十三次会议决议通过的《关于回购注销部分已授予限制性股票的议 案》，四方精创回购注销部分已授予限制性股票，向邱玉龙、李林毅、黄兰雪及王小帅回购</w:t>
      </w:r>
      <w:r>
        <w:rPr>
          <w:color w:val="000000"/>
          <w:spacing w:val="0"/>
          <w:w w:val="100"/>
          <w:position w:val="0"/>
        </w:rPr>
        <w:t>37, 550</w:t>
      </w:r>
      <w:r>
        <w:rPr>
          <w:color w:val="000000"/>
          <w:spacing w:val="0"/>
          <w:w w:val="100"/>
          <w:position w:val="0"/>
        </w:rPr>
        <w:t xml:space="preserve">股，申请减少注册资本 </w:t>
      </w:r>
      <w:r>
        <w:rPr>
          <w:color w:val="000000"/>
          <w:spacing w:val="0"/>
          <w:w w:val="100"/>
          <w:position w:val="0"/>
        </w:rPr>
        <w:t xml:space="preserve">37, </w:t>
      </w:r>
      <w:r>
        <w:rPr>
          <w:color w:val="000000"/>
          <w:spacing w:val="0"/>
          <w:w w:val="100"/>
          <w:position w:val="0"/>
        </w:rPr>
        <w:t xml:space="preserve">550. </w:t>
      </w:r>
      <w:r>
        <w:rPr>
          <w:color w:val="000000"/>
          <w:spacing w:val="0"/>
          <w:w w:val="100"/>
          <w:position w:val="0"/>
        </w:rPr>
        <w:t>00</w:t>
      </w:r>
      <w:r>
        <w:rPr>
          <w:color w:val="000000"/>
          <w:spacing w:val="0"/>
          <w:w w:val="100"/>
          <w:position w:val="0"/>
        </w:rPr>
        <w:t>元，变更后的注册资本为</w:t>
      </w:r>
      <w:r>
        <w:rPr>
          <w:color w:val="000000"/>
          <w:spacing w:val="0"/>
          <w:w w:val="100"/>
          <w:position w:val="0"/>
        </w:rPr>
        <w:t xml:space="preserve">105, </w:t>
      </w:r>
      <w:r>
        <w:rPr>
          <w:color w:val="000000"/>
          <w:spacing w:val="0"/>
          <w:w w:val="100"/>
          <w:position w:val="0"/>
        </w:rPr>
        <w:t>372,150.00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日，根据公司</w:t>
      </w:r>
      <w:r>
        <w:rPr>
          <w:color w:val="000000"/>
          <w:spacing w:val="0"/>
          <w:w w:val="100"/>
          <w:position w:val="0"/>
        </w:rPr>
        <w:t>2017</w:t>
      </w:r>
      <w:r>
        <w:rPr>
          <w:color w:val="000000"/>
          <w:spacing w:val="0"/>
          <w:w w:val="100"/>
          <w:position w:val="0"/>
        </w:rPr>
        <w:t xml:space="preserve">年第二次临时股东大会会议审议通过的《关于审核〈深圳四方精创资讯股份有限公司 </w:t>
      </w:r>
      <w:r>
        <w:rPr>
          <w:color w:val="000000"/>
          <w:spacing w:val="0"/>
          <w:w w:val="100"/>
          <w:position w:val="0"/>
        </w:rPr>
        <w:t>2017</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及其摘要的议案》及第二届董事会第二十六次会议审议通过的《关于向激励对象授予限 制性股票的议案》，公司向员工以</w:t>
      </w:r>
      <w:r>
        <w:rPr>
          <w:color w:val="000000"/>
          <w:spacing w:val="0"/>
          <w:w w:val="100"/>
          <w:position w:val="0"/>
        </w:rPr>
        <w:t>21.26</w:t>
      </w:r>
      <w:r>
        <w:rPr>
          <w:color w:val="000000"/>
          <w:spacing w:val="0"/>
          <w:w w:val="100"/>
          <w:position w:val="0"/>
        </w:rPr>
        <w:t>元/股的价格授予限制性股票</w:t>
      </w:r>
      <w:r>
        <w:rPr>
          <w:color w:val="000000"/>
          <w:spacing w:val="0"/>
          <w:w w:val="100"/>
          <w:position w:val="0"/>
        </w:rPr>
        <w:t>3,166, 300</w:t>
      </w:r>
      <w:r>
        <w:rPr>
          <w:color w:val="000000"/>
          <w:spacing w:val="0"/>
          <w:w w:val="100"/>
          <w:position w:val="0"/>
        </w:rPr>
        <w:t>股，分两期执行，第一期向</w:t>
      </w:r>
      <w:r>
        <w:rPr>
          <w:color w:val="000000"/>
          <w:spacing w:val="0"/>
          <w:w w:val="100"/>
          <w:position w:val="0"/>
        </w:rPr>
        <w:t>174</w:t>
      </w:r>
      <w:r>
        <w:rPr>
          <w:color w:val="000000"/>
          <w:spacing w:val="0"/>
          <w:w w:val="100"/>
          <w:position w:val="0"/>
        </w:rPr>
        <w:t>名激励对象授 予</w:t>
      </w:r>
      <w:r>
        <w:rPr>
          <w:color w:val="000000"/>
          <w:spacing w:val="0"/>
          <w:w w:val="100"/>
          <w:position w:val="0"/>
        </w:rPr>
        <w:t>2,533,100</w:t>
      </w:r>
      <w:r>
        <w:rPr>
          <w:color w:val="000000"/>
          <w:spacing w:val="0"/>
          <w:w w:val="100"/>
          <w:position w:val="0"/>
        </w:rPr>
        <w:t>股，第二期</w:t>
      </w:r>
      <w:r>
        <w:rPr>
          <w:color w:val="000000"/>
          <w:spacing w:val="0"/>
          <w:w w:val="100"/>
          <w:position w:val="0"/>
        </w:rPr>
        <w:t>633, 200</w:t>
      </w:r>
      <w:r>
        <w:rPr>
          <w:color w:val="000000"/>
          <w:spacing w:val="0"/>
          <w:w w:val="100"/>
          <w:position w:val="0"/>
        </w:rPr>
        <w:t>股预留后期授予。由于部分激励对象自愿放弃获得限制性股票的权利，公司本次增加股本人 民币</w:t>
      </w:r>
      <w:r>
        <w:rPr>
          <w:color w:val="000000"/>
          <w:spacing w:val="0"/>
          <w:w w:val="100"/>
          <w:position w:val="0"/>
        </w:rPr>
        <w:t xml:space="preserve">2, 513, </w:t>
      </w:r>
      <w:r>
        <w:rPr>
          <w:color w:val="000000"/>
          <w:spacing w:val="0"/>
          <w:w w:val="100"/>
          <w:position w:val="0"/>
        </w:rPr>
        <w:t xml:space="preserve">400. </w:t>
      </w:r>
      <w:r>
        <w:rPr>
          <w:color w:val="000000"/>
          <w:spacing w:val="0"/>
          <w:w w:val="100"/>
          <w:position w:val="0"/>
        </w:rPr>
        <w:t>00</w:t>
      </w:r>
      <w:r>
        <w:rPr>
          <w:color w:val="000000"/>
          <w:spacing w:val="0"/>
          <w:w w:val="100"/>
          <w:position w:val="0"/>
        </w:rPr>
        <w:t>元，变更后的股本为人民币</w:t>
      </w:r>
      <w:r>
        <w:rPr>
          <w:color w:val="000000"/>
          <w:spacing w:val="0"/>
          <w:w w:val="100"/>
          <w:position w:val="0"/>
        </w:rPr>
        <w:t xml:space="preserve">107, 885, </w:t>
      </w:r>
      <w:r>
        <w:rPr>
          <w:color w:val="000000"/>
          <w:spacing w:val="0"/>
          <w:w w:val="100"/>
          <w:position w:val="0"/>
        </w:rPr>
        <w:t xml:space="preserve">550. </w:t>
      </w:r>
      <w:r>
        <w:rPr>
          <w:color w:val="000000"/>
          <w:spacing w:val="0"/>
          <w:w w:val="100"/>
          <w:position w:val="0"/>
        </w:rPr>
        <w:t>00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日，根据公司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w:t>
      </w:r>
      <w:r>
        <w:rPr>
          <w:color w:val="000000"/>
          <w:spacing w:val="0"/>
          <w:w w:val="100"/>
          <w:position w:val="0"/>
        </w:rPr>
        <w:t>2017</w:t>
      </w:r>
      <w:r>
        <w:rPr>
          <w:color w:val="000000"/>
          <w:spacing w:val="0"/>
          <w:w w:val="100"/>
          <w:position w:val="0"/>
        </w:rPr>
        <w:t>年第一次临时股东大会审议并通过了《关于审核〈深圳四方精创资讯股 份有限公司</w:t>
      </w:r>
      <w:r>
        <w:rPr>
          <w:color w:val="000000"/>
          <w:spacing w:val="0"/>
          <w:w w:val="100"/>
          <w:position w:val="0"/>
        </w:rPr>
        <w:t>2016</w:t>
      </w:r>
      <w:r>
        <w:rPr>
          <w:color w:val="000000"/>
          <w:spacing w:val="0"/>
          <w:w w:val="100"/>
          <w:position w:val="0"/>
        </w:rPr>
        <w:t>年限制性股票激励计划（草案）〉及其摘要的议案》及第二届董事会第二十八次会议审议通过的《关于向激励 对象授予预留限制性股票的议案》，公司以</w:t>
      </w:r>
      <w:r>
        <w:rPr>
          <w:color w:val="000000"/>
          <w:spacing w:val="0"/>
          <w:w w:val="100"/>
          <w:position w:val="0"/>
        </w:rPr>
        <w:t xml:space="preserve">23. </w:t>
      </w:r>
      <w:r>
        <w:rPr>
          <w:color w:val="000000"/>
          <w:spacing w:val="0"/>
          <w:w w:val="100"/>
          <w:position w:val="0"/>
        </w:rPr>
        <w:t>82</w:t>
      </w:r>
      <w:r>
        <w:rPr>
          <w:color w:val="000000"/>
          <w:spacing w:val="0"/>
          <w:w w:val="100"/>
          <w:position w:val="0"/>
        </w:rPr>
        <w:t>元/股的价格向王超、胡晓宇授予限制性股票</w:t>
      </w:r>
      <w:r>
        <w:rPr>
          <w:color w:val="000000"/>
          <w:spacing w:val="0"/>
          <w:w w:val="100"/>
          <w:position w:val="0"/>
        </w:rPr>
        <w:t>276, 000</w:t>
      </w:r>
      <w:r>
        <w:rPr>
          <w:color w:val="000000"/>
          <w:spacing w:val="0"/>
          <w:w w:val="100"/>
          <w:position w:val="0"/>
        </w:rPr>
        <w:t xml:space="preserve">股，变更后的股本为人 民币 </w:t>
      </w:r>
      <w:r>
        <w:rPr>
          <w:color w:val="000000"/>
          <w:spacing w:val="0"/>
          <w:w w:val="100"/>
          <w:position w:val="0"/>
        </w:rPr>
        <w:t>108,161,550.00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 xml:space="preserve">日，根据公司第三届董事会第二次会议审议通过的《关于回购注销部分已授予限制性股票的议案》，公 </w:t>
      </w:r>
      <w:r>
        <w:rPr>
          <w:color w:val="000000"/>
          <w:spacing w:val="0"/>
          <w:w w:val="100"/>
          <w:position w:val="0"/>
        </w:rPr>
        <w:t>司回购注销部分已授予限制性股票，向董玲玲、孙舰、朱炳飞、谭伟明、王海燕、刘海生、梅世城、谭新安及李海锋回购</w:t>
      </w:r>
      <w:r>
        <w:rPr>
          <w:color w:val="000000"/>
          <w:spacing w:val="0"/>
          <w:w w:val="100"/>
          <w:position w:val="0"/>
        </w:rPr>
        <w:t xml:space="preserve">68, 720 </w:t>
      </w:r>
      <w:r>
        <w:rPr>
          <w:color w:val="000000"/>
          <w:spacing w:val="0"/>
          <w:w w:val="100"/>
          <w:position w:val="0"/>
        </w:rPr>
        <w:t>股，申请减少注册资本</w:t>
      </w:r>
      <w:r>
        <w:rPr>
          <w:color w:val="000000"/>
          <w:spacing w:val="0"/>
          <w:w w:val="100"/>
          <w:position w:val="0"/>
        </w:rPr>
        <w:t xml:space="preserve">68, </w:t>
      </w:r>
      <w:r>
        <w:rPr>
          <w:color w:val="000000"/>
          <w:spacing w:val="0"/>
          <w:w w:val="100"/>
          <w:position w:val="0"/>
        </w:rPr>
        <w:t xml:space="preserve">720. </w:t>
      </w:r>
      <w:r>
        <w:rPr>
          <w:color w:val="000000"/>
          <w:spacing w:val="0"/>
          <w:w w:val="100"/>
          <w:position w:val="0"/>
        </w:rPr>
        <w:t>00</w:t>
      </w:r>
      <w:r>
        <w:rPr>
          <w:color w:val="000000"/>
          <w:spacing w:val="0"/>
          <w:w w:val="100"/>
          <w:position w:val="0"/>
        </w:rPr>
        <w:t>元,变更后的股本为</w:t>
      </w:r>
      <w:r>
        <w:rPr>
          <w:color w:val="000000"/>
          <w:spacing w:val="0"/>
          <w:w w:val="100"/>
          <w:position w:val="0"/>
        </w:rPr>
        <w:t xml:space="preserve">108, 092, </w:t>
      </w:r>
      <w:r>
        <w:rPr>
          <w:color w:val="000000"/>
          <w:spacing w:val="0"/>
          <w:w w:val="100"/>
          <w:position w:val="0"/>
        </w:rPr>
        <w:t xml:space="preserve">830. </w:t>
      </w:r>
      <w:r>
        <w:rPr>
          <w:color w:val="000000"/>
          <w:spacing w:val="0"/>
          <w:w w:val="100"/>
          <w:position w:val="0"/>
        </w:rPr>
        <w:t>00</w:t>
      </w:r>
      <w:r>
        <w:rPr>
          <w:color w:val="000000"/>
          <w:spacing w:val="0"/>
          <w:w w:val="100"/>
          <w:position w:val="0"/>
        </w:rPr>
        <w:t>元。</w:t>
      </w:r>
    </w:p>
    <w:p>
      <w:pPr>
        <w:pStyle w:val="Style24"/>
        <w:keepNext w:val="0"/>
        <w:keepLines w:val="0"/>
        <w:widowControl w:val="0"/>
        <w:shd w:val="clear" w:color="auto" w:fill="auto"/>
        <w:bidi w:val="0"/>
        <w:spacing w:before="0" w:after="0" w:line="311" w:lineRule="exact"/>
        <w:ind w:left="0" w:right="0" w:firstLine="560"/>
        <w:jc w:val="both"/>
      </w:pP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日，根据</w:t>
      </w:r>
      <w:r>
        <w:rPr>
          <w:color w:val="000000"/>
          <w:spacing w:val="0"/>
          <w:w w:val="100"/>
          <w:position w:val="0"/>
        </w:rPr>
        <w:t>2017</w:t>
      </w:r>
      <w:r>
        <w:rPr>
          <w:color w:val="000000"/>
          <w:spacing w:val="0"/>
          <w:w w:val="100"/>
          <w:position w:val="0"/>
        </w:rPr>
        <w:t>年股东大会会议审议通过的《关于审议</w:t>
      </w:r>
      <w:r>
        <w:rPr>
          <w:color w:val="000000"/>
          <w:spacing w:val="0"/>
          <w:w w:val="100"/>
          <w:position w:val="0"/>
        </w:rPr>
        <w:t>2017</w:t>
      </w:r>
      <w:r>
        <w:rPr>
          <w:color w:val="000000"/>
          <w:spacing w:val="0"/>
          <w:w w:val="100"/>
          <w:position w:val="0"/>
        </w:rPr>
        <w:t>年度利润分配及资本公积金转增股本预案的议 案》，以公司现有总股本</w:t>
      </w:r>
      <w:r>
        <w:rPr>
          <w:color w:val="000000"/>
          <w:spacing w:val="0"/>
          <w:w w:val="100"/>
          <w:position w:val="0"/>
        </w:rPr>
        <w:t>108,092,830</w:t>
      </w:r>
      <w:r>
        <w:rPr>
          <w:color w:val="000000"/>
          <w:spacing w:val="0"/>
          <w:w w:val="100"/>
          <w:position w:val="0"/>
        </w:rPr>
        <w:t>股为基数，以资本公积金向全体股东每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 xml:space="preserve">8. </w:t>
      </w:r>
      <w:r>
        <w:rPr>
          <w:color w:val="000000"/>
          <w:spacing w:val="0"/>
          <w:w w:val="100"/>
          <w:position w:val="0"/>
        </w:rPr>
        <w:t>005086</w:t>
      </w:r>
      <w:r>
        <w:rPr>
          <w:color w:val="000000"/>
          <w:spacing w:val="0"/>
          <w:w w:val="100"/>
          <w:position w:val="0"/>
        </w:rPr>
        <w:t xml:space="preserve">股，变更后股本为 </w:t>
      </w:r>
      <w:r>
        <w:rPr>
          <w:color w:val="000000"/>
          <w:spacing w:val="0"/>
          <w:w w:val="100"/>
          <w:position w:val="0"/>
        </w:rPr>
        <w:t xml:space="preserve">194, 622, </w:t>
      </w:r>
      <w:r>
        <w:rPr>
          <w:color w:val="000000"/>
          <w:spacing w:val="0"/>
          <w:w w:val="100"/>
          <w:position w:val="0"/>
        </w:rPr>
        <w:t xml:space="preserve">070.00 </w:t>
      </w:r>
      <w:r>
        <w:rPr>
          <w:color w:val="000000"/>
          <w:spacing w:val="0"/>
          <w:w w:val="100"/>
          <w:position w:val="0"/>
        </w:rPr>
        <w:t>元。</w:t>
      </w:r>
    </w:p>
    <w:p>
      <w:pPr>
        <w:pStyle w:val="Style24"/>
        <w:keepNext w:val="0"/>
        <w:keepLines w:val="0"/>
        <w:widowControl w:val="0"/>
        <w:shd w:val="clear" w:color="auto" w:fill="auto"/>
        <w:bidi w:val="0"/>
        <w:spacing w:before="0" w:after="0" w:line="311" w:lineRule="exact"/>
        <w:ind w:left="0" w:right="0" w:firstLine="560"/>
        <w:jc w:val="both"/>
      </w:pP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日，根据公司第三届董事会第七次会议审议通过的《关于回购注销部分已授予限制性股票的议案》，公 司回购注销</w:t>
      </w:r>
      <w:r>
        <w:rPr>
          <w:color w:val="000000"/>
          <w:spacing w:val="0"/>
          <w:w w:val="100"/>
          <w:position w:val="0"/>
        </w:rPr>
        <w:t>32</w:t>
      </w:r>
      <w:r>
        <w:rPr>
          <w:color w:val="000000"/>
          <w:spacing w:val="0"/>
          <w:w w:val="100"/>
          <w:position w:val="0"/>
        </w:rPr>
        <w:t>名激励对象已获授但尚未解锁的限制性股票共</w:t>
      </w:r>
      <w:r>
        <w:rPr>
          <w:color w:val="000000"/>
          <w:spacing w:val="0"/>
          <w:w w:val="100"/>
          <w:position w:val="0"/>
        </w:rPr>
        <w:t>339, 991</w:t>
      </w:r>
      <w:r>
        <w:rPr>
          <w:color w:val="000000"/>
          <w:spacing w:val="0"/>
          <w:w w:val="100"/>
          <w:position w:val="0"/>
        </w:rPr>
        <w:t>股，变更后股本为</w:t>
      </w:r>
      <w:r>
        <w:rPr>
          <w:color w:val="000000"/>
          <w:spacing w:val="0"/>
          <w:w w:val="100"/>
          <w:position w:val="0"/>
        </w:rPr>
        <w:t>194, 282, 079</w:t>
      </w:r>
      <w:r>
        <w:rPr>
          <w:color w:val="000000"/>
          <w:spacing w:val="0"/>
          <w:w w:val="100"/>
          <w:position w:val="0"/>
        </w:rPr>
        <w:t>股。</w:t>
      </w:r>
    </w:p>
    <w:p>
      <w:pPr>
        <w:pStyle w:val="Style24"/>
        <w:keepNext w:val="0"/>
        <w:keepLines w:val="0"/>
        <w:widowControl w:val="0"/>
        <w:shd w:val="clear" w:color="auto" w:fill="auto"/>
        <w:bidi w:val="0"/>
        <w:spacing w:before="0" w:after="0" w:line="311" w:lineRule="exact"/>
        <w:ind w:left="0" w:right="0" w:firstLine="56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日，根据公司第三届董事会第九次会议审议通过的《关于回购注销部分已授予限制性股票的议案》</w:t>
      </w:r>
      <w:r>
        <w:rPr>
          <w:color w:val="000000"/>
          <w:spacing w:val="0"/>
          <w:w w:val="100"/>
          <w:position w:val="0"/>
        </w:rPr>
        <w:t>，</w:t>
      </w:r>
      <w:r>
        <w:rPr>
          <w:color w:val="000000"/>
          <w:spacing w:val="0"/>
          <w:w w:val="100"/>
          <w:position w:val="0"/>
        </w:rPr>
        <w:t>公 司回购注销</w:t>
      </w:r>
      <w:r>
        <w:rPr>
          <w:color w:val="000000"/>
          <w:spacing w:val="0"/>
          <w:w w:val="100"/>
          <w:position w:val="0"/>
        </w:rPr>
        <w:t>2</w:t>
      </w:r>
      <w:r>
        <w:rPr>
          <w:color w:val="000000"/>
          <w:spacing w:val="0"/>
          <w:w w:val="100"/>
          <w:position w:val="0"/>
        </w:rPr>
        <w:t>名激励对象已获授但尚未解锁的限制性股票共</w:t>
      </w:r>
      <w:r>
        <w:rPr>
          <w:color w:val="000000"/>
          <w:spacing w:val="0"/>
          <w:w w:val="100"/>
          <w:position w:val="0"/>
        </w:rPr>
        <w:t>61, 217</w:t>
      </w:r>
      <w:r>
        <w:rPr>
          <w:color w:val="000000"/>
          <w:spacing w:val="0"/>
          <w:w w:val="100"/>
          <w:position w:val="0"/>
        </w:rPr>
        <w:t>股，变更后股本为</w:t>
      </w:r>
      <w:r>
        <w:rPr>
          <w:color w:val="000000"/>
          <w:spacing w:val="0"/>
          <w:w w:val="100"/>
          <w:position w:val="0"/>
        </w:rPr>
        <w:t>194, 220, 862</w:t>
      </w:r>
      <w:r>
        <w:rPr>
          <w:color w:val="000000"/>
          <w:spacing w:val="0"/>
          <w:w w:val="100"/>
          <w:position w:val="0"/>
        </w:rPr>
        <w:t>股。</w:t>
      </w:r>
    </w:p>
    <w:p>
      <w:pPr>
        <w:pStyle w:val="Style24"/>
        <w:keepNext w:val="0"/>
        <w:keepLines w:val="0"/>
        <w:widowControl w:val="0"/>
        <w:shd w:val="clear" w:color="auto" w:fill="auto"/>
        <w:bidi w:val="0"/>
        <w:spacing w:before="0" w:after="0" w:line="311" w:lineRule="exact"/>
        <w:ind w:left="0" w:right="0" w:firstLine="560"/>
        <w:jc w:val="both"/>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日，根据公司第三届董事会第十二次会议决议通过的《关于回购注销</w:t>
      </w:r>
      <w:r>
        <w:rPr>
          <w:color w:val="000000"/>
          <w:spacing w:val="0"/>
          <w:w w:val="100"/>
          <w:position w:val="0"/>
        </w:rPr>
        <w:t>2015</w:t>
      </w:r>
      <w:r>
        <w:rPr>
          <w:color w:val="000000"/>
          <w:spacing w:val="0"/>
          <w:w w:val="100"/>
          <w:position w:val="0"/>
        </w:rPr>
        <w:t>年限制性股票激励计划部分限 制性股票的议案》</w:t>
      </w:r>
      <w:r>
        <w:rPr>
          <w:color w:val="000000"/>
          <w:spacing w:val="0"/>
          <w:w w:val="100"/>
          <w:position w:val="0"/>
        </w:rPr>
        <w:t>，</w:t>
      </w:r>
      <w:r>
        <w:rPr>
          <w:color w:val="000000"/>
          <w:spacing w:val="0"/>
          <w:w w:val="100"/>
          <w:position w:val="0"/>
        </w:rPr>
        <w:t>《关于回购注销</w:t>
      </w:r>
      <w:r>
        <w:rPr>
          <w:color w:val="000000"/>
          <w:spacing w:val="0"/>
          <w:w w:val="100"/>
          <w:position w:val="0"/>
        </w:rPr>
        <w:t>2016</w:t>
      </w:r>
      <w:r>
        <w:rPr>
          <w:color w:val="000000"/>
          <w:spacing w:val="0"/>
          <w:w w:val="100"/>
          <w:position w:val="0"/>
        </w:rPr>
        <w:t>年限制性股票激励计划部分限制性股票的议案》及《关于回购注销</w:t>
      </w:r>
      <w:r>
        <w:rPr>
          <w:color w:val="000000"/>
          <w:spacing w:val="0"/>
          <w:w w:val="100"/>
          <w:position w:val="0"/>
        </w:rPr>
        <w:t>2017</w:t>
      </w:r>
      <w:r>
        <w:rPr>
          <w:color w:val="000000"/>
          <w:spacing w:val="0"/>
          <w:w w:val="100"/>
          <w:position w:val="0"/>
        </w:rPr>
        <w:t>年限制性股 票激励计划部分限制性股票的议案》</w:t>
      </w:r>
      <w:r>
        <w:rPr>
          <w:color w:val="000000"/>
          <w:spacing w:val="0"/>
          <w:w w:val="100"/>
          <w:position w:val="0"/>
        </w:rPr>
        <w:t>，</w:t>
      </w:r>
      <w:r>
        <w:rPr>
          <w:color w:val="000000"/>
          <w:spacing w:val="0"/>
          <w:w w:val="100"/>
          <w:position w:val="0"/>
        </w:rPr>
        <w:t>鉴于公司部分激励对象已经离职，且</w:t>
      </w:r>
      <w:r>
        <w:rPr>
          <w:color w:val="000000"/>
          <w:spacing w:val="0"/>
          <w:w w:val="100"/>
          <w:position w:val="0"/>
        </w:rPr>
        <w:t>2018</w:t>
      </w:r>
      <w:r>
        <w:rPr>
          <w:color w:val="000000"/>
          <w:spacing w:val="0"/>
          <w:w w:val="100"/>
          <w:position w:val="0"/>
        </w:rPr>
        <w:t>年未达到股权激励计划的业绩要求，根据公 司《</w:t>
      </w:r>
      <w:r>
        <w:rPr>
          <w:color w:val="000000"/>
          <w:spacing w:val="0"/>
          <w:w w:val="100"/>
          <w:position w:val="0"/>
        </w:rPr>
        <w:t>2017</w:t>
      </w:r>
      <w:r>
        <w:rPr>
          <w:color w:val="000000"/>
          <w:spacing w:val="0"/>
          <w:w w:val="100"/>
          <w:position w:val="0"/>
        </w:rPr>
        <w:t>年限制性股票激励计划（草案）》、《</w:t>
      </w:r>
      <w:r>
        <w:rPr>
          <w:color w:val="000000"/>
          <w:spacing w:val="0"/>
          <w:w w:val="100"/>
          <w:position w:val="0"/>
        </w:rPr>
        <w:t>2016</w:t>
      </w:r>
      <w:r>
        <w:rPr>
          <w:color w:val="000000"/>
          <w:spacing w:val="0"/>
          <w:w w:val="100"/>
          <w:position w:val="0"/>
        </w:rPr>
        <w:t>年限制性股票激励计划（草案）》及《</w:t>
      </w:r>
      <w:r>
        <w:rPr>
          <w:color w:val="000000"/>
          <w:spacing w:val="0"/>
          <w:w w:val="100"/>
          <w:position w:val="0"/>
        </w:rPr>
        <w:t>2015</w:t>
      </w:r>
      <w:r>
        <w:rPr>
          <w:color w:val="000000"/>
          <w:spacing w:val="0"/>
          <w:w w:val="100"/>
          <w:position w:val="0"/>
        </w:rPr>
        <w:t>年限制性股票激励计划（草 案）》，公司回购注销激励对象获授的共计</w:t>
      </w:r>
      <w:r>
        <w:rPr>
          <w:color w:val="000000"/>
          <w:spacing w:val="0"/>
          <w:w w:val="100"/>
          <w:position w:val="0"/>
        </w:rPr>
        <w:t xml:space="preserve">5, 252, </w:t>
      </w:r>
      <w:r>
        <w:rPr>
          <w:color w:val="000000"/>
          <w:spacing w:val="0"/>
          <w:w w:val="100"/>
          <w:position w:val="0"/>
        </w:rPr>
        <w:t xml:space="preserve">601. </w:t>
      </w:r>
      <w:r>
        <w:rPr>
          <w:color w:val="000000"/>
          <w:spacing w:val="0"/>
          <w:w w:val="100"/>
          <w:position w:val="0"/>
        </w:rPr>
        <w:t>00</w:t>
      </w:r>
      <w:r>
        <w:rPr>
          <w:color w:val="000000"/>
          <w:spacing w:val="0"/>
          <w:w w:val="100"/>
          <w:position w:val="0"/>
        </w:rPr>
        <w:t>股，变更后的注册资本为</w:t>
      </w:r>
      <w:r>
        <w:rPr>
          <w:color w:val="000000"/>
          <w:spacing w:val="0"/>
          <w:w w:val="100"/>
          <w:position w:val="0"/>
        </w:rPr>
        <w:t xml:space="preserve">188, 968, </w:t>
      </w:r>
      <w:r>
        <w:rPr>
          <w:color w:val="000000"/>
          <w:spacing w:val="0"/>
          <w:w w:val="100"/>
          <w:position w:val="0"/>
        </w:rPr>
        <w:t xml:space="preserve">261. </w:t>
      </w:r>
      <w:r>
        <w:rPr>
          <w:color w:val="000000"/>
          <w:spacing w:val="0"/>
          <w:w w:val="100"/>
          <w:position w:val="0"/>
        </w:rPr>
        <w:t>00</w:t>
      </w:r>
      <w:r>
        <w:rPr>
          <w:color w:val="000000"/>
          <w:spacing w:val="0"/>
          <w:w w:val="100"/>
          <w:position w:val="0"/>
        </w:rPr>
        <w:t>元。</w:t>
      </w:r>
    </w:p>
    <w:p>
      <w:pPr>
        <w:pStyle w:val="Style24"/>
        <w:keepNext w:val="0"/>
        <w:keepLines w:val="0"/>
        <w:widowControl w:val="0"/>
        <w:shd w:val="clear" w:color="auto" w:fill="auto"/>
        <w:bidi w:val="0"/>
        <w:spacing w:before="0" w:after="0" w:line="311" w:lineRule="exact"/>
        <w:ind w:left="0" w:right="0" w:firstLine="56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日，根据公司第三届董事会第十六次会议决议通过的《关于回购注销部分已授予限制性股票的议案》</w:t>
      </w:r>
      <w:r>
        <w:rPr>
          <w:color w:val="000000"/>
          <w:spacing w:val="0"/>
          <w:w w:val="100"/>
          <w:position w:val="0"/>
        </w:rPr>
        <w:t>，</w:t>
      </w:r>
      <w:r>
        <w:rPr>
          <w:color w:val="000000"/>
          <w:spacing w:val="0"/>
          <w:w w:val="100"/>
          <w:position w:val="0"/>
        </w:rPr>
        <w:t>鉴 于公司部分激励对象已经离职，公司回购注销激励对象获授的共计</w:t>
      </w:r>
      <w:r>
        <w:rPr>
          <w:color w:val="000000"/>
          <w:spacing w:val="0"/>
          <w:w w:val="100"/>
          <w:position w:val="0"/>
        </w:rPr>
        <w:t xml:space="preserve">153, </w:t>
      </w:r>
      <w:r>
        <w:rPr>
          <w:color w:val="000000"/>
          <w:spacing w:val="0"/>
          <w:w w:val="100"/>
          <w:position w:val="0"/>
        </w:rPr>
        <w:t xml:space="preserve">330. </w:t>
      </w:r>
      <w:r>
        <w:rPr>
          <w:color w:val="000000"/>
          <w:spacing w:val="0"/>
          <w:w w:val="100"/>
          <w:position w:val="0"/>
        </w:rPr>
        <w:t>00</w:t>
      </w:r>
      <w:r>
        <w:rPr>
          <w:color w:val="000000"/>
          <w:spacing w:val="0"/>
          <w:w w:val="100"/>
          <w:position w:val="0"/>
        </w:rPr>
        <w:t>股，变更后的注册资本为</w:t>
      </w:r>
      <w:r>
        <w:rPr>
          <w:color w:val="000000"/>
          <w:spacing w:val="0"/>
          <w:w w:val="100"/>
          <w:position w:val="0"/>
        </w:rPr>
        <w:t xml:space="preserve">188, 814, </w:t>
      </w:r>
      <w:r>
        <w:rPr>
          <w:color w:val="000000"/>
          <w:spacing w:val="0"/>
          <w:w w:val="100"/>
          <w:position w:val="0"/>
        </w:rPr>
        <w:t>931.00</w:t>
      </w:r>
      <w:r>
        <w:rPr>
          <w:color w:val="000000"/>
          <w:spacing w:val="0"/>
          <w:w w:val="100"/>
          <w:position w:val="0"/>
        </w:rPr>
        <w:t>元。</w:t>
      </w:r>
    </w:p>
    <w:p>
      <w:pPr>
        <w:pStyle w:val="Style24"/>
        <w:keepNext w:val="0"/>
        <w:keepLines w:val="0"/>
        <w:widowControl w:val="0"/>
        <w:shd w:val="clear" w:color="auto" w:fill="auto"/>
        <w:bidi w:val="0"/>
        <w:spacing w:before="0" w:after="0" w:line="311" w:lineRule="exact"/>
        <w:ind w:left="0" w:right="0" w:firstLine="560"/>
        <w:jc w:val="both"/>
      </w:pPr>
      <w:r>
        <w:rPr>
          <w:color w:val="000000"/>
          <w:spacing w:val="0"/>
          <w:w w:val="100"/>
          <w:position w:val="0"/>
        </w:rPr>
        <w:t>根据公司第三届董事会第十六次会议及</w:t>
      </w:r>
      <w:r>
        <w:rPr>
          <w:color w:val="000000"/>
          <w:spacing w:val="0"/>
          <w:w w:val="100"/>
          <w:position w:val="0"/>
        </w:rPr>
        <w:t>2019</w:t>
      </w:r>
      <w:r>
        <w:rPr>
          <w:color w:val="000000"/>
          <w:spacing w:val="0"/>
          <w:w w:val="100"/>
          <w:position w:val="0"/>
        </w:rPr>
        <w:t>年度股东大会决议通过的《关于审议</w:t>
      </w:r>
      <w:r>
        <w:rPr>
          <w:color w:val="000000"/>
          <w:spacing w:val="0"/>
          <w:w w:val="100"/>
          <w:position w:val="0"/>
        </w:rPr>
        <w:t>2019</w:t>
      </w:r>
      <w:r>
        <w:rPr>
          <w:color w:val="000000"/>
          <w:spacing w:val="0"/>
          <w:w w:val="100"/>
          <w:position w:val="0"/>
        </w:rPr>
        <w:t>年度利润分配及资本公积金转 增股本预案的议案》，公司以资本公积金向全体股东每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股，共计转增</w:t>
      </w:r>
      <w:r>
        <w:rPr>
          <w:color w:val="000000"/>
          <w:spacing w:val="0"/>
          <w:w w:val="100"/>
          <w:position w:val="0"/>
        </w:rPr>
        <w:t>94, 484,124</w:t>
      </w:r>
      <w:r>
        <w:rPr>
          <w:color w:val="000000"/>
          <w:spacing w:val="0"/>
          <w:w w:val="100"/>
          <w:position w:val="0"/>
        </w:rPr>
        <w:t xml:space="preserve">股，转增后公司的注册资本变更 为 </w:t>
      </w:r>
      <w:r>
        <w:rPr>
          <w:color w:val="000000"/>
          <w:spacing w:val="0"/>
          <w:w w:val="100"/>
          <w:position w:val="0"/>
        </w:rPr>
        <w:t xml:space="preserve">283, 299, </w:t>
      </w:r>
      <w:r>
        <w:rPr>
          <w:color w:val="000000"/>
          <w:spacing w:val="0"/>
          <w:w w:val="100"/>
          <w:position w:val="0"/>
        </w:rPr>
        <w:t>055.00</w:t>
      </w:r>
      <w:r>
        <w:rPr>
          <w:color w:val="000000"/>
          <w:spacing w:val="0"/>
          <w:w w:val="100"/>
          <w:position w:val="0"/>
        </w:rPr>
        <w:t>元。</w:t>
      </w:r>
    </w:p>
    <w:p>
      <w:pPr>
        <w:pStyle w:val="Style24"/>
        <w:keepNext w:val="0"/>
        <w:keepLines w:val="0"/>
        <w:widowControl w:val="0"/>
        <w:shd w:val="clear" w:color="auto" w:fill="auto"/>
        <w:bidi w:val="0"/>
        <w:spacing w:before="0" w:after="0" w:line="311" w:lineRule="exact"/>
        <w:ind w:left="0" w:right="0" w:firstLine="56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w:t>
      </w:r>
      <w:r>
        <w:rPr>
          <w:color w:val="000000"/>
          <w:spacing w:val="0"/>
          <w:w w:val="100"/>
          <w:position w:val="0"/>
        </w:rPr>
        <w:t>日，根据公司第三届董事会第二十二次会议决议通过的《关于回购注销部分已授予限制性股票的议案》， 鉴于公司激励对象龙乐钦已经离职，根据公司《</w:t>
      </w:r>
      <w:r>
        <w:rPr>
          <w:color w:val="000000"/>
          <w:spacing w:val="0"/>
          <w:w w:val="100"/>
          <w:position w:val="0"/>
        </w:rPr>
        <w:t>2017</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公司回购注销上述激励对象已获授 但尚未解锁的限制性股票共</w:t>
      </w:r>
      <w:r>
        <w:rPr>
          <w:color w:val="000000"/>
          <w:spacing w:val="0"/>
          <w:w w:val="100"/>
          <w:position w:val="0"/>
        </w:rPr>
        <w:t>7,997</w:t>
      </w:r>
      <w:r>
        <w:rPr>
          <w:color w:val="000000"/>
          <w:spacing w:val="0"/>
          <w:w w:val="100"/>
          <w:position w:val="0"/>
        </w:rPr>
        <w:t>股，变更后股本为</w:t>
      </w:r>
      <w:r>
        <w:rPr>
          <w:color w:val="000000"/>
          <w:spacing w:val="0"/>
          <w:w w:val="100"/>
          <w:position w:val="0"/>
        </w:rPr>
        <w:t xml:space="preserve">283, </w:t>
      </w:r>
      <w:r>
        <w:rPr>
          <w:color w:val="000000"/>
          <w:spacing w:val="0"/>
          <w:w w:val="100"/>
          <w:position w:val="0"/>
        </w:rPr>
        <w:t>291,058.00</w:t>
      </w:r>
      <w:r>
        <w:rPr>
          <w:color w:val="000000"/>
          <w:spacing w:val="0"/>
          <w:w w:val="100"/>
          <w:position w:val="0"/>
        </w:rPr>
        <w:t>元。</w:t>
      </w:r>
    </w:p>
    <w:p>
      <w:pPr>
        <w:pStyle w:val="Style24"/>
        <w:keepNext w:val="0"/>
        <w:keepLines w:val="0"/>
        <w:widowControl w:val="0"/>
        <w:shd w:val="clear" w:color="auto" w:fill="auto"/>
        <w:tabs>
          <w:tab w:pos="319" w:val="left"/>
        </w:tabs>
        <w:bidi w:val="0"/>
        <w:spacing w:before="0" w:after="0" w:line="311" w:lineRule="exact"/>
        <w:ind w:left="0" w:right="0" w:firstLine="0"/>
        <w:jc w:val="left"/>
      </w:pPr>
      <w:bookmarkStart w:id="671" w:name="bookmark671"/>
      <w:r>
        <w:rPr>
          <w:color w:val="000000"/>
          <w:spacing w:val="0"/>
          <w:w w:val="100"/>
          <w:position w:val="0"/>
        </w:rPr>
        <w:t>2</w:t>
      </w:r>
      <w:bookmarkEnd w:id="671"/>
      <w:r>
        <w:rPr>
          <w:color w:val="000000"/>
          <w:spacing w:val="0"/>
          <w:w w:val="100"/>
          <w:position w:val="0"/>
        </w:rPr>
        <w:t>、</w:t>
        <w:tab/>
        <w:t>公司行业性质</w:t>
      </w:r>
    </w:p>
    <w:p>
      <w:pPr>
        <w:pStyle w:val="Style24"/>
        <w:keepNext w:val="0"/>
        <w:keepLines w:val="0"/>
        <w:widowControl w:val="0"/>
        <w:shd w:val="clear" w:color="auto" w:fill="auto"/>
        <w:bidi w:val="0"/>
        <w:spacing w:before="0" w:after="0" w:line="311" w:lineRule="exact"/>
        <w:ind w:left="0" w:right="0" w:firstLine="820"/>
        <w:jc w:val="left"/>
      </w:pPr>
      <w:r>
        <w:rPr>
          <w:color w:val="000000"/>
          <w:spacing w:val="0"/>
          <w:w w:val="100"/>
          <w:position w:val="0"/>
        </w:rPr>
        <w:t>软件和信息技术服务业。</w:t>
      </w:r>
    </w:p>
    <w:p>
      <w:pPr>
        <w:pStyle w:val="Style24"/>
        <w:keepNext w:val="0"/>
        <w:keepLines w:val="0"/>
        <w:widowControl w:val="0"/>
        <w:shd w:val="clear" w:color="auto" w:fill="auto"/>
        <w:tabs>
          <w:tab w:pos="319" w:val="left"/>
        </w:tabs>
        <w:bidi w:val="0"/>
        <w:spacing w:before="0" w:after="0" w:line="311" w:lineRule="exact"/>
        <w:ind w:left="0" w:right="0" w:firstLine="0"/>
        <w:jc w:val="left"/>
      </w:pPr>
      <w:bookmarkStart w:id="672" w:name="bookmark672"/>
      <w:r>
        <w:rPr>
          <w:color w:val="000000"/>
          <w:spacing w:val="0"/>
          <w:w w:val="100"/>
          <w:position w:val="0"/>
        </w:rPr>
        <w:t>3</w:t>
      </w:r>
      <w:bookmarkEnd w:id="672"/>
      <w:r>
        <w:rPr>
          <w:color w:val="000000"/>
          <w:spacing w:val="0"/>
          <w:w w:val="100"/>
          <w:position w:val="0"/>
        </w:rPr>
        <w:t>、</w:t>
        <w:tab/>
        <w:t>公司业务性质及主要经营活动</w:t>
      </w:r>
    </w:p>
    <w:p>
      <w:pPr>
        <w:pStyle w:val="Style24"/>
        <w:keepNext w:val="0"/>
        <w:keepLines w:val="0"/>
        <w:widowControl w:val="0"/>
        <w:shd w:val="clear" w:color="auto" w:fill="auto"/>
        <w:bidi w:val="0"/>
        <w:spacing w:before="0" w:after="0" w:line="311" w:lineRule="exact"/>
        <w:ind w:left="0" w:right="0" w:firstLine="820"/>
        <w:jc w:val="both"/>
      </w:pPr>
      <w:r>
        <w:rPr>
          <w:color w:val="000000"/>
          <w:spacing w:val="0"/>
          <w:w w:val="100"/>
          <w:position w:val="0"/>
        </w:rPr>
        <w:t>从事计算机软、硬件的技术开发，销售自行开发软件。增加：数据库的设计、开发和维护；计算机系统集成及其 相关的技术咨询、维护。计算机软、硬件的批发、佣金代理（不含拍卖）、进出口及相关配套业务（不涉及国营贸易管理商 品，涉及配额、许可证管理及其他专项规定管理的商品，按国家有关规定办理申请）；技术进出口（不含分销）。</w:t>
      </w:r>
    </w:p>
    <w:p>
      <w:pPr>
        <w:pStyle w:val="Style24"/>
        <w:keepNext w:val="0"/>
        <w:keepLines w:val="0"/>
        <w:widowControl w:val="0"/>
        <w:shd w:val="clear" w:color="auto" w:fill="auto"/>
        <w:tabs>
          <w:tab w:pos="324" w:val="left"/>
        </w:tabs>
        <w:bidi w:val="0"/>
        <w:spacing w:before="0" w:after="0" w:line="311" w:lineRule="exact"/>
        <w:ind w:left="0" w:right="0" w:firstLine="0"/>
        <w:jc w:val="left"/>
      </w:pPr>
      <w:bookmarkStart w:id="673" w:name="bookmark673"/>
      <w:r>
        <w:rPr>
          <w:color w:val="000000"/>
          <w:spacing w:val="0"/>
          <w:w w:val="100"/>
          <w:position w:val="0"/>
        </w:rPr>
        <w:t>4</w:t>
      </w:r>
      <w:bookmarkEnd w:id="673"/>
      <w:r>
        <w:rPr>
          <w:color w:val="000000"/>
          <w:spacing w:val="0"/>
          <w:w w:val="100"/>
          <w:position w:val="0"/>
        </w:rPr>
        <w:t>、</w:t>
        <w:tab/>
        <w:t>公司法定地址</w:t>
      </w:r>
    </w:p>
    <w:p>
      <w:pPr>
        <w:pStyle w:val="Style24"/>
        <w:keepNext w:val="0"/>
        <w:keepLines w:val="0"/>
        <w:widowControl w:val="0"/>
        <w:shd w:val="clear" w:color="auto" w:fill="auto"/>
        <w:bidi w:val="0"/>
        <w:spacing w:before="0" w:after="0" w:line="311" w:lineRule="exact"/>
        <w:ind w:left="0" w:right="0" w:firstLine="920"/>
        <w:jc w:val="left"/>
      </w:pPr>
      <w:r>
        <w:rPr>
          <w:color w:val="000000"/>
          <w:spacing w:val="0"/>
          <w:w w:val="100"/>
          <w:position w:val="0"/>
        </w:rPr>
        <w:t>深圳市南山区粤海街道高新区社区高新南七道</w:t>
      </w:r>
      <w:r>
        <w:rPr>
          <w:color w:val="000000"/>
          <w:spacing w:val="0"/>
          <w:w w:val="100"/>
          <w:position w:val="0"/>
        </w:rPr>
        <w:t>8</w:t>
      </w:r>
      <w:r>
        <w:rPr>
          <w:color w:val="000000"/>
          <w:spacing w:val="0"/>
          <w:w w:val="100"/>
          <w:position w:val="0"/>
        </w:rPr>
        <w:t>号四方精创资讯大厦</w:t>
      </w:r>
      <w:r>
        <w:rPr>
          <w:color w:val="000000"/>
          <w:spacing w:val="0"/>
          <w:w w:val="100"/>
          <w:position w:val="0"/>
        </w:rPr>
        <w:t>3</w:t>
      </w:r>
      <w:r>
        <w:rPr>
          <w:color w:val="000000"/>
          <w:spacing w:val="0"/>
          <w:w w:val="100"/>
          <w:position w:val="0"/>
        </w:rPr>
        <w:t>层。</w:t>
      </w:r>
    </w:p>
    <w:p>
      <w:pPr>
        <w:pStyle w:val="Style24"/>
        <w:keepNext w:val="0"/>
        <w:keepLines w:val="0"/>
        <w:widowControl w:val="0"/>
        <w:shd w:val="clear" w:color="auto" w:fill="auto"/>
        <w:tabs>
          <w:tab w:pos="324" w:val="left"/>
        </w:tabs>
        <w:bidi w:val="0"/>
        <w:spacing w:before="0" w:after="0" w:line="311" w:lineRule="exact"/>
        <w:ind w:left="0" w:right="0" w:firstLine="0"/>
        <w:jc w:val="left"/>
      </w:pPr>
      <w:bookmarkStart w:id="674" w:name="bookmark674"/>
      <w:r>
        <w:rPr>
          <w:color w:val="000000"/>
          <w:spacing w:val="0"/>
          <w:w w:val="100"/>
          <w:position w:val="0"/>
        </w:rPr>
        <w:t>5</w:t>
      </w:r>
      <w:bookmarkEnd w:id="674"/>
      <w:r>
        <w:rPr>
          <w:color w:val="000000"/>
          <w:spacing w:val="0"/>
          <w:w w:val="100"/>
          <w:position w:val="0"/>
        </w:rPr>
        <w:t>、</w:t>
        <w:tab/>
        <w:t>公司总部地址</w:t>
      </w:r>
    </w:p>
    <w:p>
      <w:pPr>
        <w:pStyle w:val="Style24"/>
        <w:keepNext w:val="0"/>
        <w:keepLines w:val="0"/>
        <w:widowControl w:val="0"/>
        <w:shd w:val="clear" w:color="auto" w:fill="auto"/>
        <w:bidi w:val="0"/>
        <w:spacing w:before="0" w:after="0" w:line="311" w:lineRule="exact"/>
        <w:ind w:left="0" w:right="0" w:firstLine="820"/>
        <w:jc w:val="left"/>
      </w:pPr>
      <w:r>
        <w:rPr>
          <w:color w:val="000000"/>
          <w:spacing w:val="0"/>
          <w:w w:val="100"/>
          <w:position w:val="0"/>
        </w:rPr>
        <w:t>深圳市南山区粤海街道高新区社区高新南七道</w:t>
      </w:r>
      <w:r>
        <w:rPr>
          <w:color w:val="000000"/>
          <w:spacing w:val="0"/>
          <w:w w:val="100"/>
          <w:position w:val="0"/>
        </w:rPr>
        <w:t>8</w:t>
      </w:r>
      <w:r>
        <w:rPr>
          <w:color w:val="000000"/>
          <w:spacing w:val="0"/>
          <w:w w:val="100"/>
          <w:position w:val="0"/>
        </w:rPr>
        <w:t>号四方精创资讯大厦。</w:t>
      </w:r>
    </w:p>
    <w:p>
      <w:pPr>
        <w:pStyle w:val="Style24"/>
        <w:keepNext w:val="0"/>
        <w:keepLines w:val="0"/>
        <w:widowControl w:val="0"/>
        <w:shd w:val="clear" w:color="auto" w:fill="auto"/>
        <w:tabs>
          <w:tab w:pos="324" w:val="left"/>
        </w:tabs>
        <w:bidi w:val="0"/>
        <w:spacing w:before="0" w:after="0" w:line="311" w:lineRule="exact"/>
        <w:ind w:left="0" w:right="0" w:firstLine="0"/>
        <w:jc w:val="left"/>
      </w:pPr>
      <w:bookmarkStart w:id="675" w:name="bookmark675"/>
      <w:r>
        <w:rPr>
          <w:color w:val="000000"/>
          <w:spacing w:val="0"/>
          <w:w w:val="100"/>
          <w:position w:val="0"/>
        </w:rPr>
        <w:t>6</w:t>
      </w:r>
      <w:bookmarkEnd w:id="675"/>
      <w:r>
        <w:rPr>
          <w:color w:val="000000"/>
          <w:spacing w:val="0"/>
          <w:w w:val="100"/>
          <w:position w:val="0"/>
        </w:rPr>
        <w:t>、</w:t>
        <w:tab/>
        <w:t>财务报告批准报出日</w:t>
      </w:r>
    </w:p>
    <w:p>
      <w:pPr>
        <w:pStyle w:val="Style24"/>
        <w:keepNext w:val="0"/>
        <w:keepLines w:val="0"/>
        <w:widowControl w:val="0"/>
        <w:shd w:val="clear" w:color="auto" w:fill="auto"/>
        <w:bidi w:val="0"/>
        <w:spacing w:before="0" w:after="680" w:line="311" w:lineRule="exact"/>
        <w:ind w:left="0" w:right="0" w:firstLine="820"/>
        <w:jc w:val="left"/>
      </w:pPr>
      <w:r>
        <w:rPr>
          <w:color w:val="000000"/>
          <w:spacing w:val="0"/>
          <w:w w:val="100"/>
          <w:position w:val="0"/>
        </w:rPr>
        <w:t>本财务报表及附注经公司董事会于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日决议批准对外报出。</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（二）合并财务报表范围</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日，公司合并财务报表范围内子公司如下:</w:t>
      </w:r>
    </w:p>
    <w:tbl>
      <w:tblPr>
        <w:tblOverlap w:val="never"/>
        <w:jc w:val="center"/>
        <w:tblLayout w:type="fixed"/>
      </w:tblPr>
      <w:tblGrid>
        <w:gridCol w:w="3110"/>
        <w:gridCol w:w="3096"/>
        <w:gridCol w:w="310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四方资讯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深圳前海乐寻坊区块链科技有限公司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乐寻坊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四方精创（泰国）有限公司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四方泰国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r>
    </w:tbl>
    <w:p>
      <w:pPr>
        <w:widowControl w:val="0"/>
        <w:spacing w:line="1" w:lineRule="exact"/>
      </w:pPr>
    </w:p>
    <w:tbl>
      <w:tblPr>
        <w:tblOverlap w:val="never"/>
        <w:jc w:val="center"/>
        <w:tblLayout w:type="fixed"/>
      </w:tblPr>
      <w:tblGrid>
        <w:gridCol w:w="3110"/>
        <w:gridCol w:w="3096"/>
        <w:gridCol w:w="310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成都四方融创科技有限公司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成都四方融创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北京四方融创科技有限公司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北京四方融创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报告期合并财务报表范围及其变化具体情况详见本财务报表附注“八、合并范围的变更”及“九、在其他主体中的权益”</w:t>
      </w:r>
    </w:p>
    <w:p>
      <w:pPr>
        <w:widowControl w:val="0"/>
        <w:spacing w:after="679" w:line="1" w:lineRule="exact"/>
      </w:pPr>
    </w:p>
    <w:p>
      <w:pPr>
        <w:pStyle w:val="Style28"/>
        <w:keepNext/>
        <w:keepLines/>
        <w:widowControl w:val="0"/>
        <w:shd w:val="clear" w:color="auto" w:fill="auto"/>
        <w:tabs>
          <w:tab w:pos="493" w:val="left"/>
        </w:tabs>
        <w:bidi w:val="0"/>
        <w:spacing w:before="0" w:after="360" w:line="240" w:lineRule="auto"/>
        <w:ind w:left="0" w:right="0" w:firstLine="0"/>
        <w:jc w:val="both"/>
      </w:pPr>
      <w:bookmarkStart w:id="676" w:name="bookmark676"/>
      <w:bookmarkStart w:id="677" w:name="bookmark677"/>
      <w:bookmarkStart w:id="678" w:name="bookmark678"/>
      <w:bookmarkStart w:id="679" w:name="bookmark679"/>
      <w:r>
        <w:rPr>
          <w:color w:val="000000"/>
          <w:spacing w:val="0"/>
          <w:w w:val="100"/>
          <w:position w:val="0"/>
          <w:sz w:val="24"/>
          <w:szCs w:val="24"/>
        </w:rPr>
        <w:t>四</w:t>
      </w:r>
      <w:bookmarkEnd w:id="678"/>
      <w:r>
        <w:rPr>
          <w:color w:val="000000"/>
          <w:spacing w:val="0"/>
          <w:w w:val="100"/>
          <w:position w:val="0"/>
          <w:sz w:val="24"/>
          <w:szCs w:val="24"/>
        </w:rPr>
        <w:t>、</w:t>
        <w:tab/>
        <w:t>财务报表的编制基础</w:t>
      </w:r>
      <w:bookmarkEnd w:id="676"/>
      <w:bookmarkEnd w:id="677"/>
      <w:bookmarkEnd w:id="679"/>
    </w:p>
    <w:p>
      <w:pPr>
        <w:pStyle w:val="Style33"/>
        <w:keepNext/>
        <w:keepLines/>
        <w:widowControl w:val="0"/>
        <w:shd w:val="clear" w:color="auto" w:fill="auto"/>
        <w:tabs>
          <w:tab w:pos="368" w:val="left"/>
        </w:tabs>
        <w:bidi w:val="0"/>
        <w:spacing w:before="0" w:after="260" w:line="240" w:lineRule="auto"/>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color w:val="000000"/>
          <w:spacing w:val="0"/>
          <w:w w:val="100"/>
          <w:position w:val="0"/>
        </w:rPr>
        <w:t>、</w:t>
        <w:tab/>
        <w:t>编制基础</w:t>
      </w:r>
      <w:bookmarkEnd w:id="680"/>
      <w:bookmarkEnd w:id="681"/>
      <w:bookmarkEnd w:id="683"/>
    </w:p>
    <w:p>
      <w:pPr>
        <w:pStyle w:val="Style24"/>
        <w:keepNext w:val="0"/>
        <w:keepLines w:val="0"/>
        <w:widowControl w:val="0"/>
        <w:shd w:val="clear" w:color="auto" w:fill="auto"/>
        <w:bidi w:val="0"/>
        <w:spacing w:before="0" w:after="360" w:line="307" w:lineRule="exact"/>
        <w:ind w:left="0" w:right="0" w:firstLine="480"/>
        <w:jc w:val="both"/>
      </w:pPr>
      <w:r>
        <w:rPr>
          <w:color w:val="000000"/>
          <w:spacing w:val="0"/>
          <w:w w:val="100"/>
          <w:position w:val="0"/>
        </w:rPr>
        <w:t>公司以持续经营为基础，根据实际发生的交易和事项，按照《企业会计准则</w:t>
      </w:r>
      <w:r>
        <w:rPr>
          <w:color w:val="000000"/>
          <w:spacing w:val="0"/>
          <w:w w:val="100"/>
          <w:position w:val="0"/>
        </w:rPr>
        <w:t>一一</w:t>
      </w:r>
      <w:r>
        <w:rPr>
          <w:color w:val="000000"/>
          <w:spacing w:val="0"/>
          <w:w w:val="100"/>
          <w:position w:val="0"/>
        </w:rPr>
        <w:t>基本准则》和其他各项具体会计准则、 应用指南、准则解释及其他相关规定（以下合称企业会计准则）进行确认和计量，在此基础上结合中国证券监督管理委员会 《公开发行证券的公司信息披露编报规则第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rPr>
        <w:t>（2014</w:t>
      </w:r>
      <w:r>
        <w:rPr>
          <w:color w:val="000000"/>
          <w:spacing w:val="0"/>
          <w:w w:val="100"/>
          <w:position w:val="0"/>
        </w:rPr>
        <w:t>年修订）的规定，编制财务报表。</w:t>
      </w:r>
    </w:p>
    <w:p>
      <w:pPr>
        <w:pStyle w:val="Style33"/>
        <w:keepNext/>
        <w:keepLines/>
        <w:widowControl w:val="0"/>
        <w:shd w:val="clear" w:color="auto" w:fill="auto"/>
        <w:tabs>
          <w:tab w:pos="378" w:val="left"/>
        </w:tabs>
        <w:bidi w:val="0"/>
        <w:spacing w:before="0" w:after="260" w:line="240" w:lineRule="auto"/>
        <w:ind w:left="0" w:right="0" w:firstLine="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w:t>
        <w:tab/>
        <w:t>持续经营</w:t>
      </w:r>
      <w:bookmarkEnd w:id="684"/>
      <w:bookmarkEnd w:id="685"/>
      <w:bookmarkEnd w:id="687"/>
    </w:p>
    <w:p>
      <w:pPr>
        <w:pStyle w:val="Style24"/>
        <w:keepNext w:val="0"/>
        <w:keepLines w:val="0"/>
        <w:widowControl w:val="0"/>
        <w:shd w:val="clear" w:color="auto" w:fill="auto"/>
        <w:bidi w:val="0"/>
        <w:spacing w:before="0" w:after="680" w:line="326" w:lineRule="exact"/>
        <w:ind w:left="0" w:right="0" w:firstLine="480"/>
        <w:jc w:val="both"/>
      </w:pPr>
      <w:r>
        <w:rPr>
          <w:color w:val="000000"/>
          <w:spacing w:val="0"/>
          <w:w w:val="100"/>
          <w:position w:val="0"/>
        </w:rPr>
        <w:t>公司自本报告期末起至少</w:t>
      </w:r>
      <w:r>
        <w:rPr>
          <w:color w:val="000000"/>
          <w:spacing w:val="0"/>
          <w:w w:val="100"/>
          <w:position w:val="0"/>
        </w:rPr>
        <w:t>12</w:t>
      </w:r>
      <w:r>
        <w:rPr>
          <w:color w:val="000000"/>
          <w:spacing w:val="0"/>
          <w:w w:val="100"/>
          <w:position w:val="0"/>
        </w:rPr>
        <w:t>个月内具备持续经营能力，无影响持续经营能力的重大事项。承诺自报告期末起至少</w:t>
      </w:r>
      <w:r>
        <w:rPr>
          <w:color w:val="000000"/>
          <w:spacing w:val="0"/>
          <w:w w:val="100"/>
          <w:position w:val="0"/>
        </w:rPr>
        <w:t>12</w:t>
      </w:r>
      <w:r>
        <w:rPr>
          <w:color w:val="000000"/>
          <w:spacing w:val="0"/>
          <w:w w:val="100"/>
          <w:position w:val="0"/>
        </w:rPr>
        <w:t>个 月不存在影响公司持续经营的事项。</w:t>
      </w:r>
    </w:p>
    <w:p>
      <w:pPr>
        <w:pStyle w:val="Style28"/>
        <w:keepNext/>
        <w:keepLines/>
        <w:widowControl w:val="0"/>
        <w:shd w:val="clear" w:color="auto" w:fill="auto"/>
        <w:tabs>
          <w:tab w:pos="512" w:val="left"/>
        </w:tabs>
        <w:bidi w:val="0"/>
        <w:spacing w:before="0" w:after="26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五</w:t>
      </w:r>
      <w:bookmarkEnd w:id="690"/>
      <w:r>
        <w:rPr>
          <w:color w:val="000000"/>
          <w:spacing w:val="0"/>
          <w:w w:val="100"/>
          <w:position w:val="0"/>
          <w:sz w:val="24"/>
          <w:szCs w:val="24"/>
        </w:rPr>
        <w:t>、</w:t>
        <w:tab/>
        <w:t>重要会计政策及会计估计</w:t>
      </w:r>
      <w:bookmarkEnd w:id="688"/>
      <w:bookmarkEnd w:id="689"/>
      <w:bookmarkEnd w:id="691"/>
    </w:p>
    <w:p>
      <w:pPr>
        <w:pStyle w:val="Style24"/>
        <w:keepNext w:val="0"/>
        <w:keepLines w:val="0"/>
        <w:widowControl w:val="0"/>
        <w:shd w:val="clear" w:color="auto" w:fill="auto"/>
        <w:bidi w:val="0"/>
        <w:spacing w:before="0" w:after="160" w:line="307" w:lineRule="exact"/>
        <w:ind w:left="0" w:right="0" w:firstLine="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360" w:line="298" w:lineRule="exact"/>
        <w:ind w:left="0" w:right="0" w:firstLine="380"/>
        <w:jc w:val="both"/>
      </w:pPr>
      <w:r>
        <w:rPr>
          <w:color w:val="000000"/>
          <w:spacing w:val="0"/>
          <w:w w:val="100"/>
          <w:position w:val="0"/>
        </w:rPr>
        <w:t>以下披露内容已涵盖了公司根据实际生产经营特点制定的具体会计政策和会计估计。详见本附注“五</w:t>
      </w:r>
      <w:r>
        <w:rPr>
          <w:color w:val="000000"/>
          <w:spacing w:val="0"/>
          <w:w w:val="100"/>
          <w:position w:val="0"/>
        </w:rPr>
        <w:t>10</w:t>
      </w:r>
      <w:r>
        <w:rPr>
          <w:color w:val="000000"/>
          <w:spacing w:val="0"/>
          <w:w w:val="100"/>
          <w:position w:val="0"/>
        </w:rPr>
        <w:t>、金融工具”、 “五</w:t>
      </w:r>
      <w:r>
        <w:rPr>
          <w:color w:val="000000"/>
          <w:spacing w:val="0"/>
          <w:w w:val="100"/>
          <w:position w:val="0"/>
        </w:rPr>
        <w:t>16</w:t>
      </w:r>
      <w:r>
        <w:rPr>
          <w:color w:val="000000"/>
          <w:spacing w:val="0"/>
          <w:w w:val="100"/>
          <w:position w:val="0"/>
        </w:rPr>
        <w:t>、固定资产”、“五</w:t>
      </w:r>
      <w:r>
        <w:rPr>
          <w:color w:val="000000"/>
          <w:spacing w:val="0"/>
          <w:w w:val="100"/>
          <w:position w:val="0"/>
        </w:rPr>
        <w:t>21</w:t>
      </w:r>
      <w:r>
        <w:rPr>
          <w:color w:val="000000"/>
          <w:spacing w:val="0"/>
          <w:w w:val="100"/>
          <w:position w:val="0"/>
        </w:rPr>
        <w:t>、长期资产减值”、“五</w:t>
      </w:r>
      <w:r>
        <w:rPr>
          <w:color w:val="000000"/>
          <w:spacing w:val="0"/>
          <w:w w:val="100"/>
          <w:position w:val="0"/>
        </w:rPr>
        <w:t>28</w:t>
      </w:r>
      <w:r>
        <w:rPr>
          <w:color w:val="000000"/>
          <w:spacing w:val="0"/>
          <w:w w:val="100"/>
          <w:position w:val="0"/>
        </w:rPr>
        <w:t>、收入”。</w:t>
      </w:r>
    </w:p>
    <w:p>
      <w:pPr>
        <w:pStyle w:val="Style33"/>
        <w:keepNext/>
        <w:keepLines/>
        <w:widowControl w:val="0"/>
        <w:shd w:val="clear" w:color="auto" w:fill="auto"/>
        <w:tabs>
          <w:tab w:pos="368" w:val="left"/>
        </w:tabs>
        <w:bidi w:val="0"/>
        <w:spacing w:before="0" w:after="26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w:t>
        <w:tab/>
        <w:t>遵循企业会计准则的声明</w:t>
      </w:r>
      <w:bookmarkEnd w:id="692"/>
      <w:bookmarkEnd w:id="693"/>
      <w:bookmarkEnd w:id="695"/>
    </w:p>
    <w:p>
      <w:pPr>
        <w:pStyle w:val="Style24"/>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公司所编制的财务报表符合企业会计准则的要求，真实、完整地反映了公司的财务状况、经营成果、所有者权益变动和 现金流量等有关信息。</w:t>
      </w:r>
    </w:p>
    <w:p>
      <w:pPr>
        <w:pStyle w:val="Style33"/>
        <w:keepNext/>
        <w:keepLines/>
        <w:widowControl w:val="0"/>
        <w:shd w:val="clear" w:color="auto" w:fill="auto"/>
        <w:tabs>
          <w:tab w:pos="378" w:val="left"/>
        </w:tabs>
        <w:bidi w:val="0"/>
        <w:spacing w:before="0" w:after="2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w:t>
        <w:tab/>
        <w:t>会计期间</w:t>
      </w:r>
      <w:bookmarkEnd w:id="696"/>
      <w:bookmarkEnd w:id="697"/>
      <w:bookmarkEnd w:id="699"/>
    </w:p>
    <w:p>
      <w:pPr>
        <w:pStyle w:val="Style24"/>
        <w:keepNext w:val="0"/>
        <w:keepLines w:val="0"/>
        <w:widowControl w:val="0"/>
        <w:shd w:val="clear" w:color="auto" w:fill="auto"/>
        <w:bidi w:val="0"/>
        <w:spacing w:before="0" w:after="680" w:line="307" w:lineRule="exact"/>
        <w:ind w:left="0" w:right="0" w:firstLine="380"/>
        <w:jc w:val="both"/>
      </w:pPr>
      <w:r>
        <w:rPr>
          <w:color w:val="000000"/>
          <w:spacing w:val="0"/>
          <w:w w:val="100"/>
          <w:position w:val="0"/>
        </w:rPr>
        <w:t>公司会计年度自公历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3</w:t>
      </w:r>
      <w:bookmarkEnd w:id="702"/>
      <w:r>
        <w:rPr>
          <w:color w:val="000000"/>
          <w:spacing w:val="0"/>
          <w:w w:val="100"/>
          <w:position w:val="0"/>
        </w:rPr>
        <w:t>、</w:t>
        <w:tab/>
        <w:t>营业周期</w:t>
      </w:r>
      <w:bookmarkEnd w:id="700"/>
      <w:bookmarkEnd w:id="701"/>
      <w:bookmarkEnd w:id="703"/>
    </w:p>
    <w:p>
      <w:pPr>
        <w:pStyle w:val="Style24"/>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正常营业周期是指公司从购买用于加工的资产起至实现现金或现金等价物的期间。公司以</w:t>
      </w:r>
      <w:r>
        <w:rPr>
          <w:color w:val="000000"/>
          <w:spacing w:val="0"/>
          <w:w w:val="100"/>
          <w:position w:val="0"/>
        </w:rPr>
        <w:t>12</w:t>
      </w:r>
      <w:r>
        <w:rPr>
          <w:color w:val="000000"/>
          <w:spacing w:val="0"/>
          <w:w w:val="100"/>
          <w:position w:val="0"/>
        </w:rPr>
        <w:t>个月作为一个营业周期，并 以其作为资产和负债的流动性划分标准。</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4</w:t>
      </w:r>
      <w:bookmarkEnd w:id="706"/>
      <w:r>
        <w:rPr>
          <w:color w:val="000000"/>
          <w:spacing w:val="0"/>
          <w:w w:val="100"/>
          <w:position w:val="0"/>
        </w:rPr>
        <w:t>、</w:t>
        <w:tab/>
        <w:t>记账本位币</w:t>
      </w:r>
      <w:bookmarkEnd w:id="704"/>
      <w:bookmarkEnd w:id="705"/>
      <w:bookmarkEnd w:id="707"/>
    </w:p>
    <w:p>
      <w:pPr>
        <w:pStyle w:val="Style24"/>
        <w:keepNext w:val="0"/>
        <w:keepLines w:val="0"/>
        <w:widowControl w:val="0"/>
        <w:shd w:val="clear" w:color="auto" w:fill="auto"/>
        <w:bidi w:val="0"/>
        <w:spacing w:before="0" w:after="300" w:line="307" w:lineRule="exact"/>
        <w:ind w:left="0" w:right="0" w:firstLine="460"/>
        <w:jc w:val="both"/>
      </w:pPr>
      <w:r>
        <w:rPr>
          <w:color w:val="000000"/>
          <w:spacing w:val="0"/>
          <w:w w:val="100"/>
          <w:position w:val="0"/>
        </w:rPr>
        <w:t>公司以人民币为记账本位币。</w:t>
      </w:r>
    </w:p>
    <w:p>
      <w:pPr>
        <w:pStyle w:val="Style33"/>
        <w:keepNext/>
        <w:keepLines/>
        <w:widowControl w:val="0"/>
        <w:shd w:val="clear" w:color="auto" w:fill="auto"/>
        <w:tabs>
          <w:tab w:pos="329" w:val="left"/>
        </w:tabs>
        <w:bidi w:val="0"/>
        <w:spacing w:before="0" w:after="26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5</w:t>
      </w:r>
      <w:bookmarkEnd w:id="710"/>
      <w:r>
        <w:rPr>
          <w:color w:val="000000"/>
          <w:spacing w:val="0"/>
          <w:w w:val="100"/>
          <w:position w:val="0"/>
        </w:rPr>
        <w:t>、</w:t>
        <w:tab/>
        <w:t>同一控制下和非同一控制下企业合并的会计处理方法</w:t>
      </w:r>
      <w:bookmarkEnd w:id="708"/>
      <w:bookmarkEnd w:id="709"/>
      <w:bookmarkEnd w:id="711"/>
    </w:p>
    <w:p>
      <w:pPr>
        <w:pStyle w:val="Style24"/>
        <w:keepNext w:val="0"/>
        <w:keepLines w:val="0"/>
        <w:widowControl w:val="0"/>
        <w:shd w:val="clear" w:color="auto" w:fill="auto"/>
        <w:bidi w:val="0"/>
        <w:spacing w:before="0" w:after="0" w:line="314" w:lineRule="exact"/>
        <w:ind w:left="0" w:right="0" w:firstLine="380"/>
        <w:jc w:val="both"/>
      </w:pPr>
      <w:bookmarkStart w:id="712" w:name="bookmark712"/>
      <w:r>
        <w:rPr>
          <w:color w:val="000000"/>
          <w:spacing w:val="0"/>
          <w:w w:val="100"/>
          <w:position w:val="0"/>
        </w:rPr>
        <w:t>（</w:t>
      </w:r>
      <w:bookmarkEnd w:id="712"/>
      <w:r>
        <w:rPr>
          <w:color w:val="000000"/>
          <w:spacing w:val="0"/>
          <w:w w:val="100"/>
          <w:position w:val="0"/>
        </w:rPr>
        <w:t>1）</w:t>
      </w:r>
      <w:r>
        <w:rPr>
          <w:color w:val="000000"/>
          <w:spacing w:val="0"/>
          <w:w w:val="100"/>
          <w:position w:val="0"/>
        </w:rPr>
        <w:t>同一控制下企业合并：公司在企业合并中取得的资产和负债，按照合并日在被合并方资产、负债（包括最终控制 方收购被合并方而形成的商誉）在最终控制方合并财务报表中的账面价值计量。在合并中取得的净资产账面价值与支付的合 并对价账面价值（或发行股份面值总额）的差额，调整资本公积中的资本溢价或股本溢价，资本公积中的资本溢价或股本溢 价不足冲减的，调整留存收益。</w:t>
      </w:r>
    </w:p>
    <w:p>
      <w:pPr>
        <w:pStyle w:val="Style24"/>
        <w:keepNext w:val="0"/>
        <w:keepLines w:val="0"/>
        <w:widowControl w:val="0"/>
        <w:shd w:val="clear" w:color="auto" w:fill="auto"/>
        <w:tabs>
          <w:tab w:pos="663" w:val="left"/>
        </w:tabs>
        <w:bidi w:val="0"/>
        <w:spacing w:before="0" w:after="0" w:line="314" w:lineRule="exact"/>
        <w:ind w:left="0" w:right="0" w:firstLine="200"/>
        <w:jc w:val="both"/>
      </w:pPr>
      <w:bookmarkStart w:id="713" w:name="bookmark713"/>
      <w:r>
        <w:rPr>
          <w:color w:val="000000"/>
          <w:spacing w:val="0"/>
          <w:w w:val="100"/>
          <w:position w:val="0"/>
        </w:rPr>
        <w:t>（</w:t>
      </w:r>
      <w:bookmarkEnd w:id="713"/>
      <w:r>
        <w:rPr>
          <w:color w:val="000000"/>
          <w:spacing w:val="0"/>
          <w:w w:val="100"/>
          <w:position w:val="0"/>
        </w:rPr>
        <w:t>2）</w:t>
        <w:tab/>
      </w:r>
      <w:r>
        <w:rPr>
          <w:color w:val="000000"/>
          <w:spacing w:val="0"/>
          <w:w w:val="100"/>
          <w:position w:val="0"/>
        </w:rPr>
        <w:t>非同一控制下企业合并：公司在购买日对作为企业合并对价付出的资产、发生或承担的负债按照公允价值计量，公 允价值与其账面价值的差额，计入当期损益。公司对合并成本大于合并中取得的被购买方可辨认净资产公允价值份额的差额， 确认为商誉；合并成本小于合并中取得的被购买方可辨认净资产公允价值份额的差额，对合并中取得的资产、负债的公允价 值、作为合并对价的非现金资产或发行的权益性证券等的公允价值进行复核，复核结果表明所确定的各项可辨认资产和负债 的公允价值确定是恰当的，将企业合并成本低于取得的被购买方可辨认净资产公允价值份额之间的差额，计入合并当期的营 业外收入。</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通过多次交易分步实现非同一控制下的企业合并，合并成本为购买日支付的对价与购买日之前已经持有的被购买方的股 权在购买日的公允价值之和；对于购买日之前已经持有的被购买方的股权，按照购买日的公允价值进行重新计量，公允价值 与其账面价值之间的差额计入当期投资收益。购买日之前持有的被购买方的长期股权投资在权益法核算下的其他综合收益， 采用与被投资单位直接处置相关资产或负债相同的基础进行会计处理，除净损益、其他综合收益和利润分配外的其他股东权 益变动，转为购买日所属当期损益。对于购买日之前持有的被购买方的其他权益工具投资，该权益工具投资在购买日之前累 计在其他综合收益的公允价值变动转入留存损益。</w:t>
      </w:r>
    </w:p>
    <w:p>
      <w:pPr>
        <w:pStyle w:val="Style24"/>
        <w:keepNext w:val="0"/>
        <w:keepLines w:val="0"/>
        <w:widowControl w:val="0"/>
        <w:shd w:val="clear" w:color="auto" w:fill="auto"/>
        <w:tabs>
          <w:tab w:pos="658" w:val="left"/>
        </w:tabs>
        <w:bidi w:val="0"/>
        <w:spacing w:before="0" w:after="360" w:line="314" w:lineRule="exact"/>
        <w:ind w:left="0" w:right="0" w:firstLine="200"/>
        <w:jc w:val="both"/>
      </w:pPr>
      <w:bookmarkStart w:id="714" w:name="bookmark714"/>
      <w:r>
        <w:rPr>
          <w:color w:val="000000"/>
          <w:spacing w:val="0"/>
          <w:w w:val="100"/>
          <w:position w:val="0"/>
        </w:rPr>
        <w:t>（</w:t>
      </w:r>
      <w:bookmarkEnd w:id="714"/>
      <w:r>
        <w:rPr>
          <w:color w:val="000000"/>
          <w:spacing w:val="0"/>
          <w:w w:val="100"/>
          <w:position w:val="0"/>
        </w:rPr>
        <w:t>3）</w:t>
        <w:tab/>
      </w:r>
      <w:r>
        <w:rPr>
          <w:color w:val="000000"/>
          <w:spacing w:val="0"/>
          <w:w w:val="100"/>
          <w:position w:val="0"/>
        </w:rPr>
        <w:t>企业合并中相关费用的处理：为企业合并发生的审计、法律服务、评估咨询等中介费用及其他相关管理费用，于发 生时计入当期损益；作为合并对价发行的权益性证券或债务性证券的交易费用，计入权益性证券或债务性证券的初始确认金 额。</w:t>
      </w:r>
    </w:p>
    <w:p>
      <w:pPr>
        <w:pStyle w:val="Style33"/>
        <w:keepNext/>
        <w:keepLines/>
        <w:widowControl w:val="0"/>
        <w:shd w:val="clear" w:color="auto" w:fill="auto"/>
        <w:tabs>
          <w:tab w:pos="329" w:val="left"/>
        </w:tabs>
        <w:bidi w:val="0"/>
        <w:spacing w:before="0" w:after="2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w:t>
        <w:tab/>
        <w:t>合并财务报表的编制方法</w:t>
      </w:r>
      <w:bookmarkEnd w:id="715"/>
      <w:bookmarkEnd w:id="716"/>
      <w:bookmarkEnd w:id="718"/>
    </w:p>
    <w:p>
      <w:pPr>
        <w:pStyle w:val="Style24"/>
        <w:keepNext w:val="0"/>
        <w:keepLines w:val="0"/>
        <w:widowControl w:val="0"/>
        <w:shd w:val="clear" w:color="auto" w:fill="auto"/>
        <w:bidi w:val="0"/>
        <w:spacing w:before="0" w:after="0" w:line="311" w:lineRule="exact"/>
        <w:ind w:left="0" w:right="0" w:firstLine="280"/>
        <w:jc w:val="left"/>
      </w:pPr>
      <w:bookmarkStart w:id="719" w:name="bookmark719"/>
      <w:r>
        <w:rPr>
          <w:color w:val="000000"/>
          <w:spacing w:val="0"/>
          <w:w w:val="100"/>
          <w:position w:val="0"/>
        </w:rPr>
        <w:t>（</w:t>
      </w:r>
      <w:bookmarkEnd w:id="719"/>
      <w:r>
        <w:rPr>
          <w:color w:val="000000"/>
          <w:spacing w:val="0"/>
          <w:w w:val="100"/>
          <w:position w:val="0"/>
        </w:rPr>
        <w:t>1）</w:t>
      </w:r>
      <w:r>
        <w:rPr>
          <w:color w:val="000000"/>
          <w:spacing w:val="0"/>
          <w:w w:val="100"/>
          <w:position w:val="0"/>
        </w:rPr>
        <w:t>合并报表编制范围</w:t>
      </w:r>
    </w:p>
    <w:p>
      <w:pPr>
        <w:pStyle w:val="Style24"/>
        <w:keepNext w:val="0"/>
        <w:keepLines w:val="0"/>
        <w:widowControl w:val="0"/>
        <w:shd w:val="clear" w:color="auto" w:fill="auto"/>
        <w:bidi w:val="0"/>
        <w:spacing w:before="0" w:after="0" w:line="311" w:lineRule="exact"/>
        <w:ind w:left="0" w:right="0" w:firstLine="560"/>
        <w:jc w:val="both"/>
      </w:pPr>
      <w:r>
        <w:rPr>
          <w:color w:val="000000"/>
          <w:spacing w:val="0"/>
          <w:w w:val="100"/>
          <w:position w:val="0"/>
        </w:rPr>
        <w:t>合并财务报表的合并范围以控制为基础予以确定，不仅包括根据表决权（或类似权利）本身或者结合其他安排确定的 子公司，也包括基于一项或多项合同安排决定的结构化主体。控制，是指投资方拥有对被投资方的权力，通过参与被投资方 的相关活动而享有可变回报，并且有能力运用对被投资方的权力影响其回报金额。</w:t>
      </w:r>
    </w:p>
    <w:p>
      <w:pPr>
        <w:pStyle w:val="Style24"/>
        <w:keepNext w:val="0"/>
        <w:keepLines w:val="0"/>
        <w:widowControl w:val="0"/>
        <w:shd w:val="clear" w:color="auto" w:fill="auto"/>
        <w:bidi w:val="0"/>
        <w:spacing w:before="0" w:after="0" w:line="311" w:lineRule="exact"/>
        <w:ind w:left="0" w:right="0" w:firstLine="200"/>
        <w:jc w:val="left"/>
      </w:pPr>
      <w:bookmarkStart w:id="720" w:name="bookmark720"/>
      <w:r>
        <w:rPr>
          <w:color w:val="000000"/>
          <w:spacing w:val="0"/>
          <w:w w:val="100"/>
          <w:position w:val="0"/>
        </w:rPr>
        <w:t>（</w:t>
      </w:r>
      <w:bookmarkEnd w:id="720"/>
      <w:r>
        <w:rPr>
          <w:color w:val="000000"/>
          <w:spacing w:val="0"/>
          <w:w w:val="100"/>
          <w:position w:val="0"/>
        </w:rPr>
        <w:t>2）</w:t>
      </w:r>
      <w:r>
        <w:rPr>
          <w:color w:val="000000"/>
          <w:spacing w:val="0"/>
          <w:w w:val="100"/>
          <w:position w:val="0"/>
        </w:rPr>
        <w:t>合并程序</w:t>
      </w:r>
    </w:p>
    <w:p>
      <w:pPr>
        <w:pStyle w:val="Style24"/>
        <w:keepNext w:val="0"/>
        <w:keepLines w:val="0"/>
        <w:widowControl w:val="0"/>
        <w:shd w:val="clear" w:color="auto" w:fill="auto"/>
        <w:bidi w:val="0"/>
        <w:spacing w:before="0" w:after="0" w:line="311" w:lineRule="exact"/>
        <w:ind w:left="0" w:right="0" w:firstLine="560"/>
        <w:jc w:val="left"/>
      </w:pPr>
      <w:r>
        <w:rPr>
          <w:color w:val="000000"/>
          <w:spacing w:val="0"/>
          <w:w w:val="100"/>
          <w:position w:val="0"/>
        </w:rPr>
        <w:t>合并财务报表以公司和其子公司的财务报表为基础，根据其他有关资料，编制合并财务报表。</w:t>
      </w:r>
    </w:p>
    <w:p>
      <w:pPr>
        <w:pStyle w:val="Style24"/>
        <w:keepNext w:val="0"/>
        <w:keepLines w:val="0"/>
        <w:widowControl w:val="0"/>
        <w:shd w:val="clear" w:color="auto" w:fill="auto"/>
        <w:bidi w:val="0"/>
        <w:spacing w:before="0" w:after="0" w:line="311" w:lineRule="exact"/>
        <w:ind w:left="0" w:right="0" w:firstLine="560"/>
        <w:jc w:val="left"/>
      </w:pPr>
      <w:r>
        <w:rPr>
          <w:color w:val="000000"/>
          <w:spacing w:val="0"/>
          <w:w w:val="100"/>
          <w:position w:val="0"/>
        </w:rPr>
        <w:t>公司统一子公司所采用的会计政策及会计期间，使子公司采用的会计政策、会计期间与公司保持一致。在编制合并财 务报表时，遵循重要性原则，抵销母公司与子公司、子公司与子公司之间的内部往来、内部交易及权益性投资项目。</w:t>
      </w:r>
    </w:p>
    <w:p>
      <w:pPr>
        <w:pStyle w:val="Style24"/>
        <w:keepNext w:val="0"/>
        <w:keepLines w:val="0"/>
        <w:widowControl w:val="0"/>
        <w:shd w:val="clear" w:color="auto" w:fill="auto"/>
        <w:bidi w:val="0"/>
        <w:spacing w:before="0" w:after="0" w:line="311" w:lineRule="exact"/>
        <w:ind w:left="0" w:right="0" w:firstLine="560"/>
        <w:jc w:val="left"/>
      </w:pPr>
      <w:r>
        <w:rPr>
          <w:color w:val="000000"/>
          <w:spacing w:val="0"/>
          <w:w w:val="100"/>
          <w:position w:val="0"/>
        </w:rPr>
        <w:t>子公司少数股东应占的权益和损益分别在合并资产负债表中所有者权益项目下和合并利润表中净利润项目下单独列 示。子公司少数股东分担的当期亏损超过了少数股东在该子公司期初所有者权益中所享有份额而形成的余额，冲减少数股东 权益。</w:t>
      </w:r>
    </w:p>
    <w:p>
      <w:pPr>
        <w:pStyle w:val="Style24"/>
        <w:keepNext w:val="0"/>
        <w:keepLines w:val="0"/>
        <w:widowControl w:val="0"/>
        <w:numPr>
          <w:ilvl w:val="0"/>
          <w:numId w:val="9"/>
        </w:numPr>
        <w:shd w:val="clear" w:color="auto" w:fill="auto"/>
        <w:bidi w:val="0"/>
        <w:spacing w:before="0" w:after="0" w:line="311" w:lineRule="exact"/>
        <w:ind w:left="0" w:right="0" w:firstLine="200"/>
        <w:jc w:val="left"/>
      </w:pPr>
      <w:bookmarkStart w:id="721" w:name="bookmark721"/>
      <w:bookmarkEnd w:id="721"/>
      <w:r>
        <w:rPr>
          <w:color w:val="000000"/>
          <w:spacing w:val="0"/>
          <w:w w:val="100"/>
          <w:position w:val="0"/>
        </w:rPr>
        <w:t>增加子公司以及业务</w:t>
      </w:r>
    </w:p>
    <w:p>
      <w:pPr>
        <w:pStyle w:val="Style24"/>
        <w:keepNext w:val="0"/>
        <w:keepLines w:val="0"/>
        <w:widowControl w:val="0"/>
        <w:shd w:val="clear" w:color="auto" w:fill="auto"/>
        <w:bidi w:val="0"/>
        <w:spacing w:before="0" w:after="0" w:line="311" w:lineRule="exact"/>
        <w:ind w:left="0" w:right="0" w:firstLine="560"/>
        <w:jc w:val="left"/>
      </w:pPr>
      <w:r>
        <w:rPr>
          <w:color w:val="000000"/>
          <w:spacing w:val="0"/>
          <w:w w:val="100"/>
          <w:position w:val="0"/>
        </w:rPr>
        <w:t>在报告期内因同一控制下企业合并增加的子公司以及业务，编制合并资产负债表时，调整合并资产负债表的期初数； 编制利润表时，将该子公司以及业务合并当期期初至报告期末的收入、费用、利润纳入合并利润表；合并现金流量表时，将 该子公司以及业务合并当期期初至报告期末的现金流量纳入合并现金流量表；同时应当对比较报表的相关项目进行调整，视 同合并后的报告主体自最终控制方开始控制时点起一直存在。</w:t>
      </w:r>
    </w:p>
    <w:p>
      <w:pPr>
        <w:pStyle w:val="Style24"/>
        <w:keepNext w:val="0"/>
        <w:keepLines w:val="0"/>
        <w:widowControl w:val="0"/>
        <w:shd w:val="clear" w:color="auto" w:fill="auto"/>
        <w:bidi w:val="0"/>
        <w:spacing w:before="0" w:after="0" w:line="311" w:lineRule="exact"/>
        <w:ind w:left="0" w:right="0" w:firstLine="560"/>
        <w:jc w:val="left"/>
      </w:pPr>
      <w:r>
        <w:rPr>
          <w:color w:val="000000"/>
          <w:spacing w:val="0"/>
          <w:w w:val="100"/>
          <w:position w:val="0"/>
        </w:rPr>
        <w:t>在报告期内因非同一控制下企业合并或其他方式增加的子公司以及业务，编制合并资产负债表时，不调整合并资产负 债表的期初数。编制利润表时，将该子公司以及业务购买日至报告期末的收入、费用、利润纳入合并利润表。编制现金流表 时，将该子公司购买日至报告期末的现金流量纳入合并现金流量表。</w:t>
      </w:r>
    </w:p>
    <w:p>
      <w:pPr>
        <w:pStyle w:val="Style24"/>
        <w:keepNext w:val="0"/>
        <w:keepLines w:val="0"/>
        <w:widowControl w:val="0"/>
        <w:shd w:val="clear" w:color="auto" w:fill="auto"/>
        <w:bidi w:val="0"/>
        <w:spacing w:before="0" w:after="280" w:line="311" w:lineRule="exact"/>
        <w:ind w:left="0" w:right="0" w:firstLine="560"/>
        <w:jc w:val="left"/>
      </w:pPr>
      <w:r>
        <w:rPr>
          <w:color w:val="000000"/>
          <w:spacing w:val="0"/>
          <w:w w:val="100"/>
          <w:position w:val="0"/>
        </w:rPr>
        <w:t xml:space="preserve">公司以子公司的个别财务报表反映为在购买日公允价值基础上确定的可辨认资产、负债及或有负债在本期资产负债表 </w:t>
      </w:r>
      <w:r>
        <w:rPr>
          <w:color w:val="000000"/>
          <w:spacing w:val="0"/>
          <w:w w:val="100"/>
          <w:position w:val="0"/>
        </w:rPr>
        <w:t>日的金额进行编制合并财务报表。对合并成本大于合并中取得的被购买方可辨认净资产公允价值份额的差额，确认为商誉。 合并成本小于合并中取得的被购买方可辨认净资产公允价值份额的差额，经复核后，计入当期损益。</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通过多次交易分步实现非同一控制下企业合并的，在合并财务报表中，对于购买日之前持有的被购买方的股权，应当按 照该股权在购买日的公允价值进行重新计量，公允价值与其账面价值的差额计入当期投资收益。购买日之前持有的被购买方 的长期股权投资在权益法核算下的其他综合收益，采用与被投资单位直接处置相关资产或负债相同的基础进行会计处理，除 净损益、其他综合收益和利润分配外的其他股东权益变动，转为购买日所属当期损益。对于购买日之前持有的被购买方的其 他权益工具投资，该权益工具投资在购买日之前累计在其他综合收益的公允价值变动转入留存损益。</w:t>
      </w:r>
    </w:p>
    <w:p>
      <w:pPr>
        <w:pStyle w:val="Style24"/>
        <w:keepNext w:val="0"/>
        <w:keepLines w:val="0"/>
        <w:widowControl w:val="0"/>
        <w:numPr>
          <w:ilvl w:val="0"/>
          <w:numId w:val="9"/>
        </w:numPr>
        <w:shd w:val="clear" w:color="auto" w:fill="auto"/>
        <w:tabs>
          <w:tab w:pos="548" w:val="left"/>
        </w:tabs>
        <w:bidi w:val="0"/>
        <w:spacing w:before="0" w:after="0" w:line="314" w:lineRule="exact"/>
        <w:ind w:left="0" w:right="0" w:firstLine="200"/>
        <w:jc w:val="left"/>
      </w:pPr>
      <w:bookmarkStart w:id="722" w:name="bookmark722"/>
      <w:bookmarkEnd w:id="722"/>
      <w:r>
        <w:rPr>
          <w:color w:val="000000"/>
          <w:spacing w:val="0"/>
          <w:w w:val="100"/>
          <w:position w:val="0"/>
        </w:rPr>
        <w:t>处置子公司以及业务</w:t>
      </w:r>
    </w:p>
    <w:p>
      <w:pPr>
        <w:pStyle w:val="Style24"/>
        <w:keepNext w:val="0"/>
        <w:keepLines w:val="0"/>
        <w:widowControl w:val="0"/>
        <w:numPr>
          <w:ilvl w:val="0"/>
          <w:numId w:val="11"/>
        </w:numPr>
        <w:shd w:val="clear" w:color="auto" w:fill="auto"/>
        <w:tabs>
          <w:tab w:pos="500" w:val="left"/>
        </w:tabs>
        <w:bidi w:val="0"/>
        <w:spacing w:before="0" w:after="0" w:line="314" w:lineRule="exact"/>
        <w:ind w:left="0" w:right="0" w:firstLine="200"/>
        <w:jc w:val="both"/>
      </w:pPr>
      <w:bookmarkStart w:id="723" w:name="bookmark723"/>
      <w:bookmarkEnd w:id="723"/>
      <w:r>
        <w:rPr>
          <w:color w:val="000000"/>
          <w:spacing w:val="0"/>
          <w:w w:val="100"/>
          <w:position w:val="0"/>
        </w:rPr>
        <w:t>一般处理方法</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在报告期内，公司处置子公司以及业务，则该子公司以及业务期初至处置日的收入、费用、利润纳入合并利润表；该子 公司以及业务期初至处置日的现金流量纳入合并现金流量表。</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公司因处置部分股权投资等原因丧失了对原有子公司控制权的，在合并财务报表中，对于剩余股权，按照其在丧失控制 权日的公允价值进行重新计量。处置股权取得的对价和剩余股权公允价值之和，减去按原持股比例计算应享有原有子公司自 购买日或合并日开始持续计算的净资产的份额之间的差额，计入丧失控制权当期的投资收益，同时冲减商誉。与原有子公司 股权投资相关的其他综合收益，在丧失控制权时采用与子公司直接处置相关资产或负债相同的基础进行会计处理，因原有子 公司相关的除净损益、其他综合收益和利润分配以外的其他股东权益变动而确认的股东权益，在丧失控制权时转为当期损益。</w:t>
      </w:r>
    </w:p>
    <w:p>
      <w:pPr>
        <w:pStyle w:val="Style24"/>
        <w:keepNext w:val="0"/>
        <w:keepLines w:val="0"/>
        <w:widowControl w:val="0"/>
        <w:numPr>
          <w:ilvl w:val="0"/>
          <w:numId w:val="13"/>
        </w:numPr>
        <w:shd w:val="clear" w:color="auto" w:fill="auto"/>
        <w:tabs>
          <w:tab w:pos="500" w:val="left"/>
        </w:tabs>
        <w:bidi w:val="0"/>
        <w:spacing w:before="0" w:after="0" w:line="314" w:lineRule="exact"/>
        <w:ind w:left="0" w:right="0" w:firstLine="200"/>
        <w:jc w:val="both"/>
      </w:pPr>
      <w:bookmarkStart w:id="724" w:name="bookmark724"/>
      <w:bookmarkEnd w:id="724"/>
      <w:r>
        <w:rPr>
          <w:color w:val="000000"/>
          <w:spacing w:val="0"/>
          <w:w w:val="100"/>
          <w:position w:val="0"/>
        </w:rPr>
        <w:t>分步处置股权至丧失控制权</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企业通过多次交易分步处置对子公司股权投资直至丧失控制权的，如果处置对子公司股权投资直至丧失控制权的各项交 易属于一揽子交易的，应当将各项交易作为一项处置子公司并丧失控制权的交易进行会计处理；但是，在丧失控制权之前每 一次处置价款与处置投资对应的享有该子公司净资产份额的差额，在合并财务报表中确认为其他综合收益，在丧失控制权时 一并转入丧失控制权当期的损益。</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处置对子公司股权投资的各项交易的条款、条件以及经济影响符合下列一种或多种情况，通常表明应将多次交易事项作 为一揽子交易进行会计处理：</w:t>
      </w:r>
    </w:p>
    <w:p>
      <w:pPr>
        <w:pStyle w:val="Style24"/>
        <w:keepNext w:val="0"/>
        <w:keepLines w:val="0"/>
        <w:widowControl w:val="0"/>
        <w:shd w:val="clear" w:color="auto" w:fill="auto"/>
        <w:tabs>
          <w:tab w:pos="620" w:val="left"/>
        </w:tabs>
        <w:bidi w:val="0"/>
        <w:spacing w:before="0" w:after="0" w:line="314" w:lineRule="exact"/>
        <w:ind w:left="0" w:right="0" w:firstLine="200"/>
        <w:jc w:val="left"/>
      </w:pPr>
      <w:bookmarkStart w:id="725" w:name="bookmark725"/>
      <w:r>
        <w:rPr>
          <w:color w:val="000000"/>
          <w:spacing w:val="0"/>
          <w:w w:val="100"/>
          <w:position w:val="0"/>
        </w:rPr>
        <w:t>（</w:t>
      </w:r>
      <w:bookmarkEnd w:id="725"/>
      <w:r>
        <w:rPr>
          <w:color w:val="000000"/>
          <w:spacing w:val="0"/>
          <w:w w:val="100"/>
          <w:position w:val="0"/>
        </w:rPr>
        <w:t>A）</w:t>
        <w:tab/>
      </w:r>
      <w:r>
        <w:rPr>
          <w:color w:val="000000"/>
          <w:spacing w:val="0"/>
          <w:w w:val="100"/>
          <w:position w:val="0"/>
        </w:rPr>
        <w:t>这些交易是同时或者在考虑了彼此影响的情况下订立的；</w:t>
      </w:r>
    </w:p>
    <w:p>
      <w:pPr>
        <w:pStyle w:val="Style24"/>
        <w:keepNext w:val="0"/>
        <w:keepLines w:val="0"/>
        <w:widowControl w:val="0"/>
        <w:shd w:val="clear" w:color="auto" w:fill="auto"/>
        <w:tabs>
          <w:tab w:pos="620" w:val="left"/>
        </w:tabs>
        <w:bidi w:val="0"/>
        <w:spacing w:before="0" w:after="0" w:line="314" w:lineRule="exact"/>
        <w:ind w:left="0" w:right="0" w:firstLine="200"/>
        <w:jc w:val="left"/>
      </w:pPr>
      <w:bookmarkStart w:id="726" w:name="bookmark726"/>
      <w:r>
        <w:rPr>
          <w:color w:val="000000"/>
          <w:spacing w:val="0"/>
          <w:w w:val="100"/>
          <w:position w:val="0"/>
        </w:rPr>
        <w:t>（</w:t>
      </w:r>
      <w:bookmarkEnd w:id="726"/>
      <w:r>
        <w:rPr>
          <w:color w:val="000000"/>
          <w:spacing w:val="0"/>
          <w:w w:val="100"/>
          <w:position w:val="0"/>
        </w:rPr>
        <w:t>B）</w:t>
        <w:tab/>
      </w:r>
      <w:r>
        <w:rPr>
          <w:color w:val="000000"/>
          <w:spacing w:val="0"/>
          <w:w w:val="100"/>
          <w:position w:val="0"/>
        </w:rPr>
        <w:t>这些交易整体才能达成一项完整的商业结果；</w:t>
      </w:r>
    </w:p>
    <w:p>
      <w:pPr>
        <w:pStyle w:val="Style24"/>
        <w:keepNext w:val="0"/>
        <w:keepLines w:val="0"/>
        <w:widowControl w:val="0"/>
        <w:shd w:val="clear" w:color="auto" w:fill="auto"/>
        <w:tabs>
          <w:tab w:pos="620" w:val="left"/>
        </w:tabs>
        <w:bidi w:val="0"/>
        <w:spacing w:before="0" w:after="0" w:line="314" w:lineRule="exact"/>
        <w:ind w:left="0" w:right="0" w:firstLine="200"/>
        <w:jc w:val="left"/>
      </w:pPr>
      <w:bookmarkStart w:id="727" w:name="bookmark727"/>
      <w:r>
        <w:rPr>
          <w:color w:val="000000"/>
          <w:spacing w:val="0"/>
          <w:w w:val="100"/>
          <w:position w:val="0"/>
        </w:rPr>
        <w:t>（</w:t>
      </w:r>
      <w:bookmarkEnd w:id="727"/>
      <w:r>
        <w:rPr>
          <w:color w:val="000000"/>
          <w:spacing w:val="0"/>
          <w:w w:val="100"/>
          <w:position w:val="0"/>
        </w:rPr>
        <w:t>C）</w:t>
        <w:tab/>
      </w:r>
      <w:r>
        <w:rPr>
          <w:color w:val="000000"/>
          <w:spacing w:val="0"/>
          <w:w w:val="100"/>
          <w:position w:val="0"/>
        </w:rPr>
        <w:t>一项交易的发生取决于其他至少一项交易的发生；</w:t>
      </w:r>
    </w:p>
    <w:p>
      <w:pPr>
        <w:pStyle w:val="Style24"/>
        <w:keepNext w:val="0"/>
        <w:keepLines w:val="0"/>
        <w:widowControl w:val="0"/>
        <w:shd w:val="clear" w:color="auto" w:fill="auto"/>
        <w:tabs>
          <w:tab w:pos="620" w:val="left"/>
        </w:tabs>
        <w:bidi w:val="0"/>
        <w:spacing w:before="0" w:after="0" w:line="314" w:lineRule="exact"/>
        <w:ind w:left="0" w:right="0" w:firstLine="200"/>
        <w:jc w:val="left"/>
      </w:pPr>
      <w:bookmarkStart w:id="728" w:name="bookmark728"/>
      <w:r>
        <w:rPr>
          <w:color w:val="000000"/>
          <w:spacing w:val="0"/>
          <w:w w:val="100"/>
          <w:position w:val="0"/>
        </w:rPr>
        <w:t>（</w:t>
      </w:r>
      <w:bookmarkEnd w:id="728"/>
      <w:r>
        <w:rPr>
          <w:color w:val="000000"/>
          <w:spacing w:val="0"/>
          <w:w w:val="100"/>
          <w:position w:val="0"/>
        </w:rPr>
        <w:t>D）</w:t>
        <w:tab/>
      </w:r>
      <w:r>
        <w:rPr>
          <w:color w:val="000000"/>
          <w:spacing w:val="0"/>
          <w:w w:val="100"/>
          <w:position w:val="0"/>
        </w:rPr>
        <w:t>一项交易单独考虑时是不经济的，但是和其他交易一并考虑时是经济的。</w:t>
      </w:r>
    </w:p>
    <w:p>
      <w:pPr>
        <w:pStyle w:val="Style24"/>
        <w:keepNext w:val="0"/>
        <w:keepLines w:val="0"/>
        <w:widowControl w:val="0"/>
        <w:numPr>
          <w:ilvl w:val="0"/>
          <w:numId w:val="9"/>
        </w:numPr>
        <w:shd w:val="clear" w:color="auto" w:fill="auto"/>
        <w:tabs>
          <w:tab w:pos="548" w:val="left"/>
        </w:tabs>
        <w:bidi w:val="0"/>
        <w:spacing w:before="0" w:after="0" w:line="314" w:lineRule="exact"/>
        <w:ind w:left="0" w:right="0" w:firstLine="200"/>
        <w:jc w:val="left"/>
      </w:pPr>
      <w:bookmarkStart w:id="729" w:name="bookmark729"/>
      <w:bookmarkEnd w:id="729"/>
      <w:r>
        <w:rPr>
          <w:color w:val="000000"/>
          <w:spacing w:val="0"/>
          <w:w w:val="100"/>
          <w:position w:val="0"/>
        </w:rPr>
        <w:t>购买子公司少数股权</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公司因购买少数股权新取得的长期股权投资与按照新增持股比例计算应享有子公司自购买日（或合并日）开始持续计算 的可辨认净资产份额之间的差额，调整合并资产负债表中的资本公积中的资本溢价或股本溢价，资本公积中的资本溢价或股 本溢价不足冲减的，调整留存收益。</w:t>
      </w:r>
    </w:p>
    <w:p>
      <w:pPr>
        <w:pStyle w:val="Style24"/>
        <w:keepNext w:val="0"/>
        <w:keepLines w:val="0"/>
        <w:widowControl w:val="0"/>
        <w:numPr>
          <w:ilvl w:val="0"/>
          <w:numId w:val="9"/>
        </w:numPr>
        <w:shd w:val="clear" w:color="auto" w:fill="auto"/>
        <w:tabs>
          <w:tab w:pos="548" w:val="left"/>
        </w:tabs>
        <w:bidi w:val="0"/>
        <w:spacing w:before="0" w:after="0" w:line="314" w:lineRule="exact"/>
        <w:ind w:left="0" w:right="0" w:firstLine="200"/>
        <w:jc w:val="both"/>
      </w:pPr>
      <w:bookmarkStart w:id="730" w:name="bookmark730"/>
      <w:bookmarkEnd w:id="730"/>
      <w:r>
        <w:rPr>
          <w:color w:val="000000"/>
          <w:spacing w:val="0"/>
          <w:w w:val="100"/>
          <w:position w:val="0"/>
        </w:rPr>
        <w:t>不丧失控制权的情况下部分处置对子公司的股权投资</w:t>
      </w:r>
    </w:p>
    <w:p>
      <w:pPr>
        <w:pStyle w:val="Style24"/>
        <w:keepNext w:val="0"/>
        <w:keepLines w:val="0"/>
        <w:widowControl w:val="0"/>
        <w:shd w:val="clear" w:color="auto" w:fill="auto"/>
        <w:bidi w:val="0"/>
        <w:spacing w:before="0" w:after="660" w:line="314" w:lineRule="exact"/>
        <w:ind w:left="0" w:right="0" w:firstLine="380"/>
        <w:jc w:val="left"/>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司自购买日或合并日开始持续计算的净资产份额之间的差额，调整合并资产负债表中的资本公积中的资本溢价或股本溢价， 资本公积中的资本溢价或股本溢价不足冲减的，调整留存收益。</w:t>
      </w:r>
    </w:p>
    <w:p>
      <w:pPr>
        <w:pStyle w:val="Style33"/>
        <w:keepNext/>
        <w:keepLines/>
        <w:widowControl w:val="0"/>
        <w:shd w:val="clear" w:color="auto" w:fill="auto"/>
        <w:bidi w:val="0"/>
        <w:spacing w:before="0" w:after="2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7</w:t>
      </w:r>
      <w:bookmarkEnd w:id="733"/>
      <w:r>
        <w:rPr>
          <w:color w:val="000000"/>
          <w:spacing w:val="0"/>
          <w:w w:val="100"/>
          <w:position w:val="0"/>
        </w:rPr>
        <w:t>、合营安排分类及共同经营会计处理方法</w:t>
      </w:r>
      <w:bookmarkEnd w:id="731"/>
      <w:bookmarkEnd w:id="732"/>
      <w:bookmarkEnd w:id="734"/>
    </w:p>
    <w:p>
      <w:pPr>
        <w:pStyle w:val="Style24"/>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合营安排是指一项由两个或两个以上的参与方共同控制的安排。合营安排分为共同经营和合营企业。</w:t>
      </w:r>
    </w:p>
    <w:p>
      <w:pPr>
        <w:pStyle w:val="Style24"/>
        <w:keepNext w:val="0"/>
        <w:keepLines w:val="0"/>
        <w:widowControl w:val="0"/>
        <w:shd w:val="clear" w:color="auto" w:fill="auto"/>
        <w:bidi w:val="0"/>
        <w:spacing w:before="0" w:after="0" w:line="317" w:lineRule="exact"/>
        <w:ind w:left="0" w:right="0" w:firstLine="200"/>
        <w:jc w:val="both"/>
      </w:pPr>
      <w:r>
        <w:rPr>
          <w:color w:val="000000"/>
          <w:spacing w:val="0"/>
          <w:w w:val="100"/>
          <w:position w:val="0"/>
        </w:rPr>
        <w:t>（1）</w:t>
      </w:r>
      <w:r>
        <w:rPr>
          <w:color w:val="000000"/>
          <w:spacing w:val="0"/>
          <w:w w:val="100"/>
          <w:position w:val="0"/>
        </w:rPr>
        <w:t>共同经营是指公司享有该安排相关资产且承担该安排相关负债的合营安排。公司确认与共同经营中利益份额相关的 下列项目：</w:t>
      </w:r>
    </w:p>
    <w:p>
      <w:pPr>
        <w:pStyle w:val="Style24"/>
        <w:keepNext w:val="0"/>
        <w:keepLines w:val="0"/>
        <w:widowControl w:val="0"/>
        <w:numPr>
          <w:ilvl w:val="0"/>
          <w:numId w:val="15"/>
        </w:numPr>
        <w:shd w:val="clear" w:color="auto" w:fill="auto"/>
        <w:bidi w:val="0"/>
        <w:spacing w:before="0" w:after="0" w:line="317" w:lineRule="exact"/>
        <w:ind w:left="0" w:right="0" w:firstLine="380"/>
        <w:jc w:val="both"/>
      </w:pPr>
      <w:bookmarkStart w:id="735" w:name="bookmark735"/>
      <w:bookmarkEnd w:id="735"/>
      <w:r>
        <w:rPr>
          <w:color w:val="000000"/>
          <w:spacing w:val="0"/>
          <w:w w:val="100"/>
          <w:position w:val="0"/>
        </w:rPr>
        <w:t>确认单独所持有的资产，以及按其份额确认共同持有的资产；</w:t>
      </w:r>
    </w:p>
    <w:p>
      <w:pPr>
        <w:pStyle w:val="Style24"/>
        <w:keepNext w:val="0"/>
        <w:keepLines w:val="0"/>
        <w:widowControl w:val="0"/>
        <w:numPr>
          <w:ilvl w:val="0"/>
          <w:numId w:val="15"/>
        </w:numPr>
        <w:shd w:val="clear" w:color="auto" w:fill="auto"/>
        <w:tabs>
          <w:tab w:pos="753" w:val="left"/>
        </w:tabs>
        <w:bidi w:val="0"/>
        <w:spacing w:before="0" w:after="0" w:line="322" w:lineRule="exact"/>
        <w:ind w:left="0" w:right="0" w:firstLine="380"/>
        <w:jc w:val="left"/>
      </w:pPr>
      <w:bookmarkStart w:id="736" w:name="bookmark736"/>
      <w:bookmarkEnd w:id="736"/>
      <w:r>
        <w:rPr>
          <w:color w:val="000000"/>
          <w:spacing w:val="0"/>
          <w:w w:val="100"/>
          <w:position w:val="0"/>
        </w:rPr>
        <w:t>确认单独所承担的负债，以及按其份额确认共同承担的负债；</w:t>
      </w:r>
    </w:p>
    <w:p>
      <w:pPr>
        <w:pStyle w:val="Style24"/>
        <w:keepNext w:val="0"/>
        <w:keepLines w:val="0"/>
        <w:widowControl w:val="0"/>
        <w:numPr>
          <w:ilvl w:val="0"/>
          <w:numId w:val="15"/>
        </w:numPr>
        <w:shd w:val="clear" w:color="auto" w:fill="auto"/>
        <w:tabs>
          <w:tab w:pos="753" w:val="left"/>
        </w:tabs>
        <w:bidi w:val="0"/>
        <w:spacing w:before="0" w:after="0" w:line="322" w:lineRule="exact"/>
        <w:ind w:left="0" w:right="0" w:firstLine="380"/>
        <w:jc w:val="left"/>
      </w:pPr>
      <w:bookmarkStart w:id="737" w:name="bookmark737"/>
      <w:bookmarkEnd w:id="737"/>
      <w:r>
        <w:rPr>
          <w:color w:val="000000"/>
          <w:spacing w:val="0"/>
          <w:w w:val="100"/>
          <w:position w:val="0"/>
        </w:rPr>
        <w:t>确认出售其享有的共同经营产出份额所产生的收入；</w:t>
      </w:r>
    </w:p>
    <w:p>
      <w:pPr>
        <w:pStyle w:val="Style24"/>
        <w:keepNext w:val="0"/>
        <w:keepLines w:val="0"/>
        <w:widowControl w:val="0"/>
        <w:numPr>
          <w:ilvl w:val="0"/>
          <w:numId w:val="15"/>
        </w:numPr>
        <w:shd w:val="clear" w:color="auto" w:fill="auto"/>
        <w:tabs>
          <w:tab w:pos="753" w:val="left"/>
        </w:tabs>
        <w:bidi w:val="0"/>
        <w:spacing w:before="0" w:after="0" w:line="322" w:lineRule="exact"/>
        <w:ind w:left="0" w:right="0" w:firstLine="380"/>
        <w:jc w:val="left"/>
      </w:pPr>
      <w:bookmarkStart w:id="738" w:name="bookmark738"/>
      <w:bookmarkEnd w:id="738"/>
      <w:r>
        <w:rPr>
          <w:color w:val="000000"/>
          <w:spacing w:val="0"/>
          <w:w w:val="100"/>
          <w:position w:val="0"/>
        </w:rPr>
        <w:t>按其份额确认共同经营因出售产出所产生的收入；</w:t>
      </w:r>
    </w:p>
    <w:p>
      <w:pPr>
        <w:pStyle w:val="Style24"/>
        <w:keepNext w:val="0"/>
        <w:keepLines w:val="0"/>
        <w:widowControl w:val="0"/>
        <w:numPr>
          <w:ilvl w:val="0"/>
          <w:numId w:val="15"/>
        </w:numPr>
        <w:shd w:val="clear" w:color="auto" w:fill="auto"/>
        <w:tabs>
          <w:tab w:pos="753" w:val="left"/>
        </w:tabs>
        <w:bidi w:val="0"/>
        <w:spacing w:before="0" w:after="0" w:line="322" w:lineRule="exact"/>
        <w:ind w:left="0" w:right="0" w:firstLine="380"/>
        <w:jc w:val="left"/>
      </w:pPr>
      <w:bookmarkStart w:id="739" w:name="bookmark739"/>
      <w:bookmarkEnd w:id="739"/>
      <w:r>
        <w:rPr>
          <w:color w:val="000000"/>
          <w:spacing w:val="0"/>
          <w:w w:val="100"/>
          <w:position w:val="0"/>
        </w:rPr>
        <w:t>确认单独所发生的费用，以及按其份额确认共同经营发生的费用。</w:t>
      </w:r>
    </w:p>
    <w:p>
      <w:pPr>
        <w:pStyle w:val="Style24"/>
        <w:keepNext w:val="0"/>
        <w:keepLines w:val="0"/>
        <w:widowControl w:val="0"/>
        <w:shd w:val="clear" w:color="auto" w:fill="auto"/>
        <w:bidi w:val="0"/>
        <w:spacing w:before="0" w:after="360" w:line="322" w:lineRule="exact"/>
        <w:ind w:left="0" w:right="0" w:firstLine="200"/>
        <w:jc w:val="both"/>
      </w:pPr>
      <w:r>
        <w:rPr>
          <w:color w:val="000000"/>
          <w:spacing w:val="0"/>
          <w:w w:val="100"/>
          <w:position w:val="0"/>
        </w:rPr>
        <w:t>（2）</w:t>
      </w:r>
      <w:r>
        <w:rPr>
          <w:color w:val="000000"/>
          <w:spacing w:val="0"/>
          <w:w w:val="100"/>
          <w:position w:val="0"/>
        </w:rPr>
        <w:t>合营企业是指公司仅对该安排的净资产享有权利的合营安排。公司按照长期股权投资有关权益法核算的规定对合营 企业的投资进行会计处理。</w:t>
      </w:r>
    </w:p>
    <w:p>
      <w:pPr>
        <w:pStyle w:val="Style33"/>
        <w:keepNext/>
        <w:keepLines/>
        <w:widowControl w:val="0"/>
        <w:shd w:val="clear" w:color="auto" w:fill="auto"/>
        <w:tabs>
          <w:tab w:pos="378" w:val="left"/>
        </w:tabs>
        <w:bidi w:val="0"/>
        <w:spacing w:before="0" w:after="2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8</w:t>
      </w:r>
      <w:bookmarkEnd w:id="742"/>
      <w:r>
        <w:rPr>
          <w:color w:val="000000"/>
          <w:spacing w:val="0"/>
          <w:w w:val="100"/>
          <w:position w:val="0"/>
        </w:rPr>
        <w:t>、</w:t>
        <w:tab/>
        <w:t>现金及现金等价物的确定标准</w:t>
      </w:r>
      <w:bookmarkEnd w:id="740"/>
      <w:bookmarkEnd w:id="741"/>
      <w:bookmarkEnd w:id="743"/>
    </w:p>
    <w:p>
      <w:pPr>
        <w:pStyle w:val="Style24"/>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公司在编制现金流量表时，将公司库存现金以及可以随时用于支付的存款确认为现金。将同时具备期限短（一般指从购 买日起三个月内到期）、流动性强、易于转换为已知现金、价值变动风险很小的投资，确定为现金等价物。受到限制的银行 存款，不作为现金流量表中的现金及现金等价物。</w:t>
      </w:r>
    </w:p>
    <w:p>
      <w:pPr>
        <w:pStyle w:val="Style33"/>
        <w:keepNext/>
        <w:keepLines/>
        <w:widowControl w:val="0"/>
        <w:shd w:val="clear" w:color="auto" w:fill="auto"/>
        <w:tabs>
          <w:tab w:pos="378" w:val="left"/>
        </w:tabs>
        <w:bidi w:val="0"/>
        <w:spacing w:before="0" w:after="2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9</w:t>
      </w:r>
      <w:bookmarkEnd w:id="746"/>
      <w:r>
        <w:rPr>
          <w:color w:val="000000"/>
          <w:spacing w:val="0"/>
          <w:w w:val="100"/>
          <w:position w:val="0"/>
        </w:rPr>
        <w:t>、</w:t>
        <w:tab/>
        <w:t>外币业务和外币报表折算</w:t>
      </w:r>
      <w:bookmarkEnd w:id="744"/>
      <w:bookmarkEnd w:id="745"/>
      <w:bookmarkEnd w:id="747"/>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公司日常核算外币业务按交易发生日的即期汇率将外币金额折算为记账本位币金额入账，每月末对资产负债表之货币资 金、债权债务等货币性项目的外币余额按当日国家外汇市场汇率中间价进行调整，其差额作为“财务费用一汇兑损益”计入 当期损益；属于与购建固定资产有关的借款产生的汇兑损益，按照借款费用资本化的原则进行处理。</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资产负债表中的所有资产、负债类项目均按照资产负债表日国家外汇市场汇率中间价折算为人民币金额；所有者权益类 项目除“未分配利润”项目外，均按发生时的国家外汇市场汇率中间价折算为人民币金额；“未分配利润”项目以折算后的 利润分配表中该项目的人民币金额列示。折算后资产类项目与负债类项目和所有者权益项目合计数的差额，在所有者权益项 目下“其他综合收益”项目列示。</w:t>
      </w:r>
    </w:p>
    <w:p>
      <w:pPr>
        <w:pStyle w:val="Style24"/>
        <w:keepNext w:val="0"/>
        <w:keepLines w:val="0"/>
        <w:widowControl w:val="0"/>
        <w:shd w:val="clear" w:color="auto" w:fill="auto"/>
        <w:bidi w:val="0"/>
        <w:spacing w:before="0" w:after="660" w:line="312" w:lineRule="exact"/>
        <w:ind w:left="0" w:right="0" w:firstLine="380"/>
        <w:jc w:val="both"/>
      </w:pPr>
      <w:r>
        <w:rPr>
          <w:color w:val="000000"/>
          <w:spacing w:val="0"/>
          <w:w w:val="100"/>
          <w:position w:val="0"/>
        </w:rPr>
        <w:t>利润表中所有项目和所有者权益变动表中有关反映发生数的项目采用平均汇率折算为人民币金额;所有者权益变动表中 “年初未分配利润”项目以上一年折算后的期末“未分配利润”项目的金额列示；“未分配利润”项目按折算后的所有者权 益变动表中的其他各项目的金额计算列示。</w:t>
      </w:r>
    </w:p>
    <w:p>
      <w:pPr>
        <w:pStyle w:val="Style33"/>
        <w:keepNext/>
        <w:keepLines/>
        <w:widowControl w:val="0"/>
        <w:shd w:val="clear" w:color="auto" w:fill="auto"/>
        <w:bidi w:val="0"/>
        <w:spacing w:before="0" w:after="2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8"/>
      <w:bookmarkEnd w:id="749"/>
      <w:bookmarkEnd w:id="751"/>
    </w:p>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金融工具，是指形成一方的金融资产并形成其他方的金融负债或权益工具的合同。</w:t>
      </w:r>
    </w:p>
    <w:p>
      <w:pPr>
        <w:pStyle w:val="Style24"/>
        <w:keepNext w:val="0"/>
        <w:keepLines w:val="0"/>
        <w:widowControl w:val="0"/>
        <w:shd w:val="clear" w:color="auto" w:fill="auto"/>
        <w:tabs>
          <w:tab w:pos="645" w:val="left"/>
        </w:tabs>
        <w:bidi w:val="0"/>
        <w:spacing w:before="0" w:after="0" w:line="312" w:lineRule="exact"/>
        <w:ind w:left="0" w:right="0" w:firstLine="200"/>
        <w:jc w:val="left"/>
      </w:pPr>
      <w:bookmarkStart w:id="752" w:name="bookmark752"/>
      <w:r>
        <w:rPr>
          <w:color w:val="000000"/>
          <w:spacing w:val="0"/>
          <w:w w:val="100"/>
          <w:position w:val="0"/>
        </w:rPr>
        <w:t>（</w:t>
      </w:r>
      <w:bookmarkEnd w:id="752"/>
      <w:r>
        <w:rPr>
          <w:color w:val="000000"/>
          <w:spacing w:val="0"/>
          <w:w w:val="100"/>
          <w:position w:val="0"/>
        </w:rPr>
        <w:t>1）</w:t>
        <w:tab/>
      </w:r>
      <w:r>
        <w:rPr>
          <w:color w:val="000000"/>
          <w:spacing w:val="0"/>
          <w:w w:val="100"/>
          <w:position w:val="0"/>
        </w:rPr>
        <w:t>金融工具的确认和终止确认</w:t>
      </w:r>
    </w:p>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当公司成为金融工具合同的一方时，确认相关的金融资产或金融负债。</w:t>
      </w:r>
    </w:p>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金融资产满足下列条件之一的，终止确认：</w:t>
      </w:r>
    </w:p>
    <w:p>
      <w:pPr>
        <w:pStyle w:val="Style24"/>
        <w:keepNext w:val="0"/>
        <w:keepLines w:val="0"/>
        <w:widowControl w:val="0"/>
        <w:numPr>
          <w:ilvl w:val="0"/>
          <w:numId w:val="17"/>
        </w:numPr>
        <w:shd w:val="clear" w:color="auto" w:fill="auto"/>
        <w:tabs>
          <w:tab w:pos="573" w:val="left"/>
        </w:tabs>
        <w:bidi w:val="0"/>
        <w:spacing w:before="0" w:after="0" w:line="312" w:lineRule="exact"/>
        <w:ind w:left="0" w:right="0" w:firstLine="200"/>
        <w:jc w:val="left"/>
      </w:pPr>
      <w:bookmarkStart w:id="753" w:name="bookmark753"/>
      <w:bookmarkEnd w:id="753"/>
      <w:r>
        <w:rPr>
          <w:color w:val="000000"/>
          <w:spacing w:val="0"/>
          <w:w w:val="100"/>
          <w:position w:val="0"/>
        </w:rPr>
        <w:t>收取该金融资产现金流量的合同权利终止；</w:t>
      </w:r>
    </w:p>
    <w:p>
      <w:pPr>
        <w:pStyle w:val="Style24"/>
        <w:keepNext w:val="0"/>
        <w:keepLines w:val="0"/>
        <w:widowControl w:val="0"/>
        <w:numPr>
          <w:ilvl w:val="0"/>
          <w:numId w:val="17"/>
        </w:numPr>
        <w:shd w:val="clear" w:color="auto" w:fill="auto"/>
        <w:tabs>
          <w:tab w:pos="573" w:val="left"/>
        </w:tabs>
        <w:bidi w:val="0"/>
        <w:spacing w:before="0" w:after="0" w:line="312" w:lineRule="exact"/>
        <w:ind w:left="0" w:right="0" w:firstLine="200"/>
        <w:jc w:val="left"/>
      </w:pPr>
      <w:bookmarkStart w:id="754" w:name="bookmark754"/>
      <w:bookmarkEnd w:id="754"/>
      <w:r>
        <w:rPr>
          <w:color w:val="000000"/>
          <w:spacing w:val="0"/>
          <w:w w:val="100"/>
          <w:position w:val="0"/>
        </w:rPr>
        <w:t>该金融资产已转移，且符合下述金融资产转移的终止确认条件。</w:t>
      </w:r>
    </w:p>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金融负债（或其一部分）的现时义务已经解除的，终止确认该金融负债（或该部分金融负债）。公司（借入方）与借出方 之间签订协议，以承担新金融负债方式替换原金融负债，且新金融负债与原金融负债的合同条款实质上不同的，终止确认原 金融负债，并同时确认新金融负债。公司对原金融负债（或其一部分）的合同条款作出实质性修改的，应当终止原金融负债， 同时按照修改后的条款确认一项新的金融负债。</w:t>
      </w:r>
    </w:p>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以常规方式买卖金融资产，按交易日进行会计确认和终止确认。常规方式买卖金融资产，是指按照合同条款规定，在法规 或市场惯例所确定的时间安排来交付金融资产。交易日，是指公司承诺买入或卖出金融资产的日期。</w:t>
      </w:r>
    </w:p>
    <w:p>
      <w:pPr>
        <w:pStyle w:val="Style24"/>
        <w:keepNext w:val="0"/>
        <w:keepLines w:val="0"/>
        <w:widowControl w:val="0"/>
        <w:shd w:val="clear" w:color="auto" w:fill="auto"/>
        <w:tabs>
          <w:tab w:pos="645" w:val="left"/>
        </w:tabs>
        <w:bidi w:val="0"/>
        <w:spacing w:before="0" w:after="0" w:line="312" w:lineRule="exact"/>
        <w:ind w:left="0" w:right="0" w:firstLine="200"/>
        <w:jc w:val="both"/>
      </w:pPr>
      <w:bookmarkStart w:id="755" w:name="bookmark755"/>
      <w:r>
        <w:rPr>
          <w:color w:val="000000"/>
          <w:spacing w:val="0"/>
          <w:w w:val="100"/>
          <w:position w:val="0"/>
        </w:rPr>
        <w:t>（</w:t>
      </w:r>
      <w:bookmarkEnd w:id="755"/>
      <w:r>
        <w:rPr>
          <w:color w:val="000000"/>
          <w:spacing w:val="0"/>
          <w:w w:val="100"/>
          <w:position w:val="0"/>
        </w:rPr>
        <w:t>2）</w:t>
        <w:tab/>
      </w:r>
      <w:r>
        <w:rPr>
          <w:color w:val="000000"/>
          <w:spacing w:val="0"/>
          <w:w w:val="100"/>
          <w:position w:val="0"/>
        </w:rPr>
        <w:t>金融资产的分类与计量</w:t>
      </w:r>
    </w:p>
    <w:p>
      <w:pPr>
        <w:pStyle w:val="Style24"/>
        <w:keepNext w:val="0"/>
        <w:keepLines w:val="0"/>
        <w:widowControl w:val="0"/>
        <w:shd w:val="clear" w:color="auto" w:fill="auto"/>
        <w:bidi w:val="0"/>
        <w:spacing w:before="0" w:after="0" w:line="312" w:lineRule="exact"/>
        <w:ind w:left="0" w:right="0" w:firstLine="200"/>
        <w:jc w:val="both"/>
      </w:pPr>
      <w:r>
        <w:rPr>
          <w:color w:val="000000"/>
          <w:spacing w:val="0"/>
          <w:w w:val="100"/>
          <w:position w:val="0"/>
        </w:rPr>
        <w:t xml:space="preserve">公司在初始确认时根据管理金融资产的业务模式和金融资产的合同现金流量特征，将金融资产分类为：以摊余成本计量的 金融资产、以公允价值计量且其变动计入当期损益的金融资产、以公允价值计量且其变动计入其他综合收益的金融资产。除 非公司改变管理金融资产的业务模式，在此情形下，所有受影响的相关金融资产在业务模式发生变更后的首个报告期间的第 </w:t>
      </w:r>
      <w:r>
        <w:rPr>
          <w:color w:val="000000"/>
          <w:spacing w:val="0"/>
          <w:w w:val="100"/>
          <w:position w:val="0"/>
        </w:rPr>
        <w:t>一天进行重分类，否则金融资产在初始确认后不得进行重分类。</w:t>
      </w:r>
    </w:p>
    <w:p>
      <w:pPr>
        <w:pStyle w:val="Style24"/>
        <w:keepNext w:val="0"/>
        <w:keepLines w:val="0"/>
        <w:widowControl w:val="0"/>
        <w:shd w:val="clear" w:color="auto" w:fill="auto"/>
        <w:bidi w:val="0"/>
        <w:spacing w:before="0" w:after="0" w:line="312" w:lineRule="exact"/>
        <w:ind w:left="0" w:right="0" w:firstLine="200"/>
        <w:jc w:val="both"/>
      </w:pPr>
      <w:r>
        <w:rPr>
          <w:color w:val="000000"/>
          <w:spacing w:val="0"/>
          <w:w w:val="100"/>
          <w:position w:val="0"/>
        </w:rPr>
        <w:t>金融资产在初始确认时以公允价值计量。对于以公允价值计量且其变动计入当期损益的金融资产，相关交易费用直接计入 当期损益，其他类别的金融资产相关交易费用计入其初始确认金额。因销售商品或提供劳务而产生的、未包含或不考虑重大 融资成分的应收票据及应收账款，公司则按照收入准则定义的交易价格进行初始计量。</w:t>
      </w:r>
    </w:p>
    <w:p>
      <w:pPr>
        <w:pStyle w:val="Style24"/>
        <w:keepNext w:val="0"/>
        <w:keepLines w:val="0"/>
        <w:widowControl w:val="0"/>
        <w:shd w:val="clear" w:color="auto" w:fill="auto"/>
        <w:bidi w:val="0"/>
        <w:spacing w:before="0" w:after="0" w:line="312" w:lineRule="exact"/>
        <w:ind w:left="0" w:right="0" w:firstLine="200"/>
        <w:jc w:val="both"/>
      </w:pPr>
      <w:r>
        <w:rPr>
          <w:color w:val="000000"/>
          <w:spacing w:val="0"/>
          <w:w w:val="100"/>
          <w:position w:val="0"/>
        </w:rPr>
        <w:t>金融资产的后续计量取决于其分类：</w:t>
      </w:r>
    </w:p>
    <w:p>
      <w:pPr>
        <w:pStyle w:val="Style24"/>
        <w:keepNext w:val="0"/>
        <w:keepLines w:val="0"/>
        <w:widowControl w:val="0"/>
        <w:numPr>
          <w:ilvl w:val="0"/>
          <w:numId w:val="19"/>
        </w:numPr>
        <w:shd w:val="clear" w:color="auto" w:fill="auto"/>
        <w:tabs>
          <w:tab w:pos="542" w:val="left"/>
        </w:tabs>
        <w:bidi w:val="0"/>
        <w:spacing w:before="0" w:after="0" w:line="312" w:lineRule="exact"/>
        <w:ind w:left="0" w:right="0" w:firstLine="200"/>
        <w:jc w:val="both"/>
      </w:pPr>
      <w:bookmarkStart w:id="756" w:name="bookmark756"/>
      <w:bookmarkEnd w:id="756"/>
      <w:r>
        <w:rPr>
          <w:color w:val="000000"/>
          <w:spacing w:val="0"/>
          <w:w w:val="100"/>
          <w:position w:val="0"/>
        </w:rPr>
        <w:t>以摊余成本计量的金融资产</w:t>
      </w:r>
    </w:p>
    <w:p>
      <w:pPr>
        <w:pStyle w:val="Style24"/>
        <w:keepNext w:val="0"/>
        <w:keepLines w:val="0"/>
        <w:widowControl w:val="0"/>
        <w:shd w:val="clear" w:color="auto" w:fill="auto"/>
        <w:bidi w:val="0"/>
        <w:spacing w:before="0" w:after="0" w:line="312" w:lineRule="exact"/>
        <w:ind w:left="0" w:right="0" w:firstLine="200"/>
        <w:jc w:val="both"/>
      </w:pPr>
      <w:r>
        <w:rPr>
          <w:color w:val="000000"/>
          <w:spacing w:val="0"/>
          <w:w w:val="100"/>
          <w:position w:val="0"/>
        </w:rPr>
        <w:t>金融资产同时符合下列条件的，分类为以摊余成本计量的金融资产：公司管理该金融资产的业务模式是以收取合同现金流 量为目标；该金融资产的合同条款规定，在特定日期产生的现金流量，仅为对本金和以未偿付本金金额为基础的利息的支付。 对于此类金融资产，采用实际利率法，按照摊余成本进行后续计量，其终止确认、按实际利率法摊销或减值产生的利得或损 失，均计入当期损益。</w:t>
      </w:r>
    </w:p>
    <w:p>
      <w:pPr>
        <w:pStyle w:val="Style24"/>
        <w:keepNext w:val="0"/>
        <w:keepLines w:val="0"/>
        <w:widowControl w:val="0"/>
        <w:numPr>
          <w:ilvl w:val="0"/>
          <w:numId w:val="19"/>
        </w:numPr>
        <w:shd w:val="clear" w:color="auto" w:fill="auto"/>
        <w:tabs>
          <w:tab w:pos="542" w:val="left"/>
        </w:tabs>
        <w:bidi w:val="0"/>
        <w:spacing w:before="0" w:after="0" w:line="312" w:lineRule="exact"/>
        <w:ind w:left="0" w:right="0" w:firstLine="200"/>
        <w:jc w:val="both"/>
      </w:pPr>
      <w:bookmarkStart w:id="757" w:name="bookmark757"/>
      <w:bookmarkEnd w:id="757"/>
      <w:r>
        <w:rPr>
          <w:color w:val="000000"/>
          <w:spacing w:val="0"/>
          <w:w w:val="100"/>
          <w:position w:val="0"/>
        </w:rPr>
        <w:t>以公允价值计量且其变动计入其他综合收益的金融资产</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金融资产同时符合下列条件的，分类为以公允价值计量且其变动计入其他综合收益的金融资产：公司管理该金融资产的 业务模式是既以收取合同现金流量为目标又以出售金融资产为目标；该金融资产的合同条款规定，在特定日期产生的现金流 量，仅为对本金和以未偿付本金金额为基础的利息的支付。对于此类金融资产，采用公允价值进行后续计量。除减值损失或 利得及汇兑损益确认为当期损益外，此类金融资产的公允价值变动作为其他综合收益确认，直到该金融资产终止确认时，其 累计利得或损失转入当期损益。但是采用实际利率法计算的该金融资产的相关利息收入计入当期损益。</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公司不可撤销地选择将部分非交易性权益工具投资指定为以公允价值计量且其变动计入其他综合收益的金融资产，仅将 相关股利收入计入当期损益，公允价值变动作为其他综合收益确认，直到该金融资产终止确认时，其累计利得或损失转入留 存收益。</w:t>
      </w:r>
    </w:p>
    <w:p>
      <w:pPr>
        <w:pStyle w:val="Style24"/>
        <w:keepNext w:val="0"/>
        <w:keepLines w:val="0"/>
        <w:widowControl w:val="0"/>
        <w:numPr>
          <w:ilvl w:val="0"/>
          <w:numId w:val="19"/>
        </w:numPr>
        <w:shd w:val="clear" w:color="auto" w:fill="auto"/>
        <w:tabs>
          <w:tab w:pos="542" w:val="left"/>
        </w:tabs>
        <w:bidi w:val="0"/>
        <w:spacing w:before="0" w:after="0" w:line="312" w:lineRule="exact"/>
        <w:ind w:left="0" w:right="0" w:firstLine="200"/>
        <w:jc w:val="both"/>
      </w:pPr>
      <w:bookmarkStart w:id="758" w:name="bookmark758"/>
      <w:bookmarkEnd w:id="758"/>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允价值计量且其变动计入当期损益的金融资产。对于此类金融资产，采用公允价值进行后续计量，所有公允价值变动计入当 期损益。</w:t>
      </w:r>
    </w:p>
    <w:p>
      <w:pPr>
        <w:pStyle w:val="Style24"/>
        <w:keepNext w:val="0"/>
        <w:keepLines w:val="0"/>
        <w:widowControl w:val="0"/>
        <w:shd w:val="clear" w:color="auto" w:fill="auto"/>
        <w:bidi w:val="0"/>
        <w:spacing w:before="0" w:after="0" w:line="312" w:lineRule="exact"/>
        <w:ind w:left="0" w:right="0" w:firstLine="200"/>
        <w:jc w:val="both"/>
      </w:pPr>
      <w:bookmarkStart w:id="759" w:name="bookmark759"/>
      <w:r>
        <w:rPr>
          <w:color w:val="000000"/>
          <w:spacing w:val="0"/>
          <w:w w:val="100"/>
          <w:position w:val="0"/>
        </w:rPr>
        <w:t>（</w:t>
      </w:r>
      <w:bookmarkEnd w:id="759"/>
      <w:r>
        <w:rPr>
          <w:color w:val="000000"/>
          <w:spacing w:val="0"/>
          <w:w w:val="100"/>
          <w:position w:val="0"/>
        </w:rPr>
        <w:t>3）</w:t>
      </w:r>
      <w:r>
        <w:rPr>
          <w:color w:val="000000"/>
          <w:spacing w:val="0"/>
          <w:w w:val="100"/>
          <w:position w:val="0"/>
        </w:rPr>
        <w:t>金融负债的分类与计量</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公司将金融负债分类为以公允价值计量且其变动计入当期损益的金融负债、低于市场利率贷款的贷款承诺及财务担保 合同负债及以摊余成本计量的金融负债。</w:t>
      </w:r>
    </w:p>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金融负债的后续计量取决于其分类：</w:t>
      </w:r>
    </w:p>
    <w:p>
      <w:pPr>
        <w:pStyle w:val="Style24"/>
        <w:keepNext w:val="0"/>
        <w:keepLines w:val="0"/>
        <w:widowControl w:val="0"/>
        <w:numPr>
          <w:ilvl w:val="0"/>
          <w:numId w:val="21"/>
        </w:numPr>
        <w:shd w:val="clear" w:color="auto" w:fill="auto"/>
        <w:tabs>
          <w:tab w:pos="542" w:val="left"/>
        </w:tabs>
        <w:bidi w:val="0"/>
        <w:spacing w:before="0" w:after="0" w:line="312" w:lineRule="exact"/>
        <w:ind w:left="0" w:right="0" w:firstLine="200"/>
        <w:jc w:val="both"/>
      </w:pPr>
      <w:bookmarkStart w:id="760" w:name="bookmark760"/>
      <w:bookmarkEnd w:id="760"/>
      <w:r>
        <w:rPr>
          <w:color w:val="000000"/>
          <w:spacing w:val="0"/>
          <w:w w:val="100"/>
          <w:position w:val="0"/>
        </w:rPr>
        <w:t>以公允价值计量且其变动计入当期损益的金融负债</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该类金融负债包括交易性金融负债（含属于金融负债的衍生工具）和指定为以公允价值计量且其变动计入当期损益的金 融负债。初始确认后，对于该类金融负债以公允价值进行后续计量，除与套期会计有关外，产生的利得或损失（包括利息费 用）计入当期损益。但公司对指定为以公允价值计量且其变动计入当期损益的金融负债，由其自身信用风险变动引起的该金 融负债公允价值的变动金额计入其他综合收益，当该金融负债终止确认时，之前计入其他综合收益的累计利得和损失应当从 其他综合收益中转出，计入留存收益。</w:t>
      </w:r>
    </w:p>
    <w:p>
      <w:pPr>
        <w:pStyle w:val="Style24"/>
        <w:keepNext w:val="0"/>
        <w:keepLines w:val="0"/>
        <w:widowControl w:val="0"/>
        <w:numPr>
          <w:ilvl w:val="0"/>
          <w:numId w:val="21"/>
        </w:numPr>
        <w:shd w:val="clear" w:color="auto" w:fill="auto"/>
        <w:tabs>
          <w:tab w:pos="542" w:val="left"/>
        </w:tabs>
        <w:bidi w:val="0"/>
        <w:spacing w:before="0" w:after="0" w:line="312" w:lineRule="exact"/>
        <w:ind w:left="0" w:right="0" w:firstLine="200"/>
        <w:jc w:val="both"/>
      </w:pPr>
      <w:bookmarkStart w:id="761" w:name="bookmark761"/>
      <w:bookmarkEnd w:id="761"/>
      <w:r>
        <w:rPr>
          <w:color w:val="000000"/>
          <w:spacing w:val="0"/>
          <w:w w:val="100"/>
          <w:position w:val="0"/>
        </w:rPr>
        <w:t>贷款承诺及财务担保合同负债</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贷款承诺是公司向客户提供的一项在承诺期间内以既定的合同条款向客户发放贷款的承诺。贷款承诺按照预期信用损失 模型计提减值损失。</w:t>
      </w:r>
    </w:p>
    <w:p>
      <w:pPr>
        <w:pStyle w:val="Style24"/>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财务担保合同指，当特定债务人到期不能按照最初或修改后的债务工具条款偿付债务时，要求公司向蒙受损失的合同持 有人赔付特定金额的合同。财务担保合同负债以按照依据金融工具的减值原则所确定的损失准备金额以及初始确认金额扣除 按收入确认原则确定的累计摊销额后的余额孰高进行后续计量。</w:t>
      </w:r>
    </w:p>
    <w:p>
      <w:pPr>
        <w:pStyle w:val="Style24"/>
        <w:keepNext w:val="0"/>
        <w:keepLines w:val="0"/>
        <w:widowControl w:val="0"/>
        <w:numPr>
          <w:ilvl w:val="0"/>
          <w:numId w:val="21"/>
        </w:numPr>
        <w:shd w:val="clear" w:color="auto" w:fill="auto"/>
        <w:tabs>
          <w:tab w:pos="542" w:val="left"/>
        </w:tabs>
        <w:bidi w:val="0"/>
        <w:spacing w:before="0" w:after="0" w:line="312" w:lineRule="exact"/>
        <w:ind w:left="0" w:right="0" w:firstLine="200"/>
        <w:jc w:val="both"/>
      </w:pPr>
      <w:bookmarkStart w:id="762" w:name="bookmark762"/>
      <w:bookmarkEnd w:id="762"/>
      <w:r>
        <w:rPr>
          <w:color w:val="000000"/>
          <w:spacing w:val="0"/>
          <w:w w:val="100"/>
          <w:position w:val="0"/>
        </w:rPr>
        <w:t>以摊余成本计量的金融负债</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初始确认后，对其他金融负债采用实际利率法以摊余成本计量。</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除特殊情况外，金融负债与权益工具按照下列原则进行区分：</w:t>
      </w:r>
    </w:p>
    <w:p>
      <w:pPr>
        <w:pStyle w:val="Style24"/>
        <w:keepNext w:val="0"/>
        <w:keepLines w:val="0"/>
        <w:widowControl w:val="0"/>
        <w:numPr>
          <w:ilvl w:val="0"/>
          <w:numId w:val="23"/>
        </w:numPr>
        <w:shd w:val="clear" w:color="auto" w:fill="auto"/>
        <w:bidi w:val="0"/>
        <w:spacing w:before="0" w:after="0" w:line="312" w:lineRule="exact"/>
        <w:ind w:left="0" w:right="0" w:firstLine="200"/>
        <w:jc w:val="both"/>
      </w:pPr>
      <w:bookmarkStart w:id="763" w:name="bookmark763"/>
      <w:bookmarkEnd w:id="763"/>
      <w:r>
        <w:rPr>
          <w:color w:val="000000"/>
          <w:spacing w:val="0"/>
          <w:w w:val="100"/>
          <w:position w:val="0"/>
        </w:rPr>
        <w:t xml:space="preserve">如果公司不能无条件地避免以交付现金或其他金融资产来履行一项合同义务，则该合同义务符合金融负债的定义。有些 </w:t>
      </w:r>
      <w:r>
        <w:rPr>
          <w:color w:val="000000"/>
          <w:spacing w:val="0"/>
          <w:w w:val="100"/>
          <w:position w:val="0"/>
        </w:rPr>
        <w:t>金融工具虽然没有明确地包含交付现金或其他金融资产义务的条款和条件，但有可能通过其他条款和条件间接地形成合同义 务。</w:t>
      </w:r>
    </w:p>
    <w:p>
      <w:pPr>
        <w:pStyle w:val="Style24"/>
        <w:keepNext w:val="0"/>
        <w:keepLines w:val="0"/>
        <w:widowControl w:val="0"/>
        <w:numPr>
          <w:ilvl w:val="0"/>
          <w:numId w:val="23"/>
        </w:numPr>
        <w:shd w:val="clear" w:color="auto" w:fill="auto"/>
        <w:bidi w:val="0"/>
        <w:spacing w:before="0" w:after="0" w:line="313" w:lineRule="exact"/>
        <w:ind w:left="0" w:right="0" w:firstLine="200"/>
        <w:jc w:val="both"/>
      </w:pPr>
      <w:bookmarkStart w:id="764" w:name="bookmark764"/>
      <w:bookmarkEnd w:id="764"/>
      <w:r>
        <w:rPr>
          <w:color w:val="000000"/>
          <w:spacing w:val="0"/>
          <w:w w:val="100"/>
          <w:position w:val="0"/>
        </w:rPr>
        <w:t>如果一项金融工具须用或可用公司自身权益工具进行结算，需要考虑用于结算该工具的公司自身权益工具，是作为现金 或其他金融资产的替代品，还是为了使该工具持有方享有在发行方扣除所有负债后的资产中的剩余权益。如果是前者，该工 具是发行方的金融负债；如果是后者，该工具是发行方的权益工具。在某些情况下，一项金融工具合同规定公司须用或可用 自身权益工具结算该金融工具，其中合同权利或合同义务的金额等于可获取或需交付的自身权益工具的数量乘以其结算时的 公允价值，则无论该合同权利或合同义务的金额是固定的，还是完全或部分地基于除公司自身权益工具的市场价格以外变量 （例如利率、某种商品的价格或某项金融工具的价格）的变动而变动，该合同分类为金融负债。</w:t>
      </w:r>
    </w:p>
    <w:p>
      <w:pPr>
        <w:pStyle w:val="Style24"/>
        <w:keepNext w:val="0"/>
        <w:keepLines w:val="0"/>
        <w:widowControl w:val="0"/>
        <w:shd w:val="clear" w:color="auto" w:fill="auto"/>
        <w:tabs>
          <w:tab w:pos="585" w:val="left"/>
        </w:tabs>
        <w:bidi w:val="0"/>
        <w:spacing w:before="0" w:after="0" w:line="313" w:lineRule="exact"/>
        <w:ind w:left="0" w:right="0" w:firstLine="200"/>
        <w:jc w:val="both"/>
      </w:pPr>
      <w:bookmarkStart w:id="765" w:name="bookmark765"/>
      <w:r>
        <w:rPr>
          <w:color w:val="000000"/>
          <w:spacing w:val="0"/>
          <w:w w:val="100"/>
          <w:position w:val="0"/>
        </w:rPr>
        <w:t>（</w:t>
      </w:r>
      <w:bookmarkEnd w:id="765"/>
      <w:r>
        <w:rPr>
          <w:color w:val="000000"/>
          <w:spacing w:val="0"/>
          <w:w w:val="100"/>
          <w:position w:val="0"/>
        </w:rPr>
        <w:t>4）</w:t>
        <w:tab/>
      </w:r>
      <w:r>
        <w:rPr>
          <w:color w:val="000000"/>
          <w:spacing w:val="0"/>
          <w:w w:val="100"/>
          <w:position w:val="0"/>
        </w:rPr>
        <w:t>衍生金融工具及嵌入衍生工具</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衍生金融工具以衍生交易合同签订当日的公允价值进行初始计量，并以其公允价值进行后续计量。公允价值为正数的 衍生金融工具确认为一项资产，公允价值为负数的确认为一项负债。</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除现金流量套期中属于套期有效的部分计入其他综合收益并于被套期项目影响损益时转出计入当期损益之外，衍生工 具公允价值变动而产生的利得或损失，直接计入当期损益。</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对包含嵌入衍生工具的混合工具，如主合同为金融资产的，混合工具作为一个整体适用金融资产分类的相关规定。如 主合同并非金融资产，且该混合工具不是以公允价值计量且其变动计入当期损益进行会计处理，嵌入衍生工具与该主合同在 经济特征及风险方面不存在紧密关系，且与嵌入衍生工具条件相同、单独存在的工具符合衍生工具定义的，嵌入衍生工具从 混合工具中拆分，作为单独的衍生金融工具处理。如果该嵌入衍生工具在取得日或后续资产负债表日的公允价值无法单独计 量，则将混合工具整体指定为以公允价值计量且其变动计入当期损益的金融资产或金融负债。</w:t>
      </w:r>
    </w:p>
    <w:p>
      <w:pPr>
        <w:pStyle w:val="Style24"/>
        <w:keepNext w:val="0"/>
        <w:keepLines w:val="0"/>
        <w:widowControl w:val="0"/>
        <w:shd w:val="clear" w:color="auto" w:fill="auto"/>
        <w:tabs>
          <w:tab w:pos="565" w:val="left"/>
        </w:tabs>
        <w:bidi w:val="0"/>
        <w:spacing w:before="0" w:after="0" w:line="313" w:lineRule="exact"/>
        <w:ind w:left="0" w:right="0" w:firstLine="180"/>
        <w:jc w:val="both"/>
      </w:pPr>
      <w:bookmarkStart w:id="766" w:name="bookmark766"/>
      <w:r>
        <w:rPr>
          <w:color w:val="000000"/>
          <w:spacing w:val="0"/>
          <w:w w:val="100"/>
          <w:position w:val="0"/>
        </w:rPr>
        <w:t>（</w:t>
      </w:r>
      <w:bookmarkEnd w:id="766"/>
      <w:r>
        <w:rPr>
          <w:color w:val="000000"/>
          <w:spacing w:val="0"/>
          <w:w w:val="100"/>
          <w:position w:val="0"/>
        </w:rPr>
        <w:t>5）</w:t>
        <w:tab/>
      </w:r>
      <w:r>
        <w:rPr>
          <w:color w:val="000000"/>
          <w:spacing w:val="0"/>
          <w:w w:val="100"/>
          <w:position w:val="0"/>
        </w:rPr>
        <w:t>金融工具减值</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公司对于以摊余成本计量的金融资产、以公允价值计量且其变动计入其他综合收益的债权投资、合同资产、租赁应收 款、贷款承诺及财务担保合同等，以预期信用损失为基础确认损失准备。</w:t>
      </w:r>
    </w:p>
    <w:p>
      <w:pPr>
        <w:pStyle w:val="Style24"/>
        <w:keepNext w:val="0"/>
        <w:keepLines w:val="0"/>
        <w:widowControl w:val="0"/>
        <w:shd w:val="clear" w:color="auto" w:fill="auto"/>
        <w:bidi w:val="0"/>
        <w:spacing w:before="0" w:after="0" w:line="313" w:lineRule="exact"/>
        <w:ind w:left="0" w:right="0" w:firstLine="180"/>
        <w:jc w:val="both"/>
      </w:pPr>
      <w:r>
        <w:rPr>
          <w:color w:val="000000"/>
          <w:spacing w:val="0"/>
          <w:w w:val="100"/>
          <w:position w:val="0"/>
        </w:rPr>
        <w:t>①预期信用损失的计量</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预期信用损失，是指以发生违约的风险为权重的金融工具信用损失的加权平均值。信用损失，是指公司按照原实际利率 折现的、根据合同应收的所有合同现金流量与预期收取的所有现金流量之间的差额，即全部现金短缺的现值。其中，对于公 司购买或源生的已发生信用减值的金融资产，应按照该金融资产经信用调整的实际利率折现。</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未来</w:t>
      </w:r>
      <w:r>
        <w:rPr>
          <w:color w:val="000000"/>
          <w:spacing w:val="0"/>
          <w:w w:val="100"/>
          <w:position w:val="0"/>
        </w:rPr>
        <w:t>12</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个月内（若金融工具的预计存续期少于</w:t>
      </w:r>
      <w:r>
        <w:rPr>
          <w:color w:val="000000"/>
          <w:spacing w:val="0"/>
          <w:w w:val="100"/>
          <w:position w:val="0"/>
        </w:rPr>
        <w:t>12</w:t>
      </w:r>
      <w:r>
        <w:rPr>
          <w:color w:val="000000"/>
          <w:spacing w:val="0"/>
          <w:w w:val="100"/>
          <w:position w:val="0"/>
        </w:rPr>
        <w:t>个月，则为预计存续期） 可能发生的金融工具违约事件而导致的预期信用损失，是整个存续期预期信用损失的一部分。</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于每个资产负债表日，公司对于处于不同阶段的金融工具的预期信用损失分别进行计量。金融工具自初始确认后信用风 险未显著增加的，处于第一阶段，公司按照未来</w:t>
      </w:r>
      <w:r>
        <w:rPr>
          <w:color w:val="000000"/>
          <w:spacing w:val="0"/>
          <w:w w:val="100"/>
          <w:position w:val="0"/>
        </w:rPr>
        <w:t>12</w:t>
      </w:r>
      <w:r>
        <w:rPr>
          <w:color w:val="000000"/>
          <w:spacing w:val="0"/>
          <w:w w:val="100"/>
          <w:position w:val="0"/>
        </w:rPr>
        <w:t>个月内的预期信用损失计量损失准备；金融工具自初始确认后信用风险已 显著增加但尚未发生信用减值的，处于第二阶段，公司按照该工具整个存续期的预期信用损失计量损失准备；金融工具自初 始确认后已经发生信用减值的，处于第三阶段，公司按照该工具整个存续期的预期信用损失计量损失准备。</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对于在资产负债表日具有较低信用风险的金融工具，公司假设其信用风险自初始确认后并未显著增加，按照未来</w:t>
      </w:r>
      <w:r>
        <w:rPr>
          <w:color w:val="000000"/>
          <w:spacing w:val="0"/>
          <w:w w:val="100"/>
          <w:position w:val="0"/>
        </w:rPr>
        <w:t>12</w:t>
      </w:r>
      <w:r>
        <w:rPr>
          <w:color w:val="000000"/>
          <w:spacing w:val="0"/>
          <w:w w:val="100"/>
          <w:position w:val="0"/>
        </w:rPr>
        <w:t>个月 内的预期信用损失计量损失准备。</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公司对于处于第一阶段和第二阶段、以及较低信用风险的金融工具，按照其未扣除减值准备的账面余额和实际利率计算 利息收入。对于处于第三阶段的金融工具，按照其账面余额减已计提减值准备后的摊余成本和实际利率计算利息收入。</w:t>
      </w:r>
    </w:p>
    <w:p>
      <w:pPr>
        <w:pStyle w:val="Style24"/>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对于应收票据、应收账款、应收款项融资及合同资产，无论是否存在重大融资成分，公司均按照整个存续期的预期信用 损失计量损失准备。</w:t>
      </w:r>
    </w:p>
    <w:p>
      <w:pPr>
        <w:pStyle w:val="Style24"/>
        <w:keepNext w:val="0"/>
        <w:keepLines w:val="0"/>
        <w:widowControl w:val="0"/>
        <w:shd w:val="clear" w:color="auto" w:fill="auto"/>
        <w:bidi w:val="0"/>
        <w:spacing w:before="0" w:after="0" w:line="310" w:lineRule="exact"/>
        <w:ind w:left="0" w:right="0" w:firstLine="180"/>
        <w:jc w:val="both"/>
      </w:pPr>
      <w:r>
        <w:rPr>
          <w:color w:val="000000"/>
          <w:spacing w:val="0"/>
          <w:w w:val="100"/>
          <w:position w:val="0"/>
        </w:rPr>
        <w:t>A,</w:t>
      </w:r>
      <w:r>
        <w:rPr>
          <w:color w:val="000000"/>
          <w:spacing w:val="0"/>
          <w:w w:val="100"/>
          <w:position w:val="0"/>
        </w:rPr>
        <w:t>应收款项/合同资产</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 xml:space="preserve">对于存在客观证据表明存在减值，以及其他适用于单项评估的应收票据、应收账款，其他应收款、应收款项融资、合同 资产及长期应收款等单独进行减值测试，确认预期信用损失，计提单项减值准备。对于不存在减值客观证据的应收票据、应 收账款、其他应收款、应收款项融资、合同资产及长期应收款或当单项金融资产无法以合理成本评估预期信用损失的信息时， 公司依据信用风险特征将应收票据、应收账款、其他应收款、应收款项融资、合同资产及长期应收款等划分为若干组合，在 </w:t>
      </w:r>
      <w:r>
        <w:rPr>
          <w:color w:val="000000"/>
          <w:spacing w:val="0"/>
          <w:w w:val="100"/>
          <w:position w:val="0"/>
        </w:rPr>
        <w:t>组合基础上计算预期信用损失，确定组合的依据如下：</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应收票据确定组合的依据如下：</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应收票据组合</w:t>
      </w:r>
      <w:r>
        <w:rPr>
          <w:color w:val="000000"/>
          <w:spacing w:val="0"/>
          <w:w w:val="100"/>
          <w:position w:val="0"/>
        </w:rPr>
        <w:t>1</w:t>
      </w:r>
      <w:r>
        <w:rPr>
          <w:color w:val="000000"/>
          <w:spacing w:val="0"/>
          <w:w w:val="100"/>
          <w:position w:val="0"/>
        </w:rPr>
        <w:t>银行承兑汇票</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应收票据组合</w:t>
      </w:r>
      <w:r>
        <w:rPr>
          <w:color w:val="000000"/>
          <w:spacing w:val="0"/>
          <w:w w:val="100"/>
          <w:position w:val="0"/>
        </w:rPr>
        <w:t>2</w:t>
      </w:r>
      <w:r>
        <w:rPr>
          <w:color w:val="000000"/>
          <w:spacing w:val="0"/>
          <w:w w:val="100"/>
          <w:position w:val="0"/>
        </w:rPr>
        <w:t>商业承兑汇票</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对于划分为组合的应收票据，公司参考历史信用损失经验，结合当前状况以及对未来经济状况的预测，通过违约风险敞口 和整个存续期预期信用损失率，计算预期信用损失。</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应收账款确定组合的依据如下：</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应收账款组合</w:t>
      </w:r>
      <w:r>
        <w:rPr>
          <w:color w:val="000000"/>
          <w:spacing w:val="0"/>
          <w:w w:val="100"/>
          <w:position w:val="0"/>
        </w:rPr>
        <w:t>1</w:t>
      </w:r>
      <w:r>
        <w:rPr>
          <w:color w:val="000000"/>
          <w:spacing w:val="0"/>
          <w:w w:val="100"/>
          <w:position w:val="0"/>
        </w:rPr>
        <w:t>国内客户组合</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应收账款组合</w:t>
      </w:r>
      <w:r>
        <w:rPr>
          <w:color w:val="000000"/>
          <w:spacing w:val="0"/>
          <w:w w:val="100"/>
          <w:position w:val="0"/>
        </w:rPr>
        <w:t>2</w:t>
      </w:r>
      <w:r>
        <w:rPr>
          <w:color w:val="000000"/>
          <w:spacing w:val="0"/>
          <w:w w:val="100"/>
          <w:position w:val="0"/>
        </w:rPr>
        <w:t>国外客户组合</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应收账款组合</w:t>
      </w:r>
      <w:r>
        <w:rPr>
          <w:color w:val="000000"/>
          <w:spacing w:val="0"/>
          <w:w w:val="100"/>
          <w:position w:val="0"/>
        </w:rPr>
        <w:t>3</w:t>
      </w:r>
      <w:r>
        <w:rPr>
          <w:color w:val="000000"/>
          <w:spacing w:val="0"/>
          <w:w w:val="100"/>
          <w:position w:val="0"/>
        </w:rPr>
        <w:t>内部往来组合</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对于划分为组合的应收账款，公司参考历史信用损失经验，结合当前状况以及对未来经济状况的预测，编制应收账款账龄 与整个存续期预期信用损失率对照表，计算预期信用损失。</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其他应收款确定组合的依据如下：</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其他应收款组合</w:t>
      </w:r>
      <w:r>
        <w:rPr>
          <w:color w:val="000000"/>
          <w:spacing w:val="0"/>
          <w:w w:val="100"/>
          <w:position w:val="0"/>
        </w:rPr>
        <w:t>1</w:t>
      </w:r>
      <w:r>
        <w:rPr>
          <w:color w:val="000000"/>
          <w:spacing w:val="0"/>
          <w:w w:val="100"/>
          <w:position w:val="0"/>
        </w:rPr>
        <w:t>押金、保证金及备用金</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其他应收款组合</w:t>
      </w:r>
      <w:r>
        <w:rPr>
          <w:color w:val="000000"/>
          <w:spacing w:val="0"/>
          <w:w w:val="100"/>
          <w:position w:val="0"/>
        </w:rPr>
        <w:t xml:space="preserve">2 </w:t>
      </w:r>
      <w:r>
        <w:rPr>
          <w:color w:val="000000"/>
          <w:spacing w:val="0"/>
          <w:w w:val="100"/>
          <w:position w:val="0"/>
        </w:rPr>
        <w:t>内部往来款</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对于划分为组合的其他应收款，公司参考历史信用损失经验，结合当前状况以及对未来经济状况的预测，通过违约风险敞 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应收款项融资确定组合的依据如下：</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应收款项融资组合银行承兑汇票</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对于划分为组合的应收款项融资，公司参考历史信用损失经验，结合当前状况以及对未来经济状况的预测，通过违约风险 敞口和整个存续期预期信用损失率，计算预期信用损失。</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合同资产确定组合的依据如下：</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合同资产组合</w:t>
      </w:r>
      <w:r>
        <w:rPr>
          <w:color w:val="000000"/>
          <w:spacing w:val="0"/>
          <w:w w:val="100"/>
          <w:position w:val="0"/>
        </w:rPr>
        <w:t>1</w:t>
      </w:r>
      <w:r>
        <w:rPr>
          <w:color w:val="000000"/>
          <w:spacing w:val="0"/>
          <w:w w:val="100"/>
          <w:position w:val="0"/>
        </w:rPr>
        <w:t>国内客户组合</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合同资产组合</w:t>
      </w:r>
      <w:r>
        <w:rPr>
          <w:color w:val="000000"/>
          <w:spacing w:val="0"/>
          <w:w w:val="100"/>
          <w:position w:val="0"/>
        </w:rPr>
        <w:t xml:space="preserve">2 </w:t>
      </w:r>
      <w:r>
        <w:rPr>
          <w:color w:val="000000"/>
          <w:spacing w:val="0"/>
          <w:w w:val="100"/>
          <w:position w:val="0"/>
        </w:rPr>
        <w:t>国外客户组合</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对于划分为组合的合同资产，公司参考历史信用损失经验，结合当前状况以及对未来经济状况的预测，通过违约风险敞口 与整个存续期预期信用损失率，计算预期信用损失。</w:t>
      </w:r>
    </w:p>
    <w:p>
      <w:pPr>
        <w:pStyle w:val="Style24"/>
        <w:keepNext w:val="0"/>
        <w:keepLines w:val="0"/>
        <w:widowControl w:val="0"/>
        <w:numPr>
          <w:ilvl w:val="0"/>
          <w:numId w:val="25"/>
        </w:numPr>
        <w:shd w:val="clear" w:color="auto" w:fill="auto"/>
        <w:tabs>
          <w:tab w:pos="573" w:val="left"/>
        </w:tabs>
        <w:bidi w:val="0"/>
        <w:spacing w:before="0" w:after="0" w:line="314" w:lineRule="exact"/>
        <w:ind w:left="0" w:right="0" w:firstLine="200"/>
        <w:jc w:val="left"/>
      </w:pPr>
      <w:bookmarkStart w:id="767" w:name="bookmark767"/>
      <w:bookmarkEnd w:id="767"/>
      <w:r>
        <w:rPr>
          <w:color w:val="000000"/>
          <w:spacing w:val="0"/>
          <w:w w:val="100"/>
          <w:position w:val="0"/>
        </w:rPr>
        <w:t>具有较低的信用风险</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如果金融工具的违约风险较低，借款人在短期内履行其合同现金流量义务的能力很强，并且即便较长时期内经济形势和经 营环境存在不利变化但未必一定降低借款人履行其合同现金流量义务的能力，该金融工具被视为具有较低的信用风险。</w:t>
      </w:r>
    </w:p>
    <w:p>
      <w:pPr>
        <w:pStyle w:val="Style24"/>
        <w:keepNext w:val="0"/>
        <w:keepLines w:val="0"/>
        <w:widowControl w:val="0"/>
        <w:numPr>
          <w:ilvl w:val="0"/>
          <w:numId w:val="25"/>
        </w:numPr>
        <w:shd w:val="clear" w:color="auto" w:fill="auto"/>
        <w:tabs>
          <w:tab w:pos="573" w:val="left"/>
        </w:tabs>
        <w:bidi w:val="0"/>
        <w:spacing w:before="0" w:after="0" w:line="314" w:lineRule="exact"/>
        <w:ind w:left="0" w:right="0" w:firstLine="200"/>
        <w:jc w:val="left"/>
      </w:pPr>
      <w:bookmarkStart w:id="768" w:name="bookmark768"/>
      <w:bookmarkEnd w:id="768"/>
      <w:r>
        <w:rPr>
          <w:color w:val="000000"/>
          <w:spacing w:val="0"/>
          <w:w w:val="100"/>
          <w:position w:val="0"/>
        </w:rPr>
        <w:t>信用风险显著增加</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公司通过比较金融工具在资产负债表日所确定的预计存续期内的违约概率与在初始确认时所确定的预计存续期内的违约 概率，以确定金融工具预计存续期内发生违约概率的相对变化，以评估金融工具的信用风险自初始确认后是否已显著增加。</w:t>
      </w:r>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在确定信用风险自初始确认后是否显著增加时，公司考虑无须付出不必要的额外成本或努力即可获得的合理且有依据的信 息，包括前瞻性信息。公司考虑的信息包括：</w:t>
      </w:r>
    </w:p>
    <w:p>
      <w:pPr>
        <w:pStyle w:val="Style24"/>
        <w:keepNext w:val="0"/>
        <w:keepLines w:val="0"/>
        <w:widowControl w:val="0"/>
        <w:numPr>
          <w:ilvl w:val="0"/>
          <w:numId w:val="27"/>
        </w:numPr>
        <w:shd w:val="clear" w:color="auto" w:fill="auto"/>
        <w:tabs>
          <w:tab w:pos="525" w:val="left"/>
        </w:tabs>
        <w:bidi w:val="0"/>
        <w:spacing w:before="0" w:after="0" w:line="314" w:lineRule="exact"/>
        <w:ind w:left="0" w:right="0" w:firstLine="200"/>
        <w:jc w:val="left"/>
      </w:pPr>
      <w:bookmarkStart w:id="769" w:name="bookmark769"/>
      <w:bookmarkEnd w:id="769"/>
      <w:r>
        <w:rPr>
          <w:color w:val="000000"/>
          <w:spacing w:val="0"/>
          <w:w w:val="100"/>
          <w:position w:val="0"/>
        </w:rPr>
        <w:t>信用风险变化所导致的内部价格指标是否发生显著变化；</w:t>
      </w:r>
    </w:p>
    <w:p>
      <w:pPr>
        <w:pStyle w:val="Style24"/>
        <w:keepNext w:val="0"/>
        <w:keepLines w:val="0"/>
        <w:widowControl w:val="0"/>
        <w:numPr>
          <w:ilvl w:val="0"/>
          <w:numId w:val="27"/>
        </w:numPr>
        <w:shd w:val="clear" w:color="auto" w:fill="auto"/>
        <w:tabs>
          <w:tab w:pos="525" w:val="left"/>
        </w:tabs>
        <w:bidi w:val="0"/>
        <w:spacing w:before="0" w:after="0" w:line="314" w:lineRule="exact"/>
        <w:ind w:left="0" w:right="0" w:firstLine="200"/>
        <w:jc w:val="left"/>
      </w:pPr>
      <w:bookmarkStart w:id="770" w:name="bookmark770"/>
      <w:bookmarkEnd w:id="770"/>
      <w:r>
        <w:rPr>
          <w:color w:val="000000"/>
          <w:spacing w:val="0"/>
          <w:w w:val="100"/>
          <w:position w:val="0"/>
        </w:rPr>
        <w:t>预期将导致债务人履行其偿债义务的能力是否发生显著变化的业务、财务或经济状况的不利变化；</w:t>
      </w:r>
    </w:p>
    <w:p>
      <w:pPr>
        <w:pStyle w:val="Style24"/>
        <w:keepNext w:val="0"/>
        <w:keepLines w:val="0"/>
        <w:widowControl w:val="0"/>
        <w:numPr>
          <w:ilvl w:val="0"/>
          <w:numId w:val="27"/>
        </w:numPr>
        <w:shd w:val="clear" w:color="auto" w:fill="auto"/>
        <w:tabs>
          <w:tab w:pos="525" w:val="left"/>
        </w:tabs>
        <w:bidi w:val="0"/>
        <w:spacing w:before="0" w:after="300" w:line="314" w:lineRule="exact"/>
        <w:ind w:left="0" w:right="0" w:firstLine="200"/>
        <w:jc w:val="left"/>
      </w:pPr>
      <w:bookmarkStart w:id="771" w:name="bookmark771"/>
      <w:bookmarkEnd w:id="771"/>
      <w:r>
        <w:rPr>
          <w:color w:val="000000"/>
          <w:spacing w:val="0"/>
          <w:w w:val="100"/>
          <w:position w:val="0"/>
        </w:rPr>
        <w:t>债务人经营成果实际或预期是否发生显著变化；债务人所处的监管、经济或技术环境是否发生显著不利变化；</w:t>
      </w:r>
    </w:p>
    <w:p>
      <w:pPr>
        <w:pStyle w:val="Style24"/>
        <w:keepNext w:val="0"/>
        <w:keepLines w:val="0"/>
        <w:widowControl w:val="0"/>
        <w:numPr>
          <w:ilvl w:val="0"/>
          <w:numId w:val="27"/>
        </w:numPr>
        <w:shd w:val="clear" w:color="auto" w:fill="auto"/>
        <w:tabs>
          <w:tab w:pos="498" w:val="left"/>
        </w:tabs>
        <w:bidi w:val="0"/>
        <w:spacing w:before="0" w:after="0" w:line="322" w:lineRule="exact"/>
        <w:ind w:left="0" w:right="0" w:firstLine="200"/>
        <w:jc w:val="left"/>
      </w:pPr>
      <w:bookmarkStart w:id="772" w:name="bookmark772"/>
      <w:bookmarkEnd w:id="772"/>
      <w:r>
        <w:rPr>
          <w:color w:val="000000"/>
          <w:spacing w:val="0"/>
          <w:w w:val="100"/>
          <w:position w:val="0"/>
        </w:rPr>
        <w:t>作为债务抵押的担保物价值或第三方提供的担保或信用增级质量是否发生显著变化。这些变化预期将降低债务人按合同 规定期限还款的经济动机或者影响违约概率；</w:t>
      </w:r>
    </w:p>
    <w:p>
      <w:pPr>
        <w:pStyle w:val="Style24"/>
        <w:keepNext w:val="0"/>
        <w:keepLines w:val="0"/>
        <w:widowControl w:val="0"/>
        <w:numPr>
          <w:ilvl w:val="0"/>
          <w:numId w:val="27"/>
        </w:numPr>
        <w:shd w:val="clear" w:color="auto" w:fill="auto"/>
        <w:tabs>
          <w:tab w:pos="525" w:val="left"/>
        </w:tabs>
        <w:bidi w:val="0"/>
        <w:spacing w:before="0" w:after="0" w:line="322" w:lineRule="exact"/>
        <w:ind w:left="0" w:right="0" w:firstLine="200"/>
        <w:jc w:val="left"/>
      </w:pPr>
      <w:bookmarkStart w:id="773" w:name="bookmark773"/>
      <w:bookmarkEnd w:id="773"/>
      <w:r>
        <w:rPr>
          <w:color w:val="000000"/>
          <w:spacing w:val="0"/>
          <w:w w:val="100"/>
          <w:position w:val="0"/>
        </w:rPr>
        <w:t>预期将降低债务人按合同约定期限还款的经济动机是否发生显著变化；</w:t>
      </w:r>
    </w:p>
    <w:p>
      <w:pPr>
        <w:pStyle w:val="Style24"/>
        <w:keepNext w:val="0"/>
        <w:keepLines w:val="0"/>
        <w:widowControl w:val="0"/>
        <w:numPr>
          <w:ilvl w:val="0"/>
          <w:numId w:val="27"/>
        </w:numPr>
        <w:shd w:val="clear" w:color="auto" w:fill="auto"/>
        <w:tabs>
          <w:tab w:pos="498" w:val="left"/>
        </w:tabs>
        <w:bidi w:val="0"/>
        <w:spacing w:before="0" w:after="0" w:line="322" w:lineRule="exact"/>
        <w:ind w:left="0" w:right="0" w:firstLine="200"/>
        <w:jc w:val="left"/>
      </w:pPr>
      <w:bookmarkStart w:id="774" w:name="bookmark774"/>
      <w:bookmarkEnd w:id="774"/>
      <w:r>
        <w:rPr>
          <w:color w:val="000000"/>
          <w:spacing w:val="0"/>
          <w:w w:val="100"/>
          <w:position w:val="0"/>
        </w:rPr>
        <w:t>借款合同的预期变更，包括预计违反合同的行为是否可能导致的合同义务的免除或修订、给予免息期、利率跳升、要求 追加抵押品或担保或者对金融工具的合同框架做出其他变更；</w:t>
      </w:r>
    </w:p>
    <w:p>
      <w:pPr>
        <w:pStyle w:val="Style24"/>
        <w:keepNext w:val="0"/>
        <w:keepLines w:val="0"/>
        <w:widowControl w:val="0"/>
        <w:numPr>
          <w:ilvl w:val="0"/>
          <w:numId w:val="27"/>
        </w:numPr>
        <w:shd w:val="clear" w:color="auto" w:fill="auto"/>
        <w:tabs>
          <w:tab w:pos="525" w:val="left"/>
        </w:tabs>
        <w:bidi w:val="0"/>
        <w:spacing w:before="0" w:after="0" w:line="322" w:lineRule="exact"/>
        <w:ind w:left="0" w:right="0" w:firstLine="200"/>
        <w:jc w:val="left"/>
      </w:pPr>
      <w:bookmarkStart w:id="775" w:name="bookmark775"/>
      <w:bookmarkEnd w:id="775"/>
      <w:r>
        <w:rPr>
          <w:color w:val="000000"/>
          <w:spacing w:val="0"/>
          <w:w w:val="100"/>
          <w:position w:val="0"/>
        </w:rPr>
        <w:t>债务人预期表现和还款行为是否发生显著变化；</w:t>
      </w:r>
    </w:p>
    <w:p>
      <w:pPr>
        <w:pStyle w:val="Style24"/>
        <w:keepNext w:val="0"/>
        <w:keepLines w:val="0"/>
        <w:widowControl w:val="0"/>
        <w:numPr>
          <w:ilvl w:val="0"/>
          <w:numId w:val="27"/>
        </w:numPr>
        <w:shd w:val="clear" w:color="auto" w:fill="auto"/>
        <w:bidi w:val="0"/>
        <w:spacing w:before="0" w:after="0" w:line="313" w:lineRule="exact"/>
        <w:ind w:left="0" w:right="0" w:firstLine="200"/>
        <w:jc w:val="both"/>
      </w:pPr>
      <w:bookmarkStart w:id="776" w:name="bookmark776"/>
      <w:bookmarkEnd w:id="776"/>
      <w:r>
        <w:rPr>
          <w:color w:val="000000"/>
          <w:spacing w:val="0"/>
          <w:w w:val="100"/>
          <w:position w:val="0"/>
        </w:rPr>
        <w:t>合同付款是否发生逾期超过（含）</w:t>
      </w:r>
      <w:r>
        <w:rPr>
          <w:color w:val="000000"/>
          <w:spacing w:val="0"/>
          <w:w w:val="100"/>
          <w:position w:val="0"/>
        </w:rPr>
        <w:t>30</w:t>
      </w:r>
      <w:r>
        <w:rPr>
          <w:color w:val="000000"/>
          <w:spacing w:val="0"/>
          <w:w w:val="100"/>
          <w:position w:val="0"/>
        </w:rPr>
        <w:t>日。</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根据金融工具的性质，公司以单项金融工具或金融工具组合为基础评估信用风险是否显著增加。以金融工具组合为基 础进行评估时，公司可基于共同信用风险特征对金融工具进行分类，例如逾期信息和信用风险评级。</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通常情况下，如果逾期超过</w:t>
      </w:r>
      <w:r>
        <w:rPr>
          <w:color w:val="000000"/>
          <w:spacing w:val="0"/>
          <w:w w:val="100"/>
          <w:position w:val="0"/>
        </w:rPr>
        <w:t>30</w:t>
      </w:r>
      <w:r>
        <w:rPr>
          <w:color w:val="000000"/>
          <w:spacing w:val="0"/>
          <w:w w:val="100"/>
          <w:position w:val="0"/>
        </w:rPr>
        <w:t>日，公司确定金融工具的信用风险已经显著增加。除非公司无需付出过多成本或努力即 可获得合理且有依据的信息，证明虽然超过合同约定的付款期限</w:t>
      </w:r>
      <w:r>
        <w:rPr>
          <w:color w:val="000000"/>
          <w:spacing w:val="0"/>
          <w:w w:val="100"/>
          <w:position w:val="0"/>
        </w:rPr>
        <w:t>30</w:t>
      </w:r>
      <w:r>
        <w:rPr>
          <w:color w:val="000000"/>
          <w:spacing w:val="0"/>
          <w:w w:val="100"/>
          <w:position w:val="0"/>
        </w:rPr>
        <w:t>天，但信用风险自初始确认以来并未显著增加。</w:t>
      </w:r>
    </w:p>
    <w:p>
      <w:pPr>
        <w:pStyle w:val="Style24"/>
        <w:keepNext w:val="0"/>
        <w:keepLines w:val="0"/>
        <w:widowControl w:val="0"/>
        <w:numPr>
          <w:ilvl w:val="0"/>
          <w:numId w:val="25"/>
        </w:numPr>
        <w:shd w:val="clear" w:color="auto" w:fill="auto"/>
        <w:tabs>
          <w:tab w:pos="560" w:val="left"/>
        </w:tabs>
        <w:bidi w:val="0"/>
        <w:spacing w:before="0" w:after="0" w:line="313" w:lineRule="exact"/>
        <w:ind w:left="0" w:right="0" w:firstLine="200"/>
        <w:jc w:val="left"/>
      </w:pPr>
      <w:bookmarkStart w:id="777" w:name="bookmark777"/>
      <w:bookmarkEnd w:id="777"/>
      <w:r>
        <w:rPr>
          <w:color w:val="000000"/>
          <w:spacing w:val="0"/>
          <w:w w:val="100"/>
          <w:position w:val="0"/>
        </w:rPr>
        <w:t>已发生信用减值的金融资产</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发行方或债务人发生重大财务困难；债务人违反合同，如偿付利息或本金违约或逾期等；债权人出于与债务人财务困 难有关的经济或合同考虑，给予债务人在任何其他情况下都不会做出的让步；债务人很可能破产或进行其他财务重组；发行 方或债务人财务困难导致该金融资产的活跃市场消失；以大幅折扣购买或源生一项金融资产，该折扣反映了发生信用损失的 事实。</w:t>
      </w:r>
    </w:p>
    <w:p>
      <w:pPr>
        <w:pStyle w:val="Style24"/>
        <w:keepNext w:val="0"/>
        <w:keepLines w:val="0"/>
        <w:widowControl w:val="0"/>
        <w:numPr>
          <w:ilvl w:val="0"/>
          <w:numId w:val="25"/>
        </w:numPr>
        <w:shd w:val="clear" w:color="auto" w:fill="auto"/>
        <w:tabs>
          <w:tab w:pos="560" w:val="left"/>
        </w:tabs>
        <w:bidi w:val="0"/>
        <w:spacing w:before="0" w:after="0" w:line="313" w:lineRule="exact"/>
        <w:ind w:left="0" w:right="0" w:firstLine="200"/>
        <w:jc w:val="both"/>
      </w:pPr>
      <w:bookmarkStart w:id="778" w:name="bookmark778"/>
      <w:bookmarkEnd w:id="778"/>
      <w:r>
        <w:rPr>
          <w:color w:val="000000"/>
          <w:spacing w:val="0"/>
          <w:w w:val="100"/>
          <w:position w:val="0"/>
        </w:rPr>
        <w:t>预期信用损失准备的列报</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为反映金融工具的信用风险自初始确认后的变化，公司在每个资产负债表日重新计量预期信用损失，由此形成的损失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产在资产负债表中列示的账面价值；对于以公允价值计量且其变动计入其他综合收益的债权投资，公司在其他综合收益中确 认其损失准备，不抵减该金融资产的账面价值。</w:t>
      </w:r>
    </w:p>
    <w:p>
      <w:pPr>
        <w:pStyle w:val="Style24"/>
        <w:keepNext w:val="0"/>
        <w:keepLines w:val="0"/>
        <w:widowControl w:val="0"/>
        <w:numPr>
          <w:ilvl w:val="0"/>
          <w:numId w:val="25"/>
        </w:numPr>
        <w:shd w:val="clear" w:color="auto" w:fill="auto"/>
        <w:tabs>
          <w:tab w:pos="560" w:val="left"/>
        </w:tabs>
        <w:bidi w:val="0"/>
        <w:spacing w:before="0" w:after="0" w:line="313" w:lineRule="exact"/>
        <w:ind w:left="0" w:right="0" w:firstLine="200"/>
        <w:jc w:val="left"/>
      </w:pPr>
      <w:bookmarkStart w:id="779" w:name="bookmark779"/>
      <w:bookmarkEnd w:id="779"/>
      <w:r>
        <w:rPr>
          <w:color w:val="000000"/>
          <w:spacing w:val="0"/>
          <w:w w:val="100"/>
          <w:position w:val="0"/>
        </w:rPr>
        <w:t>核销</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如果公司不再合理预期金融资产合同现金流量能够全部或部分收回，则直接减记该金融资产的账面余额。这种减记构 成相关金融资产的终止确认。这种情况通常发生在公司确定债务人没有资产或收入来源可产生足够的现金流量以偿还将被减 记的金额。</w:t>
      </w:r>
    </w:p>
    <w:p>
      <w:pPr>
        <w:pStyle w:val="Style24"/>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已减记的金融资产以后又收回的，作为减值损失的转回计入收回当期的损益。</w:t>
      </w:r>
    </w:p>
    <w:p>
      <w:pPr>
        <w:pStyle w:val="Style24"/>
        <w:keepNext w:val="0"/>
        <w:keepLines w:val="0"/>
        <w:widowControl w:val="0"/>
        <w:shd w:val="clear" w:color="auto" w:fill="auto"/>
        <w:bidi w:val="0"/>
        <w:spacing w:before="0" w:after="0" w:line="313" w:lineRule="exact"/>
        <w:ind w:left="0" w:right="0" w:firstLine="200"/>
        <w:jc w:val="both"/>
      </w:pPr>
      <w:bookmarkStart w:id="780" w:name="bookmark780"/>
      <w:r>
        <w:rPr>
          <w:color w:val="000000"/>
          <w:spacing w:val="0"/>
          <w:w w:val="100"/>
          <w:position w:val="0"/>
        </w:rPr>
        <w:t>（</w:t>
      </w:r>
      <w:bookmarkEnd w:id="780"/>
      <w:r>
        <w:rPr>
          <w:color w:val="000000"/>
          <w:spacing w:val="0"/>
          <w:w w:val="100"/>
          <w:position w:val="0"/>
        </w:rPr>
        <w:t>6）</w:t>
      </w:r>
      <w:r>
        <w:rPr>
          <w:color w:val="000000"/>
          <w:spacing w:val="0"/>
          <w:w w:val="100"/>
          <w:position w:val="0"/>
        </w:rPr>
        <w:t>金融资产转移</w:t>
      </w:r>
    </w:p>
    <w:p>
      <w:pPr>
        <w:pStyle w:val="Style24"/>
        <w:keepNext w:val="0"/>
        <w:keepLines w:val="0"/>
        <w:widowControl w:val="0"/>
        <w:shd w:val="clear" w:color="auto" w:fill="auto"/>
        <w:bidi w:val="0"/>
        <w:spacing w:before="0" w:after="0" w:line="313" w:lineRule="exact"/>
        <w:ind w:left="0" w:right="0" w:firstLine="200"/>
        <w:jc w:val="both"/>
      </w:pPr>
      <w:r>
        <w:rPr>
          <w:color w:val="000000"/>
          <w:spacing w:val="0"/>
          <w:w w:val="100"/>
          <w:position w:val="0"/>
        </w:rPr>
        <w:t>金融资产转移是指下列两种情形：</w:t>
      </w:r>
    </w:p>
    <w:p>
      <w:pPr>
        <w:pStyle w:val="Style24"/>
        <w:keepNext w:val="0"/>
        <w:keepLines w:val="0"/>
        <w:widowControl w:val="0"/>
        <w:numPr>
          <w:ilvl w:val="0"/>
          <w:numId w:val="29"/>
        </w:numPr>
        <w:shd w:val="clear" w:color="auto" w:fill="auto"/>
        <w:tabs>
          <w:tab w:pos="512" w:val="left"/>
        </w:tabs>
        <w:bidi w:val="0"/>
        <w:spacing w:before="0" w:after="0" w:line="313" w:lineRule="exact"/>
        <w:ind w:left="0" w:right="0" w:firstLine="200"/>
        <w:jc w:val="both"/>
      </w:pPr>
      <w:bookmarkStart w:id="781" w:name="bookmark781"/>
      <w:bookmarkEnd w:id="781"/>
      <w:r>
        <w:rPr>
          <w:color w:val="000000"/>
          <w:spacing w:val="0"/>
          <w:w w:val="100"/>
          <w:position w:val="0"/>
        </w:rPr>
        <w:t>将收取金融资产现金流量的合同权利转移给另一方；</w:t>
      </w:r>
    </w:p>
    <w:p>
      <w:pPr>
        <w:pStyle w:val="Style24"/>
        <w:keepNext w:val="0"/>
        <w:keepLines w:val="0"/>
        <w:widowControl w:val="0"/>
        <w:numPr>
          <w:ilvl w:val="0"/>
          <w:numId w:val="29"/>
        </w:numPr>
        <w:shd w:val="clear" w:color="auto" w:fill="auto"/>
        <w:tabs>
          <w:tab w:pos="480" w:val="left"/>
        </w:tabs>
        <w:bidi w:val="0"/>
        <w:spacing w:before="0" w:after="0" w:line="313" w:lineRule="exact"/>
        <w:ind w:left="0" w:right="0" w:firstLine="200"/>
        <w:jc w:val="both"/>
      </w:pPr>
      <w:bookmarkStart w:id="782" w:name="bookmark782"/>
      <w:bookmarkEnd w:id="782"/>
      <w:r>
        <w:rPr>
          <w:color w:val="000000"/>
          <w:spacing w:val="0"/>
          <w:w w:val="100"/>
          <w:position w:val="0"/>
        </w:rPr>
        <w:t>将金融资产整体或部分转移给另一方，但保留收取金融资产现金流量的合同权利，并承担将收取的现金流量支付给一个 或多个收款方的合同义务。</w:t>
      </w:r>
    </w:p>
    <w:p>
      <w:pPr>
        <w:pStyle w:val="Style24"/>
        <w:keepNext w:val="0"/>
        <w:keepLines w:val="0"/>
        <w:widowControl w:val="0"/>
        <w:numPr>
          <w:ilvl w:val="0"/>
          <w:numId w:val="31"/>
        </w:numPr>
        <w:shd w:val="clear" w:color="auto" w:fill="auto"/>
        <w:bidi w:val="0"/>
        <w:spacing w:before="0" w:after="0" w:line="313" w:lineRule="exact"/>
        <w:ind w:left="0" w:right="0" w:firstLine="200"/>
        <w:jc w:val="both"/>
      </w:pPr>
      <w:bookmarkStart w:id="783" w:name="bookmark783"/>
      <w:bookmarkEnd w:id="783"/>
      <w:r>
        <w:rPr>
          <w:color w:val="000000"/>
          <w:spacing w:val="0"/>
          <w:w w:val="100"/>
          <w:position w:val="0"/>
        </w:rPr>
        <w:t>终止确认所转移的金融资产</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已将金融资产所有权上几乎所有的风险和报酬转移给转入方的，或既没有转移也没有保留金融资产所有权上几乎所有的 风险和报酬的，但放弃了对该金融资产控制的，终止确认该金融资产。</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在判断是否已放弃对所转移金融资产的控制时，根据转入方出售该金融资产的实际能力。转入方能够单方面将转移的金 融资产整体出售给不相关的第三方，且没有额外条件对此项出售加以限制的，则公司已放弃对该金融资产的控制。</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公司在判断金融资产转移是否满足金融资产终止确认条件时，注重金融资产转移的实质。</w:t>
      </w:r>
    </w:p>
    <w:p>
      <w:pPr>
        <w:pStyle w:val="Style24"/>
        <w:keepNext w:val="0"/>
        <w:keepLines w:val="0"/>
        <w:widowControl w:val="0"/>
        <w:shd w:val="clear" w:color="auto" w:fill="auto"/>
        <w:bidi w:val="0"/>
        <w:spacing w:before="0" w:after="0" w:line="313" w:lineRule="exact"/>
        <w:ind w:left="0" w:right="0" w:firstLine="200"/>
        <w:jc w:val="both"/>
      </w:pPr>
      <w:r>
        <w:rPr>
          <w:color w:val="000000"/>
          <w:spacing w:val="0"/>
          <w:w w:val="100"/>
          <w:position w:val="0"/>
        </w:rPr>
        <w:t>金融资产整体转移满足终止确认条件的，将下列两项金额的差额计入当期损益：</w:t>
      </w:r>
    </w:p>
    <w:p>
      <w:pPr>
        <w:pStyle w:val="Style24"/>
        <w:keepNext w:val="0"/>
        <w:keepLines w:val="0"/>
        <w:widowControl w:val="0"/>
        <w:numPr>
          <w:ilvl w:val="0"/>
          <w:numId w:val="33"/>
        </w:numPr>
        <w:shd w:val="clear" w:color="auto" w:fill="auto"/>
        <w:tabs>
          <w:tab w:pos="512" w:val="left"/>
        </w:tabs>
        <w:bidi w:val="0"/>
        <w:spacing w:before="0" w:after="0" w:line="313" w:lineRule="exact"/>
        <w:ind w:left="0" w:right="0" w:firstLine="200"/>
        <w:jc w:val="both"/>
      </w:pPr>
      <w:bookmarkStart w:id="784" w:name="bookmark784"/>
      <w:bookmarkEnd w:id="784"/>
      <w:r>
        <w:rPr>
          <w:color w:val="000000"/>
          <w:spacing w:val="0"/>
          <w:w w:val="100"/>
          <w:position w:val="0"/>
        </w:rPr>
        <w:t>所转移金融资产的账面价值；</w:t>
      </w:r>
    </w:p>
    <w:p>
      <w:pPr>
        <w:pStyle w:val="Style24"/>
        <w:keepNext w:val="0"/>
        <w:keepLines w:val="0"/>
        <w:widowControl w:val="0"/>
        <w:numPr>
          <w:ilvl w:val="0"/>
          <w:numId w:val="33"/>
        </w:numPr>
        <w:shd w:val="clear" w:color="auto" w:fill="auto"/>
        <w:tabs>
          <w:tab w:pos="475" w:val="left"/>
        </w:tabs>
        <w:bidi w:val="0"/>
        <w:spacing w:before="0" w:after="0" w:line="313" w:lineRule="exact"/>
        <w:ind w:left="0" w:right="0" w:firstLine="200"/>
        <w:jc w:val="both"/>
      </w:pPr>
      <w:bookmarkStart w:id="785" w:name="bookmark785"/>
      <w:bookmarkEnd w:id="785"/>
      <w:r>
        <w:rPr>
          <w:color w:val="000000"/>
          <w:spacing w:val="0"/>
          <w:w w:val="100"/>
          <w:position w:val="0"/>
        </w:rPr>
        <w:t>因转移而收到的对价，与原直接计入其他综合收益的公允价值变动累计额中对于终止确认部分的金额（涉及转移的金融 资产为根据《企业会计准则第</w:t>
      </w:r>
      <w:r>
        <w:rPr>
          <w:color w:val="000000"/>
          <w:spacing w:val="0"/>
          <w:w w:val="100"/>
          <w:position w:val="0"/>
        </w:rPr>
        <w:t>22</w:t>
      </w:r>
      <w:r>
        <w:rPr>
          <w:color w:val="000000"/>
          <w:spacing w:val="0"/>
          <w:w w:val="100"/>
          <w:position w:val="0"/>
        </w:rPr>
        <w:t>号-金融工具确认和计量》第十八条分类为以公允价值计量且其变动计入其他综合收益的金 融资产的情形）之和。</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种情况下，所保留的服务资产视同继续确认金融资产的一部分）之间，按照转移日各自的相对公允价值进行分摊，并将下列 两项金额的差额计入当期损益：</w:t>
      </w:r>
    </w:p>
    <w:p>
      <w:pPr>
        <w:pStyle w:val="Style24"/>
        <w:keepNext w:val="0"/>
        <w:keepLines w:val="0"/>
        <w:widowControl w:val="0"/>
        <w:numPr>
          <w:ilvl w:val="0"/>
          <w:numId w:val="35"/>
        </w:numPr>
        <w:shd w:val="clear" w:color="auto" w:fill="auto"/>
        <w:tabs>
          <w:tab w:pos="512" w:val="left"/>
        </w:tabs>
        <w:bidi w:val="0"/>
        <w:spacing w:before="0" w:after="0" w:line="313" w:lineRule="exact"/>
        <w:ind w:left="0" w:right="0" w:firstLine="200"/>
        <w:jc w:val="both"/>
      </w:pPr>
      <w:bookmarkStart w:id="786" w:name="bookmark786"/>
      <w:bookmarkEnd w:id="786"/>
      <w:r>
        <w:rPr>
          <w:color w:val="000000"/>
          <w:spacing w:val="0"/>
          <w:w w:val="100"/>
          <w:position w:val="0"/>
        </w:rPr>
        <w:t>终止确认部分在终止确认日的账面价值；</w:t>
      </w:r>
    </w:p>
    <w:p>
      <w:pPr>
        <w:pStyle w:val="Style24"/>
        <w:keepNext w:val="0"/>
        <w:keepLines w:val="0"/>
        <w:widowControl w:val="0"/>
        <w:numPr>
          <w:ilvl w:val="0"/>
          <w:numId w:val="35"/>
        </w:numPr>
        <w:shd w:val="clear" w:color="auto" w:fill="auto"/>
        <w:tabs>
          <w:tab w:pos="312" w:val="left"/>
        </w:tabs>
        <w:bidi w:val="0"/>
        <w:spacing w:before="0" w:after="0" w:line="313" w:lineRule="exact"/>
        <w:ind w:left="0" w:right="0" w:firstLine="200"/>
        <w:jc w:val="both"/>
      </w:pPr>
      <w:bookmarkStart w:id="787" w:name="bookmark787"/>
      <w:bookmarkEnd w:id="787"/>
      <w:r>
        <w:rPr>
          <w:color w:val="000000"/>
          <w:spacing w:val="0"/>
          <w:w w:val="100"/>
          <w:position w:val="0"/>
        </w:rPr>
        <w:t xml:space="preserve">终止确认部分的对价，与原计入其他综合收益的公允价值变动累计额中对应终止确认部分的金额（涉及转移的金融资产 </w:t>
      </w:r>
      <w:r>
        <w:rPr>
          <w:color w:val="000000"/>
          <w:spacing w:val="0"/>
          <w:w w:val="100"/>
          <w:position w:val="0"/>
        </w:rPr>
        <w:t>为根据《企业会计准则第</w:t>
      </w:r>
      <w:r>
        <w:rPr>
          <w:color w:val="000000"/>
          <w:spacing w:val="0"/>
          <w:w w:val="100"/>
          <w:position w:val="0"/>
        </w:rPr>
        <w:t>22</w:t>
      </w:r>
      <w:r>
        <w:rPr>
          <w:color w:val="000000"/>
          <w:spacing w:val="0"/>
          <w:w w:val="100"/>
          <w:position w:val="0"/>
        </w:rPr>
        <w:t>号-金融工具确认和计量》第十八条分类为以公允价值计量且其变动计入其他综合收益的金融资 产的情形）之和。</w:t>
      </w:r>
    </w:p>
    <w:p>
      <w:pPr>
        <w:pStyle w:val="Style24"/>
        <w:keepNext w:val="0"/>
        <w:keepLines w:val="0"/>
        <w:widowControl w:val="0"/>
        <w:numPr>
          <w:ilvl w:val="0"/>
          <w:numId w:val="31"/>
        </w:numPr>
        <w:shd w:val="clear" w:color="auto" w:fill="auto"/>
        <w:tabs>
          <w:tab w:pos="573" w:val="left"/>
        </w:tabs>
        <w:bidi w:val="0"/>
        <w:spacing w:before="0" w:after="0" w:line="314" w:lineRule="exact"/>
        <w:ind w:left="0" w:right="0" w:firstLine="200"/>
        <w:jc w:val="both"/>
      </w:pPr>
      <w:bookmarkStart w:id="788" w:name="bookmark788"/>
      <w:bookmarkEnd w:id="788"/>
      <w:r>
        <w:rPr>
          <w:color w:val="000000"/>
          <w:spacing w:val="0"/>
          <w:w w:val="100"/>
          <w:position w:val="0"/>
        </w:rPr>
        <w:t>继续涉入所转移的金融资产</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既没有转移也没有保留金融资产所有权上几乎所有的风险和报酬的，且未放弃对该金融资产控制的，应当按照其继续涉 入所转移金融资产的程度确认有关金融资产，并相应确认有关负债。</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继续涉入所转移金融资产的程度，是指企业承担的被转移金融资产价值变动风险或报酬的程度。</w:t>
      </w:r>
    </w:p>
    <w:p>
      <w:pPr>
        <w:pStyle w:val="Style24"/>
        <w:keepNext w:val="0"/>
        <w:keepLines w:val="0"/>
        <w:widowControl w:val="0"/>
        <w:numPr>
          <w:ilvl w:val="0"/>
          <w:numId w:val="31"/>
        </w:numPr>
        <w:shd w:val="clear" w:color="auto" w:fill="auto"/>
        <w:tabs>
          <w:tab w:pos="573" w:val="left"/>
        </w:tabs>
        <w:bidi w:val="0"/>
        <w:spacing w:before="0" w:after="0" w:line="314" w:lineRule="exact"/>
        <w:ind w:left="0" w:right="0" w:firstLine="200"/>
        <w:jc w:val="both"/>
      </w:pPr>
      <w:bookmarkStart w:id="789" w:name="bookmark789"/>
      <w:bookmarkEnd w:id="789"/>
      <w:r>
        <w:rPr>
          <w:color w:val="000000"/>
          <w:spacing w:val="0"/>
          <w:w w:val="100"/>
          <w:position w:val="0"/>
        </w:rPr>
        <w:t>继续确认所转移的金融资产</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仍保留与所转移金融资产所有权上几乎所有的风险和报酬的，应当继续确认所转移金融资产整体，并将收到的对价确认 为一项金融负债。</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该金融资产与确认的相关金融负债不得相互抵销。在随后的会计期间，企业应当继续确认该金融资产产生的收入（或利 得）和该金融负债产生的费用（或损失）。</w:t>
      </w:r>
    </w:p>
    <w:p>
      <w:pPr>
        <w:pStyle w:val="Style24"/>
        <w:keepNext w:val="0"/>
        <w:keepLines w:val="0"/>
        <w:widowControl w:val="0"/>
        <w:shd w:val="clear" w:color="auto" w:fill="auto"/>
        <w:tabs>
          <w:tab w:pos="645" w:val="left"/>
        </w:tabs>
        <w:bidi w:val="0"/>
        <w:spacing w:before="0" w:after="0" w:line="314" w:lineRule="exact"/>
        <w:ind w:left="0" w:right="0" w:firstLine="200"/>
        <w:jc w:val="both"/>
      </w:pPr>
      <w:bookmarkStart w:id="790" w:name="bookmark790"/>
      <w:r>
        <w:rPr>
          <w:color w:val="000000"/>
          <w:spacing w:val="0"/>
          <w:w w:val="100"/>
          <w:position w:val="0"/>
        </w:rPr>
        <w:t>（</w:t>
      </w:r>
      <w:bookmarkEnd w:id="790"/>
      <w:r>
        <w:rPr>
          <w:color w:val="000000"/>
          <w:spacing w:val="0"/>
          <w:w w:val="100"/>
          <w:position w:val="0"/>
        </w:rPr>
        <w:t>7）</w:t>
        <w:tab/>
      </w:r>
      <w:r>
        <w:rPr>
          <w:color w:val="000000"/>
          <w:spacing w:val="0"/>
          <w:w w:val="100"/>
          <w:position w:val="0"/>
        </w:rPr>
        <w:t>金融资产和金融负债的抵销</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金融资产和金融负债应当在资产负债表内分别列示，不得相互抵销。但同时满足下列条件的，以相互抵销后的净额在资 产负债表内列示：</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公司具有抵销已确认金额的法定权利，且该种法定权利是当前可执行的；</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公司计划以净额结算，或同时变现该金融资产和清偿该金融负债。</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不满足终止确认条件的金融资产转移，转出方不得将已转移的金融资产和相关负债进行抵销。</w:t>
      </w:r>
    </w:p>
    <w:p>
      <w:pPr>
        <w:pStyle w:val="Style24"/>
        <w:keepNext w:val="0"/>
        <w:keepLines w:val="0"/>
        <w:widowControl w:val="0"/>
        <w:shd w:val="clear" w:color="auto" w:fill="auto"/>
        <w:tabs>
          <w:tab w:pos="645" w:val="left"/>
        </w:tabs>
        <w:bidi w:val="0"/>
        <w:spacing w:before="0" w:after="0" w:line="314" w:lineRule="exact"/>
        <w:ind w:left="0" w:right="0" w:firstLine="200"/>
        <w:jc w:val="both"/>
      </w:pPr>
      <w:bookmarkStart w:id="791" w:name="bookmark791"/>
      <w:r>
        <w:rPr>
          <w:color w:val="000000"/>
          <w:spacing w:val="0"/>
          <w:w w:val="100"/>
          <w:position w:val="0"/>
        </w:rPr>
        <w:t>（</w:t>
      </w:r>
      <w:bookmarkEnd w:id="791"/>
      <w:r>
        <w:rPr>
          <w:color w:val="000000"/>
          <w:spacing w:val="0"/>
          <w:w w:val="100"/>
          <w:position w:val="0"/>
        </w:rPr>
        <w:t>8）</w:t>
        <w:tab/>
      </w:r>
      <w:r>
        <w:rPr>
          <w:color w:val="000000"/>
          <w:spacing w:val="0"/>
          <w:w w:val="100"/>
          <w:position w:val="0"/>
        </w:rPr>
        <w:t>金融工具公允价值的确定方法</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公司以主要市场的价格计量相关资产或负债的公允价值，不存在主要市场的，公司以最有利市场的价格计量相关资产或 负债的公允价值。公司采用市场参与者在对该资产或负债定价时为实现其经济利益最大化所使用的假设。</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主要市场，是指相关资产或负债交易量最大和交易活跃程度最高的市场；最有利市场，是指在考虑交易费用和运输费用 后，能够以最高金额出售相关资产或者以最低金额转移相关负债的市场。</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存在活跃市场的金融资产或金融负债，公司采用活跃市场中的报价确定其公允价值。金融工具不存在活跃市场的，公司 采用估值技术确定其公允价值。</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24"/>
        <w:keepNext w:val="0"/>
        <w:keepLines w:val="0"/>
        <w:widowControl w:val="0"/>
        <w:numPr>
          <w:ilvl w:val="0"/>
          <w:numId w:val="37"/>
        </w:numPr>
        <w:shd w:val="clear" w:color="auto" w:fill="auto"/>
        <w:tabs>
          <w:tab w:pos="573" w:val="left"/>
        </w:tabs>
        <w:bidi w:val="0"/>
        <w:spacing w:before="0" w:after="0" w:line="314" w:lineRule="exact"/>
        <w:ind w:left="0" w:right="0" w:firstLine="200"/>
        <w:jc w:val="left"/>
      </w:pPr>
      <w:bookmarkStart w:id="792" w:name="bookmark792"/>
      <w:bookmarkEnd w:id="792"/>
      <w:r>
        <w:rPr>
          <w:color w:val="000000"/>
          <w:spacing w:val="0"/>
          <w:w w:val="100"/>
          <w:position w:val="0"/>
        </w:rPr>
        <w:t>估值技术</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公司采用在当期情况下适用并且有足够可利用数据和其他信息支持的估值技术，使用的估值技术主要包括市场法、收益 法和成本法。公司使用与其中一种或多种估值技术相一致的方法计量公允价值，使用多种估值技术计量公允价值的，考虑各 估值结果的合理性，选取在当期情况下最能代表公允价值的金额作为公允价值。</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公司在估值技术的应用中，优先使用相关可观察输入值，只有在相关可观察输入值无法取得或取得不切实可行的情况下， 才使用不可观察输入值。可观察输入值，是指能够从市场数据中取得的输入值。该输入值反映了市场参与者在对相关资产或 负债定价时所使用的假设。不可观察输入值，是指不能从市场数据中取得的输入值。该输入值根据可获得的市场参与者在对 相关资产或负债定价时所使用假设的最佳信息取得。</w:t>
      </w:r>
    </w:p>
    <w:p>
      <w:pPr>
        <w:pStyle w:val="Style24"/>
        <w:keepNext w:val="0"/>
        <w:keepLines w:val="0"/>
        <w:widowControl w:val="0"/>
        <w:numPr>
          <w:ilvl w:val="0"/>
          <w:numId w:val="37"/>
        </w:numPr>
        <w:shd w:val="clear" w:color="auto" w:fill="auto"/>
        <w:tabs>
          <w:tab w:pos="573" w:val="left"/>
        </w:tabs>
        <w:bidi w:val="0"/>
        <w:spacing w:before="0" w:after="0" w:line="314" w:lineRule="exact"/>
        <w:ind w:left="0" w:right="0" w:firstLine="200"/>
        <w:jc w:val="both"/>
      </w:pPr>
      <w:bookmarkStart w:id="793" w:name="bookmark793"/>
      <w:bookmarkEnd w:id="793"/>
      <w:r>
        <w:rPr>
          <w:color w:val="000000"/>
          <w:spacing w:val="0"/>
          <w:w w:val="100"/>
          <w:position w:val="0"/>
        </w:rPr>
        <w:t>公允价值层次</w:t>
      </w:r>
    </w:p>
    <w:p>
      <w:pPr>
        <w:pStyle w:val="Style24"/>
        <w:keepNext w:val="0"/>
        <w:keepLines w:val="0"/>
        <w:widowControl w:val="0"/>
        <w:shd w:val="clear" w:color="auto" w:fill="auto"/>
        <w:bidi w:val="0"/>
        <w:spacing w:before="0" w:after="660" w:line="314" w:lineRule="exact"/>
        <w:ind w:left="0" w:right="0" w:firstLine="380"/>
        <w:jc w:val="both"/>
      </w:pPr>
      <w:r>
        <w:rPr>
          <w:color w:val="000000"/>
          <w:spacing w:val="0"/>
          <w:w w:val="100"/>
          <w:position w:val="0"/>
        </w:rPr>
        <w:t>公司将公允价值计量所使用的输入值划分为三个层次，并首先使用第一层次输入值，其次使用第二层次输入值，最后使 用第三层次输入值。第一层次输入值是在计量日能够取得的相同资产或负债在活跃市场上未经调整的报价。第二层次输入值 是除第一层次输入值外相关资产或负债直接或间接可观察的输入值。第三层次输入值是相关资产或负债的不可观察输入值。</w:t>
      </w:r>
    </w:p>
    <w:p>
      <w:pPr>
        <w:pStyle w:val="Style33"/>
        <w:keepNext/>
        <w:keepLines/>
        <w:widowControl w:val="0"/>
        <w:shd w:val="clear" w:color="auto" w:fill="auto"/>
        <w:bidi w:val="0"/>
        <w:spacing w:before="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794"/>
      <w:bookmarkEnd w:id="795"/>
      <w:bookmarkEnd w:id="79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color w:val="000000"/>
          <w:spacing w:val="0"/>
          <w:w w:val="100"/>
          <w:position w:val="0"/>
        </w:rPr>
        <w:t>10</w:t>
      </w:r>
      <w:r>
        <w:rPr>
          <w:color w:val="000000"/>
          <w:spacing w:val="0"/>
          <w:w w:val="100"/>
          <w:position w:val="0"/>
        </w:rPr>
        <w:t>、金融工具</w:t>
      </w:r>
    </w:p>
    <w:p>
      <w:pPr>
        <w:pStyle w:val="Style33"/>
        <w:keepNext/>
        <w:keepLines/>
        <w:widowControl w:val="0"/>
        <w:shd w:val="clear" w:color="auto" w:fill="auto"/>
        <w:tabs>
          <w:tab w:pos="474" w:val="left"/>
        </w:tabs>
        <w:bidi w:val="0"/>
        <w:spacing w:before="0" w:after="28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98"/>
      <w:bookmarkEnd w:id="799"/>
      <w:bookmarkEnd w:id="801"/>
    </w:p>
    <w:p>
      <w:pPr>
        <w:pStyle w:val="Style24"/>
        <w:keepNext w:val="0"/>
        <w:keepLines w:val="0"/>
        <w:widowControl w:val="0"/>
        <w:shd w:val="clear" w:color="auto" w:fill="auto"/>
        <w:tabs>
          <w:tab w:pos="440" w:val="left"/>
        </w:tabs>
        <w:bidi w:val="0"/>
        <w:spacing w:before="0" w:after="40" w:line="312" w:lineRule="exact"/>
        <w:ind w:left="0" w:right="0" w:firstLine="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2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存货分为库存商品、合同履约成本、低值易耗品等大类。</w:t>
      </w:r>
    </w:p>
    <w:p>
      <w:pPr>
        <w:pStyle w:val="Style24"/>
        <w:keepNext w:val="0"/>
        <w:keepLines w:val="0"/>
        <w:widowControl w:val="0"/>
        <w:shd w:val="clear" w:color="auto" w:fill="auto"/>
        <w:tabs>
          <w:tab w:pos="440" w:val="left"/>
        </w:tabs>
        <w:bidi w:val="0"/>
        <w:spacing w:before="0" w:after="40" w:line="312" w:lineRule="exact"/>
        <w:ind w:left="0" w:right="0" w:firstLine="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4"/>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公司对购入库存商品等按实际成本入账，发出时的成本采用加权平均法核算；对合同履约成本按照软件开发项目进行归 集，在项目达到收入确认条件时结转至当期成本。</w:t>
      </w:r>
    </w:p>
    <w:p>
      <w:pPr>
        <w:pStyle w:val="Style24"/>
        <w:keepNext w:val="0"/>
        <w:keepLines w:val="0"/>
        <w:widowControl w:val="0"/>
        <w:shd w:val="clear" w:color="auto" w:fill="auto"/>
        <w:tabs>
          <w:tab w:pos="440" w:val="left"/>
        </w:tabs>
        <w:bidi w:val="0"/>
        <w:spacing w:before="0" w:after="40" w:line="312" w:lineRule="exact"/>
        <w:ind w:left="0" w:right="0" w:firstLine="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2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公司于每年中期期末及期末在对存货进行全面盘点的基础上，对遭受损失，全部或部分陈旧过时或销售价格低于成本的 存货，根据存货成本与可变现净值孰低计量。</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存货跌价准备按单个存货项目的成本与可变现净值计量，但如果某些存货与在同一地区生产和销售的产品系列相关、具有相 同或类似最终用途或目的，且难以与其他项目分开计量，可以合并计量成本与可变现净值；对于数量繁多、单价较低的存货， 可以按照存货类别计量成本与可变现净值。</w:t>
      </w:r>
    </w:p>
    <w:p>
      <w:pPr>
        <w:pStyle w:val="Style2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可直接用于出售的存货，其可变现净值按该等存货的估计售价减去估计的销售费用和相关税费后的金额确定；用于生产 而持有的存货，其可变现净值按所生产的产成品的估计售价减去至完工时估计将要发生的成本、估计的销售费用和相关税费 后的金额确定；为执行销售合同或者劳务合同而持有的存货，其可变现净值以合同价格为基础计算；企业持有存货的数量多 于销售合同订购数量的，超出部分的存货可变现净值以一般销售价格为基础计算。对于存货因遭受毁损、全部或部分陈旧过 时或销售价格低于成本等原因，预计其成本不可收回的部分，提取存货跌价准备。</w:t>
      </w:r>
    </w:p>
    <w:p>
      <w:pPr>
        <w:pStyle w:val="Style24"/>
        <w:keepNext w:val="0"/>
        <w:keepLines w:val="0"/>
        <w:widowControl w:val="0"/>
        <w:shd w:val="clear" w:color="auto" w:fill="auto"/>
        <w:tabs>
          <w:tab w:pos="440" w:val="left"/>
        </w:tabs>
        <w:bidi w:val="0"/>
        <w:spacing w:before="0" w:after="40" w:line="312" w:lineRule="exact"/>
        <w:ind w:left="0" w:right="0" w:firstLine="0"/>
        <w:jc w:val="left"/>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4"/>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采用永续盘存制，并且定期对存货进行盘点</w:t>
      </w:r>
      <w:r>
        <w:rPr>
          <w:color w:val="000000"/>
          <w:spacing w:val="0"/>
          <w:w w:val="100"/>
          <w:position w:val="0"/>
        </w:rPr>
        <w:t>，</w:t>
      </w:r>
      <w:r>
        <w:rPr>
          <w:color w:val="000000"/>
          <w:spacing w:val="0"/>
          <w:w w:val="100"/>
          <w:position w:val="0"/>
        </w:rPr>
        <w:t>盘点结果如与账面记录不符，根据管理权限报经批准后，在年终结账前处 理完毕，计入当期损益。</w:t>
      </w:r>
    </w:p>
    <w:p>
      <w:pPr>
        <w:pStyle w:val="Style24"/>
        <w:keepNext w:val="0"/>
        <w:keepLines w:val="0"/>
        <w:widowControl w:val="0"/>
        <w:shd w:val="clear" w:color="auto" w:fill="auto"/>
        <w:tabs>
          <w:tab w:pos="440" w:val="left"/>
        </w:tabs>
        <w:bidi w:val="0"/>
        <w:spacing w:before="0" w:after="40" w:line="312" w:lineRule="exact"/>
        <w:ind w:left="0" w:right="0" w:firstLine="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5</w:t>
      </w:r>
      <w:r>
        <w:rPr>
          <w:color w:val="000000"/>
          <w:spacing w:val="0"/>
          <w:w w:val="100"/>
          <w:position w:val="0"/>
        </w:rPr>
        <w:t>）</w:t>
        <w:tab/>
        <w:t>低值易耗品的摊销方法：</w:t>
      </w:r>
    </w:p>
    <w:p>
      <w:pPr>
        <w:pStyle w:val="Style24"/>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低值易耗品采用一次摊销法摊销。</w:t>
      </w:r>
    </w:p>
    <w:p>
      <w:pPr>
        <w:pStyle w:val="Style33"/>
        <w:keepNext/>
        <w:keepLines/>
        <w:widowControl w:val="0"/>
        <w:shd w:val="clear" w:color="auto" w:fill="auto"/>
        <w:tabs>
          <w:tab w:pos="474" w:val="left"/>
        </w:tabs>
        <w:bidi w:val="0"/>
        <w:spacing w:before="0" w:after="2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807"/>
      <w:bookmarkEnd w:id="808"/>
      <w:bookmarkEnd w:id="810"/>
    </w:p>
    <w:p>
      <w:pPr>
        <w:pStyle w:val="Style24"/>
        <w:keepNext w:val="0"/>
        <w:keepLines w:val="0"/>
        <w:widowControl w:val="0"/>
        <w:shd w:val="clear" w:color="auto" w:fill="auto"/>
        <w:tabs>
          <w:tab w:pos="440" w:val="left"/>
        </w:tabs>
        <w:bidi w:val="0"/>
        <w:spacing w:before="0" w:after="40" w:line="312" w:lineRule="exact"/>
        <w:ind w:left="0" w:right="0" w:firstLine="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合同资产的确认方法及标准</w:t>
      </w:r>
    </w:p>
    <w:p>
      <w:pPr>
        <w:pStyle w:val="Style2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合同资产，是指公司已向客户转让商品而有权收取对价的权利，且该权利取决于时间流逝之外的其他因素。如公司向客 户销售两项可明确区分的商品，因已交付其中一项商品而有权收取款项，但收取该款项还取决于交付另一项商品的，公司将 该收款权利作为合同资产。</w:t>
      </w:r>
    </w:p>
    <w:p>
      <w:pPr>
        <w:pStyle w:val="Style24"/>
        <w:keepNext w:val="0"/>
        <w:keepLines w:val="0"/>
        <w:widowControl w:val="0"/>
        <w:shd w:val="clear" w:color="auto" w:fill="auto"/>
        <w:tabs>
          <w:tab w:pos="440" w:val="left"/>
        </w:tabs>
        <w:bidi w:val="0"/>
        <w:spacing w:before="0" w:after="40" w:line="312" w:lineRule="exact"/>
        <w:ind w:left="0" w:right="0" w:firstLine="0"/>
        <w:jc w:val="left"/>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合同资产预期信用损失的确定方法及会计处理方法</w:t>
      </w:r>
    </w:p>
    <w:p>
      <w:pPr>
        <w:pStyle w:val="Style24"/>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对于合同资产，无论是否包含重大融资成分，公司始终按照相当于整个存续期内预期信用损失的金额计量其损失准备， 由此形成的损失准备的增加或转回金额，作为减值损失或利得计入当期损益。</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公司在资产负债表日计算合同资产预期信用损失，如果该预期信用损失大于当前合同资产减值准备的账面金额，将其差额确 认为减值损失；每个资产负债表日重新计量预期信用损失，由此形成的损失准备的转回金额，确认为减值利得。</w:t>
      </w:r>
    </w:p>
    <w:p>
      <w:pPr>
        <w:pStyle w:val="Style2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公司对合同资产的预期信用损失的确定方法及会计处理方法详见附注五、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3"/>
        <w:keepNext/>
        <w:keepLines/>
        <w:widowControl w:val="0"/>
        <w:shd w:val="clear" w:color="auto" w:fill="auto"/>
        <w:tabs>
          <w:tab w:pos="474" w:val="left"/>
        </w:tabs>
        <w:bidi w:val="0"/>
        <w:spacing w:before="0" w:after="2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13"/>
      <w:bookmarkEnd w:id="814"/>
      <w:bookmarkEnd w:id="816"/>
    </w:p>
    <w:p>
      <w:pPr>
        <w:pStyle w:val="Style24"/>
        <w:keepNext w:val="0"/>
        <w:keepLines w:val="0"/>
        <w:widowControl w:val="0"/>
        <w:shd w:val="clear" w:color="auto" w:fill="auto"/>
        <w:bidi w:val="0"/>
        <w:spacing w:before="0" w:after="140" w:line="312" w:lineRule="exact"/>
        <w:ind w:left="0" w:right="0" w:firstLine="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）长期股权投资的分类</w:t>
      </w:r>
    </w:p>
    <w:p>
      <w:pPr>
        <w:pStyle w:val="Style24"/>
        <w:keepNext w:val="0"/>
        <w:keepLines w:val="0"/>
        <w:widowControl w:val="0"/>
        <w:shd w:val="clear" w:color="auto" w:fill="auto"/>
        <w:bidi w:val="0"/>
        <w:spacing w:before="0" w:after="40" w:line="240" w:lineRule="auto"/>
        <w:ind w:left="0" w:right="0" w:firstLine="360"/>
        <w:jc w:val="left"/>
      </w:pPr>
      <w:r>
        <w:rPr>
          <w:color w:val="000000"/>
          <w:spacing w:val="0"/>
          <w:w w:val="100"/>
          <w:position w:val="0"/>
        </w:rPr>
        <w:t>长期股权投资包括对子公司的投资和对合营企业、联营企业的投资。</w:t>
      </w:r>
    </w:p>
    <w:p>
      <w:pPr>
        <w:pStyle w:val="Style24"/>
        <w:keepNext w:val="0"/>
        <w:keepLines w:val="0"/>
        <w:widowControl w:val="0"/>
        <w:shd w:val="clear" w:color="auto" w:fill="auto"/>
        <w:tabs>
          <w:tab w:pos="429" w:val="left"/>
        </w:tabs>
        <w:bidi w:val="0"/>
        <w:spacing w:before="0" w:after="0" w:line="316" w:lineRule="exact"/>
        <w:ind w:left="0" w:right="0" w:firstLine="0"/>
        <w:jc w:val="left"/>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长期股权投资的计量：</w:t>
      </w:r>
    </w:p>
    <w:p>
      <w:pPr>
        <w:pStyle w:val="Style24"/>
        <w:keepNext w:val="0"/>
        <w:keepLines w:val="0"/>
        <w:widowControl w:val="0"/>
        <w:shd w:val="clear" w:color="auto" w:fill="auto"/>
        <w:tabs>
          <w:tab w:pos="386" w:val="left"/>
        </w:tabs>
        <w:bidi w:val="0"/>
        <w:spacing w:before="0" w:after="0" w:line="316" w:lineRule="exact"/>
        <w:ind w:left="0" w:right="0" w:firstLine="0"/>
        <w:jc w:val="left"/>
      </w:pPr>
      <w:bookmarkStart w:id="819" w:name="bookmark819"/>
      <w:r>
        <w:rPr>
          <w:rFonts w:ascii="Times New Roman" w:eastAsia="Times New Roman" w:hAnsi="Times New Roman" w:cs="Times New Roman"/>
          <w:color w:val="000000"/>
          <w:spacing w:val="0"/>
          <w:w w:val="100"/>
          <w:position w:val="0"/>
        </w:rPr>
        <w:t>A</w:t>
      </w:r>
      <w:bookmarkEnd w:id="819"/>
      <w:r>
        <w:rPr>
          <w:color w:val="000000"/>
          <w:spacing w:val="0"/>
          <w:w w:val="100"/>
          <w:position w:val="0"/>
        </w:rPr>
        <w:t>、</w:t>
        <w:tab/>
      </w:r>
      <w:r>
        <w:rPr>
          <w:color w:val="000000"/>
          <w:spacing w:val="0"/>
          <w:w w:val="100"/>
          <w:position w:val="0"/>
        </w:rPr>
        <w:t>企业合并形成的长期股权投资</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同一控制下的企业合并形成的，合并方以支付现金、转让非现金资产、承担债务或发行权益性证券作为合并对价的，在 合并日按照取得被合并方所有者权益在最终控制方合并财务报表中的账面价值的份额作为其初始投资成本。长期股权投资初 始投资成本与支付的现金、转让的非现金资产以及所承担债务账面价值之间的差额调整资本公积；资本公积不足冲减的，调 整留存收益。</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公司通过多次交易分步实现同一控制下企业合并形成的长期股权投资，在个别财务报表和合并财务报表中，将按持股比 例享有在合并日被合并方所有者权益账面价值的份额作为初始投资成本。合并日之前所持被合并方的股权投资账面价值加 上合并日新增投资成本，与长期股权投资初始投资成本之间的差额调整资本公积；资本公积不足冲减的，调整留存收益。 非同一控制下的企业合并形成的，在购买日按照支付的合并对价的公允价值作为其初始投资成本。公司通过多次交易分步实 现非同一控制下企业合并形成的长期股权投资，区分个别财务报表和合并财务报表进行相关会计处理：</w:t>
      </w:r>
      <w:r>
        <w:rPr>
          <w:rFonts w:ascii="Times New Roman" w:eastAsia="Times New Roman" w:hAnsi="Times New Roman" w:cs="Times New Roman"/>
          <w:color w:val="000000"/>
          <w:spacing w:val="0"/>
          <w:w w:val="100"/>
          <w:position w:val="0"/>
        </w:rPr>
        <w:t>1）</w:t>
      </w:r>
      <w:r>
        <w:rPr>
          <w:color w:val="000000"/>
          <w:spacing w:val="0"/>
          <w:w w:val="100"/>
          <w:position w:val="0"/>
        </w:rPr>
        <w:t>在个别财务报表 中，以购买日之前所持被购买方的股权投资的账面价值与购买日新增投资成本之和，作为该项投资的初始投资成本；购买日 之前持有的被购买方的股权涉及其他综合收益的，在处置该项投资时将与其相关的其他综合收益转入当期投资收益。</w:t>
      </w:r>
      <w:r>
        <w:rPr>
          <w:rFonts w:ascii="Times New Roman" w:eastAsia="Times New Roman" w:hAnsi="Times New Roman" w:cs="Times New Roman"/>
          <w:color w:val="000000"/>
          <w:spacing w:val="0"/>
          <w:w w:val="100"/>
          <w:position w:val="0"/>
        </w:rPr>
        <w:t>2）</w:t>
      </w:r>
      <w:r>
        <w:rPr>
          <w:color w:val="000000"/>
          <w:spacing w:val="0"/>
          <w:w w:val="100"/>
          <w:position w:val="0"/>
        </w:rPr>
        <w:t>在 合并财务报表中，对于购买日之前持有的被购买方的股权，按照该股权在购买日的公允价值进行重新计量，公允价值与其账 面价值的差额计入当期投资收益；购买日之前持有的被购买方的股权涉及其他综合收益的，与其相关的其他综合收益转为 购买日所属当期投资收益。</w:t>
      </w:r>
    </w:p>
    <w:p>
      <w:pPr>
        <w:pStyle w:val="Style24"/>
        <w:keepNext w:val="0"/>
        <w:keepLines w:val="0"/>
        <w:widowControl w:val="0"/>
        <w:shd w:val="clear" w:color="auto" w:fill="auto"/>
        <w:tabs>
          <w:tab w:pos="386" w:val="left"/>
        </w:tabs>
        <w:bidi w:val="0"/>
        <w:spacing w:before="0" w:after="0" w:line="316" w:lineRule="exact"/>
        <w:ind w:left="0" w:right="0" w:firstLine="0"/>
        <w:jc w:val="left"/>
      </w:pPr>
      <w:bookmarkStart w:id="820" w:name="bookmark820"/>
      <w:r>
        <w:rPr>
          <w:rFonts w:ascii="Times New Roman" w:eastAsia="Times New Roman" w:hAnsi="Times New Roman" w:cs="Times New Roman"/>
          <w:color w:val="000000"/>
          <w:spacing w:val="0"/>
          <w:w w:val="100"/>
          <w:position w:val="0"/>
        </w:rPr>
        <w:t>B</w:t>
      </w:r>
      <w:bookmarkEnd w:id="820"/>
      <w:r>
        <w:rPr>
          <w:color w:val="000000"/>
          <w:spacing w:val="0"/>
          <w:w w:val="100"/>
          <w:position w:val="0"/>
        </w:rPr>
        <w:t>、</w:t>
        <w:tab/>
      </w:r>
      <w:r>
        <w:rPr>
          <w:color w:val="000000"/>
          <w:spacing w:val="0"/>
          <w:w w:val="100"/>
          <w:position w:val="0"/>
        </w:rPr>
        <w:t>企业合并以外的其他方式取得的长期股权投资</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以支付现金取得的长期股权投资，按照实际支付的购买价款作为投资成本。投资成本包括与取得长期股权投资直接相关 的费用、税金及其他必要支出；发行权益性证券取得的长期股权投资，按照发行权益性证券的公允价值作为投资成本；通过 非货币性资产交换（该项交换具有商业实质）取得的长期股权投资，其投资成本以该项投资的公允价值和应支付的相关税费 作为换入资产的成本；通过债务重组取得的长期股权投资，债权人将享有股份的公允价值确认为对债务人的投资。</w:t>
      </w:r>
    </w:p>
    <w:p>
      <w:pPr>
        <w:pStyle w:val="Style24"/>
        <w:keepNext w:val="0"/>
        <w:keepLines w:val="0"/>
        <w:widowControl w:val="0"/>
        <w:shd w:val="clear" w:color="auto" w:fill="auto"/>
        <w:tabs>
          <w:tab w:pos="429" w:val="left"/>
        </w:tabs>
        <w:bidi w:val="0"/>
        <w:spacing w:before="0" w:after="0" w:line="316" w:lineRule="exact"/>
        <w:ind w:left="0" w:right="0" w:firstLine="0"/>
        <w:jc w:val="left"/>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3</w:t>
      </w:r>
      <w:r>
        <w:rPr>
          <w:color w:val="000000"/>
          <w:spacing w:val="0"/>
          <w:w w:val="100"/>
          <w:position w:val="0"/>
        </w:rPr>
        <w:t>）</w:t>
        <w:tab/>
        <w:t>后续计量：</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对被投资单位能够实施控制的长期股权投资采用成本法核算；对具有共同控制、重大影响的长期股权投资，采用权益法 核算。</w:t>
      </w:r>
    </w:p>
    <w:p>
      <w:pPr>
        <w:pStyle w:val="Style24"/>
        <w:keepNext w:val="0"/>
        <w:keepLines w:val="0"/>
        <w:widowControl w:val="0"/>
        <w:shd w:val="clear" w:color="auto" w:fill="auto"/>
        <w:tabs>
          <w:tab w:pos="429" w:val="left"/>
        </w:tabs>
        <w:bidi w:val="0"/>
        <w:spacing w:before="0" w:after="0" w:line="317" w:lineRule="exact"/>
        <w:ind w:left="0" w:right="0" w:firstLine="0"/>
        <w:jc w:val="left"/>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4</w:t>
      </w:r>
      <w:r>
        <w:rPr>
          <w:color w:val="000000"/>
          <w:spacing w:val="0"/>
          <w:w w:val="100"/>
          <w:position w:val="0"/>
        </w:rPr>
        <w:t>）</w:t>
        <w:tab/>
        <w:t>确定对被投资单位具有重大影响的依据：</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对被投资单位的财务和经营政策有参与决策的权力，但并不能够控制或者与其他方一起共同控制这些政策的制定的，认 定为重大影响。</w:t>
      </w:r>
    </w:p>
    <w:p>
      <w:pPr>
        <w:pStyle w:val="Style24"/>
        <w:keepNext w:val="0"/>
        <w:keepLines w:val="0"/>
        <w:widowControl w:val="0"/>
        <w:shd w:val="clear" w:color="auto" w:fill="auto"/>
        <w:tabs>
          <w:tab w:pos="429" w:val="left"/>
        </w:tabs>
        <w:bidi w:val="0"/>
        <w:spacing w:before="0" w:after="0" w:line="316" w:lineRule="exact"/>
        <w:ind w:left="0" w:right="0" w:firstLine="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p>
    <w:p>
      <w:pPr>
        <w:pStyle w:val="Style24"/>
        <w:keepNext w:val="0"/>
        <w:keepLines w:val="0"/>
        <w:widowControl w:val="0"/>
        <w:shd w:val="clear" w:color="auto" w:fill="auto"/>
        <w:bidi w:val="0"/>
        <w:spacing w:before="0" w:after="340" w:line="316"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21</w:t>
      </w:r>
      <w:r>
        <w:rPr>
          <w:color w:val="000000"/>
          <w:spacing w:val="0"/>
          <w:w w:val="100"/>
          <w:position w:val="0"/>
        </w:rPr>
        <w:t>、长期资产减值</w:t>
      </w:r>
    </w:p>
    <w:p>
      <w:pPr>
        <w:pStyle w:val="Style33"/>
        <w:keepNext/>
        <w:keepLines/>
        <w:widowControl w:val="0"/>
        <w:shd w:val="clear" w:color="auto" w:fill="auto"/>
        <w:tabs>
          <w:tab w:pos="462" w:val="left"/>
        </w:tabs>
        <w:bidi w:val="0"/>
        <w:spacing w:before="0" w:after="260" w:line="24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24"/>
      <w:bookmarkEnd w:id="825"/>
      <w:bookmarkEnd w:id="827"/>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340" w:line="316" w:lineRule="exact"/>
        <w:ind w:left="0" w:right="0" w:firstLine="0"/>
        <w:jc w:val="both"/>
      </w:pPr>
      <w:r>
        <w:rPr>
          <w:color w:val="000000"/>
          <w:spacing w:val="0"/>
          <w:w w:val="100"/>
          <w:position w:val="0"/>
        </w:rPr>
        <w:t>不适用</w:t>
      </w:r>
    </w:p>
    <w:p>
      <w:pPr>
        <w:pStyle w:val="Style33"/>
        <w:keepNext/>
        <w:keepLines/>
        <w:widowControl w:val="0"/>
        <w:shd w:val="clear" w:color="auto" w:fill="auto"/>
        <w:tabs>
          <w:tab w:pos="462" w:val="left"/>
        </w:tabs>
        <w:bidi w:val="0"/>
        <w:spacing w:before="0" w:after="34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28"/>
      <w:bookmarkEnd w:id="829"/>
      <w:bookmarkEnd w:id="831"/>
    </w:p>
    <w:p>
      <w:pPr>
        <w:pStyle w:val="Style38"/>
        <w:keepNext/>
        <w:keepLines/>
        <w:widowControl w:val="0"/>
        <w:shd w:val="clear" w:color="auto" w:fill="auto"/>
        <w:bidi w:val="0"/>
        <w:spacing w:before="0" w:after="260" w:line="240" w:lineRule="auto"/>
        <w:ind w:left="0" w:right="0" w:firstLine="0"/>
        <w:jc w:val="both"/>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2"/>
      <w:bookmarkEnd w:id="833"/>
      <w:bookmarkEnd w:id="835"/>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固定资产是指使用寿命超过一个会计年度的为生产商品、提供劳务、出租或经营管理而持有的有形资产。固定资产的确认条 件：①该固定资产包含的经济利益很可能流入企业；②该固定资产的成本能够可靠计量。</w:t>
      </w:r>
    </w:p>
    <w:p>
      <w:pPr>
        <w:pStyle w:val="Style38"/>
        <w:keepNext/>
        <w:keepLines/>
        <w:widowControl w:val="0"/>
        <w:shd w:val="clear" w:color="auto" w:fill="auto"/>
        <w:bidi w:val="0"/>
        <w:spacing w:before="0" w:after="34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36"/>
      <w:bookmarkEnd w:id="837"/>
      <w:bookmarkEnd w:id="839"/>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bl>
    <w:p>
      <w:pPr>
        <w:widowControl w:val="0"/>
        <w:spacing w:after="619" w:line="1" w:lineRule="exact"/>
      </w:pPr>
    </w:p>
    <w:p>
      <w:pPr>
        <w:pStyle w:val="Style38"/>
        <w:keepNext/>
        <w:keepLines/>
        <w:widowControl w:val="0"/>
        <w:shd w:val="clear" w:color="auto" w:fill="auto"/>
        <w:bidi w:val="0"/>
        <w:spacing w:before="0" w:after="28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0"/>
      <w:bookmarkEnd w:id="841"/>
      <w:bookmarkEnd w:id="843"/>
    </w:p>
    <w:p>
      <w:pPr>
        <w:pStyle w:val="Style24"/>
        <w:keepNext w:val="0"/>
        <w:keepLines w:val="0"/>
        <w:widowControl w:val="0"/>
        <w:shd w:val="clear" w:color="auto" w:fill="auto"/>
        <w:bidi w:val="0"/>
        <w:spacing w:before="0" w:after="340" w:line="312" w:lineRule="exact"/>
        <w:ind w:left="0" w:right="0" w:firstLine="560"/>
        <w:jc w:val="both"/>
      </w:pPr>
      <w:r>
        <w:rPr>
          <w:color w:val="000000"/>
          <w:spacing w:val="0"/>
          <w:w w:val="100"/>
          <w:position w:val="0"/>
        </w:rPr>
        <w:t>融资租赁为实质上转移了资产所有权有关的全部风险和报酬的租赁，其所有权最终可能转移，也可能不转移。以融资 租赁方式租入的固定资产采用与自有固定资产相一致的政策计提租赁资产折旧。能够合理确定租赁期届满时取得租赁资产 所有权的，在租赁资产使用寿命内计提折旧，无法合理确定租赁期届满时，能够取得租赁资产所有权的，在租赁期与租赁 资产使用寿命两者中较短的期间内计提折旧。</w:t>
      </w:r>
    </w:p>
    <w:p>
      <w:pPr>
        <w:pStyle w:val="Style33"/>
        <w:keepNext/>
        <w:keepLines/>
        <w:widowControl w:val="0"/>
        <w:shd w:val="clear" w:color="auto" w:fill="auto"/>
        <w:tabs>
          <w:tab w:pos="471" w:val="left"/>
        </w:tabs>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44"/>
      <w:bookmarkEnd w:id="845"/>
      <w:bookmarkEnd w:id="847"/>
    </w:p>
    <w:p>
      <w:pPr>
        <w:pStyle w:val="Style24"/>
        <w:keepNext w:val="0"/>
        <w:keepLines w:val="0"/>
        <w:widowControl w:val="0"/>
        <w:shd w:val="clear" w:color="auto" w:fill="auto"/>
        <w:tabs>
          <w:tab w:pos="534" w:val="left"/>
        </w:tabs>
        <w:bidi w:val="0"/>
        <w:spacing w:before="0" w:after="0" w:line="314" w:lineRule="exact"/>
        <w:ind w:left="0" w:right="0" w:firstLine="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在建工程按各项工程所发生的实际支出核算，在达到预定可使用状态时转作固定资产。所建造的固定资产已达到预定 可使用状态，但尚未办理竣工决算手续的，自达到预定可使用状态之日起，根据工程预算、造价或者工程实际成本等，按估 计的价值转入固定资产，并计提固定资产的折旧，待办理了竣工决算手续后再对原估计值进行调整。购建或者生产符合资本 化条件的资产而借入的专门借款或占用了一般借款发生的借款利息以及专门借款发生的辅助费用，在所购建或者生产的符合 资本化条件的资产达到预定可使用或者可销售状态之前根据其发生额予以资本化。</w:t>
      </w:r>
    </w:p>
    <w:p>
      <w:pPr>
        <w:pStyle w:val="Style24"/>
        <w:keepNext w:val="0"/>
        <w:keepLines w:val="0"/>
        <w:widowControl w:val="0"/>
        <w:shd w:val="clear" w:color="auto" w:fill="auto"/>
        <w:tabs>
          <w:tab w:pos="438" w:val="left"/>
        </w:tabs>
        <w:bidi w:val="0"/>
        <w:spacing w:before="0" w:after="0" w:line="316" w:lineRule="exact"/>
        <w:ind w:left="0" w:right="0" w:firstLine="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在建工程减值准备的确认标准、计提方法</w:t>
      </w:r>
    </w:p>
    <w:p>
      <w:pPr>
        <w:pStyle w:val="Style24"/>
        <w:keepNext w:val="0"/>
        <w:keepLines w:val="0"/>
        <w:widowControl w:val="0"/>
        <w:shd w:val="clear" w:color="auto" w:fill="auto"/>
        <w:bidi w:val="0"/>
        <w:spacing w:before="0" w:after="340" w:line="316"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21</w:t>
      </w:r>
      <w:r>
        <w:rPr>
          <w:color w:val="000000"/>
          <w:spacing w:val="0"/>
          <w:w w:val="100"/>
          <w:position w:val="0"/>
        </w:rPr>
        <w:t>、长期资产减值</w:t>
      </w:r>
    </w:p>
    <w:p>
      <w:pPr>
        <w:pStyle w:val="Style33"/>
        <w:keepNext/>
        <w:keepLines/>
        <w:widowControl w:val="0"/>
        <w:shd w:val="clear" w:color="auto" w:fill="auto"/>
        <w:tabs>
          <w:tab w:pos="471" w:val="left"/>
        </w:tabs>
        <w:bidi w:val="0"/>
        <w:spacing w:before="0" w:after="280" w:line="240"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50"/>
      <w:bookmarkEnd w:id="851"/>
      <w:bookmarkEnd w:id="853"/>
    </w:p>
    <w:p>
      <w:pPr>
        <w:pStyle w:val="Style24"/>
        <w:keepNext w:val="0"/>
        <w:keepLines w:val="0"/>
        <w:widowControl w:val="0"/>
        <w:shd w:val="clear" w:color="auto" w:fill="auto"/>
        <w:tabs>
          <w:tab w:pos="802" w:val="left"/>
        </w:tabs>
        <w:bidi w:val="0"/>
        <w:spacing w:before="0" w:after="0" w:line="316" w:lineRule="exact"/>
        <w:ind w:left="0" w:right="0" w:firstLine="280"/>
        <w:jc w:val="left"/>
      </w:pPr>
      <w:bookmarkStart w:id="854" w:name="bookmark854"/>
      <w:r>
        <w:rPr>
          <w:color w:val="000000"/>
          <w:spacing w:val="0"/>
          <w:w w:val="100"/>
          <w:position w:val="0"/>
        </w:rPr>
        <w:t>（</w:t>
      </w:r>
      <w:bookmarkEnd w:id="854"/>
      <w:r>
        <w:rPr>
          <w:color w:val="000000"/>
          <w:spacing w:val="0"/>
          <w:w w:val="100"/>
          <w:position w:val="0"/>
        </w:rPr>
        <w:t>1）</w:t>
        <w:tab/>
      </w:r>
      <w:r>
        <w:rPr>
          <w:color w:val="000000"/>
          <w:spacing w:val="0"/>
          <w:w w:val="100"/>
          <w:position w:val="0"/>
        </w:rPr>
        <w:t>公司发生的借款费用，可直接归属于符合资本化条件的资产的购建或者生产的，予以资本化，计入相关资产成本; 其他借款费用，在发生时根据其发生额确认为费用，计入当期损益。</w:t>
      </w:r>
    </w:p>
    <w:p>
      <w:pPr>
        <w:pStyle w:val="Style24"/>
        <w:keepNext w:val="0"/>
        <w:keepLines w:val="0"/>
        <w:widowControl w:val="0"/>
        <w:shd w:val="clear" w:color="auto" w:fill="auto"/>
        <w:tabs>
          <w:tab w:pos="718" w:val="left"/>
        </w:tabs>
        <w:bidi w:val="0"/>
        <w:spacing w:before="0" w:after="0" w:line="316" w:lineRule="exact"/>
        <w:ind w:left="0" w:right="0" w:firstLine="280"/>
        <w:jc w:val="left"/>
      </w:pPr>
      <w:bookmarkStart w:id="855" w:name="bookmark855"/>
      <w:r>
        <w:rPr>
          <w:color w:val="000000"/>
          <w:spacing w:val="0"/>
          <w:w w:val="100"/>
          <w:position w:val="0"/>
        </w:rPr>
        <w:t>（</w:t>
      </w:r>
      <w:bookmarkEnd w:id="855"/>
      <w:r>
        <w:rPr>
          <w:color w:val="000000"/>
          <w:spacing w:val="0"/>
          <w:w w:val="100"/>
          <w:position w:val="0"/>
        </w:rPr>
        <w:t>2）</w:t>
        <w:tab/>
      </w:r>
      <w:r>
        <w:rPr>
          <w:color w:val="000000"/>
          <w:spacing w:val="0"/>
          <w:w w:val="100"/>
          <w:position w:val="0"/>
        </w:rPr>
        <w:t>借款费用同时满足以下条件时予以资本化：</w:t>
      </w:r>
    </w:p>
    <w:p>
      <w:pPr>
        <w:pStyle w:val="Style24"/>
        <w:keepNext w:val="0"/>
        <w:keepLines w:val="0"/>
        <w:widowControl w:val="0"/>
        <w:shd w:val="clear" w:color="auto" w:fill="auto"/>
        <w:tabs>
          <w:tab w:pos="783" w:val="left"/>
        </w:tabs>
        <w:bidi w:val="0"/>
        <w:spacing w:before="0" w:after="0" w:line="316" w:lineRule="exact"/>
        <w:ind w:left="0" w:right="0" w:firstLine="460"/>
        <w:jc w:val="both"/>
      </w:pPr>
      <w:bookmarkStart w:id="856" w:name="bookmark856"/>
      <w:r>
        <w:rPr>
          <w:color w:val="000000"/>
          <w:spacing w:val="0"/>
          <w:w w:val="100"/>
          <w:position w:val="0"/>
        </w:rPr>
        <w:t>a</w:t>
      </w:r>
      <w:bookmarkEnd w:id="856"/>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24"/>
        <w:keepNext w:val="0"/>
        <w:keepLines w:val="0"/>
        <w:widowControl w:val="0"/>
        <w:shd w:val="clear" w:color="auto" w:fill="auto"/>
        <w:tabs>
          <w:tab w:pos="802" w:val="left"/>
        </w:tabs>
        <w:bidi w:val="0"/>
        <w:spacing w:before="0" w:after="0" w:line="316" w:lineRule="exact"/>
        <w:ind w:left="0" w:right="0" w:firstLine="460"/>
        <w:jc w:val="left"/>
      </w:pPr>
      <w:bookmarkStart w:id="857" w:name="bookmark857"/>
      <w:r>
        <w:rPr>
          <w:color w:val="000000"/>
          <w:spacing w:val="0"/>
          <w:w w:val="100"/>
          <w:position w:val="0"/>
        </w:rPr>
        <w:t>b</w:t>
      </w:r>
      <w:bookmarkEnd w:id="857"/>
      <w:r>
        <w:rPr>
          <w:color w:val="000000"/>
          <w:spacing w:val="0"/>
          <w:w w:val="100"/>
          <w:position w:val="0"/>
        </w:rPr>
        <w:t>、</w:t>
        <w:tab/>
      </w:r>
      <w:r>
        <w:rPr>
          <w:color w:val="000000"/>
          <w:spacing w:val="0"/>
          <w:w w:val="100"/>
          <w:position w:val="0"/>
        </w:rPr>
        <w:t>借款费用已经发生；</w:t>
      </w:r>
    </w:p>
    <w:p>
      <w:pPr>
        <w:pStyle w:val="Style24"/>
        <w:keepNext w:val="0"/>
        <w:keepLines w:val="0"/>
        <w:widowControl w:val="0"/>
        <w:shd w:val="clear" w:color="auto" w:fill="auto"/>
        <w:tabs>
          <w:tab w:pos="802" w:val="left"/>
        </w:tabs>
        <w:bidi w:val="0"/>
        <w:spacing w:before="0" w:after="0" w:line="316" w:lineRule="exact"/>
        <w:ind w:left="0" w:right="0" w:firstLine="460"/>
        <w:jc w:val="left"/>
      </w:pPr>
      <w:bookmarkStart w:id="858" w:name="bookmark858"/>
      <w:r>
        <w:rPr>
          <w:color w:val="000000"/>
          <w:spacing w:val="0"/>
          <w:w w:val="100"/>
          <w:position w:val="0"/>
        </w:rPr>
        <w:t>c</w:t>
      </w:r>
      <w:bookmarkEnd w:id="858"/>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24"/>
        <w:keepNext w:val="0"/>
        <w:keepLines w:val="0"/>
        <w:widowControl w:val="0"/>
        <w:shd w:val="clear" w:color="auto" w:fill="auto"/>
        <w:tabs>
          <w:tab w:pos="798" w:val="left"/>
        </w:tabs>
        <w:bidi w:val="0"/>
        <w:spacing w:before="0" w:after="0" w:line="316" w:lineRule="exact"/>
        <w:ind w:left="0" w:right="0" w:firstLine="280"/>
        <w:jc w:val="both"/>
      </w:pPr>
      <w:bookmarkStart w:id="859" w:name="bookmark859"/>
      <w:r>
        <w:rPr>
          <w:color w:val="000000"/>
          <w:spacing w:val="0"/>
          <w:w w:val="100"/>
          <w:position w:val="0"/>
        </w:rPr>
        <w:t>（</w:t>
      </w:r>
      <w:bookmarkEnd w:id="859"/>
      <w:r>
        <w:rPr>
          <w:color w:val="000000"/>
          <w:spacing w:val="0"/>
          <w:w w:val="100"/>
          <w:position w:val="0"/>
        </w:rPr>
        <w:t>3）</w:t>
        <w:tab/>
      </w:r>
      <w:r>
        <w:rPr>
          <w:color w:val="000000"/>
          <w:spacing w:val="0"/>
          <w:w w:val="100"/>
          <w:position w:val="0"/>
        </w:rPr>
        <w:t>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个月的，应当暂停借款费用 的资本化。在中断期间发生的借款费用应当确认为费用，计入当期损益，直至资产的购建或者生产活动重新开始。如果中断 是所购建或者生产的符合资本化条件的资产达到预定可使用或者可销售状态必要的程序，借款费用的资本化应当继续进行。</w:t>
      </w:r>
    </w:p>
    <w:p>
      <w:pPr>
        <w:pStyle w:val="Style24"/>
        <w:keepNext w:val="0"/>
        <w:keepLines w:val="0"/>
        <w:widowControl w:val="0"/>
        <w:shd w:val="clear" w:color="auto" w:fill="auto"/>
        <w:bidi w:val="0"/>
        <w:spacing w:before="0" w:after="280" w:line="316" w:lineRule="exact"/>
        <w:ind w:left="0" w:right="0" w:firstLine="380"/>
        <w:jc w:val="both"/>
      </w:pPr>
      <w:bookmarkStart w:id="860" w:name="bookmark860"/>
      <w:r>
        <w:rPr>
          <w:color w:val="000000"/>
          <w:spacing w:val="0"/>
          <w:w w:val="100"/>
          <w:position w:val="0"/>
        </w:rPr>
        <w:t>（</w:t>
      </w:r>
      <w:bookmarkEnd w:id="860"/>
      <w:r>
        <w:rPr>
          <w:color w:val="000000"/>
          <w:spacing w:val="0"/>
          <w:w w:val="100"/>
          <w:position w:val="0"/>
        </w:rPr>
        <w:t>4）</w:t>
      </w:r>
      <w:r>
        <w:rPr>
          <w:color w:val="000000"/>
          <w:spacing w:val="0"/>
          <w:w w:val="100"/>
          <w:position w:val="0"/>
        </w:rPr>
        <w:t>购建或者生产符合资本化条件的资产达到预定可使用或者可销售状态时，借款费用应当停止资本化。在符合资本 化条件的资产达到预定可使用或者可销售状态之后所发生的借款费用，应当在发生时根据其发生额确认为费用，计入当期损 益。</w:t>
      </w:r>
    </w:p>
    <w:p>
      <w:pPr>
        <w:pStyle w:val="Style33"/>
        <w:keepNext/>
        <w:keepLines/>
        <w:widowControl w:val="0"/>
        <w:shd w:val="clear" w:color="auto" w:fill="auto"/>
        <w:bidi w:val="0"/>
        <w:spacing w:before="0" w:after="2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9</w:t>
      </w:r>
      <w:r>
        <w:rPr>
          <w:color w:val="000000"/>
          <w:spacing w:val="0"/>
          <w:w w:val="100"/>
          <w:position w:val="0"/>
        </w:rPr>
        <w:t>、使用权资产</w:t>
      </w:r>
      <w:bookmarkEnd w:id="861"/>
      <w:bookmarkEnd w:id="862"/>
      <w:bookmarkEnd w:id="864"/>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使用权资产，是指本公司作为承租人可在租赁期内使用租赁资产的权利。</w:t>
      </w:r>
    </w:p>
    <w:p>
      <w:pPr>
        <w:pStyle w:val="Style24"/>
        <w:keepNext w:val="0"/>
        <w:keepLines w:val="0"/>
        <w:widowControl w:val="0"/>
        <w:shd w:val="clear" w:color="auto" w:fill="auto"/>
        <w:tabs>
          <w:tab w:pos="440" w:val="left"/>
        </w:tabs>
        <w:bidi w:val="0"/>
        <w:spacing w:before="0" w:after="0" w:line="312" w:lineRule="exact"/>
        <w:ind w:left="0" w:right="0" w:firstLine="0"/>
        <w:jc w:val="left"/>
      </w:pPr>
      <w:bookmarkStart w:id="865" w:name="bookmark865"/>
      <w:r>
        <w:rPr>
          <w:color w:val="000000"/>
          <w:spacing w:val="0"/>
          <w:w w:val="100"/>
          <w:position w:val="0"/>
        </w:rPr>
        <w:t>（</w:t>
      </w:r>
      <w:bookmarkEnd w:id="865"/>
      <w:r>
        <w:rPr>
          <w:color w:val="000000"/>
          <w:spacing w:val="0"/>
          <w:w w:val="100"/>
          <w:position w:val="0"/>
        </w:rPr>
        <w:t>1）</w:t>
        <w:tab/>
      </w:r>
      <w:r>
        <w:rPr>
          <w:color w:val="000000"/>
          <w:spacing w:val="0"/>
          <w:w w:val="100"/>
          <w:position w:val="0"/>
        </w:rPr>
        <w:t>初始计量</w:t>
      </w:r>
    </w:p>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在租赁期开始日，本公司按照成本对使用权资产进行初始计量。该成本包括下列四项：①租赁负债的初始计量金额； ②在租赁期开始日或之前支付的租赁付款额，存在租赁激励的，扣除已享受的租赁激励相关金额；③发生的初始直接费用， 即为达成租赁所发生的增量成本；④为拆卸及移除租赁资产、复原租赁资产所在场地或将租赁资产恢复至租赁条款约定状 态预计将发生的成本，属于为生产存货而发生的除外。</w:t>
      </w:r>
    </w:p>
    <w:p>
      <w:pPr>
        <w:pStyle w:val="Style24"/>
        <w:keepNext w:val="0"/>
        <w:keepLines w:val="0"/>
        <w:widowControl w:val="0"/>
        <w:shd w:val="clear" w:color="auto" w:fill="auto"/>
        <w:tabs>
          <w:tab w:pos="440" w:val="left"/>
        </w:tabs>
        <w:bidi w:val="0"/>
        <w:spacing w:before="0" w:after="0" w:line="312" w:lineRule="exact"/>
        <w:ind w:left="0" w:right="0" w:firstLine="0"/>
        <w:jc w:val="left"/>
      </w:pPr>
      <w:bookmarkStart w:id="866" w:name="bookmark866"/>
      <w:r>
        <w:rPr>
          <w:color w:val="000000"/>
          <w:spacing w:val="0"/>
          <w:w w:val="100"/>
          <w:position w:val="0"/>
        </w:rPr>
        <w:t>（</w:t>
      </w:r>
      <w:bookmarkEnd w:id="866"/>
      <w:r>
        <w:rPr>
          <w:color w:val="000000"/>
          <w:spacing w:val="0"/>
          <w:w w:val="100"/>
          <w:position w:val="0"/>
        </w:rPr>
        <w:t>2）</w:t>
        <w:tab/>
      </w:r>
      <w:r>
        <w:rPr>
          <w:color w:val="000000"/>
          <w:spacing w:val="0"/>
          <w:w w:val="100"/>
          <w:position w:val="0"/>
        </w:rPr>
        <w:t>后续计量</w:t>
      </w:r>
    </w:p>
    <w:p>
      <w:pPr>
        <w:pStyle w:val="Style24"/>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在租赁期开始日后，本公司采用成本模式对使用权资产进行后续计量，即以成本减累计折旧及累计减值损失计量使用权 资产。</w:t>
      </w:r>
    </w:p>
    <w:p>
      <w:pPr>
        <w:pStyle w:val="Style24"/>
        <w:keepNext w:val="0"/>
        <w:keepLines w:val="0"/>
        <w:widowControl w:val="0"/>
        <w:shd w:val="clear" w:color="auto" w:fill="auto"/>
        <w:tabs>
          <w:tab w:pos="440" w:val="left"/>
        </w:tabs>
        <w:bidi w:val="0"/>
        <w:spacing w:before="0" w:after="0" w:line="312" w:lineRule="exact"/>
        <w:ind w:left="0" w:right="0" w:firstLine="0"/>
        <w:jc w:val="left"/>
      </w:pPr>
      <w:bookmarkStart w:id="867" w:name="bookmark867"/>
      <w:r>
        <w:rPr>
          <w:color w:val="000000"/>
          <w:spacing w:val="0"/>
          <w:w w:val="100"/>
          <w:position w:val="0"/>
        </w:rPr>
        <w:t>（</w:t>
      </w:r>
      <w:bookmarkEnd w:id="867"/>
      <w:r>
        <w:rPr>
          <w:color w:val="000000"/>
          <w:spacing w:val="0"/>
          <w:w w:val="100"/>
          <w:position w:val="0"/>
        </w:rPr>
        <w:t>3）</w:t>
        <w:tab/>
      </w:r>
      <w:r>
        <w:rPr>
          <w:color w:val="000000"/>
          <w:spacing w:val="0"/>
          <w:w w:val="100"/>
          <w:position w:val="0"/>
        </w:rPr>
        <w:t>使用权资产的折旧。</w:t>
      </w:r>
    </w:p>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自租赁期开始日起，本公司对使用权资产计提折旧。使用权资产通常自租赁期开始的当月计提折旧。计提的折旧金额 根据使用权资产的用途，计入相关资产的成本或者当期损益。本公司在确定使用权资产的折旧方法时，根据与使用权资产 有关的经济利益的预期消耗方式做出决定，以直线法对使用权资产计提折旧。本公司在确定使用权资产的折旧年限时，遵 循以下原则：能够合理确定租赁期届满时取得租赁资产所有权的，在租赁资产剩余使用寿命内计提折旧；无法合理确定租 赁期届满时能够取得租赁资产所有权的，在租赁期与租赁资产剩余使用寿命两者孰短的期间内计提折旧。如果使用权资产 发生减值，本公司按照扣除减值损失之后的使用权资产的账面价值，进行后续折旧。</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注：说明使用权资产的确定方法及会计处理方法。</w:t>
      </w:r>
    </w:p>
    <w:p>
      <w:pPr>
        <w:pStyle w:val="Style2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33"/>
        <w:keepNext/>
        <w:keepLines/>
        <w:widowControl w:val="0"/>
        <w:shd w:val="clear" w:color="auto" w:fill="auto"/>
        <w:bidi w:val="0"/>
        <w:spacing w:before="0" w:after="34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68"/>
      <w:bookmarkEnd w:id="869"/>
      <w:bookmarkEnd w:id="871"/>
    </w:p>
    <w:p>
      <w:pPr>
        <w:pStyle w:val="Style38"/>
        <w:keepNext/>
        <w:keepLines/>
        <w:widowControl w:val="0"/>
        <w:shd w:val="clear" w:color="auto" w:fill="auto"/>
        <w:bidi w:val="0"/>
        <w:spacing w:before="0" w:after="28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2"/>
      <w:bookmarkEnd w:id="873"/>
      <w:bookmarkEnd w:id="875"/>
    </w:p>
    <w:p>
      <w:pPr>
        <w:pStyle w:val="Style24"/>
        <w:keepNext w:val="0"/>
        <w:keepLines w:val="0"/>
        <w:widowControl w:val="0"/>
        <w:numPr>
          <w:ilvl w:val="0"/>
          <w:numId w:val="39"/>
        </w:numPr>
        <w:shd w:val="clear" w:color="auto" w:fill="auto"/>
        <w:tabs>
          <w:tab w:pos="373" w:val="left"/>
        </w:tabs>
        <w:bidi w:val="0"/>
        <w:spacing w:before="0" w:after="0" w:line="312" w:lineRule="exact"/>
        <w:ind w:left="0" w:right="0" w:firstLine="0"/>
        <w:jc w:val="left"/>
      </w:pPr>
      <w:bookmarkStart w:id="876" w:name="bookmark876"/>
      <w:bookmarkEnd w:id="876"/>
      <w:r>
        <w:rPr>
          <w:color w:val="000000"/>
          <w:spacing w:val="0"/>
          <w:w w:val="100"/>
          <w:position w:val="0"/>
        </w:rPr>
        <w:t>无形资产的计量</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无形资产按取得时实际成本计价，其中购入的无形资产的成本，按使该项资产达到预定用途所发生的实际支出计价；内 部研究开发项目研究阶段的支出，于发生时计入当期损益；开发阶段的支出，能够符合资本化条件的，确认为无形资产成本; 投资者投入的无形资产，应当按照投资合同或协议约定的价值确定，但合同或协议约定价值不公允的除外；接受债务人以非 现金资产抵偿债务方式取得的无形资产，或以应收债权换入无形资产的，按换入无形资产的公允价值入账；非货币性交易投 入的无形资产，以该项无形资产的公允价值和应支付的相关税费作为入账成本；接受捐赠的无形资产，捐赠方提供了有关凭 据的，按凭据上标明的金额加上应支付的相关税费计价；捐赠方没有提供有关凭据的，如果同类或类似无形资产存在活跃市 场的，按同类或类似无形资产的市场价格估计的金额，加上应支付的相关税费，作为实际成本；如果同类或类似无形资产不 存在活跃市场的，按接受捐赠的无形资产的预计未来现金流量现值，作为实际成本。</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无形资产期末按照账面价值与可回收金额孰低计量。</w:t>
      </w:r>
    </w:p>
    <w:p>
      <w:pPr>
        <w:pStyle w:val="Style24"/>
        <w:keepNext w:val="0"/>
        <w:keepLines w:val="0"/>
        <w:widowControl w:val="0"/>
        <w:numPr>
          <w:ilvl w:val="0"/>
          <w:numId w:val="39"/>
        </w:numPr>
        <w:shd w:val="clear" w:color="auto" w:fill="auto"/>
        <w:tabs>
          <w:tab w:pos="373" w:val="left"/>
        </w:tabs>
        <w:bidi w:val="0"/>
        <w:spacing w:before="0" w:after="0" w:line="312" w:lineRule="exact"/>
        <w:ind w:left="0" w:right="0" w:firstLine="0"/>
        <w:jc w:val="left"/>
      </w:pPr>
      <w:bookmarkStart w:id="877" w:name="bookmark877"/>
      <w:bookmarkEnd w:id="877"/>
      <w:r>
        <w:rPr>
          <w:color w:val="000000"/>
          <w:spacing w:val="0"/>
          <w:w w:val="100"/>
          <w:position w:val="0"/>
        </w:rPr>
        <w:t>无形资产的摊销方法</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使用寿命有限的无形资产，在估计该使用寿命的年限内按直线法摊销；无法预见无形资产为公司带来未来经济利益的期 限的，视为使用寿命不确定的无形资产。使用寿命不确定的无形资产不摊销。</w:t>
      </w:r>
    </w:p>
    <w:p>
      <w:pPr>
        <w:pStyle w:val="Style24"/>
        <w:keepNext w:val="0"/>
        <w:keepLines w:val="0"/>
        <w:widowControl w:val="0"/>
        <w:numPr>
          <w:ilvl w:val="0"/>
          <w:numId w:val="39"/>
        </w:numPr>
        <w:shd w:val="clear" w:color="auto" w:fill="auto"/>
        <w:tabs>
          <w:tab w:pos="373" w:val="left"/>
        </w:tabs>
        <w:bidi w:val="0"/>
        <w:spacing w:before="0" w:after="0" w:line="312" w:lineRule="exact"/>
        <w:ind w:left="0" w:right="0" w:firstLine="0"/>
        <w:jc w:val="left"/>
      </w:pPr>
      <w:bookmarkStart w:id="878" w:name="bookmark878"/>
      <w:bookmarkEnd w:id="878"/>
      <w:r>
        <w:rPr>
          <w:color w:val="000000"/>
          <w:spacing w:val="0"/>
          <w:w w:val="100"/>
          <w:position w:val="0"/>
        </w:rPr>
        <w:t>无形资产减值准备的确认标准、计提方法</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21</w:t>
      </w:r>
      <w:r>
        <w:rPr>
          <w:color w:val="000000"/>
          <w:spacing w:val="0"/>
          <w:w w:val="100"/>
          <w:position w:val="0"/>
        </w:rPr>
        <w:t>、长期资产减值</w:t>
      </w:r>
    </w:p>
    <w:p>
      <w:pPr>
        <w:pStyle w:val="Style24"/>
        <w:keepNext w:val="0"/>
        <w:keepLines w:val="0"/>
        <w:widowControl w:val="0"/>
        <w:numPr>
          <w:ilvl w:val="0"/>
          <w:numId w:val="39"/>
        </w:numPr>
        <w:shd w:val="clear" w:color="auto" w:fill="auto"/>
        <w:tabs>
          <w:tab w:pos="373" w:val="left"/>
        </w:tabs>
        <w:bidi w:val="0"/>
        <w:spacing w:before="0" w:after="0" w:line="312" w:lineRule="exact"/>
        <w:ind w:left="0" w:right="0" w:firstLine="0"/>
        <w:jc w:val="left"/>
      </w:pPr>
      <w:bookmarkStart w:id="879" w:name="bookmark879"/>
      <w:bookmarkEnd w:id="879"/>
      <w:r>
        <w:rPr>
          <w:color w:val="000000"/>
          <w:spacing w:val="0"/>
          <w:w w:val="100"/>
          <w:position w:val="0"/>
        </w:rPr>
        <w:t>公司内部研究开发项目开发阶段的支出，符合下列各项时，确认为无形资产：</w:t>
      </w:r>
    </w:p>
    <w:p>
      <w:pPr>
        <w:pStyle w:val="Style24"/>
        <w:keepNext w:val="0"/>
        <w:keepLines w:val="0"/>
        <w:widowControl w:val="0"/>
        <w:numPr>
          <w:ilvl w:val="0"/>
          <w:numId w:val="41"/>
        </w:numPr>
        <w:shd w:val="clear" w:color="auto" w:fill="auto"/>
        <w:tabs>
          <w:tab w:pos="506" w:val="left"/>
        </w:tabs>
        <w:bidi w:val="0"/>
        <w:spacing w:before="0" w:after="0" w:line="312" w:lineRule="exact"/>
        <w:ind w:left="0" w:right="0" w:firstLine="200"/>
        <w:jc w:val="left"/>
      </w:pPr>
      <w:bookmarkStart w:id="880" w:name="bookmark880"/>
      <w:bookmarkEnd w:id="880"/>
      <w:r>
        <w:rPr>
          <w:color w:val="000000"/>
          <w:spacing w:val="0"/>
          <w:w w:val="100"/>
          <w:position w:val="0"/>
        </w:rPr>
        <w:t>从技术上来讲，完成该无形资产以使其能够使用或出售具有可行性。</w:t>
      </w:r>
    </w:p>
    <w:p>
      <w:pPr>
        <w:pStyle w:val="Style24"/>
        <w:keepNext w:val="0"/>
        <w:keepLines w:val="0"/>
        <w:widowControl w:val="0"/>
        <w:numPr>
          <w:ilvl w:val="0"/>
          <w:numId w:val="41"/>
        </w:numPr>
        <w:shd w:val="clear" w:color="auto" w:fill="auto"/>
        <w:tabs>
          <w:tab w:pos="520" w:val="left"/>
        </w:tabs>
        <w:bidi w:val="0"/>
        <w:spacing w:before="0" w:after="0" w:line="312" w:lineRule="exact"/>
        <w:ind w:left="0" w:right="0" w:firstLine="200"/>
        <w:jc w:val="left"/>
      </w:pPr>
      <w:bookmarkStart w:id="881" w:name="bookmark881"/>
      <w:bookmarkEnd w:id="881"/>
      <w:r>
        <w:rPr>
          <w:color w:val="000000"/>
          <w:spacing w:val="0"/>
          <w:w w:val="100"/>
          <w:position w:val="0"/>
        </w:rPr>
        <w:t>具有完成该无形资产并使用或出售的意图。</w:t>
      </w:r>
    </w:p>
    <w:p>
      <w:pPr>
        <w:pStyle w:val="Style24"/>
        <w:keepNext w:val="0"/>
        <w:keepLines w:val="0"/>
        <w:widowControl w:val="0"/>
        <w:numPr>
          <w:ilvl w:val="0"/>
          <w:numId w:val="41"/>
        </w:numPr>
        <w:shd w:val="clear" w:color="auto" w:fill="auto"/>
        <w:tabs>
          <w:tab w:pos="448" w:val="left"/>
        </w:tabs>
        <w:bidi w:val="0"/>
        <w:spacing w:before="0" w:after="0" w:line="322" w:lineRule="exact"/>
        <w:ind w:left="0" w:right="0" w:firstLine="200"/>
        <w:jc w:val="both"/>
      </w:pPr>
      <w:bookmarkStart w:id="882" w:name="bookmark882"/>
      <w:bookmarkEnd w:id="882"/>
      <w:r>
        <w:rPr>
          <w:color w:val="000000"/>
          <w:spacing w:val="0"/>
          <w:w w:val="100"/>
          <w:position w:val="0"/>
        </w:rPr>
        <w:t>无形资产产生未来经济利益的方式，包括能够证明运用该无形资产生产的产品存在市场或无形资产自身存在市场；无形 资产将在内部使用时，证明其有用性。</w:t>
      </w:r>
    </w:p>
    <w:p>
      <w:pPr>
        <w:pStyle w:val="Style24"/>
        <w:keepNext w:val="0"/>
        <w:keepLines w:val="0"/>
        <w:widowControl w:val="0"/>
        <w:numPr>
          <w:ilvl w:val="0"/>
          <w:numId w:val="41"/>
        </w:numPr>
        <w:shd w:val="clear" w:color="auto" w:fill="auto"/>
        <w:tabs>
          <w:tab w:pos="490" w:val="left"/>
        </w:tabs>
        <w:bidi w:val="0"/>
        <w:spacing w:before="0" w:after="0" w:line="322" w:lineRule="exact"/>
        <w:ind w:left="0" w:right="0" w:firstLine="200"/>
        <w:jc w:val="both"/>
      </w:pPr>
      <w:bookmarkStart w:id="883" w:name="bookmark883"/>
      <w:bookmarkEnd w:id="883"/>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41"/>
        </w:numPr>
        <w:shd w:val="clear" w:color="auto" w:fill="auto"/>
        <w:tabs>
          <w:tab w:pos="490" w:val="left"/>
        </w:tabs>
        <w:bidi w:val="0"/>
        <w:spacing w:before="0" w:after="700" w:line="313" w:lineRule="exact"/>
        <w:ind w:left="0" w:right="0" w:firstLine="200"/>
        <w:jc w:val="both"/>
      </w:pPr>
      <w:bookmarkStart w:id="884" w:name="bookmark884"/>
      <w:bookmarkEnd w:id="884"/>
      <w:r>
        <w:rPr>
          <w:color w:val="000000"/>
          <w:spacing w:val="0"/>
          <w:w w:val="100"/>
          <w:position w:val="0"/>
        </w:rPr>
        <w:t>归属于该无形资产开发阶段的支出能够可靠计量。</w:t>
      </w:r>
    </w:p>
    <w:p>
      <w:pPr>
        <w:pStyle w:val="Style38"/>
        <w:keepNext/>
        <w:keepLines/>
        <w:widowControl w:val="0"/>
        <w:shd w:val="clear" w:color="auto" w:fill="auto"/>
        <w:bidi w:val="0"/>
        <w:spacing w:before="0" w:after="28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5"/>
      <w:bookmarkEnd w:id="886"/>
      <w:bookmarkEnd w:id="888"/>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公司内部研究开发项目的支出分为研究阶段支出和开发阶段的支出。公司内部研究开发项目研究阶段的支出，在发生时 计入当期损益。公司内部研究开发项目开发阶段的支出，符合下列各项时，确认为无形资产：</w:t>
      </w:r>
    </w:p>
    <w:p>
      <w:pPr>
        <w:pStyle w:val="Style24"/>
        <w:keepNext w:val="0"/>
        <w:keepLines w:val="0"/>
        <w:widowControl w:val="0"/>
        <w:numPr>
          <w:ilvl w:val="0"/>
          <w:numId w:val="43"/>
        </w:numPr>
        <w:shd w:val="clear" w:color="auto" w:fill="auto"/>
        <w:tabs>
          <w:tab w:pos="347" w:val="left"/>
        </w:tabs>
        <w:bidi w:val="0"/>
        <w:spacing w:before="0" w:after="0" w:line="313" w:lineRule="exact"/>
        <w:ind w:left="0" w:right="0" w:firstLine="0"/>
        <w:jc w:val="left"/>
      </w:pPr>
      <w:bookmarkStart w:id="889" w:name="bookmark889"/>
      <w:bookmarkEnd w:id="889"/>
      <w:r>
        <w:rPr>
          <w:color w:val="000000"/>
          <w:spacing w:val="0"/>
          <w:w w:val="100"/>
          <w:position w:val="0"/>
        </w:rPr>
        <w:t>从技术上来讲，完成该无形资产以使其能够使用或出售具有可行性。</w:t>
      </w:r>
    </w:p>
    <w:p>
      <w:pPr>
        <w:pStyle w:val="Style24"/>
        <w:keepNext w:val="0"/>
        <w:keepLines w:val="0"/>
        <w:widowControl w:val="0"/>
        <w:numPr>
          <w:ilvl w:val="0"/>
          <w:numId w:val="43"/>
        </w:numPr>
        <w:shd w:val="clear" w:color="auto" w:fill="auto"/>
        <w:tabs>
          <w:tab w:pos="347" w:val="left"/>
        </w:tabs>
        <w:bidi w:val="0"/>
        <w:spacing w:before="0" w:after="0" w:line="313" w:lineRule="exact"/>
        <w:ind w:left="0" w:right="0" w:firstLine="0"/>
        <w:jc w:val="left"/>
      </w:pPr>
      <w:bookmarkStart w:id="890" w:name="bookmark890"/>
      <w:bookmarkEnd w:id="890"/>
      <w:r>
        <w:rPr>
          <w:color w:val="000000"/>
          <w:spacing w:val="0"/>
          <w:w w:val="100"/>
          <w:position w:val="0"/>
        </w:rPr>
        <w:t>具有完成该无形资产并使用或出售的意图。</w:t>
      </w:r>
    </w:p>
    <w:p>
      <w:pPr>
        <w:pStyle w:val="Style24"/>
        <w:keepNext w:val="0"/>
        <w:keepLines w:val="0"/>
        <w:widowControl w:val="0"/>
        <w:numPr>
          <w:ilvl w:val="0"/>
          <w:numId w:val="43"/>
        </w:numPr>
        <w:shd w:val="clear" w:color="auto" w:fill="auto"/>
        <w:tabs>
          <w:tab w:pos="347" w:val="left"/>
        </w:tabs>
        <w:bidi w:val="0"/>
        <w:spacing w:before="0" w:after="0" w:line="312" w:lineRule="exact"/>
        <w:ind w:left="0" w:right="0" w:firstLine="0"/>
        <w:jc w:val="left"/>
      </w:pPr>
      <w:bookmarkStart w:id="891" w:name="bookmark891"/>
      <w:bookmarkEnd w:id="891"/>
      <w:r>
        <w:rPr>
          <w:color w:val="000000"/>
          <w:spacing w:val="0"/>
          <w:w w:val="100"/>
          <w:position w:val="0"/>
        </w:rPr>
        <w:t>无形资产产生未来经济利益的方式</w:t>
      </w:r>
      <w:r>
        <w:rPr>
          <w:color w:val="000000"/>
          <w:spacing w:val="0"/>
          <w:w w:val="100"/>
          <w:position w:val="0"/>
        </w:rPr>
        <w:t>，</w:t>
      </w:r>
      <w:r>
        <w:rPr>
          <w:color w:val="000000"/>
          <w:spacing w:val="0"/>
          <w:w w:val="100"/>
          <w:position w:val="0"/>
        </w:rPr>
        <w:t>包括能够证明运用该无形资产生产的产品存在市场或无形资产自身存在市场；无形资 产将在内部使用时，证明其有用性。</w:t>
      </w:r>
    </w:p>
    <w:p>
      <w:pPr>
        <w:pStyle w:val="Style24"/>
        <w:keepNext w:val="0"/>
        <w:keepLines w:val="0"/>
        <w:widowControl w:val="0"/>
        <w:numPr>
          <w:ilvl w:val="0"/>
          <w:numId w:val="43"/>
        </w:numPr>
        <w:shd w:val="clear" w:color="auto" w:fill="auto"/>
        <w:tabs>
          <w:tab w:pos="347" w:val="left"/>
        </w:tabs>
        <w:bidi w:val="0"/>
        <w:spacing w:before="0" w:after="0" w:line="313" w:lineRule="exact"/>
        <w:ind w:left="0" w:right="0" w:firstLine="0"/>
        <w:jc w:val="left"/>
      </w:pPr>
      <w:bookmarkStart w:id="892" w:name="bookmark892"/>
      <w:bookmarkEnd w:id="892"/>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43"/>
        </w:numPr>
        <w:shd w:val="clear" w:color="auto" w:fill="auto"/>
        <w:tabs>
          <w:tab w:pos="347" w:val="left"/>
        </w:tabs>
        <w:bidi w:val="0"/>
        <w:spacing w:before="0" w:after="360" w:line="312" w:lineRule="exact"/>
        <w:ind w:left="0" w:right="0" w:firstLine="0"/>
        <w:jc w:val="left"/>
      </w:pPr>
      <w:bookmarkStart w:id="893" w:name="bookmark893"/>
      <w:bookmarkEnd w:id="893"/>
      <w:r>
        <w:rPr>
          <w:color w:val="000000"/>
          <w:spacing w:val="0"/>
          <w:w w:val="100"/>
          <w:position w:val="0"/>
        </w:rPr>
        <w:t>归属于该无形资产开发阶段的支出能够可靠计量。无法区分研究阶段支出和开发阶段支出的，将发生的研发支出全部计入 当期损益。</w:t>
      </w:r>
    </w:p>
    <w:p>
      <w:pPr>
        <w:pStyle w:val="Style33"/>
        <w:keepNext/>
        <w:keepLines/>
        <w:widowControl w:val="0"/>
        <w:shd w:val="clear" w:color="auto" w:fill="auto"/>
        <w:bidi w:val="0"/>
        <w:spacing w:before="0" w:after="2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94"/>
      <w:bookmarkEnd w:id="895"/>
      <w:bookmarkEnd w:id="897"/>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长期股权投资、采用成本模式计量的投资性房地产、固定资产、在建工程、无形资产等长期资产，于资产负债表日存在 减值迹象的，进行减值测试。减值测试结果表明资产的可收回金额低于其账面价值的，按其差额计提减值准备并计入减值损 失。可收回金额为资产的公允价值减去处置费用后的净额与资产预计未来现金流量的现值两者之间的较高者。资产减值准备 按单项资产为基础计算并确认，如果难以对单项资产的可收回金额进行估计的，以该资产所属的资产组确定资产组的可收回 金额。资产组是能够独立产生现金流入的最小资产组合。</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商誉至少在每年年度终了进行减值测试。公司进行商誉减值测试，对于因企业合并形成的商誉的账面价值，自购买日起 按照合理的方法分摊至相关的资产组；难以分摊至相关的资产组的，将其分摊至相关的资产组组合。在将商誉的账面价值分 摊至相关的资产组或者资产组组合时，按照各资产组或者资产组组合的公允价值占相关资产组或者资产组组合公允价值总额 的比例进行分摊。公允价值难以可靠计量的，按照各资产组或者资产组组合的账面价值占相关资产组或者资产组组合账面价 值总额的比例进行分摊。在对包含商誉的相关资产组或者资产组组合进行减值测试时，如与商誉相关的资产组或者资产组组 合存在减值迹象的，先对不包含商誉的资产组或者资产组组合进行减值测试，计算可收回金额，并与相关账面价值相比较， 确认相应的减值损失。再对包含商誉的资产组或者资产组组合进行减值测试，比较这些相关资产组或者资产组组合的账面价 值（包括所分摊的商誉的账面价值部分）与其可收回金额，如相关资产组或者资产组组合的可收回金额低于其账面价值的， 确认商誉的减值损失。</w:t>
      </w:r>
    </w:p>
    <w:p>
      <w:pPr>
        <w:pStyle w:val="Style24"/>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上述资产减值损失一经确认，在以后会计期间不予转回。</w:t>
      </w:r>
    </w:p>
    <w:p>
      <w:pPr>
        <w:pStyle w:val="Style33"/>
        <w:keepNext/>
        <w:keepLines/>
        <w:widowControl w:val="0"/>
        <w:shd w:val="clear" w:color="auto" w:fill="auto"/>
        <w:bidi w:val="0"/>
        <w:spacing w:before="0" w:after="2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898"/>
      <w:bookmarkEnd w:id="899"/>
      <w:bookmarkEnd w:id="901"/>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长期待摊费用是指已经支出，但受益期限在一年以上（不含一年）的各项费用，长期待摊费用按发生时的实际成本计价， 并在受益期限内平均摊销。如果长期待摊费用项目不能使以后会计期间受益的，则将尚未摊销的该项目的摊余价值全部转入 当期损益。</w:t>
      </w:r>
    </w:p>
    <w:p>
      <w:pPr>
        <w:pStyle w:val="Style33"/>
        <w:keepNext/>
        <w:keepLines/>
        <w:widowControl w:val="0"/>
        <w:shd w:val="clear" w:color="auto" w:fill="auto"/>
        <w:bidi w:val="0"/>
        <w:spacing w:before="0" w:after="2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02"/>
      <w:bookmarkEnd w:id="903"/>
      <w:bookmarkEnd w:id="905"/>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合同负债反映公司已收或应收客户对价而应向客户转让商品的义务。公司在向客户转让商品之前，客户已经支付了合同 对价或公司已经取得了无条件收取合同对价权利的，在客户实际支付款项与到期应支付款项孰早时点，按照已收或应收的金 额确认合同负债。</w:t>
      </w:r>
    </w:p>
    <w:p>
      <w:pPr>
        <w:pStyle w:val="Style24"/>
        <w:keepNext w:val="0"/>
        <w:keepLines w:val="0"/>
        <w:widowControl w:val="0"/>
        <w:shd w:val="clear" w:color="auto" w:fill="auto"/>
        <w:bidi w:val="0"/>
        <w:spacing w:before="0" w:after="700" w:line="314" w:lineRule="exact"/>
        <w:ind w:left="0" w:right="0" w:firstLine="380"/>
        <w:jc w:val="left"/>
      </w:pPr>
      <w:r>
        <w:rPr>
          <w:color w:val="000000"/>
          <w:spacing w:val="0"/>
          <w:w w:val="100"/>
          <w:position w:val="0"/>
        </w:rPr>
        <w:t>同一合同下的合同资产和合同负债以净额列示，不同合同下的合同资产和合同负债不予抵销。</w:t>
      </w:r>
    </w:p>
    <w:p>
      <w:pPr>
        <w:pStyle w:val="Style33"/>
        <w:keepNext/>
        <w:keepLines/>
        <w:widowControl w:val="0"/>
        <w:shd w:val="clear" w:color="auto" w:fill="auto"/>
        <w:bidi w:val="0"/>
        <w:spacing w:before="0" w:after="2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06"/>
      <w:bookmarkEnd w:id="907"/>
      <w:bookmarkEnd w:id="909"/>
    </w:p>
    <w:p>
      <w:pPr>
        <w:pStyle w:val="Style24"/>
        <w:keepNext w:val="0"/>
        <w:keepLines w:val="0"/>
        <w:widowControl w:val="0"/>
        <w:shd w:val="clear" w:color="auto" w:fill="auto"/>
        <w:bidi w:val="0"/>
        <w:spacing w:before="0" w:after="360" w:line="331" w:lineRule="exact"/>
        <w:ind w:left="0" w:right="0" w:firstLine="380"/>
        <w:jc w:val="both"/>
      </w:pPr>
      <w:r>
        <w:rPr>
          <w:color w:val="000000"/>
          <w:spacing w:val="0"/>
          <w:w w:val="100"/>
          <w:position w:val="0"/>
        </w:rPr>
        <w:t>职工薪酬是指企业为获得职工提供的服务或解除劳动关系而给予的各种形式的报酬或补偿。职工薪酬包括短期薪酬、离 职后福利、辞退福利和其他长期职工福利。</w:t>
      </w:r>
    </w:p>
    <w:p>
      <w:pPr>
        <w:pStyle w:val="Style38"/>
        <w:keepNext/>
        <w:keepLines/>
        <w:widowControl w:val="0"/>
        <w:shd w:val="clear" w:color="auto" w:fill="auto"/>
        <w:tabs>
          <w:tab w:pos="471" w:val="left"/>
        </w:tabs>
        <w:bidi w:val="0"/>
        <w:spacing w:before="0" w:after="28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0"/>
      <w:bookmarkEnd w:id="911"/>
      <w:bookmarkEnd w:id="913"/>
    </w:p>
    <w:p>
      <w:pPr>
        <w:pStyle w:val="Style24"/>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短期薪酬，是指企业在职工提供相关服务的年度报告期间结束后十二个月内需要全部予以支付的职工薪酬，因解除与职 工的劳动关系给予的补偿除外。短期薪酬具体包括：职工工资、奖金、津贴、职工福利费、医疗保险费、工伤保险费和生育 保险费等社会保险费，住房公积金，公会经费和职工教育费，短期带薪缺勤，短期利润分享计划，非货币性福利以及其他短 期薪酬。公司在职工为其提供服务的会计期间，将实际发生的短期薪酬确认为负债，并计入当期损益，其他会计准则要求或 允许计入资产成本的除外。</w:t>
      </w:r>
    </w:p>
    <w:p>
      <w:pPr>
        <w:pStyle w:val="Style38"/>
        <w:keepNext/>
        <w:keepLines/>
        <w:widowControl w:val="0"/>
        <w:shd w:val="clear" w:color="auto" w:fill="auto"/>
        <w:tabs>
          <w:tab w:pos="471" w:val="left"/>
        </w:tabs>
        <w:bidi w:val="0"/>
        <w:spacing w:before="0" w:after="28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4"/>
      <w:bookmarkEnd w:id="915"/>
      <w:bookmarkEnd w:id="917"/>
    </w:p>
    <w:p>
      <w:pPr>
        <w:pStyle w:val="Style24"/>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离职后福利，是指企业为获得职工提供的服务而在职工退休或与企业解除劳动关系后，提供的各种形式的报酬和福利， 短期薪酬和辞退福利除外。公司在职工为其提供服务的会计期间，将根据设定的提存计划计算的应缴存金额确认为负债，并 计入当期损益或相关资产成本。</w:t>
      </w:r>
    </w:p>
    <w:p>
      <w:pPr>
        <w:pStyle w:val="Style38"/>
        <w:keepNext/>
        <w:keepLines/>
        <w:widowControl w:val="0"/>
        <w:shd w:val="clear" w:color="auto" w:fill="auto"/>
        <w:tabs>
          <w:tab w:pos="471"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8"/>
      <w:bookmarkEnd w:id="919"/>
      <w:bookmarkEnd w:id="921"/>
    </w:p>
    <w:p>
      <w:pPr>
        <w:pStyle w:val="Style24"/>
        <w:keepNext w:val="0"/>
        <w:keepLines w:val="0"/>
        <w:widowControl w:val="0"/>
        <w:shd w:val="clear" w:color="auto" w:fill="auto"/>
        <w:bidi w:val="0"/>
        <w:spacing w:before="0" w:after="360" w:line="309" w:lineRule="exact"/>
        <w:ind w:left="0" w:right="0" w:firstLine="380"/>
        <w:jc w:val="left"/>
      </w:pPr>
      <w:r>
        <w:rPr>
          <w:color w:val="000000"/>
          <w:spacing w:val="0"/>
          <w:w w:val="100"/>
          <w:position w:val="0"/>
        </w:rPr>
        <w:t>辞退福利，是指企业在职工劳动合同到期之前解除与职工的劳动关系，或者为鼓励职工自愿接受裁减而给予职工的补偿。 公司向职工提供辞退福利的，在下列两者孰早日确认辞退福利产生的职工薪酬负债，并计入当期损益：（</w:t>
      </w:r>
      <w:r>
        <w:rPr>
          <w:rFonts w:ascii="Times New Roman" w:eastAsia="Times New Roman" w:hAnsi="Times New Roman" w:cs="Times New Roman"/>
          <w:color w:val="000000"/>
          <w:spacing w:val="0"/>
          <w:w w:val="100"/>
          <w:position w:val="0"/>
        </w:rPr>
        <w:t>1</w:t>
      </w:r>
      <w:r>
        <w:rPr>
          <w:color w:val="000000"/>
          <w:spacing w:val="0"/>
          <w:w w:val="100"/>
          <w:position w:val="0"/>
        </w:rPr>
        <w:t>）企业不能单方 面撤回因解除劳动关系计划或裁减建议所提供的辞退福利时。（</w:t>
      </w:r>
      <w:r>
        <w:rPr>
          <w:rFonts w:ascii="Times New Roman" w:eastAsia="Times New Roman" w:hAnsi="Times New Roman" w:cs="Times New Roman"/>
          <w:color w:val="000000"/>
          <w:spacing w:val="0"/>
          <w:w w:val="100"/>
          <w:position w:val="0"/>
        </w:rPr>
        <w:t>2</w:t>
      </w:r>
      <w:r>
        <w:rPr>
          <w:color w:val="000000"/>
          <w:spacing w:val="0"/>
          <w:w w:val="100"/>
          <w:position w:val="0"/>
        </w:rPr>
        <w:t>）企业确认与涉及支付辞退福利的重组相关的成本或费用 时。</w:t>
      </w:r>
    </w:p>
    <w:p>
      <w:pPr>
        <w:pStyle w:val="Style38"/>
        <w:keepNext/>
        <w:keepLines/>
        <w:widowControl w:val="0"/>
        <w:shd w:val="clear" w:color="auto" w:fill="auto"/>
        <w:tabs>
          <w:tab w:pos="471"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2"/>
      <w:bookmarkEnd w:id="923"/>
      <w:bookmarkEnd w:id="925"/>
    </w:p>
    <w:p>
      <w:pPr>
        <w:pStyle w:val="Style24"/>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其他长期职工福利，是指除短期薪酬、离职后福利、辞退福利之外所有的职工薪酬，包括长期带薪缺勤、长期残疾福利、 长期利润分享计划等。公司向职工提供的其他长期职工福利，符合设定提存条件的，将根据设定的提存计划计算的应缴存金 额确认为负债，并计入当期损益或相关资产成本。除此以外，企业将其他长期职工福利产生的职工薪酬成本确认为下列组成 部分：（</w:t>
      </w:r>
      <w:r>
        <w:rPr>
          <w:rFonts w:ascii="Times New Roman" w:eastAsia="Times New Roman" w:hAnsi="Times New Roman" w:cs="Times New Roman"/>
          <w:color w:val="000000"/>
          <w:spacing w:val="0"/>
          <w:w w:val="100"/>
          <w:position w:val="0"/>
        </w:rPr>
        <w:t>1</w:t>
      </w:r>
      <w:r>
        <w:rPr>
          <w:color w:val="000000"/>
          <w:spacing w:val="0"/>
          <w:w w:val="100"/>
          <w:position w:val="0"/>
        </w:rPr>
        <w:t>）服务成本。（</w:t>
      </w:r>
      <w:r>
        <w:rPr>
          <w:rFonts w:ascii="Times New Roman" w:eastAsia="Times New Roman" w:hAnsi="Times New Roman" w:cs="Times New Roman"/>
          <w:color w:val="000000"/>
          <w:spacing w:val="0"/>
          <w:w w:val="100"/>
          <w:position w:val="0"/>
        </w:rPr>
        <w:t>2</w:t>
      </w:r>
      <w:r>
        <w:rPr>
          <w:color w:val="000000"/>
          <w:spacing w:val="0"/>
          <w:w w:val="100"/>
          <w:position w:val="0"/>
        </w:rPr>
        <w:t>）其他长期职工福利净负债或净资产的利息净额。（</w:t>
      </w:r>
      <w:r>
        <w:rPr>
          <w:rFonts w:ascii="Times New Roman" w:eastAsia="Times New Roman" w:hAnsi="Times New Roman" w:cs="Times New Roman"/>
          <w:color w:val="000000"/>
          <w:spacing w:val="0"/>
          <w:w w:val="100"/>
          <w:position w:val="0"/>
        </w:rPr>
        <w:t>3</w:t>
      </w:r>
      <w:r>
        <w:rPr>
          <w:color w:val="000000"/>
          <w:spacing w:val="0"/>
          <w:w w:val="100"/>
          <w:position w:val="0"/>
        </w:rPr>
        <w:t>）重新计量其他长期职工净负债或净资产 所产生的变动。上述项目的总净额计入当期损益或相关资产成本。</w:t>
      </w:r>
    </w:p>
    <w:p>
      <w:pPr>
        <w:pStyle w:val="Style33"/>
        <w:keepNext/>
        <w:keepLines/>
        <w:widowControl w:val="0"/>
        <w:shd w:val="clear" w:color="auto" w:fill="auto"/>
        <w:bidi w:val="0"/>
        <w:spacing w:before="0" w:after="2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26"/>
      <w:bookmarkEnd w:id="927"/>
      <w:bookmarkEnd w:id="929"/>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在租赁期开始日，本公司将尚未支付的租赁付款额的现值确认为租赁负债，短期租赁和低价值资产租赁除外。</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在计算租赁付款额的现值时，本公司作为承租人采用租赁内含利率作为折现率；无法确定租赁内含利率的，采用本公司 增量借款利率作为折现率。</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本公司按照固定的周期性利率计算租赁负债在租赁期内各期间的利息费用，并计入当期损益。未纳入租赁负债计量的可 变租赁付款额于实际发生时计入当期损益。</w:t>
      </w:r>
    </w:p>
    <w:p>
      <w:pPr>
        <w:pStyle w:val="Style24"/>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30"/>
      <w:bookmarkEnd w:id="931"/>
      <w:bookmarkEnd w:id="933"/>
    </w:p>
    <w:p>
      <w:pPr>
        <w:pStyle w:val="Style24"/>
        <w:keepNext w:val="0"/>
        <w:keepLines w:val="0"/>
        <w:widowControl w:val="0"/>
        <w:shd w:val="clear" w:color="auto" w:fill="auto"/>
        <w:tabs>
          <w:tab w:pos="820" w:val="left"/>
        </w:tabs>
        <w:bidi w:val="0"/>
        <w:spacing w:before="0" w:after="0" w:line="312" w:lineRule="exact"/>
        <w:ind w:left="0" w:right="0" w:firstLine="38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当与对外担保、未决诉讼或仲裁、产品质量保证、裁员计划、亏损合同、重组义务、固定资产弃置义务等或有事项相关 的业务同时符合以下条件时，确认为负债：①该义务是公司承担的现时义务；②该义务的履行很可能导致经济利益流出企业; ③该义务的金额能够可靠地计量。</w:t>
      </w:r>
    </w:p>
    <w:p>
      <w:pPr>
        <w:pStyle w:val="Style24"/>
        <w:keepNext w:val="0"/>
        <w:keepLines w:val="0"/>
        <w:widowControl w:val="0"/>
        <w:shd w:val="clear" w:color="auto" w:fill="auto"/>
        <w:tabs>
          <w:tab w:pos="820" w:val="left"/>
        </w:tabs>
        <w:bidi w:val="0"/>
        <w:spacing w:before="0" w:after="0" w:line="312" w:lineRule="exact"/>
        <w:ind w:left="0" w:right="0" w:firstLine="38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预计负债按照履行现时义务所需支出的最佳估计数进行精算并初始计量。所需支出存在一个连续范围，且该范围内各种 结果发生的可能性相同的最佳估计数按该范围的中间值确定；在其他情况下，最佳估计数按如下方法确定：①或有事项涉及 单个项目时，最佳估计数按最可能发生金额确定；②或有事项涉及多个项目时，最佳估计数按各种可能发生额及其发生概率 计算确定；③公司清偿预计负债所需支出全部或部分预期由第三方或其他方补偿的，则补偿金额在基本确定能收到时，作为 资产单独确认。确认的补偿金额不超过所确认预计负债的账面价值。</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36"/>
      <w:bookmarkEnd w:id="937"/>
      <w:bookmarkEnd w:id="939"/>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股份支付，是指企业为获取职工和其他方提供服务而授予权益工具或者承担以权益工具为基础确定的负债的交易。按结 算方式的不同，股份支付可以分为以权益结算的股份支付和以现金结算的股份支付。</w:t>
      </w:r>
    </w:p>
    <w:p>
      <w:pPr>
        <w:pStyle w:val="Style24"/>
        <w:keepNext w:val="0"/>
        <w:keepLines w:val="0"/>
        <w:widowControl w:val="0"/>
        <w:shd w:val="clear" w:color="auto" w:fill="auto"/>
        <w:tabs>
          <w:tab w:pos="820" w:val="left"/>
        </w:tabs>
        <w:bidi w:val="0"/>
        <w:spacing w:before="0" w:after="0" w:line="312" w:lineRule="exact"/>
        <w:ind w:left="0" w:right="0" w:firstLine="38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w:t>
        <w:tab/>
        <w:t>以权益结算的股份支付</w:t>
      </w:r>
    </w:p>
    <w:p>
      <w:pPr>
        <w:pStyle w:val="Style24"/>
        <w:keepNext w:val="0"/>
        <w:keepLines w:val="0"/>
        <w:widowControl w:val="0"/>
        <w:numPr>
          <w:ilvl w:val="0"/>
          <w:numId w:val="45"/>
        </w:numPr>
        <w:shd w:val="clear" w:color="auto" w:fill="auto"/>
        <w:tabs>
          <w:tab w:pos="753" w:val="left"/>
        </w:tabs>
        <w:bidi w:val="0"/>
        <w:spacing w:before="0" w:after="0" w:line="312" w:lineRule="exact"/>
        <w:ind w:left="0" w:right="0" w:firstLine="380"/>
        <w:jc w:val="both"/>
      </w:pPr>
      <w:bookmarkStart w:id="941" w:name="bookmark941"/>
      <w:bookmarkEnd w:id="941"/>
      <w:r>
        <w:rPr>
          <w:color w:val="000000"/>
          <w:spacing w:val="0"/>
          <w:w w:val="100"/>
          <w:position w:val="0"/>
        </w:rPr>
        <w:t>初始确认与计量</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可立即行权的换取职工服务的以权益结算的股份支付，应当在授予日，即股份支付协议获得批准的日期，按照权益工具 的公允价值计入相关成本或费用，相应增加资本公积。</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等待行权的换取职工服务的以权益结算的股份支付，在等待期内的每个资产负债表日，应当以对可行权权益工具数量的 最佳估计为基础，按照权益工具授予日的公允价值，将当期取得的服务计入相关成本或费用和资本公积。</w:t>
      </w:r>
    </w:p>
    <w:p>
      <w:pPr>
        <w:pStyle w:val="Style24"/>
        <w:keepNext w:val="0"/>
        <w:keepLines w:val="0"/>
        <w:widowControl w:val="0"/>
        <w:numPr>
          <w:ilvl w:val="0"/>
          <w:numId w:val="45"/>
        </w:numPr>
        <w:shd w:val="clear" w:color="auto" w:fill="auto"/>
        <w:tabs>
          <w:tab w:pos="753" w:val="left"/>
        </w:tabs>
        <w:bidi w:val="0"/>
        <w:spacing w:before="0" w:after="0" w:line="312" w:lineRule="exact"/>
        <w:ind w:left="0" w:right="0" w:firstLine="380"/>
        <w:jc w:val="left"/>
      </w:pPr>
      <w:bookmarkStart w:id="942" w:name="bookmark942"/>
      <w:bookmarkEnd w:id="942"/>
      <w:r>
        <w:rPr>
          <w:color w:val="000000"/>
          <w:spacing w:val="0"/>
          <w:w w:val="100"/>
          <w:position w:val="0"/>
        </w:rPr>
        <w:t>后续计量</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在资产负债表日，后续信息表明可行权权益工具的数量与以前估计不同的，应当进行调整，并在可行权日调整至实际可 行权的权益工具数量。在行权日，企业根据实际行权的权益工具数量，计算确定应转入股本的金额，将其转入股本。</w:t>
      </w:r>
    </w:p>
    <w:p>
      <w:pPr>
        <w:pStyle w:val="Style24"/>
        <w:keepNext w:val="0"/>
        <w:keepLines w:val="0"/>
        <w:widowControl w:val="0"/>
        <w:shd w:val="clear" w:color="auto" w:fill="auto"/>
        <w:tabs>
          <w:tab w:pos="820" w:val="left"/>
        </w:tabs>
        <w:bidi w:val="0"/>
        <w:spacing w:before="0" w:after="0" w:line="312" w:lineRule="exact"/>
        <w:ind w:left="0" w:right="0" w:firstLine="38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以现金结算的股份支付</w:t>
      </w:r>
    </w:p>
    <w:p>
      <w:pPr>
        <w:pStyle w:val="Style24"/>
        <w:keepNext w:val="0"/>
        <w:keepLines w:val="0"/>
        <w:widowControl w:val="0"/>
        <w:numPr>
          <w:ilvl w:val="0"/>
          <w:numId w:val="47"/>
        </w:numPr>
        <w:shd w:val="clear" w:color="auto" w:fill="auto"/>
        <w:bidi w:val="0"/>
        <w:spacing w:before="0" w:after="0" w:line="312" w:lineRule="exact"/>
        <w:ind w:left="0" w:right="0" w:firstLine="380"/>
        <w:jc w:val="both"/>
      </w:pPr>
      <w:bookmarkStart w:id="944" w:name="bookmark944"/>
      <w:bookmarkEnd w:id="944"/>
      <w:r>
        <w:rPr>
          <w:color w:val="000000"/>
          <w:spacing w:val="0"/>
          <w:w w:val="100"/>
          <w:position w:val="0"/>
        </w:rPr>
        <w:t>初始确认与计量</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 xml:space="preserve">授予后立即可行权的以现金结算的股份支付，应当在授予日以企业承担负债的公允价值计入相关成本或费用，相应增加 负债。完成等待期内的服务或达到规定业绩条件以后才可行权的以现金结算的股份支付，在等待期内的每个资产负债表日， </w:t>
      </w:r>
      <w:r>
        <w:rPr>
          <w:color w:val="000000"/>
          <w:spacing w:val="0"/>
          <w:w w:val="100"/>
          <w:position w:val="0"/>
        </w:rPr>
        <w:t>应当以对可行权情况的最佳估计为基础，按照企业承担负债的公允价值金额，将当期取得的服务计入成本或费用和相应的负 债。</w:t>
      </w:r>
    </w:p>
    <w:p>
      <w:pPr>
        <w:pStyle w:val="Style24"/>
        <w:keepNext w:val="0"/>
        <w:keepLines w:val="0"/>
        <w:widowControl w:val="0"/>
        <w:numPr>
          <w:ilvl w:val="0"/>
          <w:numId w:val="47"/>
        </w:numPr>
        <w:shd w:val="clear" w:color="auto" w:fill="auto"/>
        <w:bidi w:val="0"/>
        <w:spacing w:before="0" w:after="40" w:line="312" w:lineRule="exact"/>
        <w:ind w:left="0" w:right="0" w:firstLine="380"/>
        <w:jc w:val="left"/>
      </w:pPr>
      <w:bookmarkStart w:id="945" w:name="bookmark945"/>
      <w:bookmarkEnd w:id="945"/>
      <w:r>
        <w:rPr>
          <w:color w:val="000000"/>
          <w:spacing w:val="0"/>
          <w:w w:val="100"/>
          <w:position w:val="0"/>
        </w:rPr>
        <w:t>后续计量</w:t>
      </w:r>
    </w:p>
    <w:p>
      <w:pPr>
        <w:pStyle w:val="Style24"/>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在资产负债表日，后续信息表明企业当期承担债务的公允价值与以前估计不同的，应当进行调整，并在可行权日调整至 实际可行权水平。企业应当在相关负债结算前的每个资产负债表日以及结算日，对负债的公允价值重新计量，其变动计入当 期损益。</w:t>
      </w:r>
    </w:p>
    <w:p>
      <w:pPr>
        <w:pStyle w:val="Style24"/>
        <w:keepNext w:val="0"/>
        <w:keepLines w:val="0"/>
        <w:widowControl w:val="0"/>
        <w:shd w:val="clear" w:color="auto" w:fill="auto"/>
        <w:tabs>
          <w:tab w:pos="792" w:val="left"/>
        </w:tabs>
        <w:bidi w:val="0"/>
        <w:spacing w:before="0" w:after="40" w:line="312" w:lineRule="exact"/>
        <w:ind w:left="0" w:right="0" w:firstLine="38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权益工具公允价值的确定</w:t>
      </w:r>
    </w:p>
    <w:p>
      <w:pPr>
        <w:pStyle w:val="Style24"/>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对于授予职工的股份，其公允价值应按企业股份的市场价格计量，同时考虑授予股份所依据的条款和条件（不包括市场 条件之外的可行权条件）进行调整。</w:t>
      </w:r>
    </w:p>
    <w:p>
      <w:pPr>
        <w:pStyle w:val="Style24"/>
        <w:keepNext w:val="0"/>
        <w:keepLines w:val="0"/>
        <w:widowControl w:val="0"/>
        <w:shd w:val="clear" w:color="auto" w:fill="auto"/>
        <w:tabs>
          <w:tab w:pos="792" w:val="left"/>
        </w:tabs>
        <w:bidi w:val="0"/>
        <w:spacing w:before="0" w:after="40" w:line="312" w:lineRule="exact"/>
        <w:ind w:left="0" w:right="0" w:firstLine="38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确认可行权权益工具最佳估计的依据</w:t>
      </w:r>
    </w:p>
    <w:p>
      <w:pPr>
        <w:pStyle w:val="Style24"/>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在等待期内每个资产负债表日，公司根据最新取得的可行权职工人数变动等后续信息做出最佳估计，修正预计可行权的 权益工具数量。</w:t>
      </w:r>
    </w:p>
    <w:p>
      <w:pPr>
        <w:pStyle w:val="Style33"/>
        <w:keepNext/>
        <w:keepLines/>
        <w:widowControl w:val="0"/>
        <w:shd w:val="clear" w:color="auto" w:fill="auto"/>
        <w:bidi w:val="0"/>
        <w:spacing w:before="0" w:after="2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8</w:t>
      </w:r>
      <w:r>
        <w:rPr>
          <w:color w:val="000000"/>
          <w:spacing w:val="0"/>
          <w:w w:val="100"/>
          <w:position w:val="0"/>
        </w:rPr>
        <w:t>、收入</w:t>
      </w:r>
      <w:bookmarkEnd w:id="948"/>
      <w:bookmarkEnd w:id="949"/>
      <w:bookmarkEnd w:id="951"/>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收入确认和计量所采用的会计政策</w:t>
      </w:r>
    </w:p>
    <w:p>
      <w:pPr>
        <w:pStyle w:val="Style24"/>
        <w:keepNext w:val="0"/>
        <w:keepLines w:val="0"/>
        <w:widowControl w:val="0"/>
        <w:shd w:val="clear" w:color="auto" w:fill="auto"/>
        <w:bidi w:val="0"/>
        <w:spacing w:before="0" w:after="140" w:line="312" w:lineRule="exact"/>
        <w:ind w:left="0" w:right="0" w:firstLine="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）收入的确认和计量所采用的会计政策</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收入是公司在日常活动中形成的、会导致所有者权益增加的、与所有者投入资本无关的经济利益的总流入。</w:t>
      </w:r>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公司在履行了合同中的履约义务，即在客户取得相关商品控制权时确认收入。取得相关商品控制权，是指能够主导该商品的 使用并从中获得几乎全部的经济利益，也包括有能力阻止其他方主导该商品的使用并从中获得几乎全部的经济利益。</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交易价格是公司因向客户转让商品而预期有权收取的对价金额，不包括代第三方收取的款项以及公司预期将退还给客户 的款项。在确定合同交易价格时，如果存在可变对价，公司按照期望值或最可能发生金额确定可变对价的最佳估计数，并以 不超过在相关不确定性消除时累计已确认收入极可能不会发生重大转回的金额计入交易价格。合同中如果存在重大融资成分， 公司将根据客户在取得商品控制权时即以现金支付的应付金额确定交易价格，该交易价格与合同对价之间的差额，在合同期 间内采用实际利率法摊销，对于客户取得商品控制权与客户支付价款间隔不超过一年的，公司不考虑其中的融资成分。因转 让商品而有权向客户收取的对价是非现金形式时，公司按照非现金对价在合同开始日的公允价值确定交易价格。非现金对价 公允价值不能合理估计的，公司参照其承诺向客户转让商品的单独售价间接确定交易价格。公司预期将退还给客户的款项， 除了为自客户取得其他可明确区分商品外，将该应付对价冲减交易价格。应付客户对价超过自客户取得的可明确区分商品公 允价值的，超过金额作为应付客户对价冲减交易价格。自客户取得的可明确区分商品公允价值不能合理估计的，公司将应付 客户对价全额冲减交易价格。在对应付客户对价冲减交易价格进行会计处理时，公司在确认相关收入与支付（或承诺支付） 客户对价二者孰晚的时点冲减当期收入。</w:t>
      </w:r>
    </w:p>
    <w:p>
      <w:pPr>
        <w:pStyle w:val="Style24"/>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合同中包含两项或多项履约义务的，公司在合同开始日，按照各单项履约义务所承诺商品的单独售价的相对比例，将交 易价格分摊至各单项履约义务，按照分摊至各单项履约义务的交易价格计量收入。交易价格发生后续变动的</w:t>
      </w:r>
      <w:r>
        <w:rPr>
          <w:rFonts w:ascii="Times New Roman" w:eastAsia="Times New Roman" w:hAnsi="Times New Roman" w:cs="Times New Roman"/>
          <w:color w:val="000000"/>
          <w:spacing w:val="0"/>
          <w:w w:val="100"/>
          <w:position w:val="0"/>
        </w:rPr>
        <w:t>,</w:t>
      </w:r>
      <w:r>
        <w:rPr>
          <w:color w:val="000000"/>
          <w:spacing w:val="0"/>
          <w:w w:val="100"/>
          <w:position w:val="0"/>
        </w:rPr>
        <w:t>公司按照在合 同开始日所采用的基础将该后续变动金额分摊至合同中的履约义务。对于因合同开始日之后单独售价的变动不再重新分摊交 易价格。</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满足下列条件之一的，公司属于在某一时段内履行履约义务；否则，属于在某一时点履行履约义务：</w:t>
      </w:r>
    </w:p>
    <w:p>
      <w:pPr>
        <w:pStyle w:val="Style24"/>
        <w:keepNext w:val="0"/>
        <w:keepLines w:val="0"/>
        <w:widowControl w:val="0"/>
        <w:numPr>
          <w:ilvl w:val="0"/>
          <w:numId w:val="49"/>
        </w:numPr>
        <w:shd w:val="clear" w:color="auto" w:fill="auto"/>
        <w:tabs>
          <w:tab w:pos="545" w:val="left"/>
        </w:tabs>
        <w:bidi w:val="0"/>
        <w:spacing w:before="0" w:after="140" w:line="312" w:lineRule="exact"/>
        <w:ind w:left="0" w:right="0" w:firstLine="200"/>
        <w:jc w:val="left"/>
      </w:pPr>
      <w:bookmarkStart w:id="953" w:name="bookmark953"/>
      <w:bookmarkEnd w:id="953"/>
      <w:r>
        <w:rPr>
          <w:color w:val="000000"/>
          <w:spacing w:val="0"/>
          <w:w w:val="100"/>
          <w:position w:val="0"/>
        </w:rPr>
        <w:t>客户在公司履约的同时即取得并消耗公司履约所带来的经济利益；</w:t>
      </w:r>
    </w:p>
    <w:p>
      <w:pPr>
        <w:pStyle w:val="Style24"/>
        <w:keepNext w:val="0"/>
        <w:keepLines w:val="0"/>
        <w:widowControl w:val="0"/>
        <w:numPr>
          <w:ilvl w:val="0"/>
          <w:numId w:val="49"/>
        </w:numPr>
        <w:shd w:val="clear" w:color="auto" w:fill="auto"/>
        <w:tabs>
          <w:tab w:pos="545" w:val="left"/>
        </w:tabs>
        <w:bidi w:val="0"/>
        <w:spacing w:before="0" w:after="140" w:line="312" w:lineRule="exact"/>
        <w:ind w:left="0" w:right="0" w:firstLine="200"/>
        <w:jc w:val="left"/>
      </w:pPr>
      <w:bookmarkStart w:id="954" w:name="bookmark954"/>
      <w:bookmarkEnd w:id="954"/>
      <w:r>
        <w:rPr>
          <w:color w:val="000000"/>
          <w:spacing w:val="0"/>
          <w:w w:val="100"/>
          <w:position w:val="0"/>
        </w:rPr>
        <w:t>客户能够控制公司履约过程中在建的商品；</w:t>
      </w:r>
    </w:p>
    <w:p>
      <w:pPr>
        <w:pStyle w:val="Style24"/>
        <w:keepNext w:val="0"/>
        <w:keepLines w:val="0"/>
        <w:widowControl w:val="0"/>
        <w:numPr>
          <w:ilvl w:val="0"/>
          <w:numId w:val="49"/>
        </w:numPr>
        <w:shd w:val="clear" w:color="auto" w:fill="auto"/>
        <w:tabs>
          <w:tab w:pos="545" w:val="left"/>
        </w:tabs>
        <w:bidi w:val="0"/>
        <w:spacing w:before="0" w:after="140" w:line="312" w:lineRule="exact"/>
        <w:ind w:left="0" w:right="0" w:firstLine="200"/>
        <w:jc w:val="left"/>
      </w:pPr>
      <w:bookmarkStart w:id="955" w:name="bookmark955"/>
      <w:bookmarkEnd w:id="955"/>
      <w:r>
        <w:rPr>
          <w:color w:val="000000"/>
          <w:spacing w:val="0"/>
          <w:w w:val="100"/>
          <w:position w:val="0"/>
        </w:rPr>
        <w:t>公司履约过程中所产出的商品具有不可替代用途，且公司在整个合同期间内有权就累计至今已完成的履约部分收取款项。</w:t>
      </w:r>
    </w:p>
    <w:p>
      <w:pPr>
        <w:pStyle w:val="Style24"/>
        <w:keepNext w:val="0"/>
        <w:keepLines w:val="0"/>
        <w:widowControl w:val="0"/>
        <w:shd w:val="clear" w:color="auto" w:fill="auto"/>
        <w:bidi w:val="0"/>
        <w:spacing w:before="0" w:after="140" w:line="310" w:lineRule="exact"/>
        <w:ind w:left="0" w:right="0" w:firstLine="380"/>
        <w:jc w:val="left"/>
      </w:pPr>
      <w:r>
        <w:rPr>
          <w:color w:val="000000"/>
          <w:spacing w:val="0"/>
          <w:w w:val="100"/>
          <w:position w:val="0"/>
        </w:rPr>
        <w:t>对于在某一时段内履行的履约义务，公司在该段时间内按照履约进度确认收入，但是，履约进度不能合理确定的除外。 公司按照投入法（或产出法）确定提供服务的履约进度。当履约进度不能合理确定时，公司已经发生的成本预计能够得到补 偿的，按照已经发生的成本金额确认收入，直到履约进度能够合理确定为止。</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对于在某一时点履行的履约义务，公司在客户取得相关商品控制权时点确认收入。在判断客户是否已取得商品控制权时， 公司会考虑下列迹象：</w:t>
      </w:r>
    </w:p>
    <w:p>
      <w:pPr>
        <w:pStyle w:val="Style24"/>
        <w:keepNext w:val="0"/>
        <w:keepLines w:val="0"/>
        <w:widowControl w:val="0"/>
        <w:numPr>
          <w:ilvl w:val="0"/>
          <w:numId w:val="51"/>
        </w:numPr>
        <w:shd w:val="clear" w:color="auto" w:fill="auto"/>
        <w:tabs>
          <w:tab w:pos="573" w:val="left"/>
        </w:tabs>
        <w:bidi w:val="0"/>
        <w:spacing w:before="0" w:after="140" w:line="312" w:lineRule="exact"/>
        <w:ind w:left="0" w:right="0" w:firstLine="200"/>
        <w:jc w:val="left"/>
      </w:pPr>
      <w:bookmarkStart w:id="956" w:name="bookmark956"/>
      <w:bookmarkEnd w:id="956"/>
      <w:r>
        <w:rPr>
          <w:color w:val="000000"/>
          <w:spacing w:val="0"/>
          <w:w w:val="100"/>
          <w:position w:val="0"/>
        </w:rPr>
        <w:t>公司就该商品享有现时收款权利，即客户就该商品负有现时付款义务；</w:t>
      </w:r>
    </w:p>
    <w:p>
      <w:pPr>
        <w:pStyle w:val="Style24"/>
        <w:keepNext w:val="0"/>
        <w:keepLines w:val="0"/>
        <w:widowControl w:val="0"/>
        <w:numPr>
          <w:ilvl w:val="0"/>
          <w:numId w:val="51"/>
        </w:numPr>
        <w:shd w:val="clear" w:color="auto" w:fill="auto"/>
        <w:tabs>
          <w:tab w:pos="573" w:val="left"/>
        </w:tabs>
        <w:bidi w:val="0"/>
        <w:spacing w:before="0" w:after="140" w:line="312" w:lineRule="exact"/>
        <w:ind w:left="0" w:right="0" w:firstLine="200"/>
        <w:jc w:val="left"/>
      </w:pPr>
      <w:bookmarkStart w:id="957" w:name="bookmark957"/>
      <w:bookmarkEnd w:id="957"/>
      <w:r>
        <w:rPr>
          <w:color w:val="000000"/>
          <w:spacing w:val="0"/>
          <w:w w:val="100"/>
          <w:position w:val="0"/>
        </w:rPr>
        <w:t>公司已将该商品的法定所有权转移给客户，即客户已拥有了该商品的法定所有权；</w:t>
      </w:r>
    </w:p>
    <w:p>
      <w:pPr>
        <w:pStyle w:val="Style24"/>
        <w:keepNext w:val="0"/>
        <w:keepLines w:val="0"/>
        <w:widowControl w:val="0"/>
        <w:numPr>
          <w:ilvl w:val="0"/>
          <w:numId w:val="51"/>
        </w:numPr>
        <w:shd w:val="clear" w:color="auto" w:fill="auto"/>
        <w:tabs>
          <w:tab w:pos="573" w:val="left"/>
        </w:tabs>
        <w:bidi w:val="0"/>
        <w:spacing w:before="0" w:after="140" w:line="312" w:lineRule="exact"/>
        <w:ind w:left="0" w:right="0" w:firstLine="200"/>
        <w:jc w:val="left"/>
      </w:pPr>
      <w:bookmarkStart w:id="958" w:name="bookmark958"/>
      <w:bookmarkEnd w:id="958"/>
      <w:r>
        <w:rPr>
          <w:color w:val="000000"/>
          <w:spacing w:val="0"/>
          <w:w w:val="100"/>
          <w:position w:val="0"/>
        </w:rPr>
        <w:t>公司已将该商品实物转移给客户，即客户已占有该商品实物；</w:t>
      </w:r>
    </w:p>
    <w:p>
      <w:pPr>
        <w:pStyle w:val="Style24"/>
        <w:keepNext w:val="0"/>
        <w:keepLines w:val="0"/>
        <w:widowControl w:val="0"/>
        <w:numPr>
          <w:ilvl w:val="0"/>
          <w:numId w:val="51"/>
        </w:numPr>
        <w:shd w:val="clear" w:color="auto" w:fill="auto"/>
        <w:tabs>
          <w:tab w:pos="573" w:val="left"/>
        </w:tabs>
        <w:bidi w:val="0"/>
        <w:spacing w:before="0" w:after="140" w:line="312" w:lineRule="exact"/>
        <w:ind w:left="0" w:right="0" w:firstLine="200"/>
        <w:jc w:val="left"/>
      </w:pPr>
      <w:bookmarkStart w:id="959" w:name="bookmark959"/>
      <w:bookmarkEnd w:id="959"/>
      <w:r>
        <w:rPr>
          <w:color w:val="000000"/>
          <w:spacing w:val="0"/>
          <w:w w:val="100"/>
          <w:position w:val="0"/>
        </w:rPr>
        <w:t>公司已将该商品所有权上的主要风险和报酬转移给客户，即客户已取得该商品所有权上的主要风险和报酬；</w:t>
      </w:r>
    </w:p>
    <w:p>
      <w:pPr>
        <w:pStyle w:val="Style24"/>
        <w:keepNext w:val="0"/>
        <w:keepLines w:val="0"/>
        <w:widowControl w:val="0"/>
        <w:numPr>
          <w:ilvl w:val="0"/>
          <w:numId w:val="51"/>
        </w:numPr>
        <w:shd w:val="clear" w:color="auto" w:fill="auto"/>
        <w:tabs>
          <w:tab w:pos="573" w:val="left"/>
        </w:tabs>
        <w:bidi w:val="0"/>
        <w:spacing w:before="0" w:after="140" w:line="312" w:lineRule="exact"/>
        <w:ind w:left="0" w:right="0" w:firstLine="200"/>
        <w:jc w:val="left"/>
      </w:pPr>
      <w:bookmarkStart w:id="960" w:name="bookmark960"/>
      <w:bookmarkEnd w:id="960"/>
      <w:r>
        <w:rPr>
          <w:color w:val="000000"/>
          <w:spacing w:val="0"/>
          <w:w w:val="100"/>
          <w:position w:val="0"/>
        </w:rPr>
        <w:t>客户已接受该商品。</w:t>
      </w:r>
    </w:p>
    <w:p>
      <w:pPr>
        <w:pStyle w:val="Style24"/>
        <w:keepNext w:val="0"/>
        <w:keepLines w:val="0"/>
        <w:widowControl w:val="0"/>
        <w:shd w:val="clear" w:color="auto" w:fill="auto"/>
        <w:bidi w:val="0"/>
        <w:spacing w:before="0" w:after="140" w:line="312" w:lineRule="exact"/>
        <w:ind w:left="0" w:right="0" w:firstLine="0"/>
        <w:jc w:val="left"/>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）与公司取得收入的主要活动相关的具体确认方法</w:t>
      </w:r>
    </w:p>
    <w:p>
      <w:pPr>
        <w:pStyle w:val="Style24"/>
        <w:keepNext w:val="0"/>
        <w:keepLines w:val="0"/>
        <w:widowControl w:val="0"/>
        <w:numPr>
          <w:ilvl w:val="0"/>
          <w:numId w:val="53"/>
        </w:numPr>
        <w:shd w:val="clear" w:color="auto" w:fill="auto"/>
        <w:tabs>
          <w:tab w:pos="573" w:val="left"/>
        </w:tabs>
        <w:bidi w:val="0"/>
        <w:spacing w:before="0" w:after="140" w:line="312" w:lineRule="exact"/>
        <w:ind w:left="0" w:right="0" w:firstLine="200"/>
        <w:jc w:val="left"/>
      </w:pPr>
      <w:bookmarkStart w:id="962" w:name="bookmark962"/>
      <w:bookmarkEnd w:id="962"/>
      <w:r>
        <w:rPr>
          <w:color w:val="000000"/>
          <w:spacing w:val="0"/>
          <w:w w:val="100"/>
          <w:position w:val="0"/>
        </w:rPr>
        <w:t>软件开发合同</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公司与客户之间的软件开发服务合同包含为客户进行定制化软件开发的履约义务，由于开发成果在客户验收前，客户无 法取得并消耗公司履约所带来的经济利益，无法控制公司履约过程中在建的商品，公司也无权就累计至今已完成的履约部分 收取款项，因此公司将其作为在某一时点内履行的履约义务，在客户验收后进行收入确认。</w:t>
      </w:r>
    </w:p>
    <w:p>
      <w:pPr>
        <w:pStyle w:val="Style24"/>
        <w:keepNext w:val="0"/>
        <w:keepLines w:val="0"/>
        <w:widowControl w:val="0"/>
        <w:numPr>
          <w:ilvl w:val="0"/>
          <w:numId w:val="53"/>
        </w:numPr>
        <w:shd w:val="clear" w:color="auto" w:fill="auto"/>
        <w:tabs>
          <w:tab w:pos="573" w:val="left"/>
        </w:tabs>
        <w:bidi w:val="0"/>
        <w:spacing w:before="0" w:after="140" w:line="312" w:lineRule="exact"/>
        <w:ind w:left="0" w:right="0" w:firstLine="200"/>
        <w:jc w:val="left"/>
      </w:pPr>
      <w:bookmarkStart w:id="963" w:name="bookmark963"/>
      <w:bookmarkEnd w:id="963"/>
      <w:r>
        <w:rPr>
          <w:color w:val="000000"/>
          <w:spacing w:val="0"/>
          <w:w w:val="100"/>
          <w:position w:val="0"/>
        </w:rPr>
        <w:t>人力外包技术服务合同</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公司与客户之间的人力外包技术服务合同包含为客户提供长期软件开发技术服务的履约义务，由于公司履约的同时客户 即取得并消耗公司履约所带来的经济利益，公司将其作为在某一时段内履行的履约义务，每月根据与客户的工作量确认单进 行收入确认。</w:t>
      </w:r>
    </w:p>
    <w:p>
      <w:pPr>
        <w:pStyle w:val="Style24"/>
        <w:keepNext w:val="0"/>
        <w:keepLines w:val="0"/>
        <w:widowControl w:val="0"/>
        <w:numPr>
          <w:ilvl w:val="0"/>
          <w:numId w:val="53"/>
        </w:numPr>
        <w:shd w:val="clear" w:color="auto" w:fill="auto"/>
        <w:tabs>
          <w:tab w:pos="573" w:val="left"/>
        </w:tabs>
        <w:bidi w:val="0"/>
        <w:spacing w:before="0" w:after="140" w:line="312" w:lineRule="exact"/>
        <w:ind w:left="0" w:right="0" w:firstLine="200"/>
        <w:jc w:val="left"/>
      </w:pPr>
      <w:bookmarkStart w:id="964" w:name="bookmark964"/>
      <w:bookmarkEnd w:id="964"/>
      <w:r>
        <w:rPr>
          <w:color w:val="000000"/>
          <w:spacing w:val="0"/>
          <w:w w:val="100"/>
          <w:position w:val="0"/>
        </w:rPr>
        <w:t>软件维护服务合同</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公司与客户之间的软件维护服务合同包含为客户提供软件运行维护的履约义务，由于公司履约的同时客户即取得并消耗 公司履约所带来的经济利益，公司将其作为在某一时段内履行的履约义务，根据合同价款在合同期内分期进行收入确认。</w:t>
      </w:r>
    </w:p>
    <w:p>
      <w:pPr>
        <w:pStyle w:val="Style24"/>
        <w:keepNext w:val="0"/>
        <w:keepLines w:val="0"/>
        <w:widowControl w:val="0"/>
        <w:numPr>
          <w:ilvl w:val="0"/>
          <w:numId w:val="53"/>
        </w:numPr>
        <w:shd w:val="clear" w:color="auto" w:fill="auto"/>
        <w:tabs>
          <w:tab w:pos="573" w:val="left"/>
        </w:tabs>
        <w:bidi w:val="0"/>
        <w:spacing w:before="0" w:after="140" w:line="312" w:lineRule="exact"/>
        <w:ind w:left="0" w:right="0" w:firstLine="200"/>
        <w:jc w:val="left"/>
      </w:pPr>
      <w:bookmarkStart w:id="965" w:name="bookmark965"/>
      <w:bookmarkEnd w:id="965"/>
      <w:r>
        <w:rPr>
          <w:color w:val="000000"/>
          <w:spacing w:val="0"/>
          <w:w w:val="100"/>
          <w:position w:val="0"/>
        </w:rPr>
        <w:t>设备销售合同</w:t>
      </w:r>
    </w:p>
    <w:p>
      <w:pPr>
        <w:pStyle w:val="Style24"/>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公司与客户之间的销售商品合同包含转让相关设备的履约义务，属于在某一时点履行履约义务。公司在满足下列条件情 况下进行收入确认：公司已根据合同约定将产品交付给客户且客户已接受该商品，已经收回货款或取得了收款凭证且相关的 经济利益很可能流入，商品所有权上的主要风险和报酬已转移，商品的法定所有权已转移。</w:t>
      </w:r>
    </w:p>
    <w:p>
      <w:pPr>
        <w:pStyle w:val="Style33"/>
        <w:keepNext/>
        <w:keepLines/>
        <w:widowControl w:val="0"/>
        <w:shd w:val="clear" w:color="auto" w:fill="auto"/>
        <w:bidi w:val="0"/>
        <w:spacing w:before="0" w:after="2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66"/>
      <w:bookmarkEnd w:id="967"/>
      <w:bookmarkEnd w:id="969"/>
    </w:p>
    <w:p>
      <w:pPr>
        <w:pStyle w:val="Style24"/>
        <w:keepNext w:val="0"/>
        <w:keepLines w:val="0"/>
        <w:widowControl w:val="0"/>
        <w:shd w:val="clear" w:color="auto" w:fill="auto"/>
        <w:tabs>
          <w:tab w:pos="440" w:val="left"/>
        </w:tabs>
        <w:bidi w:val="0"/>
        <w:spacing w:before="0" w:after="140" w:line="312" w:lineRule="exact"/>
        <w:ind w:left="0" w:right="0" w:firstLine="0"/>
        <w:jc w:val="left"/>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政府补助的类型</w:t>
      </w:r>
    </w:p>
    <w:p>
      <w:pPr>
        <w:pStyle w:val="Style24"/>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政府补助，是指公司从政府无偿取得的货币性资产或非货币性资产，包括与资产相关的政府补助和与收益相关的政府补 助。</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与资产相关的政府补助，是指公司取得的、用于购建或以其他方式形成长期资产的政府补助。</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与收益相关的政府补助，是指除与资产相关的政府补助之外的政府补助。</w:t>
      </w:r>
    </w:p>
    <w:p>
      <w:pPr>
        <w:pStyle w:val="Style24"/>
        <w:keepNext w:val="0"/>
        <w:keepLines w:val="0"/>
        <w:widowControl w:val="0"/>
        <w:shd w:val="clear" w:color="auto" w:fill="auto"/>
        <w:tabs>
          <w:tab w:pos="440" w:val="left"/>
        </w:tabs>
        <w:bidi w:val="0"/>
        <w:spacing w:before="0" w:after="140" w:line="312" w:lineRule="exact"/>
        <w:ind w:left="0" w:right="0" w:firstLine="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2</w:t>
      </w:r>
      <w:r>
        <w:rPr>
          <w:color w:val="000000"/>
          <w:spacing w:val="0"/>
          <w:w w:val="100"/>
          <w:position w:val="0"/>
        </w:rPr>
        <w:t>）</w:t>
        <w:tab/>
        <w:t>政府补助的确认原则和确认时点</w:t>
      </w:r>
    </w:p>
    <w:p>
      <w:pPr>
        <w:pStyle w:val="Style24"/>
        <w:keepNext w:val="0"/>
        <w:keepLines w:val="0"/>
        <w:widowControl w:val="0"/>
        <w:shd w:val="clear" w:color="auto" w:fill="auto"/>
        <w:bidi w:val="0"/>
        <w:spacing w:before="0" w:after="140" w:line="312" w:lineRule="exact"/>
        <w:ind w:left="0" w:right="0" w:firstLine="200"/>
        <w:jc w:val="left"/>
      </w:pPr>
      <w:r>
        <w:rPr>
          <w:color w:val="000000"/>
          <w:spacing w:val="0"/>
          <w:w w:val="100"/>
          <w:position w:val="0"/>
        </w:rPr>
        <w:t>政府补助的确认原则：</w:t>
      </w:r>
    </w:p>
    <w:p>
      <w:pPr>
        <w:pStyle w:val="Style24"/>
        <w:keepNext w:val="0"/>
        <w:keepLines w:val="0"/>
        <w:widowControl w:val="0"/>
        <w:numPr>
          <w:ilvl w:val="0"/>
          <w:numId w:val="55"/>
        </w:numPr>
        <w:shd w:val="clear" w:color="auto" w:fill="auto"/>
        <w:tabs>
          <w:tab w:pos="573" w:val="left"/>
        </w:tabs>
        <w:bidi w:val="0"/>
        <w:spacing w:before="0" w:after="140" w:line="312" w:lineRule="exact"/>
        <w:ind w:left="0" w:right="0" w:firstLine="200"/>
        <w:jc w:val="left"/>
      </w:pPr>
      <w:bookmarkStart w:id="972" w:name="bookmark972"/>
      <w:bookmarkEnd w:id="972"/>
      <w:r>
        <w:rPr>
          <w:color w:val="000000"/>
          <w:spacing w:val="0"/>
          <w:w w:val="100"/>
          <w:position w:val="0"/>
        </w:rPr>
        <w:t>公司能够满足政府补助所附条件；</w:t>
      </w:r>
    </w:p>
    <w:p>
      <w:pPr>
        <w:pStyle w:val="Style24"/>
        <w:keepNext w:val="0"/>
        <w:keepLines w:val="0"/>
        <w:widowControl w:val="0"/>
        <w:numPr>
          <w:ilvl w:val="0"/>
          <w:numId w:val="55"/>
        </w:numPr>
        <w:shd w:val="clear" w:color="auto" w:fill="auto"/>
        <w:tabs>
          <w:tab w:pos="573" w:val="left"/>
        </w:tabs>
        <w:bidi w:val="0"/>
        <w:spacing w:before="0" w:after="140" w:line="312" w:lineRule="exact"/>
        <w:ind w:left="0" w:right="0" w:firstLine="200"/>
        <w:jc w:val="left"/>
      </w:pPr>
      <w:bookmarkStart w:id="973" w:name="bookmark973"/>
      <w:bookmarkEnd w:id="973"/>
      <w:r>
        <w:rPr>
          <w:color w:val="000000"/>
          <w:spacing w:val="0"/>
          <w:w w:val="100"/>
          <w:position w:val="0"/>
        </w:rPr>
        <w:t>公司能够收到政府补助。</w:t>
      </w:r>
    </w:p>
    <w:p>
      <w:pPr>
        <w:pStyle w:val="Style24"/>
        <w:keepNext w:val="0"/>
        <w:keepLines w:val="0"/>
        <w:widowControl w:val="0"/>
        <w:shd w:val="clear" w:color="auto" w:fill="auto"/>
        <w:bidi w:val="0"/>
        <w:spacing w:before="0" w:after="140" w:line="312" w:lineRule="exact"/>
        <w:ind w:left="0" w:right="0" w:firstLine="200"/>
        <w:jc w:val="left"/>
      </w:pPr>
      <w:r>
        <w:rPr>
          <w:color w:val="000000"/>
          <w:spacing w:val="0"/>
          <w:w w:val="100"/>
          <w:position w:val="0"/>
        </w:rPr>
        <w:t>政府补助同时满足上述条件时才能予以确认。</w:t>
      </w:r>
    </w:p>
    <w:p>
      <w:pPr>
        <w:pStyle w:val="Style24"/>
        <w:keepNext w:val="0"/>
        <w:keepLines w:val="0"/>
        <w:widowControl w:val="0"/>
        <w:shd w:val="clear" w:color="auto" w:fill="auto"/>
        <w:tabs>
          <w:tab w:pos="440" w:val="left"/>
        </w:tabs>
        <w:bidi w:val="0"/>
        <w:spacing w:before="0" w:after="140" w:line="312" w:lineRule="exact"/>
        <w:ind w:left="0" w:right="0" w:firstLine="0"/>
        <w:jc w:val="left"/>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3</w:t>
      </w:r>
      <w:r>
        <w:rPr>
          <w:color w:val="000000"/>
          <w:spacing w:val="0"/>
          <w:w w:val="100"/>
          <w:position w:val="0"/>
        </w:rPr>
        <w:t>）</w:t>
        <w:tab/>
        <w:t>政府补助的计量</w:t>
      </w:r>
    </w:p>
    <w:p>
      <w:pPr>
        <w:pStyle w:val="Style24"/>
        <w:keepNext w:val="0"/>
        <w:keepLines w:val="0"/>
        <w:widowControl w:val="0"/>
        <w:numPr>
          <w:ilvl w:val="0"/>
          <w:numId w:val="57"/>
        </w:numPr>
        <w:shd w:val="clear" w:color="auto" w:fill="auto"/>
        <w:tabs>
          <w:tab w:pos="573" w:val="left"/>
        </w:tabs>
        <w:bidi w:val="0"/>
        <w:spacing w:before="0" w:after="140" w:line="312" w:lineRule="exact"/>
        <w:ind w:left="0" w:right="0" w:firstLine="200"/>
        <w:jc w:val="both"/>
      </w:pPr>
      <w:bookmarkStart w:id="975" w:name="bookmark975"/>
      <w:bookmarkEnd w:id="975"/>
      <w:r>
        <w:rPr>
          <w:color w:val="000000"/>
          <w:spacing w:val="0"/>
          <w:w w:val="100"/>
          <w:position w:val="0"/>
        </w:rPr>
        <w:t>政府补助为货币性资产的，公司按照收到或应收的金额计量；</w:t>
      </w:r>
    </w:p>
    <w:p>
      <w:pPr>
        <w:pStyle w:val="Style24"/>
        <w:keepNext w:val="0"/>
        <w:keepLines w:val="0"/>
        <w:widowControl w:val="0"/>
        <w:numPr>
          <w:ilvl w:val="0"/>
          <w:numId w:val="57"/>
        </w:numPr>
        <w:shd w:val="clear" w:color="auto" w:fill="auto"/>
        <w:tabs>
          <w:tab w:pos="526" w:val="left"/>
        </w:tabs>
        <w:bidi w:val="0"/>
        <w:spacing w:before="0" w:after="140" w:line="302" w:lineRule="exact"/>
        <w:ind w:left="0" w:right="0" w:firstLine="200"/>
        <w:jc w:val="both"/>
      </w:pPr>
      <w:bookmarkStart w:id="976" w:name="bookmark976"/>
      <w:bookmarkEnd w:id="976"/>
      <w:r>
        <w:rPr>
          <w:color w:val="000000"/>
          <w:spacing w:val="0"/>
          <w:w w:val="100"/>
          <w:position w:val="0"/>
        </w:rPr>
        <w:t>政府补助为非货币性资产的，公司按照公允价值计量；公允价值不能可靠取得的，按照名义金额计量（名义金额为人民 币</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4"/>
        <w:keepNext w:val="0"/>
        <w:keepLines w:val="0"/>
        <w:widowControl w:val="0"/>
        <w:shd w:val="clear" w:color="auto" w:fill="auto"/>
        <w:tabs>
          <w:tab w:pos="440" w:val="left"/>
        </w:tabs>
        <w:bidi w:val="0"/>
        <w:spacing w:before="0" w:after="140" w:line="312" w:lineRule="exact"/>
        <w:ind w:left="0" w:right="0" w:firstLine="0"/>
        <w:jc w:val="left"/>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4</w:t>
      </w:r>
      <w:r>
        <w:rPr>
          <w:color w:val="000000"/>
          <w:spacing w:val="0"/>
          <w:w w:val="100"/>
          <w:position w:val="0"/>
        </w:rPr>
        <w:t>）</w:t>
        <w:tab/>
        <w:t>政府补助的会计处理方法</w:t>
      </w:r>
    </w:p>
    <w:p>
      <w:pPr>
        <w:pStyle w:val="Style24"/>
        <w:keepNext w:val="0"/>
        <w:keepLines w:val="0"/>
        <w:widowControl w:val="0"/>
        <w:numPr>
          <w:ilvl w:val="0"/>
          <w:numId w:val="59"/>
        </w:numPr>
        <w:shd w:val="clear" w:color="auto" w:fill="auto"/>
        <w:tabs>
          <w:tab w:pos="550" w:val="left"/>
        </w:tabs>
        <w:bidi w:val="0"/>
        <w:spacing w:before="0" w:after="140" w:line="307" w:lineRule="exact"/>
        <w:ind w:left="0" w:right="0" w:firstLine="200"/>
        <w:jc w:val="left"/>
      </w:pPr>
      <w:bookmarkStart w:id="978" w:name="bookmark978"/>
      <w:bookmarkEnd w:id="978"/>
      <w:r>
        <w:rPr>
          <w:color w:val="000000"/>
          <w:spacing w:val="0"/>
          <w:w w:val="100"/>
          <w:position w:val="0"/>
        </w:rPr>
        <w:t>与资产相关的政府补助，在取得时冲减相关资产的账面价值或确认为递延收益。确认为递延收益的，在相关资产使用寿 命内按照合理、系统的方法分期计入损益。按照名义金额计量的政府补助，直接计入当期损益。</w:t>
      </w:r>
    </w:p>
    <w:p>
      <w:pPr>
        <w:pStyle w:val="Style24"/>
        <w:keepNext w:val="0"/>
        <w:keepLines w:val="0"/>
        <w:widowControl w:val="0"/>
        <w:numPr>
          <w:ilvl w:val="0"/>
          <w:numId w:val="59"/>
        </w:numPr>
        <w:shd w:val="clear" w:color="auto" w:fill="auto"/>
        <w:tabs>
          <w:tab w:pos="573" w:val="left"/>
        </w:tabs>
        <w:bidi w:val="0"/>
        <w:spacing w:before="0" w:after="140" w:line="312" w:lineRule="exact"/>
        <w:ind w:left="0" w:right="0" w:firstLine="200"/>
        <w:jc w:val="left"/>
      </w:pPr>
      <w:bookmarkStart w:id="979" w:name="bookmark979"/>
      <w:bookmarkEnd w:id="979"/>
      <w:r>
        <w:rPr>
          <w:color w:val="000000"/>
          <w:spacing w:val="0"/>
          <w:w w:val="100"/>
          <w:position w:val="0"/>
        </w:rPr>
        <w:t>与收益相关的政府补助，分别下列情况处理：</w:t>
      </w:r>
    </w:p>
    <w:p>
      <w:pPr>
        <w:pStyle w:val="Style24"/>
        <w:keepNext w:val="0"/>
        <w:keepLines w:val="0"/>
        <w:widowControl w:val="0"/>
        <w:numPr>
          <w:ilvl w:val="0"/>
          <w:numId w:val="61"/>
        </w:numPr>
        <w:shd w:val="clear" w:color="auto" w:fill="auto"/>
        <w:tabs>
          <w:tab w:pos="394" w:val="left"/>
        </w:tabs>
        <w:bidi w:val="0"/>
        <w:spacing w:before="0" w:after="240" w:line="322" w:lineRule="exact"/>
        <w:ind w:left="0" w:right="0" w:firstLine="0"/>
        <w:jc w:val="left"/>
      </w:pPr>
      <w:bookmarkStart w:id="980" w:name="bookmark980"/>
      <w:bookmarkEnd w:id="980"/>
      <w:r>
        <w:rPr>
          <w:color w:val="000000"/>
          <w:spacing w:val="0"/>
          <w:w w:val="100"/>
          <w:position w:val="0"/>
        </w:rPr>
        <w:t>用于补偿公司以后期间的相关成本费用或损失的，在取得时确认为递延收益，并在确认相关成本费用或损失的期间， 计入当期损益或冲减相关成本。</w:t>
      </w:r>
    </w:p>
    <w:p>
      <w:pPr>
        <w:pStyle w:val="Style24"/>
        <w:keepNext w:val="0"/>
        <w:keepLines w:val="0"/>
        <w:widowControl w:val="0"/>
        <w:numPr>
          <w:ilvl w:val="0"/>
          <w:numId w:val="61"/>
        </w:numPr>
        <w:shd w:val="clear" w:color="auto" w:fill="auto"/>
        <w:tabs>
          <w:tab w:pos="394" w:val="left"/>
        </w:tabs>
        <w:bidi w:val="0"/>
        <w:spacing w:before="0" w:after="40"/>
        <w:ind w:left="0" w:right="0" w:firstLine="0"/>
        <w:jc w:val="left"/>
      </w:pPr>
      <w:bookmarkStart w:id="981" w:name="bookmark981"/>
      <w:bookmarkEnd w:id="981"/>
      <w:r>
        <w:rPr>
          <w:color w:val="000000"/>
          <w:spacing w:val="0"/>
          <w:w w:val="100"/>
          <w:position w:val="0"/>
        </w:rPr>
        <w:t>用于补偿公司已发生的相关成本费用或损失的，在取得时直接计入当期损益或冲减相关成本。</w:t>
      </w:r>
    </w:p>
    <w:p>
      <w:pPr>
        <w:pStyle w:val="Style24"/>
        <w:keepNext w:val="0"/>
        <w:keepLines w:val="0"/>
        <w:widowControl w:val="0"/>
        <w:numPr>
          <w:ilvl w:val="0"/>
          <w:numId w:val="59"/>
        </w:numPr>
        <w:shd w:val="clear" w:color="auto" w:fill="auto"/>
        <w:tabs>
          <w:tab w:pos="531" w:val="left"/>
        </w:tabs>
        <w:bidi w:val="0"/>
        <w:spacing w:before="0" w:after="140" w:line="312" w:lineRule="exact"/>
        <w:ind w:left="0" w:right="0" w:firstLine="200"/>
        <w:jc w:val="both"/>
      </w:pPr>
      <w:bookmarkStart w:id="982" w:name="bookmark982"/>
      <w:bookmarkEnd w:id="982"/>
      <w:r>
        <w:rPr>
          <w:color w:val="000000"/>
          <w:spacing w:val="0"/>
          <w:w w:val="100"/>
          <w:position w:val="0"/>
        </w:rPr>
        <w:t>对于同时包含于资产相关部分和与收益相关部分的政府补助，可以区分的，则分不同部分分别进行会计处理；难以区分 的，则整体归类为与收益相关的政府补助。</w:t>
      </w:r>
    </w:p>
    <w:p>
      <w:pPr>
        <w:pStyle w:val="Style24"/>
        <w:keepNext w:val="0"/>
        <w:keepLines w:val="0"/>
        <w:widowControl w:val="0"/>
        <w:numPr>
          <w:ilvl w:val="0"/>
          <w:numId w:val="59"/>
        </w:numPr>
        <w:shd w:val="clear" w:color="auto" w:fill="auto"/>
        <w:tabs>
          <w:tab w:pos="546" w:val="left"/>
        </w:tabs>
        <w:bidi w:val="0"/>
        <w:spacing w:before="0" w:after="140" w:line="322" w:lineRule="exact"/>
        <w:ind w:left="0" w:right="0" w:firstLine="200"/>
        <w:jc w:val="both"/>
      </w:pPr>
      <w:bookmarkStart w:id="983" w:name="bookmark983"/>
      <w:bookmarkEnd w:id="983"/>
      <w:r>
        <w:rPr>
          <w:color w:val="000000"/>
          <w:spacing w:val="0"/>
          <w:w w:val="100"/>
          <w:position w:val="0"/>
        </w:rPr>
        <w:t>与公司日常经营相关的政府补助，按照经济业务实质，计入其他收益或冲减相关成本费用。与公司日常活动无关的政府 补助，计入营业外收支。财政将贴息资金直接拨付给公司的，公司将对应的贴息冲减相关借款费用。</w:t>
      </w:r>
    </w:p>
    <w:p>
      <w:pPr>
        <w:pStyle w:val="Style24"/>
        <w:keepNext w:val="0"/>
        <w:keepLines w:val="0"/>
        <w:widowControl w:val="0"/>
        <w:numPr>
          <w:ilvl w:val="0"/>
          <w:numId w:val="59"/>
        </w:numPr>
        <w:shd w:val="clear" w:color="auto" w:fill="auto"/>
        <w:tabs>
          <w:tab w:pos="573" w:val="left"/>
        </w:tabs>
        <w:bidi w:val="0"/>
        <w:spacing w:before="0" w:after="240" w:line="312" w:lineRule="exact"/>
        <w:ind w:left="0" w:right="0" w:firstLine="200"/>
        <w:jc w:val="both"/>
      </w:pPr>
      <w:bookmarkStart w:id="984" w:name="bookmark984"/>
      <w:bookmarkEnd w:id="984"/>
      <w:r>
        <w:rPr>
          <w:color w:val="000000"/>
          <w:spacing w:val="0"/>
          <w:w w:val="100"/>
          <w:position w:val="0"/>
        </w:rPr>
        <w:t>已确认的政府补助需要退回的，分别下列情况处理：</w:t>
      </w:r>
    </w:p>
    <w:p>
      <w:pPr>
        <w:pStyle w:val="Style24"/>
        <w:keepNext w:val="0"/>
        <w:keepLines w:val="0"/>
        <w:widowControl w:val="0"/>
        <w:numPr>
          <w:ilvl w:val="0"/>
          <w:numId w:val="63"/>
        </w:numPr>
        <w:shd w:val="clear" w:color="auto" w:fill="auto"/>
        <w:tabs>
          <w:tab w:pos="563" w:val="left"/>
        </w:tabs>
        <w:bidi w:val="0"/>
        <w:spacing w:before="0" w:after="140"/>
        <w:ind w:left="0" w:right="0" w:firstLine="200"/>
        <w:jc w:val="both"/>
      </w:pPr>
      <w:bookmarkStart w:id="985" w:name="bookmark985"/>
      <w:bookmarkEnd w:id="985"/>
      <w:r>
        <w:rPr>
          <w:color w:val="000000"/>
          <w:spacing w:val="0"/>
          <w:w w:val="100"/>
          <w:position w:val="0"/>
        </w:rPr>
        <w:t>初始确认时冲减相关资产账面价值的，调整资产账面价值。</w:t>
      </w:r>
    </w:p>
    <w:p>
      <w:pPr>
        <w:pStyle w:val="Style24"/>
        <w:keepNext w:val="0"/>
        <w:keepLines w:val="0"/>
        <w:widowControl w:val="0"/>
        <w:numPr>
          <w:ilvl w:val="0"/>
          <w:numId w:val="63"/>
        </w:numPr>
        <w:shd w:val="clear" w:color="auto" w:fill="auto"/>
        <w:tabs>
          <w:tab w:pos="563" w:val="left"/>
        </w:tabs>
        <w:bidi w:val="0"/>
        <w:spacing w:before="0" w:after="140"/>
        <w:ind w:left="0" w:right="0" w:firstLine="200"/>
        <w:jc w:val="both"/>
      </w:pPr>
      <w:bookmarkStart w:id="986" w:name="bookmark986"/>
      <w:bookmarkEnd w:id="986"/>
      <w:r>
        <w:rPr>
          <w:color w:val="000000"/>
          <w:spacing w:val="0"/>
          <w:w w:val="100"/>
          <w:position w:val="0"/>
        </w:rPr>
        <w:t>存在相关递延收益的，冲减相关递延收益账面金额，超出部分计入当期损益。</w:t>
      </w:r>
    </w:p>
    <w:p>
      <w:pPr>
        <w:pStyle w:val="Style24"/>
        <w:keepNext w:val="0"/>
        <w:keepLines w:val="0"/>
        <w:widowControl w:val="0"/>
        <w:numPr>
          <w:ilvl w:val="0"/>
          <w:numId w:val="63"/>
        </w:numPr>
        <w:shd w:val="clear" w:color="auto" w:fill="auto"/>
        <w:tabs>
          <w:tab w:pos="563" w:val="left"/>
        </w:tabs>
        <w:bidi w:val="0"/>
        <w:spacing w:before="0" w:after="560"/>
        <w:ind w:left="0" w:right="0" w:firstLine="200"/>
        <w:jc w:val="both"/>
      </w:pPr>
      <w:bookmarkStart w:id="987" w:name="bookmark987"/>
      <w:bookmarkEnd w:id="987"/>
      <w:r>
        <w:rPr>
          <w:color w:val="000000"/>
          <w:spacing w:val="0"/>
          <w:w w:val="100"/>
          <w:position w:val="0"/>
        </w:rPr>
        <w:t>属于其他情况的，直接计入当期损益。</w:t>
      </w:r>
    </w:p>
    <w:p>
      <w:pPr>
        <w:pStyle w:val="Style33"/>
        <w:keepNext/>
        <w:keepLines/>
        <w:widowControl w:val="0"/>
        <w:shd w:val="clear" w:color="auto" w:fill="auto"/>
        <w:bidi w:val="0"/>
        <w:spacing w:before="0" w:after="28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8"/>
      <w:bookmarkEnd w:id="989"/>
      <w:bookmarkEnd w:id="991"/>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所得税费用的会计处理采用资产负债表债务法核算。资产负债表日，公司按照可抵扣暂时性差异与适用所得税税率计算 的结果，确认递延所得税资产及相应的递延所得税收益；按照应纳税暂时性差异与适用企业所得税税率计算的结果，确认递 延所得税负债及相应的递延所得税费用。</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）递延所得税资产的确认</w:t>
      </w:r>
    </w:p>
    <w:p>
      <w:pPr>
        <w:pStyle w:val="Style24"/>
        <w:keepNext w:val="0"/>
        <w:keepLines w:val="0"/>
        <w:widowControl w:val="0"/>
        <w:shd w:val="clear" w:color="auto" w:fill="auto"/>
        <w:bidi w:val="0"/>
        <w:spacing w:before="0" w:after="140" w:line="310" w:lineRule="exact"/>
        <w:ind w:left="0" w:right="0" w:firstLine="380"/>
        <w:jc w:val="left"/>
      </w:pPr>
      <w:r>
        <w:rPr>
          <w:color w:val="000000"/>
          <w:spacing w:val="0"/>
          <w:w w:val="100"/>
          <w:position w:val="0"/>
        </w:rPr>
        <w:t>公司以很可能取得用来抵扣可抵扣暂时性差异的应纳税所得额为限，确认由可抵扣暂时性差异产生的递延所得税资产。 但是同时具有下列特征的交易中因资产或负债的初始确认所产生的递延所得税资产会计处理采用资产负债表债务法核算。资 产负债表日，公司按照可抵扣暂时性差异与适用所得税税率计算的结果产不予确认：</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该项交易不是企业合并；</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交易 发生时既不影响会计利润也不影响应纳税所得额（或可抵扣亏损）。</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公司对与子公司、联营公司及合营企业投资相关的可抵扣暂时性差异，同时满足下列条件的，确认相应的递延所得税资 产：暂时性差异在可预见的未来很可能转回；未来很可能获得用来抵扣暂时性差异的应纳税所得额。</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公司对于能够结转以后年度的可抵扣亏损和税款抵减，以很可能获得用来抵扣可抵扣亏损和税款抵减的未来应纳税所得 额为限，确认相应的递延所得税资产。</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）递延所得税负债的确认</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除下列情况产生的递延所得税负债以外，公司确认所有应纳税暂时性差异产生的递延所得税负债：</w:t>
      </w:r>
    </w:p>
    <w:p>
      <w:pPr>
        <w:pStyle w:val="Style24"/>
        <w:keepNext w:val="0"/>
        <w:keepLines w:val="0"/>
        <w:widowControl w:val="0"/>
        <w:numPr>
          <w:ilvl w:val="0"/>
          <w:numId w:val="65"/>
        </w:numPr>
        <w:shd w:val="clear" w:color="auto" w:fill="auto"/>
        <w:tabs>
          <w:tab w:pos="573" w:val="left"/>
        </w:tabs>
        <w:bidi w:val="0"/>
        <w:spacing w:before="0" w:after="140" w:line="312" w:lineRule="exact"/>
        <w:ind w:left="0" w:right="0" w:firstLine="200"/>
        <w:jc w:val="left"/>
      </w:pPr>
      <w:bookmarkStart w:id="992" w:name="bookmark992"/>
      <w:bookmarkEnd w:id="992"/>
      <w:r>
        <w:rPr>
          <w:color w:val="000000"/>
          <w:spacing w:val="0"/>
          <w:w w:val="100"/>
          <w:position w:val="0"/>
        </w:rPr>
        <w:t>商誉的初始确认；</w:t>
      </w:r>
    </w:p>
    <w:p>
      <w:pPr>
        <w:pStyle w:val="Style24"/>
        <w:keepNext w:val="0"/>
        <w:keepLines w:val="0"/>
        <w:widowControl w:val="0"/>
        <w:numPr>
          <w:ilvl w:val="0"/>
          <w:numId w:val="65"/>
        </w:numPr>
        <w:shd w:val="clear" w:color="auto" w:fill="auto"/>
        <w:tabs>
          <w:tab w:pos="573" w:val="left"/>
        </w:tabs>
        <w:bidi w:val="0"/>
        <w:spacing w:before="0" w:after="240" w:line="312" w:lineRule="exact"/>
        <w:ind w:left="0" w:right="0" w:firstLine="200"/>
        <w:jc w:val="left"/>
      </w:pPr>
      <w:bookmarkStart w:id="993" w:name="bookmark993"/>
      <w:bookmarkEnd w:id="993"/>
      <w:r>
        <w:rPr>
          <w:color w:val="000000"/>
          <w:spacing w:val="0"/>
          <w:w w:val="100"/>
          <w:position w:val="0"/>
        </w:rPr>
        <w:t>同时满足具有下列特征的交易中产生的资产或负债的初始确认：</w:t>
      </w:r>
    </w:p>
    <w:p>
      <w:pPr>
        <w:pStyle w:val="Style24"/>
        <w:keepNext w:val="0"/>
        <w:keepLines w:val="0"/>
        <w:widowControl w:val="0"/>
        <w:shd w:val="clear" w:color="auto" w:fill="auto"/>
        <w:bidi w:val="0"/>
        <w:spacing w:before="0" w:after="140"/>
        <w:ind w:left="0" w:right="0" w:firstLine="200"/>
        <w:jc w:val="left"/>
      </w:pPr>
      <w:r>
        <w:rPr>
          <w:rFonts w:ascii="Times New Roman" w:eastAsia="Times New Roman" w:hAnsi="Times New Roman" w:cs="Times New Roman"/>
          <w:color w:val="000000"/>
          <w:spacing w:val="0"/>
          <w:w w:val="100"/>
          <w:position w:val="0"/>
        </w:rPr>
        <w:t>A</w:t>
      </w:r>
      <w:r>
        <w:rPr>
          <w:color w:val="000000"/>
          <w:spacing w:val="0"/>
          <w:w w:val="100"/>
          <w:position w:val="0"/>
        </w:rPr>
        <w:t>该项交易不是企业合并；</w:t>
      </w:r>
    </w:p>
    <w:p>
      <w:pPr>
        <w:pStyle w:val="Style24"/>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rPr>
        <w:t>B</w:t>
      </w:r>
      <w:r>
        <w:rPr>
          <w:color w:val="000000"/>
          <w:spacing w:val="0"/>
          <w:w w:val="100"/>
          <w:position w:val="0"/>
        </w:rPr>
        <w:t>交易发生时既不影响会计利润也不影响应纳税所得额（或可抵扣亏损）。</w:t>
      </w:r>
    </w:p>
    <w:p>
      <w:pPr>
        <w:pStyle w:val="Style24"/>
        <w:keepNext w:val="0"/>
        <w:keepLines w:val="0"/>
        <w:widowControl w:val="0"/>
        <w:numPr>
          <w:ilvl w:val="0"/>
          <w:numId w:val="65"/>
        </w:numPr>
        <w:shd w:val="clear" w:color="auto" w:fill="auto"/>
        <w:tabs>
          <w:tab w:pos="546" w:val="left"/>
        </w:tabs>
        <w:bidi w:val="0"/>
        <w:spacing w:before="0" w:after="240" w:line="322" w:lineRule="exact"/>
        <w:ind w:left="0" w:right="0" w:firstLine="200"/>
        <w:jc w:val="left"/>
      </w:pPr>
      <w:bookmarkStart w:id="994" w:name="bookmark994"/>
      <w:bookmarkEnd w:id="994"/>
      <w:r>
        <w:rPr>
          <w:color w:val="000000"/>
          <w:spacing w:val="0"/>
          <w:w w:val="100"/>
          <w:position w:val="0"/>
        </w:rPr>
        <w:t>与子公司、联营企业、合营企业投资等相关的应纳税暂时性差异，一般应确认相关的递延所得税负债，但同时满足以下 两个条件的除外：</w:t>
      </w:r>
    </w:p>
    <w:p>
      <w:pPr>
        <w:pStyle w:val="Style24"/>
        <w:keepNext w:val="0"/>
        <w:keepLines w:val="0"/>
        <w:widowControl w:val="0"/>
        <w:shd w:val="clear" w:color="auto" w:fill="auto"/>
        <w:bidi w:val="0"/>
        <w:spacing w:before="0" w:after="140"/>
        <w:ind w:left="0" w:right="0" w:firstLine="200"/>
        <w:jc w:val="left"/>
      </w:pPr>
      <w:r>
        <w:rPr>
          <w:rFonts w:ascii="Times New Roman" w:eastAsia="Times New Roman" w:hAnsi="Times New Roman" w:cs="Times New Roman"/>
          <w:color w:val="000000"/>
          <w:spacing w:val="0"/>
          <w:w w:val="100"/>
          <w:position w:val="0"/>
        </w:rPr>
        <w:t>A</w:t>
      </w:r>
      <w:r>
        <w:rPr>
          <w:color w:val="000000"/>
          <w:spacing w:val="0"/>
          <w:w w:val="100"/>
          <w:position w:val="0"/>
        </w:rPr>
        <w:t>投资企业能够控制暂时性差异的转回的时间；</w:t>
      </w:r>
    </w:p>
    <w:p>
      <w:pPr>
        <w:pStyle w:val="Style24"/>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rPr>
        <w:t>B</w:t>
      </w:r>
      <w:r>
        <w:rPr>
          <w:color w:val="000000"/>
          <w:spacing w:val="0"/>
          <w:w w:val="100"/>
          <w:position w:val="0"/>
        </w:rPr>
        <w:t>该暂时性差异在可预见的未来很可能不会转回。</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）所得税费用计量</w:t>
      </w:r>
    </w:p>
    <w:p>
      <w:pPr>
        <w:pStyle w:val="Style24"/>
        <w:keepNext w:val="0"/>
        <w:keepLines w:val="0"/>
        <w:widowControl w:val="0"/>
        <w:shd w:val="clear" w:color="auto" w:fill="auto"/>
        <w:bidi w:val="0"/>
        <w:spacing w:before="0" w:after="660" w:line="307" w:lineRule="exact"/>
        <w:ind w:left="0" w:right="0" w:firstLine="380"/>
        <w:jc w:val="left"/>
      </w:pPr>
      <w:r>
        <w:rPr>
          <w:color w:val="000000"/>
          <w:spacing w:val="0"/>
          <w:w w:val="100"/>
          <w:position w:val="0"/>
        </w:rPr>
        <w:t>公司将当期所得税和递延所得税作为所得税费用或收益计入当期损益，但不包括下列情况产生的所得税：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 xml:space="preserve">企业合并; </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直接在所有者权益中确认的交易或事项。</w:t>
      </w:r>
    </w:p>
    <w:p>
      <w:pPr>
        <w:pStyle w:val="Style33"/>
        <w:keepNext/>
        <w:keepLines/>
        <w:widowControl w:val="0"/>
        <w:shd w:val="clear" w:color="auto" w:fill="auto"/>
        <w:bidi w:val="0"/>
        <w:spacing w:before="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995"/>
      <w:bookmarkEnd w:id="996"/>
      <w:bookmarkEnd w:id="998"/>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租赁，是指在一定期间内，出租人将资产的使用权让与承租人以获取对价的合同。</w:t>
      </w:r>
    </w:p>
    <w:p>
      <w:pPr>
        <w:pStyle w:val="Style24"/>
        <w:keepNext w:val="0"/>
        <w:keepLines w:val="0"/>
        <w:widowControl w:val="0"/>
        <w:shd w:val="clear" w:color="auto" w:fill="auto"/>
        <w:tabs>
          <w:tab w:pos="440" w:val="left"/>
        </w:tabs>
        <w:bidi w:val="0"/>
        <w:spacing w:before="0" w:after="0" w:line="312" w:lineRule="exact"/>
        <w:ind w:left="0" w:right="0" w:firstLine="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租赁的识别</w:t>
      </w:r>
    </w:p>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在合同开始日，本公司评估合同是否为租赁或者包含租赁。如果合同中一方让渡了在一定期间内控制一项或多项已识别资产 使用的权利以换取对价，则该合同为租赁或者包含租赁。为确定合同是否让渡了在一定期间内控制已识别资产使用的权利， 本公司进行如下评估：</w:t>
      </w:r>
    </w:p>
    <w:p>
      <w:pPr>
        <w:pStyle w:val="Style24"/>
        <w:keepNext w:val="0"/>
        <w:keepLines w:val="0"/>
        <w:widowControl w:val="0"/>
        <w:numPr>
          <w:ilvl w:val="0"/>
          <w:numId w:val="67"/>
        </w:numPr>
        <w:shd w:val="clear" w:color="auto" w:fill="auto"/>
        <w:tabs>
          <w:tab w:pos="373" w:val="left"/>
        </w:tabs>
        <w:bidi w:val="0"/>
        <w:spacing w:before="0" w:after="0" w:line="310" w:lineRule="exact"/>
        <w:ind w:left="200" w:right="0" w:hanging="200"/>
        <w:jc w:val="both"/>
      </w:pPr>
      <w:bookmarkStart w:id="1000" w:name="bookmark1000"/>
      <w:bookmarkEnd w:id="1000"/>
      <w:r>
        <w:rPr>
          <w:color w:val="000000"/>
          <w:spacing w:val="0"/>
          <w:w w:val="100"/>
          <w:position w:val="0"/>
        </w:rPr>
        <w:t>合同是否涉及已识别资产的使用。已识别资产可能由合同明确指定或在资产可供客户使用时隐性指定，并且该资产在物理 上可区分，或者如果资产的某部分产能或其他部分在物理上不可区分但实质上代表了该资产的全部产能，从而使客户获得 因使用该资产所产生的几乎全部经济利益。如果资产的供应方在整个使用期间拥有对该资产的实质性替换权，则该资产不 属于已识别资产；</w:t>
      </w:r>
    </w:p>
    <w:p>
      <w:pPr>
        <w:pStyle w:val="Style24"/>
        <w:keepNext w:val="0"/>
        <w:keepLines w:val="0"/>
        <w:widowControl w:val="0"/>
        <w:numPr>
          <w:ilvl w:val="0"/>
          <w:numId w:val="67"/>
        </w:numPr>
        <w:shd w:val="clear" w:color="auto" w:fill="auto"/>
        <w:tabs>
          <w:tab w:pos="373" w:val="left"/>
        </w:tabs>
        <w:bidi w:val="0"/>
        <w:spacing w:before="0" w:after="0" w:line="312" w:lineRule="exact"/>
        <w:ind w:left="0" w:right="0" w:firstLine="0"/>
        <w:jc w:val="left"/>
      </w:pPr>
      <w:bookmarkStart w:id="1001" w:name="bookmark1001"/>
      <w:bookmarkEnd w:id="1001"/>
      <w:r>
        <w:rPr>
          <w:color w:val="000000"/>
          <w:spacing w:val="0"/>
          <w:w w:val="100"/>
          <w:position w:val="0"/>
        </w:rPr>
        <w:t>承租人是否有权获得在使用期间内因使用已识别资产所产生的几乎全部经济利益；</w:t>
      </w:r>
    </w:p>
    <w:p>
      <w:pPr>
        <w:pStyle w:val="Style24"/>
        <w:keepNext w:val="0"/>
        <w:keepLines w:val="0"/>
        <w:widowControl w:val="0"/>
        <w:numPr>
          <w:ilvl w:val="0"/>
          <w:numId w:val="67"/>
        </w:numPr>
        <w:shd w:val="clear" w:color="auto" w:fill="auto"/>
        <w:tabs>
          <w:tab w:pos="373" w:val="left"/>
        </w:tabs>
        <w:bidi w:val="0"/>
        <w:spacing w:before="0" w:after="0" w:line="312" w:lineRule="exact"/>
        <w:ind w:left="0" w:right="0" w:firstLine="0"/>
        <w:jc w:val="left"/>
      </w:pPr>
      <w:bookmarkStart w:id="1002" w:name="bookmark1002"/>
      <w:bookmarkEnd w:id="1002"/>
      <w:r>
        <w:rPr>
          <w:color w:val="000000"/>
          <w:spacing w:val="0"/>
          <w:w w:val="100"/>
          <w:position w:val="0"/>
        </w:rPr>
        <w:t>承租人是否有权在该使用期间主导已识别资产的使用。</w:t>
      </w:r>
    </w:p>
    <w:p>
      <w:pPr>
        <w:pStyle w:val="Style24"/>
        <w:keepNext w:val="0"/>
        <w:keepLines w:val="0"/>
        <w:widowControl w:val="0"/>
        <w:shd w:val="clear" w:color="auto" w:fill="auto"/>
        <w:tabs>
          <w:tab w:pos="440" w:val="left"/>
        </w:tabs>
        <w:bidi w:val="0"/>
        <w:spacing w:before="0" w:after="0" w:line="312" w:lineRule="exact"/>
        <w:ind w:left="0" w:right="0" w:firstLine="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租赁的分拆和合并</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合同中同时包含多项单独租赁的，本公司将合同予以分拆，并分别各项单独租赁进行会计处理。</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同时符合下列条件的，使用已识别资产的权利构成合同中的一项单独租赁：</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①承租人可从单独使用该资产或将其与易于获得的其他资源一起使用中获利；</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②该资产与合同中的其他资产不存在高度依赖或高度关联关系。</w:t>
      </w:r>
    </w:p>
    <w:p>
      <w:pPr>
        <w:pStyle w:val="Style24"/>
        <w:keepNext w:val="0"/>
        <w:keepLines w:val="0"/>
        <w:widowControl w:val="0"/>
        <w:shd w:val="clear" w:color="auto" w:fill="auto"/>
        <w:tabs>
          <w:tab w:pos="440" w:val="left"/>
        </w:tabs>
        <w:bidi w:val="0"/>
        <w:spacing w:before="0" w:after="0" w:line="314" w:lineRule="exact"/>
        <w:ind w:left="0" w:right="0" w:firstLine="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w:t>
        <w:tab/>
        <w:t>作为承租人</w:t>
      </w:r>
    </w:p>
    <w:p>
      <w:pPr>
        <w:pStyle w:val="Style24"/>
        <w:keepNext w:val="0"/>
        <w:keepLines w:val="0"/>
        <w:widowControl w:val="0"/>
        <w:numPr>
          <w:ilvl w:val="0"/>
          <w:numId w:val="69"/>
        </w:numPr>
        <w:shd w:val="clear" w:color="auto" w:fill="auto"/>
        <w:tabs>
          <w:tab w:pos="373" w:val="left"/>
        </w:tabs>
        <w:bidi w:val="0"/>
        <w:spacing w:before="0" w:after="0" w:line="314" w:lineRule="exact"/>
        <w:ind w:left="0" w:right="0" w:firstLine="0"/>
        <w:jc w:val="left"/>
      </w:pPr>
      <w:bookmarkStart w:id="1005" w:name="bookmark1005"/>
      <w:bookmarkEnd w:id="1005"/>
      <w:r>
        <w:rPr>
          <w:color w:val="000000"/>
          <w:spacing w:val="0"/>
          <w:w w:val="100"/>
          <w:position w:val="0"/>
        </w:rPr>
        <w:t>使用权资产</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使用权资产的确定方法及会计处理方法见本会计政策之第（二十二）项使用权资产。</w:t>
      </w:r>
    </w:p>
    <w:p>
      <w:pPr>
        <w:pStyle w:val="Style24"/>
        <w:keepNext w:val="0"/>
        <w:keepLines w:val="0"/>
        <w:widowControl w:val="0"/>
        <w:numPr>
          <w:ilvl w:val="0"/>
          <w:numId w:val="69"/>
        </w:numPr>
        <w:shd w:val="clear" w:color="auto" w:fill="auto"/>
        <w:tabs>
          <w:tab w:pos="373" w:val="left"/>
        </w:tabs>
        <w:bidi w:val="0"/>
        <w:spacing w:before="0" w:after="0" w:line="314" w:lineRule="exact"/>
        <w:ind w:left="0" w:right="0" w:firstLine="0"/>
        <w:jc w:val="left"/>
      </w:pPr>
      <w:bookmarkStart w:id="1006" w:name="bookmark1006"/>
      <w:bookmarkEnd w:id="1006"/>
      <w:r>
        <w:rPr>
          <w:color w:val="000000"/>
          <w:spacing w:val="0"/>
          <w:w w:val="100"/>
          <w:position w:val="0"/>
        </w:rPr>
        <w:t>租赁负债</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租赁负债的确定方法及会计处理方法见本会计政策之第（二十八）项租赁负债。</w:t>
      </w:r>
    </w:p>
    <w:p>
      <w:pPr>
        <w:pStyle w:val="Style24"/>
        <w:keepNext w:val="0"/>
        <w:keepLines w:val="0"/>
        <w:widowControl w:val="0"/>
        <w:numPr>
          <w:ilvl w:val="0"/>
          <w:numId w:val="69"/>
        </w:numPr>
        <w:shd w:val="clear" w:color="auto" w:fill="auto"/>
        <w:tabs>
          <w:tab w:pos="373" w:val="left"/>
        </w:tabs>
        <w:bidi w:val="0"/>
        <w:spacing w:before="0" w:after="0" w:line="314" w:lineRule="exact"/>
        <w:ind w:left="0" w:right="0" w:firstLine="0"/>
        <w:jc w:val="left"/>
      </w:pPr>
      <w:bookmarkStart w:id="1007" w:name="bookmark1007"/>
      <w:bookmarkEnd w:id="1007"/>
      <w:r>
        <w:rPr>
          <w:color w:val="000000"/>
          <w:spacing w:val="0"/>
          <w:w w:val="100"/>
          <w:position w:val="0"/>
        </w:rPr>
        <w:t>租赁期的评估</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租赁期是本公司作为承租人有权使用租赁资产且不可撤销的期间。</w:t>
      </w:r>
    </w:p>
    <w:p>
      <w:pPr>
        <w:pStyle w:val="Style24"/>
        <w:keepNext w:val="0"/>
        <w:keepLines w:val="0"/>
        <w:widowControl w:val="0"/>
        <w:shd w:val="clear" w:color="auto" w:fill="auto"/>
        <w:bidi w:val="0"/>
        <w:spacing w:before="0" w:after="0" w:line="314" w:lineRule="exact"/>
        <w:ind w:left="200" w:right="0" w:hanging="200"/>
        <w:jc w:val="both"/>
      </w:pPr>
      <w:r>
        <w:rPr>
          <w:color w:val="000000"/>
          <w:spacing w:val="0"/>
          <w:w w:val="100"/>
          <w:position w:val="0"/>
        </w:rPr>
        <w:t>本公司有续租选择权，即有权选择续租该资产，且合理确定将行使该选择权的，租赁期还包含续租选择权涵盖的期间。本公 司有终止租赁选择权，即有权选择终止租赁该资产，但合理确定将不会行使该选择权的，租赁期包含终止租赁选择权涵盖 的期间。</w:t>
      </w:r>
    </w:p>
    <w:p>
      <w:pPr>
        <w:pStyle w:val="Style24"/>
        <w:keepNext w:val="0"/>
        <w:keepLines w:val="0"/>
        <w:widowControl w:val="0"/>
        <w:shd w:val="clear" w:color="auto" w:fill="auto"/>
        <w:bidi w:val="0"/>
        <w:spacing w:before="0" w:after="0" w:line="317" w:lineRule="exact"/>
        <w:ind w:left="200" w:right="0" w:hanging="200"/>
        <w:jc w:val="both"/>
      </w:pPr>
      <w:r>
        <w:rPr>
          <w:color w:val="000000"/>
          <w:spacing w:val="0"/>
          <w:w w:val="100"/>
          <w:position w:val="0"/>
        </w:rPr>
        <w:t>发生本公司可控范围内的重大事件或变化，且影响本公司是否合理确定将行使相应选择权的，本公司对其是否合理确定将行 使续租选择权、购买选择权或不行使终止租赁选择权进行重新评估。</w:t>
      </w:r>
    </w:p>
    <w:p>
      <w:pPr>
        <w:pStyle w:val="Style24"/>
        <w:keepNext w:val="0"/>
        <w:keepLines w:val="0"/>
        <w:widowControl w:val="0"/>
        <w:numPr>
          <w:ilvl w:val="0"/>
          <w:numId w:val="69"/>
        </w:numPr>
        <w:shd w:val="clear" w:color="auto" w:fill="auto"/>
        <w:tabs>
          <w:tab w:pos="373" w:val="left"/>
        </w:tabs>
        <w:bidi w:val="0"/>
        <w:spacing w:before="0" w:after="0" w:line="314" w:lineRule="exact"/>
        <w:ind w:left="200" w:right="0" w:hanging="200"/>
        <w:jc w:val="both"/>
      </w:pPr>
      <w:bookmarkStart w:id="1008" w:name="bookmark1008"/>
      <w:bookmarkEnd w:id="1008"/>
      <w:r>
        <w:rPr>
          <w:color w:val="000000"/>
          <w:spacing w:val="0"/>
          <w:w w:val="100"/>
          <w:position w:val="0"/>
        </w:rPr>
        <w:t>租赁变更</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租赁发生变更且同时符合下列条件的，本公司将该租赁变更作为一项单独租赁进行会计处理：</w:t>
      </w:r>
    </w:p>
    <w:p>
      <w:pPr>
        <w:pStyle w:val="Style24"/>
        <w:keepNext w:val="0"/>
        <w:keepLines w:val="0"/>
        <w:widowControl w:val="0"/>
        <w:numPr>
          <w:ilvl w:val="0"/>
          <w:numId w:val="71"/>
        </w:numPr>
        <w:shd w:val="clear" w:color="auto" w:fill="auto"/>
        <w:tabs>
          <w:tab w:pos="363" w:val="left"/>
        </w:tabs>
        <w:bidi w:val="0"/>
        <w:spacing w:before="0" w:after="0" w:line="314" w:lineRule="exact"/>
        <w:ind w:left="0" w:right="0" w:firstLine="0"/>
        <w:jc w:val="left"/>
      </w:pPr>
      <w:bookmarkStart w:id="1009" w:name="bookmark1009"/>
      <w:bookmarkEnd w:id="1009"/>
      <w:r>
        <w:rPr>
          <w:color w:val="000000"/>
          <w:spacing w:val="0"/>
          <w:w w:val="100"/>
          <w:position w:val="0"/>
        </w:rPr>
        <w:t>该租赁变更通过增加一项或多项租赁资产的使用权而扩大了租赁范围；</w:t>
      </w:r>
    </w:p>
    <w:p>
      <w:pPr>
        <w:pStyle w:val="Style24"/>
        <w:keepNext w:val="0"/>
        <w:keepLines w:val="0"/>
        <w:widowControl w:val="0"/>
        <w:numPr>
          <w:ilvl w:val="0"/>
          <w:numId w:val="71"/>
        </w:numPr>
        <w:shd w:val="clear" w:color="auto" w:fill="auto"/>
        <w:tabs>
          <w:tab w:pos="363" w:val="left"/>
        </w:tabs>
        <w:bidi w:val="0"/>
        <w:spacing w:before="0" w:after="0" w:line="314" w:lineRule="exact"/>
        <w:ind w:left="0" w:right="0" w:firstLine="0"/>
        <w:jc w:val="left"/>
      </w:pPr>
      <w:bookmarkStart w:id="1010" w:name="bookmark1010"/>
      <w:bookmarkEnd w:id="1010"/>
      <w:r>
        <w:rPr>
          <w:color w:val="000000"/>
          <w:spacing w:val="0"/>
          <w:w w:val="100"/>
          <w:position w:val="0"/>
        </w:rPr>
        <w:t>增加的对价与租赁范围扩大部分的单独价格按该合同情况调整后的金额相当。</w:t>
      </w:r>
    </w:p>
    <w:p>
      <w:pPr>
        <w:pStyle w:val="Style24"/>
        <w:keepNext w:val="0"/>
        <w:keepLines w:val="0"/>
        <w:widowControl w:val="0"/>
        <w:numPr>
          <w:ilvl w:val="0"/>
          <w:numId w:val="69"/>
        </w:numPr>
        <w:shd w:val="clear" w:color="auto" w:fill="auto"/>
        <w:tabs>
          <w:tab w:pos="373" w:val="left"/>
        </w:tabs>
        <w:bidi w:val="0"/>
        <w:spacing w:before="0" w:after="0" w:line="314" w:lineRule="exact"/>
        <w:ind w:left="0" w:right="0" w:firstLine="0"/>
        <w:jc w:val="left"/>
      </w:pPr>
      <w:bookmarkStart w:id="1011" w:name="bookmark1011"/>
      <w:bookmarkEnd w:id="1011"/>
      <w:r>
        <w:rPr>
          <w:color w:val="000000"/>
          <w:spacing w:val="0"/>
          <w:w w:val="100"/>
          <w:position w:val="0"/>
        </w:rPr>
        <w:t>短期租赁和低价值资产租赁</w:t>
      </w:r>
    </w:p>
    <w:p>
      <w:pPr>
        <w:pStyle w:val="Style24"/>
        <w:keepNext w:val="0"/>
        <w:keepLines w:val="0"/>
        <w:widowControl w:val="0"/>
        <w:shd w:val="clear" w:color="auto" w:fill="auto"/>
        <w:bidi w:val="0"/>
        <w:spacing w:before="0" w:after="0" w:line="322" w:lineRule="exact"/>
        <w:ind w:left="200" w:right="0" w:hanging="200"/>
        <w:jc w:val="both"/>
      </w:pPr>
      <w:r>
        <w:rPr>
          <w:color w:val="000000"/>
          <w:spacing w:val="0"/>
          <w:w w:val="100"/>
          <w:position w:val="0"/>
        </w:rPr>
        <w:t>短期租赁，是指在租赁期开始日，租赁期不超过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个月且不包含购买选择权的租赁。低价值资产租赁，是指单项租赁资产 为全新资产时价值较低的租赁。本公司转租或预期转租租赁资产的，原租赁不属于低价值资产租赁。</w:t>
      </w:r>
    </w:p>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本公司选择对短期租赁和低价值资产租赁不确认使用权资产和租赁负债，并将相关的租赁付款额在租赁期内各个期间按照直 线法计入当期损益或相关资产成本。</w:t>
      </w:r>
    </w:p>
    <w:p>
      <w:pPr>
        <w:pStyle w:val="Style24"/>
        <w:keepNext w:val="0"/>
        <w:keepLines w:val="0"/>
        <w:widowControl w:val="0"/>
        <w:shd w:val="clear" w:color="auto" w:fill="auto"/>
        <w:tabs>
          <w:tab w:pos="440" w:val="left"/>
        </w:tabs>
        <w:bidi w:val="0"/>
        <w:spacing w:before="0" w:after="0" w:line="314" w:lineRule="exact"/>
        <w:ind w:left="0" w:right="0" w:firstLine="0"/>
        <w:jc w:val="left"/>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4</w:t>
      </w:r>
      <w:r>
        <w:rPr>
          <w:color w:val="000000"/>
          <w:spacing w:val="0"/>
          <w:w w:val="100"/>
          <w:position w:val="0"/>
        </w:rPr>
        <w:t>）</w:t>
        <w:tab/>
        <w:t>作为出租人</w:t>
      </w:r>
    </w:p>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在租赁开始日，本公司将租赁分为融资租赁和经营租赁。融资租赁，是指无论所有权最终是否转移，但实质上转移了与租赁 资产所有权有关的几乎全部风险和报酬的租赁。经营租赁，是指除融资租赁以外的其他租赁。本公司作为转租出租人时， 基于原租赁产生的使用权资产对转租赁进行分类。</w:t>
      </w:r>
    </w:p>
    <w:p>
      <w:pPr>
        <w:pStyle w:val="Style24"/>
        <w:keepNext w:val="0"/>
        <w:keepLines w:val="0"/>
        <w:widowControl w:val="0"/>
        <w:numPr>
          <w:ilvl w:val="0"/>
          <w:numId w:val="73"/>
        </w:numPr>
        <w:shd w:val="clear" w:color="auto" w:fill="auto"/>
        <w:tabs>
          <w:tab w:pos="373" w:val="left"/>
        </w:tabs>
        <w:bidi w:val="0"/>
        <w:spacing w:before="0" w:after="0" w:line="314" w:lineRule="exact"/>
        <w:ind w:left="0" w:right="0" w:firstLine="0"/>
        <w:jc w:val="left"/>
      </w:pPr>
      <w:bookmarkStart w:id="1013" w:name="bookmark1013"/>
      <w:bookmarkEnd w:id="1013"/>
      <w:r>
        <w:rPr>
          <w:color w:val="000000"/>
          <w:spacing w:val="0"/>
          <w:w w:val="100"/>
          <w:position w:val="0"/>
        </w:rPr>
        <w:t>经营租赁会计处理</w:t>
      </w:r>
    </w:p>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经营租赁的租赁收款额在租赁期内各个期间按照直线法确认为租金收入。本公司将发生的与经营租赁有关的初始直接费用予 以资本化，在租赁期内按照与租金收入确认相同的基础分摊计入当期损益。未计入租赁收款额的可变租赁付款额在实际发 生时计入当期损益。</w:t>
      </w:r>
    </w:p>
    <w:p>
      <w:pPr>
        <w:pStyle w:val="Style24"/>
        <w:keepNext w:val="0"/>
        <w:keepLines w:val="0"/>
        <w:widowControl w:val="0"/>
        <w:numPr>
          <w:ilvl w:val="0"/>
          <w:numId w:val="73"/>
        </w:numPr>
        <w:shd w:val="clear" w:color="auto" w:fill="auto"/>
        <w:tabs>
          <w:tab w:pos="373" w:val="left"/>
        </w:tabs>
        <w:bidi w:val="0"/>
        <w:spacing w:before="0" w:after="0" w:line="314" w:lineRule="exact"/>
        <w:ind w:left="0" w:right="0" w:firstLine="0"/>
        <w:jc w:val="left"/>
      </w:pPr>
      <w:bookmarkStart w:id="1014" w:name="bookmark1014"/>
      <w:bookmarkEnd w:id="1014"/>
      <w:r>
        <w:rPr>
          <w:color w:val="000000"/>
          <w:spacing w:val="0"/>
          <w:w w:val="100"/>
          <w:position w:val="0"/>
        </w:rPr>
        <w:t>融资租赁会计处理</w:t>
      </w:r>
    </w:p>
    <w:p>
      <w:pPr>
        <w:pStyle w:val="Style24"/>
        <w:keepNext w:val="0"/>
        <w:keepLines w:val="0"/>
        <w:widowControl w:val="0"/>
        <w:shd w:val="clear" w:color="auto" w:fill="auto"/>
        <w:bidi w:val="0"/>
        <w:spacing w:before="0" w:after="380" w:line="317" w:lineRule="exact"/>
        <w:ind w:left="200" w:right="0" w:hanging="200"/>
        <w:jc w:val="both"/>
      </w:pPr>
      <w:r>
        <w:rPr>
          <w:color w:val="000000"/>
          <w:spacing w:val="0"/>
          <w:w w:val="100"/>
          <w:position w:val="0"/>
        </w:rPr>
        <w:t>在租赁开始日，本公司对融资租赁确认应收融资租赁款，并终止确认融资租赁资产。本公司对应收融资租赁款进行初始计量 时，将租赁投资净额作为应收融资租赁款的入账价值。租赁投资净额为未担保余值和租赁期开始日尚未收到的租赁收款额 按照租赁内含利率折现的现值之和。</w:t>
      </w:r>
    </w:p>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本公司按照固定的周期性利率计算并确认租赁期内各个期间的利息收入。应收融资租赁款的终止确认和减值参见本会计政策 之第（十）项金融工具。</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未纳入租赁投资净额计量的可变租赁付款额在实际发生时计入当期损益。</w:t>
      </w:r>
    </w:p>
    <w:p>
      <w:pPr>
        <w:pStyle w:val="Style24"/>
        <w:keepNext w:val="0"/>
        <w:keepLines w:val="0"/>
        <w:widowControl w:val="0"/>
        <w:shd w:val="clear" w:color="auto" w:fill="auto"/>
        <w:bidi w:val="0"/>
        <w:spacing w:before="0" w:after="0" w:line="317" w:lineRule="exact"/>
        <w:ind w:left="200" w:right="0" w:hanging="200"/>
        <w:jc w:val="both"/>
      </w:pPr>
      <w:r>
        <w:rPr>
          <w:color w:val="000000"/>
          <w:spacing w:val="0"/>
          <w:w w:val="100"/>
          <w:position w:val="0"/>
        </w:rPr>
        <w:t>生产商或经销商的出租人且形成融资租赁的，在租赁期开始日，按照租赁资产公允价值与租赁收款额按市场利率折现的现值 两者孰低确认收入，并按照租赁资产账面价值扣除未担保余值的现值后的余额结转销售成本。为取得融资租赁发生的成本， 在租赁期开始日计入当期损益。</w:t>
      </w:r>
    </w:p>
    <w:p>
      <w:pPr>
        <w:pStyle w:val="Style24"/>
        <w:keepNext w:val="0"/>
        <w:keepLines w:val="0"/>
        <w:widowControl w:val="0"/>
        <w:shd w:val="clear" w:color="auto" w:fill="auto"/>
        <w:bidi w:val="0"/>
        <w:spacing w:before="0" w:after="0" w:line="312" w:lineRule="exact"/>
        <w:ind w:left="0" w:right="0" w:firstLine="0"/>
        <w:jc w:val="left"/>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5</w:t>
      </w:r>
      <w:r>
        <w:rPr>
          <w:color w:val="000000"/>
          <w:spacing w:val="0"/>
          <w:w w:val="100"/>
          <w:position w:val="0"/>
        </w:rPr>
        <w:t>）售后租回交易</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本公司按照本会计政策之第（三十二）项收入的规定评估确定售后租回交易中的资产转让是否属于销售。</w:t>
      </w:r>
    </w:p>
    <w:p>
      <w:pPr>
        <w:pStyle w:val="Style24"/>
        <w:keepNext w:val="0"/>
        <w:keepLines w:val="0"/>
        <w:widowControl w:val="0"/>
        <w:numPr>
          <w:ilvl w:val="0"/>
          <w:numId w:val="75"/>
        </w:numPr>
        <w:shd w:val="clear" w:color="auto" w:fill="auto"/>
        <w:tabs>
          <w:tab w:pos="373" w:val="left"/>
        </w:tabs>
        <w:bidi w:val="0"/>
        <w:spacing w:before="0" w:after="0" w:line="312" w:lineRule="exact"/>
        <w:ind w:left="0" w:right="0" w:firstLine="0"/>
        <w:jc w:val="left"/>
      </w:pPr>
      <w:bookmarkStart w:id="1016" w:name="bookmark1016"/>
      <w:bookmarkEnd w:id="1016"/>
      <w:r>
        <w:rPr>
          <w:color w:val="000000"/>
          <w:spacing w:val="0"/>
          <w:w w:val="100"/>
          <w:position w:val="0"/>
        </w:rPr>
        <w:t>作为承租人</w:t>
      </w:r>
    </w:p>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售后租回交易中的资产转让属于销售的，本公司按原资产账面价值中与租回获得的使用权有关的部分，计量售后租回所形成 的使用权资产，并仅就转让至出租人的权利确认相关利得或损失。</w:t>
      </w:r>
    </w:p>
    <w:p>
      <w:pPr>
        <w:pStyle w:val="Style24"/>
        <w:keepNext w:val="0"/>
        <w:keepLines w:val="0"/>
        <w:widowControl w:val="0"/>
        <w:shd w:val="clear" w:color="auto" w:fill="auto"/>
        <w:bidi w:val="0"/>
        <w:spacing w:before="0" w:after="0" w:line="310" w:lineRule="exact"/>
        <w:ind w:left="200" w:right="0" w:hanging="200"/>
        <w:jc w:val="both"/>
      </w:pPr>
      <w:r>
        <w:rPr>
          <w:color w:val="000000"/>
          <w:spacing w:val="0"/>
          <w:w w:val="100"/>
          <w:position w:val="0"/>
        </w:rPr>
        <w:t>如果销售对价的公允价值与资产的公允价值不同，或者出租人未按市场价格收取租金，本公司将销售对价低于市场价格的款 项作为预付租金进行会计处理，将高于市场价格的款项作为出租人向承租人提供的额外融资进行会计处理；同时按照公允 价值调整相关销售利得或损失。</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售后租回交易中的资产转让不属于销售的，本公司继续确认被转让资产，同时确认一项与转让收入等额的金融负债。</w:t>
      </w:r>
    </w:p>
    <w:p>
      <w:pPr>
        <w:pStyle w:val="Style24"/>
        <w:keepNext w:val="0"/>
        <w:keepLines w:val="0"/>
        <w:widowControl w:val="0"/>
        <w:numPr>
          <w:ilvl w:val="0"/>
          <w:numId w:val="75"/>
        </w:numPr>
        <w:shd w:val="clear" w:color="auto" w:fill="auto"/>
        <w:tabs>
          <w:tab w:pos="373" w:val="left"/>
        </w:tabs>
        <w:bidi w:val="0"/>
        <w:spacing w:before="0" w:after="0" w:line="312" w:lineRule="exact"/>
        <w:ind w:left="0" w:right="0" w:firstLine="0"/>
        <w:jc w:val="left"/>
      </w:pPr>
      <w:bookmarkStart w:id="1017" w:name="bookmark1017"/>
      <w:bookmarkEnd w:id="1017"/>
      <w:r>
        <w:rPr>
          <w:color w:val="000000"/>
          <w:spacing w:val="0"/>
          <w:w w:val="100"/>
          <w:position w:val="0"/>
        </w:rPr>
        <w:t>作为出租人</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售后租回交易中的资产转让属于销售的，本公司按照资产购买进行相应会计处理，并根据租赁准则对资产出租进行会计处理。</w:t>
      </w:r>
    </w:p>
    <w:p>
      <w:pPr>
        <w:pStyle w:val="Style24"/>
        <w:keepNext w:val="0"/>
        <w:keepLines w:val="0"/>
        <w:widowControl w:val="0"/>
        <w:shd w:val="clear" w:color="auto" w:fill="auto"/>
        <w:bidi w:val="0"/>
        <w:spacing w:before="0" w:after="0" w:line="314" w:lineRule="exact"/>
        <w:ind w:left="200" w:right="0" w:hanging="200"/>
        <w:jc w:val="both"/>
      </w:pPr>
      <w:r>
        <w:rPr>
          <w:color w:val="000000"/>
          <w:spacing w:val="0"/>
          <w:w w:val="100"/>
          <w:position w:val="0"/>
        </w:rPr>
        <w:t>如果销售对价的公允价值与资产的公允价值不同，或者本公司未按市场价格收取租金，本公司将销售对价低于市场价格的款 项作为预收租金进行会计处理，将高于市场价格的款项作为本公司向承租人提供的额外融资进行会计处理；同时按市场价 格调整租金收入。</w:t>
      </w:r>
    </w:p>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售后租回交易中的资产转让不属于销售的，本公司确认一项与转让收入等额的金融资产。</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日前执行</w:t>
      </w:r>
    </w:p>
    <w:p>
      <w:pPr>
        <w:pStyle w:val="Style24"/>
        <w:keepNext w:val="0"/>
        <w:keepLines w:val="0"/>
        <w:widowControl w:val="0"/>
        <w:shd w:val="clear" w:color="auto" w:fill="auto"/>
        <w:tabs>
          <w:tab w:pos="440" w:val="left"/>
        </w:tabs>
        <w:bidi w:val="0"/>
        <w:spacing w:before="0" w:after="0" w:line="312" w:lineRule="exact"/>
        <w:ind w:left="0" w:right="0" w:firstLine="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p>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对于经营租赁的租金，出租人、承租人在租赁期内各个期间按照直线法确认为当期损益。出租人、承租人发生的初始直接费 用，计入当期损益。或有租金在实际发生时计入当期损益。</w:t>
      </w:r>
    </w:p>
    <w:p>
      <w:pPr>
        <w:pStyle w:val="Style24"/>
        <w:keepNext w:val="0"/>
        <w:keepLines w:val="0"/>
        <w:widowControl w:val="0"/>
        <w:shd w:val="clear" w:color="auto" w:fill="auto"/>
        <w:tabs>
          <w:tab w:pos="440" w:val="left"/>
        </w:tabs>
        <w:bidi w:val="0"/>
        <w:spacing w:before="0" w:after="0" w:line="312" w:lineRule="exact"/>
        <w:ind w:left="0" w:right="0" w:firstLine="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p>
    <w:p>
      <w:pPr>
        <w:pStyle w:val="Style24"/>
        <w:keepNext w:val="0"/>
        <w:keepLines w:val="0"/>
        <w:widowControl w:val="0"/>
        <w:numPr>
          <w:ilvl w:val="0"/>
          <w:numId w:val="77"/>
        </w:numPr>
        <w:shd w:val="clear" w:color="auto" w:fill="auto"/>
        <w:tabs>
          <w:tab w:pos="373" w:val="left"/>
        </w:tabs>
        <w:bidi w:val="0"/>
        <w:spacing w:before="0" w:after="0" w:line="312" w:lineRule="exact"/>
        <w:ind w:left="0" w:right="0" w:firstLine="0"/>
        <w:jc w:val="left"/>
      </w:pPr>
      <w:bookmarkStart w:id="1020" w:name="bookmark1020"/>
      <w:bookmarkEnd w:id="1020"/>
      <w:r>
        <w:rPr>
          <w:color w:val="000000"/>
          <w:spacing w:val="0"/>
          <w:w w:val="100"/>
          <w:position w:val="0"/>
        </w:rPr>
        <w:t>承租人的会计处理</w:t>
      </w:r>
    </w:p>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在租赁期开始日，将租赁开始日租赁资产公允价值与最低租赁付款额现值两者中较低者作为租入资产的入账价值，将最低租 赁付款额作为长期应付款的入账价值，其差额作为未确认融资费用。在租赁谈判和签订租赁合同过程中发生的可归属于租 赁项目的手续费、律师费、差旅费、印花税等初始直接费用（下同），计入租入资产价值。在计算最低租赁付款额的现值 时，能够取得出租人租赁内含利率的，采用租赁内含利率作为折现率；否则，采用租赁合同规定的利率作为折现率。无法 取得出租人的租赁内含利率且租赁合同没有规定利率的，采用同期银行贷款利率作为折现率。未确认融资费用在租赁期内 按照实际利率法计算确认当期的融资费用。</w:t>
      </w:r>
    </w:p>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公司采用与自有固定资产相一致的折旧政策计提租赁资产折旧。能够合理确定租赁期届满时取得租赁资产所有权的，在租赁 资产使用寿命内计提折旧。无法合理确定租赁期届满时能够取得租赁资产所有权的，在租赁期与租赁资产使用寿命两者中 较短的期间内计提折旧。或有租金在实际发生时计入当期损益。</w:t>
      </w:r>
    </w:p>
    <w:p>
      <w:pPr>
        <w:pStyle w:val="Style24"/>
        <w:keepNext w:val="0"/>
        <w:keepLines w:val="0"/>
        <w:widowControl w:val="0"/>
        <w:numPr>
          <w:ilvl w:val="0"/>
          <w:numId w:val="77"/>
        </w:numPr>
        <w:shd w:val="clear" w:color="auto" w:fill="auto"/>
        <w:tabs>
          <w:tab w:pos="373" w:val="left"/>
        </w:tabs>
        <w:bidi w:val="0"/>
        <w:spacing w:before="0" w:after="0" w:line="312" w:lineRule="exact"/>
        <w:ind w:left="0" w:right="0" w:firstLine="0"/>
        <w:jc w:val="left"/>
      </w:pPr>
      <w:bookmarkStart w:id="1021" w:name="bookmark1021"/>
      <w:bookmarkEnd w:id="1021"/>
      <w:r>
        <w:rPr>
          <w:color w:val="000000"/>
          <w:spacing w:val="0"/>
          <w:w w:val="100"/>
          <w:position w:val="0"/>
        </w:rPr>
        <w:t>出租人的会计处理</w:t>
      </w:r>
    </w:p>
    <w:p>
      <w:pPr>
        <w:pStyle w:val="Style24"/>
        <w:keepNext w:val="0"/>
        <w:keepLines w:val="0"/>
        <w:widowControl w:val="0"/>
        <w:shd w:val="clear" w:color="auto" w:fill="auto"/>
        <w:bidi w:val="0"/>
        <w:spacing w:before="0" w:after="0" w:line="307" w:lineRule="exact"/>
        <w:ind w:left="200" w:right="0" w:hanging="200"/>
        <w:jc w:val="both"/>
      </w:pPr>
      <w:r>
        <w:rPr>
          <w:color w:val="000000"/>
          <w:spacing w:val="0"/>
          <w:w w:val="100"/>
          <w:position w:val="0"/>
        </w:rPr>
        <w:t>在租赁期开始日，出租人将租赁开始日最低租赁收款额与初始直接费用之和作为应收融资租赁款的入账价值，同时记录未担 保余值；将最低租赁收款额、初始直接费用及未担保余值之和与其现值之和的差额确认为未实现融资收益。</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未实现融资收益在租赁期内按照实际利率法计算确认当期的融资收入。</w:t>
      </w:r>
    </w:p>
    <w:p>
      <w:pPr>
        <w:pStyle w:val="Style2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或有租金在实际发生时计入当期损益。其他重要的会计政策和会计估计</w:t>
      </w:r>
    </w:p>
    <w:p>
      <w:pPr>
        <w:pStyle w:val="Style33"/>
        <w:keepNext/>
        <w:keepLines/>
        <w:widowControl w:val="0"/>
        <w:shd w:val="clear" w:color="auto" w:fill="auto"/>
        <w:bidi w:val="0"/>
        <w:spacing w:before="0" w:after="34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、重要会计政策和会计估计变更</w:t>
      </w:r>
      <w:bookmarkEnd w:id="1022"/>
      <w:bookmarkEnd w:id="1023"/>
      <w:bookmarkEnd w:id="1025"/>
    </w:p>
    <w:p>
      <w:pPr>
        <w:pStyle w:val="Style38"/>
        <w:keepNext/>
        <w:keepLines/>
        <w:widowControl w:val="0"/>
        <w:shd w:val="clear" w:color="auto" w:fill="auto"/>
        <w:bidi w:val="0"/>
        <w:spacing w:before="0" w:after="26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26"/>
      <w:bookmarkEnd w:id="1027"/>
      <w:bookmarkEnd w:id="1029"/>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日，财政部颁布了修订 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号）（以下简称“新 租赁准则”），并要求其他执行企业会 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 行。本公司自规定之日起开始执行。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已经董事会审议批准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详见其他说明①</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月，财政部发布了《企业会 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号）（以下简称“解释第</w:t>
            </w:r>
            <w:r>
              <w:rPr>
                <w:rFonts w:ascii="Times New Roman" w:eastAsia="Times New Roman" w:hAnsi="Times New Roman" w:cs="Times New Roman"/>
                <w:color w:val="000000"/>
                <w:spacing w:val="0"/>
                <w:w w:val="100"/>
                <w:position w:val="0"/>
              </w:rPr>
              <w:t>15</w:t>
            </w:r>
            <w:r>
              <w:rPr>
                <w:color w:val="000000"/>
                <w:spacing w:val="0"/>
                <w:w w:val="100"/>
                <w:position w:val="0"/>
              </w:rPr>
              <w:t>号”）， “关于资金集中管理相关列报”内容自 公布之日起施行。本公司自规定之日起 开始执行。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已经董事会审议批准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详见其他说明②</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numPr>
          <w:ilvl w:val="0"/>
          <w:numId w:val="79"/>
        </w:numPr>
        <w:shd w:val="clear" w:color="auto" w:fill="auto"/>
        <w:tabs>
          <w:tab w:pos="723" w:val="left"/>
        </w:tabs>
        <w:bidi w:val="0"/>
        <w:spacing w:before="0" w:after="0" w:line="317" w:lineRule="exact"/>
        <w:ind w:left="0" w:right="0" w:firstLine="380"/>
        <w:jc w:val="both"/>
      </w:pPr>
      <w:bookmarkStart w:id="1030" w:name="bookmark1030"/>
      <w:bookmarkEnd w:id="1030"/>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日，财政部颁布了修订的《企业会计准则第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号），并要求境内上 市的企业自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日起施行新租赁准则。新租赁准则具体政策详见附注五、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日起执行新租赁准则，新租赁准则要求首次执行该准则的累积影响数调整首次执行当年年初</w:t>
      </w:r>
      <w:r>
        <w:rPr>
          <w:rFonts w:ascii="Times New Roman" w:eastAsia="Times New Roman" w:hAnsi="Times New Roman" w:cs="Times New Roman"/>
          <w:color w:val="000000"/>
          <w:spacing w:val="0"/>
          <w:w w:val="100"/>
          <w:position w:val="0"/>
        </w:rPr>
        <w:t>（</w:t>
      </w:r>
      <w:r>
        <w:rPr>
          <w:color w:val="000000"/>
          <w:spacing w:val="0"/>
          <w:w w:val="100"/>
          <w:position w:val="0"/>
        </w:rPr>
        <w:t xml:space="preserve">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color w:val="000000"/>
          <w:spacing w:val="0"/>
          <w:w w:val="100"/>
          <w:position w:val="0"/>
        </w:rPr>
        <w:t>）</w:t>
      </w:r>
      <w:r>
        <w:rPr>
          <w:color w:val="000000"/>
          <w:spacing w:val="0"/>
          <w:w w:val="100"/>
          <w:position w:val="0"/>
        </w:rPr>
        <w:t>留存收益及财务报表其他相关项目金额，对可比期间信息不予调整。此项会计政策变更已经公司董事会审 议通过，采用变更后会计政策编制的</w:t>
      </w:r>
      <w:r>
        <w:rPr>
          <w:rFonts w:ascii="Times New Roman" w:eastAsia="Times New Roman" w:hAnsi="Times New Roman" w:cs="Times New Roman"/>
          <w:color w:val="000000"/>
          <w:spacing w:val="0"/>
          <w:w w:val="100"/>
          <w:position w:val="0"/>
        </w:rPr>
        <w:t>2021</w:t>
      </w:r>
      <w:r>
        <w:rPr>
          <w:color w:val="000000"/>
          <w:spacing w:val="0"/>
          <w:w w:val="100"/>
          <w:position w:val="0"/>
        </w:rPr>
        <w:t>年度合并利润表及母公司利润表各项目、</w:t>
      </w:r>
      <w:r>
        <w:rPr>
          <w:rFonts w:ascii="Times New Roman" w:eastAsia="Times New Roman" w:hAnsi="Times New Roman" w:cs="Times New Roman"/>
          <w:color w:val="000000"/>
          <w:spacing w:val="0"/>
          <w:w w:val="100"/>
          <w:position w:val="0"/>
        </w:rPr>
        <w:t>2021</w:t>
      </w:r>
      <w:r>
        <w:rPr>
          <w:color w:val="000000"/>
          <w:spacing w:val="0"/>
          <w:w w:val="100"/>
          <w:position w:val="0"/>
        </w:rPr>
        <w:t>年度合并资产负债表及母公司资产 负债表各项目，与假定采用变更前会计政策编制的这些报表项目相比，除部分财务报表科目重分类外，没有重大影响，相应 财务报表项目变动详见附注五、</w:t>
      </w:r>
      <w:r>
        <w:rPr>
          <w:rFonts w:ascii="Times New Roman" w:eastAsia="Times New Roman" w:hAnsi="Times New Roman" w:cs="Times New Roman"/>
          <w:color w:val="000000"/>
          <w:spacing w:val="0"/>
          <w:w w:val="100"/>
          <w:position w:val="0"/>
        </w:rPr>
        <w:t xml:space="preserve">32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p>
    <w:p>
      <w:pPr>
        <w:pStyle w:val="Style24"/>
        <w:keepNext w:val="0"/>
        <w:keepLines w:val="0"/>
        <w:widowControl w:val="0"/>
        <w:numPr>
          <w:ilvl w:val="0"/>
          <w:numId w:val="79"/>
        </w:numPr>
        <w:shd w:val="clear" w:color="auto" w:fill="auto"/>
        <w:tabs>
          <w:tab w:pos="728" w:val="left"/>
        </w:tabs>
        <w:bidi w:val="0"/>
        <w:spacing w:before="0" w:after="0" w:line="312" w:lineRule="exact"/>
        <w:ind w:left="0" w:right="0" w:firstLine="380"/>
        <w:jc w:val="both"/>
      </w:pPr>
      <w:bookmarkStart w:id="1031" w:name="bookmark1031"/>
      <w:bookmarkEnd w:id="1031"/>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日，财政部发布了解释第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内容自公布之日起施行。本公司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日起执行该解释。</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号对通过内部结算中心、财务公司等对母公司及成员单位资金实行集中统一管理的，区分成员单位是归集至 集团母公司账户的资金还是未归集至集团母公司账户而直接存入财务公司的资金，分别明确了成员单位、财务公司及母公司 应当在资产负债表列报的项目。并对资金集中管理相关金融资产和金融负债项目是否能进行抵消进行了明确。</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本公司自该解释发布之日起执行，对于发布前本公司的财务报表未按照该解释规定列报的，对可比期间的财务报表数据进行 相应调整，执行该解释未对本公司的财务状况、经营成果产生重大影响。</w:t>
      </w:r>
    </w:p>
    <w:p>
      <w:pPr>
        <w:pStyle w:val="Style38"/>
        <w:keepNext/>
        <w:keepLines/>
        <w:widowControl w:val="0"/>
        <w:shd w:val="clear" w:color="auto" w:fill="auto"/>
        <w:tabs>
          <w:tab w:pos="493" w:val="left"/>
        </w:tabs>
        <w:bidi w:val="0"/>
        <w:spacing w:before="0" w:after="280" w:line="240" w:lineRule="auto"/>
        <w:ind w:left="0" w:right="0" w:firstLine="0"/>
        <w:jc w:val="both"/>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32"/>
      <w:bookmarkEnd w:id="1033"/>
      <w:bookmarkEnd w:id="1035"/>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口适用”不适用</w:t>
      </w:r>
    </w:p>
    <w:p>
      <w:pPr>
        <w:pStyle w:val="Style38"/>
        <w:keepNext/>
        <w:keepLines/>
        <w:widowControl w:val="0"/>
        <w:shd w:val="clear" w:color="auto" w:fill="auto"/>
        <w:tabs>
          <w:tab w:pos="493" w:val="left"/>
        </w:tabs>
        <w:bidi w:val="0"/>
        <w:spacing w:before="0" w:after="28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36"/>
      <w:bookmarkEnd w:id="1037"/>
      <w:bookmarkEnd w:id="1039"/>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只要公司是从</w:t>
      </w:r>
      <w:r>
        <w:rPr>
          <w:rFonts w:ascii="Times New Roman" w:eastAsia="Times New Roman" w:hAnsi="Times New Roman" w:cs="Times New Roman"/>
          <w:color w:val="000000"/>
          <w:spacing w:val="0"/>
          <w:w w:val="100"/>
          <w:position w:val="0"/>
        </w:rPr>
        <w:t>2021</w:t>
      </w:r>
      <w:r>
        <w:rPr>
          <w:color w:val="000000"/>
          <w:spacing w:val="0"/>
          <w:w w:val="100"/>
          <w:position w:val="0"/>
        </w:rPr>
        <w:t>年首次执行新租赁准则，均需要填写此表，除非不需要调整年初资产负债表科目。</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line="312" w:lineRule="exact"/>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485,160,678.74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485,160,678.74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209,616,066.11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209,616,066.11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2,850,494.85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2,850,494.85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10,638,484.17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10,638,484.17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58,495,239.05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58,495,239.05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9,267,307.89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9,267,307.89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2,662,686.08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2,662,686.08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778,690,956.89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778,690,956.89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46,747,663.92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46,747,663.92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47,076,310.59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47,076,310.59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316,069,007.71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316,069,007.71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12,642,155.60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12,642,155.60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13,358,884.68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13,358,884.68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30,652,476.87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30,652,476.87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2,051,373.43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2,051,373.43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14,045,970.34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14,045,970.34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3,795,555.46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3,795,555.46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473,080,513.92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486,439,398.60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13,358,884.68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1,251,771,470.81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1,265,130,355.49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13,358,884.68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1,774,878.03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1,774,878.03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2,712,654.74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2,712,654.74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61,198,660.95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61,198,660.95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10,724,806.01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10,724,806.01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5,604,343.26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5,604,343.26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995,663.24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6,387,249.40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6,387,249.40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82,015,342.99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88,402,592.39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6,387,249.40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6,971,635.28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6,971,635.28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4,312,520.17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4,312,520.17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4,312,520.17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11,284,155.45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6,971,635.28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86,327,863.16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99,686,747.84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13,358,884.68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283,299,055.00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283,299,055.00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439,688,923.31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439,688,923.31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-35,459,434.37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-35,459,434.37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73,570,768.42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73,570,768.42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404,407,229.29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404,407,229.29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1,165,443,607.65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1,165,443,607.65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1,165,443,607.65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1,165,443,607.65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1,251,771,470.81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1,265,130,355.49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13,358,884.68</w:t>
            </w:r>
          </w:p>
        </w:tc>
      </w:tr>
    </w:tbl>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日，对于首次执行日前的经营租赁，本公司采用首次执行日前增量借款利率折现后的现值计量租赁负 债，金额为</w:t>
      </w:r>
      <w:r>
        <w:rPr>
          <w:rFonts w:ascii="Times New Roman" w:eastAsia="Times New Roman" w:hAnsi="Times New Roman" w:cs="Times New Roman"/>
          <w:color w:val="000000"/>
          <w:spacing w:val="0"/>
          <w:w w:val="100"/>
          <w:position w:val="0"/>
        </w:rPr>
        <w:t>13,358,884.68</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rPr>
        <w:t>6,387,249.40</w:t>
      </w:r>
      <w:r>
        <w:rPr>
          <w:color w:val="000000"/>
          <w:spacing w:val="0"/>
          <w:w w:val="100"/>
          <w:position w:val="0"/>
        </w:rPr>
        <w:t>元重分类至一年内到期的非流动负债。本公司按照与 租赁负债相等的金额，并根据预付租金进行必要调整计量使用权资产，金额为</w:t>
      </w:r>
      <w:r>
        <w:rPr>
          <w:rFonts w:ascii="Times New Roman" w:eastAsia="Times New Roman" w:hAnsi="Times New Roman" w:cs="Times New Roman"/>
          <w:color w:val="000000"/>
          <w:spacing w:val="0"/>
          <w:w w:val="100"/>
          <w:position w:val="0"/>
        </w:rPr>
        <w:t>13,358,884.68</w:t>
      </w:r>
      <w:r>
        <w:rPr>
          <w:color w:val="000000"/>
          <w:spacing w:val="0"/>
          <w:w w:val="100"/>
          <w:position w:val="0"/>
        </w:rPr>
        <w:t>元。</w:t>
      </w:r>
    </w:p>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287,944,653.00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287,944,653.00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382,568,098.02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382,568,098.02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2,440,013.37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2,440,013.37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3,320,068.57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3,320,068.57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34,829,752.84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34,829,752.84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9,267,307.89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9,267,307.89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2,061,906.52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2,061,906.52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722,431,800.21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722,431,800.21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59,197,812.44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59,197,812.44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47,076,310.59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47,076,310.59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306,102,044.97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306,102,044.97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12,642,155.60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12,642,155.60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11,900,111.05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11,900,111.05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30,652,476.87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30,652,476.87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1,530,928.52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1,530,928.52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13,317,281.13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13,317,281.13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3,795,555.46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3,795,555.46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474,314,565.58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486,214,676.63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11,900,111.05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1,196,746,365.79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1,208,646,476.84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11,900,111.05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1,130,517.56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1,130,517.56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133,348.93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53,790,198.38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53,790,198.38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6,081,353.73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6,081,353.73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4,698,237.19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4,698,237.19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5,602,604.32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5,602,604.32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65,833,655.79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71,436,260.11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5,602,604.32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6,297,506.73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6,297,506.73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6,297,506.73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6,297,506.73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65,833,655.79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77,733,766.84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11,900,111.05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283,299,055.00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283,299,055.00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439,696,559.40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439,696,559.40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62,934.00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-35,277,766.27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-35,277,766.27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73,570,768.42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73,570,768.42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369,687,027.45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369,687,027.45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1,130,912,710.00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1,130,912,710.00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1,196,746,365.79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1,208,646,476.84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11,900,111.05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24"/>
        <w:keepNext w:val="0"/>
        <w:keepLines w:val="0"/>
        <w:widowControl w:val="0"/>
        <w:shd w:val="clear" w:color="auto" w:fill="auto"/>
        <w:bidi w:val="0"/>
        <w:spacing w:before="0" w:after="840" w:line="312" w:lineRule="exact"/>
        <w:ind w:left="0" w:right="0" w:firstLine="48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日，对于首次执行日前的经营租赁，本公司采用首次执行日前增量借款利率折现后的现值计量租赁负债， 金额为</w:t>
      </w:r>
      <w:r>
        <w:rPr>
          <w:rFonts w:ascii="Times New Roman" w:eastAsia="Times New Roman" w:hAnsi="Times New Roman" w:cs="Times New Roman"/>
          <w:color w:val="000000"/>
          <w:spacing w:val="0"/>
          <w:w w:val="100"/>
          <w:position w:val="0"/>
        </w:rPr>
        <w:t>11,900,111.05</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rPr>
        <w:t>5,602,604.32</w:t>
      </w:r>
      <w:r>
        <w:rPr>
          <w:color w:val="000000"/>
          <w:spacing w:val="0"/>
          <w:w w:val="100"/>
          <w:position w:val="0"/>
        </w:rPr>
        <w:t>元重分类至一年内到期的非流动负债。本公司按照与租赁负 债相等的金额，并根据预付租金进行必要调整计量使用权资产，金额为</w:t>
      </w:r>
      <w:r>
        <w:rPr>
          <w:rFonts w:ascii="Times New Roman" w:eastAsia="Times New Roman" w:hAnsi="Times New Roman" w:cs="Times New Roman"/>
          <w:color w:val="000000"/>
          <w:spacing w:val="0"/>
          <w:w w:val="100"/>
          <w:position w:val="0"/>
        </w:rPr>
        <w:t>11,900,111.05</w:t>
      </w:r>
      <w:r>
        <w:rPr>
          <w:color w:val="000000"/>
          <w:spacing w:val="0"/>
          <w:w w:val="100"/>
          <w:position w:val="0"/>
        </w:rPr>
        <w:t>元。</w:t>
      </w:r>
    </w:p>
    <w:p>
      <w:pPr>
        <w:pStyle w:val="Style38"/>
        <w:keepNext/>
        <w:keepLines/>
        <w:widowControl w:val="0"/>
        <w:shd w:val="clear" w:color="auto" w:fill="auto"/>
        <w:bidi w:val="0"/>
        <w:spacing w:before="0" w:after="26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40"/>
      <w:bookmarkEnd w:id="1041"/>
      <w:bookmarkEnd w:id="1043"/>
    </w:p>
    <w:p>
      <w:pPr>
        <w:pStyle w:val="Style24"/>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口适用”不适用</w:t>
      </w:r>
    </w:p>
    <w:p>
      <w:pPr>
        <w:pStyle w:val="Style33"/>
        <w:keepNext/>
        <w:keepLines/>
        <w:widowControl w:val="0"/>
        <w:shd w:val="clear" w:color="auto" w:fill="auto"/>
        <w:bidi w:val="0"/>
        <w:spacing w:before="0" w:after="340" w:line="240" w:lineRule="auto"/>
        <w:ind w:left="0" w:right="0" w:firstLine="0"/>
        <w:jc w:val="both"/>
      </w:pPr>
      <w:bookmarkStart w:id="1044" w:name="bookmark1044"/>
      <w:bookmarkStart w:id="1045" w:name="bookmark1045"/>
      <w:bookmarkStart w:id="1046" w:name="bookmark1046"/>
      <w:r>
        <w:rPr>
          <w:color w:val="000000"/>
          <w:spacing w:val="0"/>
          <w:w w:val="100"/>
          <w:position w:val="0"/>
        </w:rPr>
        <w:t>其他</w:t>
      </w:r>
      <w:bookmarkEnd w:id="1044"/>
      <w:bookmarkEnd w:id="1045"/>
      <w:bookmarkEnd w:id="1046"/>
    </w:p>
    <w:p>
      <w:pPr>
        <w:pStyle w:val="Style28"/>
        <w:keepNext/>
        <w:keepLines/>
        <w:widowControl w:val="0"/>
        <w:shd w:val="clear" w:color="auto" w:fill="auto"/>
        <w:bidi w:val="0"/>
        <w:spacing w:before="0" w:after="300" w:line="240" w:lineRule="auto"/>
        <w:ind w:left="0" w:right="0" w:firstLine="0"/>
        <w:jc w:val="both"/>
      </w:pPr>
      <w:bookmarkStart w:id="1047" w:name="bookmark1047"/>
      <w:bookmarkStart w:id="1048" w:name="bookmark1048"/>
      <w:bookmarkStart w:id="1049" w:name="bookmark1049"/>
      <w:bookmarkStart w:id="1050" w:name="bookmark1050"/>
      <w:r>
        <w:rPr>
          <w:color w:val="000000"/>
          <w:spacing w:val="0"/>
          <w:w w:val="100"/>
          <w:position w:val="0"/>
          <w:sz w:val="24"/>
          <w:szCs w:val="24"/>
        </w:rPr>
        <w:t>六</w:t>
      </w:r>
      <w:bookmarkEnd w:id="1049"/>
      <w:r>
        <w:rPr>
          <w:color w:val="000000"/>
          <w:spacing w:val="0"/>
          <w:w w:val="100"/>
          <w:position w:val="0"/>
          <w:sz w:val="24"/>
          <w:szCs w:val="24"/>
        </w:rPr>
        <w:t>、税项</w:t>
      </w:r>
      <w:bookmarkEnd w:id="1047"/>
      <w:bookmarkEnd w:id="1048"/>
      <w:bookmarkEnd w:id="1050"/>
    </w:p>
    <w:p>
      <w:pPr>
        <w:pStyle w:val="Style33"/>
        <w:keepNext/>
        <w:keepLines/>
        <w:widowControl w:val="0"/>
        <w:shd w:val="clear" w:color="auto" w:fill="auto"/>
        <w:bidi w:val="0"/>
        <w:spacing w:before="0" w:after="300" w:line="240" w:lineRule="auto"/>
        <w:ind w:left="0" w:right="0" w:firstLine="0"/>
        <w:jc w:val="both"/>
      </w:pPr>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51"/>
      <w:bookmarkEnd w:id="1052"/>
      <w:bookmarkEnd w:id="1053"/>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应评税利润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深圳前海乐寻坊区块链科技有限公司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w:t>
            </w:r>
            <w:r>
              <w:rPr>
                <w:rFonts w:ascii="Times New Roman" w:eastAsia="Times New Roman" w:hAnsi="Times New Roman" w:cs="Times New Roman"/>
                <w:color w:val="000000"/>
                <w:spacing w:val="0"/>
                <w:w w:val="100"/>
                <w:position w:val="0"/>
              </w:rPr>
              <w:t>（</w:t>
            </w:r>
            <w:r>
              <w:rPr>
                <w:color w:val="000000"/>
                <w:spacing w:val="0"/>
                <w:w w:val="100"/>
                <w:position w:val="0"/>
              </w:rPr>
              <w:t>泰国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成都四方融创科技有限公司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北京四方融创科技有限公司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54"/>
      <w:bookmarkEnd w:id="1055"/>
      <w:bookmarkEnd w:id="1056"/>
    </w:p>
    <w:p>
      <w:pPr>
        <w:pStyle w:val="Style24"/>
        <w:keepNext w:val="0"/>
        <w:keepLines w:val="0"/>
        <w:widowControl w:val="0"/>
        <w:shd w:val="clear" w:color="auto" w:fill="auto"/>
        <w:bidi w:val="0"/>
        <w:spacing w:before="0" w:after="72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日取得深圳市科技创新委员会、深圳市财政委员会、国家税务总局深圳市税务局联合颁发的编 号为</w:t>
      </w:r>
      <w:r>
        <w:rPr>
          <w:rFonts w:ascii="Times New Roman" w:eastAsia="Times New Roman" w:hAnsi="Times New Roman" w:cs="Times New Roman"/>
          <w:color w:val="000000"/>
          <w:spacing w:val="0"/>
          <w:w w:val="100"/>
          <w:position w:val="0"/>
        </w:rPr>
        <w:t>GR202144205869</w:t>
      </w:r>
      <w:r>
        <w:rPr>
          <w:color w:val="000000"/>
          <w:spacing w:val="0"/>
          <w:w w:val="100"/>
          <w:position w:val="0"/>
        </w:rPr>
        <w:t>的《高新技术企业证书》，有效期为三年。根据企业所得税法有关规定，公司</w:t>
      </w:r>
      <w:r>
        <w:rPr>
          <w:rFonts w:ascii="Times New Roman" w:eastAsia="Times New Roman" w:hAnsi="Times New Roman" w:cs="Times New Roman"/>
          <w:color w:val="000000"/>
          <w:spacing w:val="0"/>
          <w:w w:val="100"/>
          <w:position w:val="0"/>
        </w:rPr>
        <w:t>2021-2023</w:t>
      </w:r>
      <w:r>
        <w:rPr>
          <w:color w:val="000000"/>
          <w:spacing w:val="0"/>
          <w:w w:val="100"/>
          <w:position w:val="0"/>
        </w:rPr>
        <w:t>年度享受国 家重点扶持的高新技术企业所得税的优惠政策，企业所得税减按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征收。</w:t>
      </w:r>
    </w:p>
    <w:p>
      <w:pPr>
        <w:pStyle w:val="Style33"/>
        <w:keepNext/>
        <w:keepLines/>
        <w:widowControl w:val="0"/>
        <w:shd w:val="clear" w:color="auto" w:fill="auto"/>
        <w:bidi w:val="0"/>
        <w:spacing w:before="0" w:after="300" w:line="240"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color w:val="000000"/>
          <w:spacing w:val="0"/>
          <w:w w:val="100"/>
          <w:position w:val="0"/>
        </w:rPr>
        <w:t>、其他说明</w:t>
      </w:r>
      <w:bookmarkEnd w:id="1057"/>
      <w:bookmarkEnd w:id="1058"/>
      <w:bookmarkEnd w:id="1060"/>
    </w:p>
    <w:p>
      <w:pPr>
        <w:pStyle w:val="Style24"/>
        <w:keepNext w:val="0"/>
        <w:keepLines w:val="0"/>
        <w:widowControl w:val="0"/>
        <w:shd w:val="clear" w:color="auto" w:fill="auto"/>
        <w:tabs>
          <w:tab w:pos="896" w:val="left"/>
        </w:tabs>
        <w:bidi w:val="0"/>
        <w:spacing w:before="0" w:after="0" w:line="312" w:lineRule="exact"/>
        <w:ind w:left="0" w:right="0" w:firstLine="38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w:t>
        <w:tab/>
        <w:t>根据国家税务总局深圳市税务局《财政部国家税务总局关于全面推开营业税改征增值税试点的通知》财税</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号附件</w:t>
      </w:r>
      <w:r>
        <w:rPr>
          <w:rFonts w:ascii="Times New Roman" w:eastAsia="Times New Roman" w:hAnsi="Times New Roman" w:cs="Times New Roman"/>
          <w:color w:val="000000"/>
          <w:spacing w:val="0"/>
          <w:w w:val="100"/>
          <w:position w:val="0"/>
        </w:rPr>
        <w:t>3</w:t>
      </w:r>
      <w:r>
        <w:rPr>
          <w:color w:val="000000"/>
          <w:spacing w:val="0"/>
          <w:w w:val="100"/>
          <w:position w:val="0"/>
        </w:rPr>
        <w:t>第一条第（二十六）款对公司技术转让、技术开发业务取得的收入，如实申报可享受免征增值税。</w:t>
      </w:r>
    </w:p>
    <w:p>
      <w:pPr>
        <w:pStyle w:val="Style24"/>
        <w:keepNext w:val="0"/>
        <w:keepLines w:val="0"/>
        <w:widowControl w:val="0"/>
        <w:shd w:val="clear" w:color="auto" w:fill="auto"/>
        <w:tabs>
          <w:tab w:pos="896" w:val="left"/>
        </w:tabs>
        <w:bidi w:val="0"/>
        <w:spacing w:before="0" w:after="0" w:line="312" w:lineRule="exact"/>
        <w:ind w:left="0" w:right="0" w:firstLine="38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根据香港新修订的税务条例，对于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日之后开始的课税年度，首</w:t>
      </w:r>
      <w:r>
        <w:rPr>
          <w:rFonts w:ascii="Times New Roman" w:eastAsia="Times New Roman" w:hAnsi="Times New Roman" w:cs="Times New Roman"/>
          <w:color w:val="000000"/>
          <w:spacing w:val="0"/>
          <w:w w:val="100"/>
          <w:position w:val="0"/>
        </w:rPr>
        <w:t>200</w:t>
      </w:r>
      <w:r>
        <w:rPr>
          <w:color w:val="000000"/>
          <w:spacing w:val="0"/>
          <w:w w:val="100"/>
          <w:position w:val="0"/>
        </w:rPr>
        <w:t>万利润利得税税率为</w:t>
      </w:r>
      <w:r>
        <w:rPr>
          <w:rFonts w:ascii="Times New Roman" w:eastAsia="Times New Roman" w:hAnsi="Times New Roman" w:cs="Times New Roman"/>
          <w:color w:val="000000"/>
          <w:spacing w:val="0"/>
          <w:w w:val="100"/>
          <w:position w:val="0"/>
        </w:rPr>
        <w:t>8.25%</w:t>
      </w:r>
      <w:r>
        <w:rPr>
          <w:color w:val="000000"/>
          <w:spacing w:val="0"/>
          <w:w w:val="100"/>
          <w:position w:val="0"/>
        </w:rPr>
        <w:t>，超 过</w:t>
      </w:r>
      <w:r>
        <w:rPr>
          <w:rFonts w:ascii="Times New Roman" w:eastAsia="Times New Roman" w:hAnsi="Times New Roman" w:cs="Times New Roman"/>
          <w:color w:val="000000"/>
          <w:spacing w:val="0"/>
          <w:w w:val="100"/>
          <w:position w:val="0"/>
        </w:rPr>
        <w:t>200</w:t>
      </w:r>
      <w:r>
        <w:rPr>
          <w:color w:val="000000"/>
          <w:spacing w:val="0"/>
          <w:w w:val="100"/>
          <w:position w:val="0"/>
        </w:rPr>
        <w:t>万部分利润按照</w:t>
      </w:r>
      <w:r>
        <w:rPr>
          <w:rFonts w:ascii="Times New Roman" w:eastAsia="Times New Roman" w:hAnsi="Times New Roman" w:cs="Times New Roman"/>
          <w:color w:val="000000"/>
          <w:spacing w:val="0"/>
          <w:w w:val="100"/>
          <w:position w:val="0"/>
        </w:rPr>
        <w:t>16.5%</w:t>
      </w:r>
      <w:r>
        <w:rPr>
          <w:color w:val="000000"/>
          <w:spacing w:val="0"/>
          <w:w w:val="100"/>
          <w:position w:val="0"/>
        </w:rPr>
        <w:t>征税。公司之子公司四方资讯及四方信息适用该利得税条例。</w:t>
      </w:r>
    </w:p>
    <w:p>
      <w:pPr>
        <w:pStyle w:val="Style24"/>
        <w:keepNext w:val="0"/>
        <w:keepLines w:val="0"/>
        <w:widowControl w:val="0"/>
        <w:shd w:val="clear" w:color="auto" w:fill="auto"/>
        <w:tabs>
          <w:tab w:pos="906" w:val="left"/>
        </w:tabs>
        <w:bidi w:val="0"/>
        <w:spacing w:before="0" w:after="300" w:line="312" w:lineRule="exact"/>
        <w:ind w:left="0" w:right="0" w:firstLine="38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w:t>
        <w:tab/>
        <w:t>子公司乐寻坊、成都四方融创、北京四方融创依据《关于实施小微企业普惠性税收减免政策的通知》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 xml:space="preserve">[2019]13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的相关规定，符合小微企业认定条件，对其年应纳税所得额不超过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12.5%</w:t>
      </w:r>
      <w:r>
        <w:rPr>
          <w:color w:val="000000"/>
          <w:spacing w:val="0"/>
          <w:w w:val="100"/>
          <w:position w:val="0"/>
        </w:rPr>
        <w:t xml:space="preserve">计入应纳税所得额，按 </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的税率缴纳企业所得税，对其年应纳税所得额超过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 xml:space="preserve">计入应纳税所得额，按 </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r>
        <w:br w:type="page"/>
      </w:r>
    </w:p>
    <w:p>
      <w:pPr>
        <w:pStyle w:val="Style28"/>
        <w:keepNext/>
        <w:keepLines/>
        <w:widowControl w:val="0"/>
        <w:shd w:val="clear" w:color="auto" w:fill="auto"/>
        <w:bidi w:val="0"/>
        <w:spacing w:before="0" w:after="34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sz w:val="24"/>
          <w:szCs w:val="24"/>
        </w:rPr>
        <w:t>七</w:t>
      </w:r>
      <w:bookmarkEnd w:id="1066"/>
      <w:r>
        <w:rPr>
          <w:color w:val="000000"/>
          <w:spacing w:val="0"/>
          <w:w w:val="100"/>
          <w:position w:val="0"/>
          <w:sz w:val="24"/>
          <w:szCs w:val="24"/>
        </w:rPr>
        <w:t>、合并财务报表项目注释</w:t>
      </w:r>
      <w:bookmarkEnd w:id="1064"/>
      <w:bookmarkEnd w:id="1065"/>
      <w:bookmarkEnd w:id="1067"/>
    </w:p>
    <w:p>
      <w:pPr>
        <w:pStyle w:val="Style33"/>
        <w:keepNext/>
        <w:keepLines/>
        <w:widowControl w:val="0"/>
        <w:shd w:val="clear" w:color="auto" w:fill="auto"/>
        <w:bidi w:val="0"/>
        <w:spacing w:before="0" w:after="340" w:line="240" w:lineRule="auto"/>
        <w:ind w:left="0" w:right="0" w:firstLine="0"/>
        <w:jc w:val="left"/>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8"/>
      <w:bookmarkEnd w:id="1069"/>
      <w:bookmarkEnd w:id="10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468,050,960.33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483,121,676.89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7,016,631.78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475,079,214.38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485,160,678.74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235,619,529.50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196,734,124.96</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因抵押、质押或冻结等对使用有限制，以及放在境外且资金汇回受到限制的货币资金明细如下:</w:t>
      </w:r>
    </w:p>
    <w:tbl>
      <w:tblPr>
        <w:tblOverlap w:val="never"/>
        <w:jc w:val="center"/>
        <w:tblLayout w:type="fixed"/>
      </w:tblPr>
      <w:tblGrid>
        <w:gridCol w:w="4397"/>
        <w:gridCol w:w="2429"/>
        <w:gridCol w:w="243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7, 002, </w:t>
            </w:r>
            <w:r>
              <w:rPr>
                <w:color w:val="000000"/>
                <w:spacing w:val="0"/>
                <w:w w:val="100"/>
                <w:position w:val="0"/>
              </w:rPr>
              <w:t>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2,000,000.00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909,319.21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32,912, </w:t>
            </w:r>
            <w:r>
              <w:rPr>
                <w:color w:val="000000"/>
                <w:spacing w:val="0"/>
                <w:w w:val="100"/>
                <w:position w:val="0"/>
              </w:rPr>
              <w:t>290.21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2,000,000.00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071"/>
      <w:bookmarkEnd w:id="1072"/>
      <w:bookmarkEnd w:id="1073"/>
    </w:p>
    <w:p>
      <w:pPr>
        <w:pStyle w:val="Style38"/>
        <w:keepNext/>
        <w:keepLines/>
        <w:widowControl w:val="0"/>
        <w:shd w:val="clear" w:color="auto" w:fill="auto"/>
        <w:bidi w:val="0"/>
        <w:spacing w:before="0" w:after="34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4"/>
      <w:bookmarkEnd w:id="1075"/>
      <w:bookmarkEnd w:id="107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1,314,8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236,73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8,211.6</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5,605,2</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231,13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2,978.9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215,74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3,931.7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6,127,8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209,616, 066.11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140,27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3,371.1</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59.25</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3,675,9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136,59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7,435.2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130,83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8,211.7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4,429,7</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126,408,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460.48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83,207,6</w:t>
            </w:r>
          </w:p>
        </w:tc>
      </w:tr>
    </w:tbl>
    <w:p>
      <w:pPr>
        <w:sectPr>
          <w:footnotePr>
            <w:pos w:val="pageBottom"/>
            <w:numFmt w:val="decimal"/>
            <w:numRestart w:val="continuous"/>
          </w:footnotePr>
          <w:pgSz w:w="11900" w:h="16840"/>
          <w:pgMar w:top="1212" w:right="1011" w:bottom="1440" w:left="1029" w:header="0" w:footer="3" w:gutter="0"/>
          <w:cols w:space="720"/>
          <w:noEndnote/>
          <w:rtlGutter w:val="0"/>
          <w:docGrid w:linePitch="360"/>
        </w:sectPr>
      </w:pPr>
    </w:p>
    <w:p>
      <w:pPr>
        <w:widowControl w:val="0"/>
        <w:spacing w:after="479" w:line="1" w:lineRule="exact"/>
      </w:pP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05.63</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236,73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8,211.6</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5,605,2</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2,978.9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217,05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8,771.7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7,442,7</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209,616, 066.11</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按组合计提坏账准备：国内客户</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130,369,379.63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1,825,174.37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8,732,186.48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912,513.49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386,811.89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153,254.87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784,993.19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784,993.19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140,273,371.19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3,675,935.92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按组合计提坏账准备：国外客户</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95,933,641.26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1,918,672.83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531,199.19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96,464,840.45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1,929,296.81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226,303,020.89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9,263,385.67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386,811.89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784,993.19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236,738,211.64</w:t>
            </w:r>
          </w:p>
        </w:tc>
      </w:tr>
    </w:tbl>
    <w:p>
      <w:pPr>
        <w:widowControl w:val="0"/>
        <w:spacing w:after="299" w:line="1" w:lineRule="exact"/>
      </w:pPr>
    </w:p>
    <w:p>
      <w:pPr>
        <w:pStyle w:val="Style38"/>
        <w:keepNext/>
        <w:keepLines/>
        <w:widowControl w:val="0"/>
        <w:numPr>
          <w:ilvl w:val="0"/>
          <w:numId w:val="81"/>
        </w:numPr>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本期计提、收回或转回的坏账准备情况</w:t>
      </w:r>
      <w:bookmarkEnd w:id="1078"/>
      <w:bookmarkEnd w:id="1079"/>
      <w:bookmarkEnd w:id="1081"/>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1,314,840.00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1,314,840.00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4,429,751.28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753,815.36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3,675,935.92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1,698,114.40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231,182.41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1,929,296.81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7,442,705.68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231,182.41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2,068,655.36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5,605,232.73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1,314,840.00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1,314,840.00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82"/>
      <w:bookmarkEnd w:id="1083"/>
      <w:bookmarkEnd w:id="108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本报告期无实际核销的应收账款。</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86"/>
      <w:bookmarkEnd w:id="1087"/>
      <w:bookmarkEnd w:id="108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121,758,390.80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2,236,294.55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71,673,106.05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1,433,462.12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7,976,825.62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159,536.51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4,564,385.02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91,287.70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3,628,508.80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72,570.18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209,601,216.29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88.54%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90"/>
      <w:bookmarkEnd w:id="1091"/>
      <w:bookmarkEnd w:id="1093"/>
    </w:p>
    <w:p>
      <w:pPr>
        <w:pStyle w:val="Style24"/>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本报告期无因金融资产转移而终止确认的应收账款</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94"/>
      <w:bookmarkEnd w:id="1095"/>
      <w:bookmarkEnd w:id="109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本报告期无转移应收账款且继续涉入形成的资产、负债金额</w:t>
      </w:r>
      <w:r>
        <w:br w:type="page"/>
      </w:r>
    </w:p>
    <w:p>
      <w:pPr>
        <w:pStyle w:val="Style33"/>
        <w:keepNext/>
        <w:keepLines/>
        <w:widowControl w:val="0"/>
        <w:shd w:val="clear" w:color="auto" w:fill="auto"/>
        <w:bidi w:val="0"/>
        <w:spacing w:before="0" w:after="34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color w:val="000000"/>
          <w:spacing w:val="0"/>
          <w:w w:val="100"/>
          <w:position w:val="0"/>
        </w:rPr>
        <w:t>、预付款项</w:t>
      </w:r>
      <w:bookmarkEnd w:id="1098"/>
      <w:bookmarkEnd w:id="1099"/>
      <w:bookmarkEnd w:id="1101"/>
    </w:p>
    <w:p>
      <w:pPr>
        <w:pStyle w:val="Style38"/>
        <w:keepNext/>
        <w:keepLines/>
        <w:widowControl w:val="0"/>
        <w:shd w:val="clear" w:color="auto" w:fill="auto"/>
        <w:bidi w:val="0"/>
        <w:spacing w:before="0" w:after="34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2"/>
      <w:bookmarkEnd w:id="1103"/>
      <w:bookmarkEnd w:id="11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2,848,921.12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2,806,805.53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2,892,610.44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2,850,494.85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340" w:line="360" w:lineRule="exact"/>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公司期末无账龄超过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年的重要预付账款</w:t>
      </w:r>
    </w:p>
    <w:p>
      <w:pPr>
        <w:pStyle w:val="Style38"/>
        <w:keepNext/>
        <w:keepLines/>
        <w:widowControl w:val="0"/>
        <w:shd w:val="clear" w:color="auto" w:fill="auto"/>
        <w:bidi w:val="0"/>
        <w:spacing w:before="0" w:after="34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6"/>
      <w:bookmarkEnd w:id="1107"/>
      <w:bookmarkEnd w:id="1109"/>
    </w:p>
    <w:tbl>
      <w:tblPr>
        <w:tblOverlap w:val="never"/>
        <w:jc w:val="center"/>
        <w:tblLayout w:type="fixed"/>
      </w:tblPr>
      <w:tblGrid>
        <w:gridCol w:w="3590"/>
        <w:gridCol w:w="2419"/>
        <w:gridCol w:w="325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占预付账款期末余额合计数的比例（％）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197, </w:t>
            </w:r>
            <w:r>
              <w:rPr>
                <w:color w:val="000000"/>
                <w:spacing w:val="0"/>
                <w:w w:val="100"/>
                <w:position w:val="0"/>
              </w:rPr>
              <w:t xml:space="preserve">820.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rPr>
              <w:t xml:space="preserve">6. </w:t>
            </w:r>
            <w:r>
              <w:rPr>
                <w:color w:val="000000"/>
                <w:spacing w:val="0"/>
                <w:w w:val="100"/>
                <w:position w:val="0"/>
              </w:rPr>
              <w:t>84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158,715.07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rPr>
              <w:t>5.49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124, </w:t>
            </w:r>
            <w:r>
              <w:rPr>
                <w:color w:val="000000"/>
                <w:spacing w:val="0"/>
                <w:w w:val="100"/>
                <w:position w:val="0"/>
              </w:rPr>
              <w:t xml:space="preserve">479.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rPr>
              <w:t>4.30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108, </w:t>
            </w:r>
            <w:r>
              <w:rPr>
                <w:color w:val="000000"/>
                <w:spacing w:val="0"/>
                <w:w w:val="100"/>
                <w:position w:val="0"/>
              </w:rPr>
              <w:t xml:space="preserve">372.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rPr>
              <w:t>3.75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2, 089, </w:t>
            </w:r>
            <w:r>
              <w:rPr>
                <w:color w:val="000000"/>
                <w:spacing w:val="0"/>
                <w:w w:val="100"/>
                <w:position w:val="0"/>
              </w:rPr>
              <w:t xml:space="preserve">387.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72.24</w:t>
            </w:r>
          </w:p>
        </w:tc>
      </w:tr>
    </w:tbl>
    <w:p>
      <w:pPr>
        <w:widowControl w:val="0"/>
        <w:spacing w:after="619" w:line="1" w:lineRule="exact"/>
      </w:pPr>
    </w:p>
    <w:p>
      <w:pPr>
        <w:pStyle w:val="Style33"/>
        <w:keepNext/>
        <w:keepLines/>
        <w:widowControl w:val="0"/>
        <w:shd w:val="clear" w:color="auto" w:fill="auto"/>
        <w:bidi w:val="0"/>
        <w:spacing w:before="0" w:after="34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4</w:t>
      </w:r>
      <w:bookmarkEnd w:id="1112"/>
      <w:r>
        <w:rPr>
          <w:color w:val="000000"/>
          <w:spacing w:val="0"/>
          <w:w w:val="100"/>
          <w:position w:val="0"/>
        </w:rPr>
        <w:t>、其他应收款</w:t>
      </w:r>
      <w:bookmarkEnd w:id="1110"/>
      <w:bookmarkEnd w:id="1111"/>
      <w:bookmarkEnd w:id="11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16,755,705.49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10,638,484.17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16,755,705.49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10,638,484.17</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14"/>
      <w:bookmarkEnd w:id="1115"/>
      <w:bookmarkEnd w:id="1117"/>
    </w:p>
    <w:p>
      <w:pPr>
        <w:pStyle w:val="Style64"/>
        <w:keepNext/>
        <w:keepLines/>
        <w:widowControl w:val="0"/>
        <w:shd w:val="clear" w:color="auto" w:fill="auto"/>
        <w:bidi w:val="0"/>
        <w:spacing w:before="0" w:after="34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color w:val="000000"/>
          <w:spacing w:val="0"/>
          <w:w w:val="100"/>
          <w:position w:val="0"/>
        </w:rPr>
        <w:t>）其他应收款按款项性质分类情况</w:t>
      </w:r>
      <w:bookmarkEnd w:id="1118"/>
      <w:bookmarkEnd w:id="1119"/>
      <w:bookmarkEnd w:id="1121"/>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6,520,733.82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10,638,484.17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10,404,221.22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16,924,955.04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10,638,484.17</w:t>
            </w:r>
          </w:p>
        </w:tc>
      </w:tr>
    </w:tbl>
    <w:p>
      <w:pPr>
        <w:widowControl w:val="0"/>
        <w:spacing w:after="299" w:line="1" w:lineRule="exact"/>
      </w:pPr>
    </w:p>
    <w:p>
      <w:pPr>
        <w:pStyle w:val="Style64"/>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color w:val="000000"/>
          <w:spacing w:val="0"/>
          <w:w w:val="100"/>
          <w:position w:val="0"/>
        </w:rPr>
        <w:t>）坏账准备计提情况</w:t>
      </w:r>
      <w:bookmarkEnd w:id="1122"/>
      <w:bookmarkEnd w:id="1123"/>
      <w:bookmarkEnd w:id="11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107,459.44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107,459.44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61,790.11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61,790.11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169,249.55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169,249.55</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24"/>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16,924,955.04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16,924,955.04</w:t>
            </w:r>
          </w:p>
        </w:tc>
      </w:tr>
    </w:tbl>
    <w:p>
      <w:pPr>
        <w:widowControl w:val="0"/>
        <w:spacing w:after="299" w:line="1" w:lineRule="exact"/>
      </w:pPr>
    </w:p>
    <w:p>
      <w:pPr>
        <w:pStyle w:val="Style64"/>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color w:val="000000"/>
          <w:spacing w:val="0"/>
          <w:w w:val="100"/>
          <w:position w:val="0"/>
        </w:rPr>
        <w:t>）本期计提、收回或转回的坏账准备情况</w:t>
      </w:r>
      <w:bookmarkEnd w:id="1126"/>
      <w:bookmarkEnd w:id="1127"/>
      <w:bookmarkEnd w:id="1129"/>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本期计提坏账准备情况：</w:t>
      </w:r>
      <w:r>
        <w:br w:type="page"/>
      </w:r>
    </w:p>
    <w:tbl>
      <w:tblPr>
        <w:tblOverlap w:val="never"/>
        <w:jc w:val="center"/>
        <w:tblLayout w:type="fixed"/>
      </w:tblPr>
      <w:tblGrid>
        <w:gridCol w:w="1421"/>
        <w:gridCol w:w="1099"/>
        <w:gridCol w:w="1339"/>
        <w:gridCol w:w="1330"/>
        <w:gridCol w:w="1334"/>
        <w:gridCol w:w="1325"/>
        <w:gridCol w:w="172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押金、保证金及 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107,459.44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42,252.11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104,042.22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104,042.22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107,459.44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104,042.22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42,252.11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169,249.55</w:t>
            </w:r>
          </w:p>
        </w:tc>
      </w:tr>
    </w:tbl>
    <w:p>
      <w:pPr>
        <w:widowControl w:val="0"/>
        <w:spacing w:after="299" w:line="1" w:lineRule="exact"/>
      </w:pPr>
    </w:p>
    <w:p>
      <w:pPr>
        <w:pStyle w:val="Style64"/>
        <w:keepNext/>
        <w:keepLines/>
        <w:widowControl w:val="0"/>
        <w:shd w:val="clear" w:color="auto" w:fill="auto"/>
        <w:tabs>
          <w:tab w:pos="397" w:val="left"/>
        </w:tabs>
        <w:bidi w:val="0"/>
        <w:spacing w:before="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4</w:t>
      </w:r>
      <w:bookmarkEnd w:id="1132"/>
      <w:r>
        <w:rPr>
          <w:color w:val="000000"/>
          <w:spacing w:val="0"/>
          <w:w w:val="100"/>
          <w:position w:val="0"/>
        </w:rPr>
        <w:t>）</w:t>
        <w:tab/>
        <w:t>本期实际核销的其他应收款情况</w:t>
      </w:r>
      <w:bookmarkEnd w:id="1130"/>
      <w:bookmarkEnd w:id="1131"/>
      <w:bookmarkEnd w:id="1133"/>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报告期内无需要核销的其他应收款。</w:t>
      </w:r>
    </w:p>
    <w:p>
      <w:pPr>
        <w:pStyle w:val="Style64"/>
        <w:keepNext/>
        <w:keepLines/>
        <w:widowControl w:val="0"/>
        <w:shd w:val="clear" w:color="auto" w:fill="auto"/>
        <w:tabs>
          <w:tab w:pos="397"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5</w:t>
      </w:r>
      <w:bookmarkEnd w:id="1136"/>
      <w:r>
        <w:rPr>
          <w:color w:val="000000"/>
          <w:spacing w:val="0"/>
          <w:w w:val="100"/>
          <w:position w:val="0"/>
        </w:rPr>
        <w:t>）</w:t>
        <w:tab/>
        <w:t>按欠款方归集的期末余额前五名的其他应收款情况</w:t>
      </w:r>
      <w:bookmarkEnd w:id="1134"/>
      <w:bookmarkEnd w:id="1135"/>
      <w:bookmarkEnd w:id="11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10,404,221.22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104,042.22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2,562,080.00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717,343.40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7,173.43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479,314.73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4,793.15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373,162.50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3,731.63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14,536,121.85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145,361.23</w:t>
            </w:r>
          </w:p>
        </w:tc>
      </w:tr>
    </w:tbl>
    <w:p>
      <w:pPr>
        <w:widowControl w:val="0"/>
        <w:spacing w:after="299" w:line="1" w:lineRule="exact"/>
      </w:pPr>
    </w:p>
    <w:p>
      <w:pPr>
        <w:pStyle w:val="Style64"/>
        <w:keepNext/>
        <w:keepLines/>
        <w:widowControl w:val="0"/>
        <w:shd w:val="clear" w:color="auto" w:fill="auto"/>
        <w:tabs>
          <w:tab w:pos="397" w:val="left"/>
        </w:tabs>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6</w:t>
      </w:r>
      <w:bookmarkEnd w:id="1140"/>
      <w:r>
        <w:rPr>
          <w:color w:val="000000"/>
          <w:spacing w:val="0"/>
          <w:w w:val="100"/>
          <w:position w:val="0"/>
        </w:rPr>
        <w:t>）</w:t>
        <w:tab/>
        <w:t>涉及政府补助的应收款项</w:t>
      </w:r>
      <w:bookmarkEnd w:id="1138"/>
      <w:bookmarkEnd w:id="1139"/>
      <w:bookmarkEnd w:id="114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报告期内公司无涉及政府补助的应收款项。</w:t>
      </w:r>
    </w:p>
    <w:p>
      <w:pPr>
        <w:pStyle w:val="Style64"/>
        <w:keepNext/>
        <w:keepLines/>
        <w:widowControl w:val="0"/>
        <w:shd w:val="clear" w:color="auto" w:fill="auto"/>
        <w:tabs>
          <w:tab w:pos="397" w:val="left"/>
        </w:tabs>
        <w:bidi w:val="0"/>
        <w:spacing w:before="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7</w:t>
      </w:r>
      <w:bookmarkEnd w:id="1144"/>
      <w:r>
        <w:rPr>
          <w:color w:val="000000"/>
          <w:spacing w:val="0"/>
          <w:w w:val="100"/>
          <w:position w:val="0"/>
        </w:rPr>
        <w:t>）</w:t>
        <w:tab/>
        <w:t>因金融资产转移而终止确认的其他应收款</w:t>
      </w:r>
      <w:bookmarkEnd w:id="1142"/>
      <w:bookmarkEnd w:id="1143"/>
      <w:bookmarkEnd w:id="114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报告期内公司无因金融资产转移而终止确认的其他应收款。</w:t>
      </w:r>
    </w:p>
    <w:p>
      <w:pPr>
        <w:pStyle w:val="Style64"/>
        <w:keepNext/>
        <w:keepLines/>
        <w:widowControl w:val="0"/>
        <w:shd w:val="clear" w:color="auto" w:fill="auto"/>
        <w:tabs>
          <w:tab w:pos="397" w:val="left"/>
        </w:tabs>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8</w:t>
      </w:r>
      <w:bookmarkEnd w:id="1148"/>
      <w:r>
        <w:rPr>
          <w:color w:val="000000"/>
          <w:spacing w:val="0"/>
          <w:w w:val="100"/>
          <w:position w:val="0"/>
        </w:rPr>
        <w:t>）</w:t>
        <w:tab/>
        <w:t>转移其他应收款且继续涉入形成的资产、负债金额</w:t>
      </w:r>
      <w:bookmarkEnd w:id="1146"/>
      <w:bookmarkEnd w:id="1147"/>
      <w:bookmarkEnd w:id="114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报告期内公司无转移其他应收款且继续涉入形成的资产、负债。</w:t>
      </w:r>
      <w:r>
        <w:br w:type="page"/>
      </w:r>
    </w:p>
    <w:p>
      <w:pPr>
        <w:pStyle w:val="Style33"/>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5</w:t>
      </w:r>
      <w:bookmarkEnd w:id="1152"/>
      <w:r>
        <w:rPr>
          <w:color w:val="000000"/>
          <w:spacing w:val="0"/>
          <w:w w:val="100"/>
          <w:position w:val="0"/>
        </w:rPr>
        <w:t>、存货</w:t>
      </w:r>
      <w:bookmarkEnd w:id="1150"/>
      <w:bookmarkEnd w:id="1151"/>
      <w:bookmarkEnd w:id="1153"/>
    </w:p>
    <w:p>
      <w:pPr>
        <w:pStyle w:val="Style38"/>
        <w:keepNext/>
        <w:keepLines/>
        <w:widowControl w:val="0"/>
        <w:shd w:val="clear" w:color="auto" w:fill="auto"/>
        <w:bidi w:val="0"/>
        <w:spacing w:before="0" w:after="340" w:line="240" w:lineRule="auto"/>
        <w:ind w:left="0" w:right="0" w:firstLine="0"/>
        <w:jc w:val="left"/>
      </w:pPr>
      <w:bookmarkStart w:id="1154" w:name="bookmark1154"/>
      <w:bookmarkStart w:id="1155" w:name="bookmark1155"/>
      <w:bookmarkStart w:id="1156" w:name="bookmark1156"/>
      <w:r>
        <w:rPr>
          <w:color w:val="000000"/>
          <w:spacing w:val="0"/>
          <w:w w:val="100"/>
          <w:position w:val="0"/>
        </w:rPr>
        <w:t>存货分类</w:t>
      </w:r>
      <w:bookmarkEnd w:id="1154"/>
      <w:bookmarkEnd w:id="1155"/>
      <w:bookmarkEnd w:id="1156"/>
    </w:p>
    <w:p>
      <w:pPr>
        <w:pStyle w:val="Style38"/>
        <w:keepNext/>
        <w:keepLines/>
        <w:widowControl w:val="0"/>
        <w:shd w:val="clear" w:color="auto" w:fill="auto"/>
        <w:bidi w:val="0"/>
        <w:spacing w:before="0" w:after="340" w:line="240" w:lineRule="auto"/>
        <w:ind w:left="0" w:right="0" w:firstLine="0"/>
        <w:jc w:val="left"/>
      </w:pPr>
      <w:bookmarkStart w:id="1157" w:name="bookmark1157"/>
      <w:bookmarkStart w:id="1158" w:name="bookmark1158"/>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7"/>
      <w:bookmarkEnd w:id="1158"/>
      <w:bookmarkEnd w:id="11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tcBorders>
              <w:left w:val="single" w:sz="4"/>
            </w:tcBorders>
            <w:shd w:val="clear" w:color="auto" w:fill="D3D3D3"/>
            <w:vAlign w:val="top"/>
          </w:tcPr>
          <w:p>
            <w:pPr>
              <w:pStyle w:val="Style2"/>
              <w:keepNext w:val="0"/>
              <w:keepLines w:val="0"/>
              <w:widowControl w:val="0"/>
              <w:shd w:val="clear" w:color="auto" w:fill="auto"/>
              <w:bidi w:val="0"/>
              <w:spacing w:before="20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106,756,041.85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3,325,484.15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103,430,557.70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58,495,239.05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58,495,239.05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467,822.33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467,822.33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107,223,864.18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3,325,484.15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103,898,380.03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58,495,239.05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58,495,239.05</w:t>
            </w:r>
          </w:p>
        </w:tc>
      </w:tr>
    </w:tbl>
    <w:p>
      <w:pPr>
        <w:widowControl w:val="0"/>
        <w:spacing w:after="59" w:line="1" w:lineRule="exact"/>
      </w:pPr>
    </w:p>
    <w:p>
      <w:pPr>
        <w:pStyle w:val="Style24"/>
        <w:keepNext w:val="0"/>
        <w:keepLines w:val="0"/>
        <w:widowControl w:val="0"/>
        <w:shd w:val="clear" w:color="auto" w:fill="auto"/>
        <w:tabs>
          <w:tab w:pos="440" w:val="left"/>
        </w:tabs>
        <w:bidi w:val="0"/>
        <w:spacing w:before="0" w:after="120" w:line="240" w:lineRule="auto"/>
        <w:ind w:left="0" w:right="0" w:firstLine="0"/>
        <w:jc w:val="left"/>
      </w:pPr>
      <w:bookmarkStart w:id="1160" w:name="bookmark1160"/>
      <w:r>
        <w:rPr>
          <w:color w:val="000000"/>
          <w:spacing w:val="0"/>
          <w:w w:val="100"/>
          <w:position w:val="0"/>
        </w:rPr>
        <w:t>（</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w:t>
        <w:tab/>
        <w:t>报告期期末不存在存货可变现净值低于其账面价值而需计提存货跌价准备的情形。</w:t>
      </w:r>
    </w:p>
    <w:p>
      <w:pPr>
        <w:pStyle w:val="Style24"/>
        <w:keepNext w:val="0"/>
        <w:keepLines w:val="0"/>
        <w:widowControl w:val="0"/>
        <w:shd w:val="clear" w:color="auto" w:fill="auto"/>
        <w:tabs>
          <w:tab w:pos="440" w:val="left"/>
        </w:tabs>
        <w:bidi w:val="0"/>
        <w:spacing w:before="0" w:after="120" w:line="240" w:lineRule="auto"/>
        <w:ind w:left="0" w:right="0" w:firstLine="0"/>
        <w:jc w:val="left"/>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p>
    <w:p>
      <w:pPr>
        <w:pStyle w:val="Style24"/>
        <w:keepNext w:val="0"/>
        <w:keepLines w:val="0"/>
        <w:widowControl w:val="0"/>
        <w:shd w:val="clear" w:color="auto" w:fill="auto"/>
        <w:tabs>
          <w:tab w:pos="440" w:val="left"/>
        </w:tabs>
        <w:bidi w:val="0"/>
        <w:spacing w:before="0" w:after="380" w:line="240" w:lineRule="auto"/>
        <w:ind w:left="0" w:right="0" w:firstLine="0"/>
        <w:jc w:val="left"/>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4）</w:t>
        <w:tab/>
      </w:r>
      <w:r>
        <w:rPr>
          <w:color w:val="000000"/>
          <w:spacing w:val="0"/>
          <w:w w:val="100"/>
          <w:position w:val="0"/>
        </w:rPr>
        <w:t>期末存货无用于债务担保。</w:t>
      </w:r>
    </w:p>
    <w:p>
      <w:pPr>
        <w:pStyle w:val="Style38"/>
        <w:keepNext/>
        <w:keepLines/>
        <w:widowControl w:val="0"/>
        <w:shd w:val="clear" w:color="auto" w:fill="auto"/>
        <w:bidi w:val="0"/>
        <w:spacing w:before="0" w:after="340" w:line="240" w:lineRule="auto"/>
        <w:ind w:left="0" w:right="0" w:firstLine="0"/>
        <w:jc w:val="left"/>
      </w:pPr>
      <w:bookmarkStart w:id="1163" w:name="bookmark1163"/>
      <w:bookmarkStart w:id="1164" w:name="bookmark1164"/>
      <w:bookmarkStart w:id="1165" w:name="bookmark1165"/>
      <w:r>
        <w:rPr>
          <w:color w:val="000000"/>
          <w:spacing w:val="0"/>
          <w:w w:val="100"/>
          <w:position w:val="0"/>
        </w:rPr>
        <w:t>合同履约成本本期摊销金额的说明</w:t>
      </w:r>
      <w:bookmarkEnd w:id="1163"/>
      <w:bookmarkEnd w:id="1164"/>
      <w:bookmarkEnd w:id="1165"/>
    </w:p>
    <w:p>
      <w:pPr>
        <w:pStyle w:val="Style33"/>
        <w:keepNext/>
        <w:keepLines/>
        <w:widowControl w:val="0"/>
        <w:shd w:val="clear" w:color="auto" w:fill="auto"/>
        <w:bidi w:val="0"/>
        <w:spacing w:before="0" w:after="34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6</w:t>
      </w:r>
      <w:bookmarkEnd w:id="1168"/>
      <w:r>
        <w:rPr>
          <w:color w:val="000000"/>
          <w:spacing w:val="0"/>
          <w:w w:val="100"/>
          <w:position w:val="0"/>
        </w:rPr>
        <w:t>、合同资产</w:t>
      </w:r>
      <w:bookmarkEnd w:id="1166"/>
      <w:bookmarkEnd w:id="1167"/>
      <w:bookmarkEnd w:id="11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9,340,199.33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630,872.28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8,709,327.05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9,681,935.87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414,627.98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9,267,307.89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9,340,199.33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630,872.28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8,709,327.05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9,681,935.87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414,627.98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9,267,307.89</w:t>
            </w:r>
          </w:p>
        </w:tc>
      </w:tr>
    </w:tbl>
    <w:p>
      <w:pPr>
        <w:widowControl w:val="0"/>
        <w:spacing w:after="5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合同资产的账面价值在本期内发生的重大变动金额和原因: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216,244.30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216,244.30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24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7</w:t>
      </w:r>
      <w:bookmarkEnd w:id="1172"/>
      <w:r>
        <w:rPr>
          <w:color w:val="000000"/>
          <w:spacing w:val="0"/>
          <w:w w:val="100"/>
          <w:position w:val="0"/>
        </w:rPr>
        <w:t>、其他流动资产</w:t>
      </w:r>
      <w:bookmarkEnd w:id="1170"/>
      <w:bookmarkEnd w:id="1171"/>
      <w:bookmarkEnd w:id="1173"/>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644,266.29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668,927.52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2,018,419.79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674,452.77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2,662,686.08</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8</w:t>
      </w:r>
      <w:bookmarkEnd w:id="1176"/>
      <w:r>
        <w:rPr>
          <w:color w:val="000000"/>
          <w:spacing w:val="0"/>
          <w:w w:val="100"/>
          <w:position w:val="0"/>
        </w:rPr>
        <w:t>、长期股权投资</w:t>
      </w:r>
      <w:bookmarkEnd w:id="1174"/>
      <w:bookmarkEnd w:id="1175"/>
      <w:bookmarkEnd w:id="11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钱方好</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近金融</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28,528,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70,751.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1,805,9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北京优 智汇咨 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16,484, 107.11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291,71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46,747,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44,470,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362,46</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2,639,2</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46,747,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44,470,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362,46</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2,639,2</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9</w:t>
      </w:r>
      <w:bookmarkEnd w:id="1180"/>
      <w:r>
        <w:rPr>
          <w:color w:val="000000"/>
          <w:spacing w:val="0"/>
          <w:w w:val="100"/>
          <w:position w:val="0"/>
        </w:rPr>
        <w:t>、其他权益工具投资</w:t>
      </w:r>
      <w:bookmarkEnd w:id="1178"/>
      <w:bookmarkEnd w:id="1179"/>
      <w:bookmarkEnd w:id="11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40,671,840.65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47,076,310.59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40,671,840.65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47,076,310.59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r>
        <w:br w:type="page"/>
      </w:r>
    </w:p>
    <w:tbl>
      <w:tblPr>
        <w:tblOverlap w:val="never"/>
        <w:jc w:val="center"/>
        <w:tblLayout w:type="fixed"/>
      </w:tblPr>
      <w:tblGrid>
        <w:gridCol w:w="1373"/>
        <w:gridCol w:w="1368"/>
        <w:gridCol w:w="1368"/>
        <w:gridCol w:w="1368"/>
        <w:gridCol w:w="1368"/>
        <w:gridCol w:w="1363"/>
        <w:gridCol w:w="1373"/>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指定为以公允 价值计量且其 变动计入其他 综合收益的原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深圳南山宝生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村镇银行股份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38,894,590.76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格罗斯产业链 服务(深圳)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9,013,133.59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47,907,724.35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注：公司的非上市权益工具投资是公司出于战略目的而计划长期持有的投资，因此公司将其指定为以公允价值计量且其变动 计入其他综合收益的金融资产。</w:t>
      </w:r>
    </w:p>
    <w:p>
      <w:pPr>
        <w:pStyle w:val="Style33"/>
        <w:keepNext/>
        <w:keepLines/>
        <w:widowControl w:val="0"/>
        <w:shd w:val="clear" w:color="auto" w:fill="auto"/>
        <w:tabs>
          <w:tab w:pos="474" w:val="left"/>
        </w:tabs>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182"/>
      <w:bookmarkEnd w:id="1183"/>
      <w:bookmarkEnd w:id="1185"/>
    </w:p>
    <w:p>
      <w:pPr>
        <w:pStyle w:val="Style38"/>
        <w:keepNext/>
        <w:keepLines/>
        <w:widowControl w:val="0"/>
        <w:numPr>
          <w:ilvl w:val="0"/>
          <w:numId w:val="83"/>
        </w:numPr>
        <w:shd w:val="clear" w:color="auto" w:fill="auto"/>
        <w:tabs>
          <w:tab w:pos="493" w:val="left"/>
        </w:tabs>
        <w:bidi w:val="0"/>
        <w:spacing w:before="0" w:after="36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采用成本计量模式的投资性房地产</w:t>
      </w:r>
      <w:bookmarkEnd w:id="1186"/>
      <w:bookmarkEnd w:id="1187"/>
      <w:bookmarkEnd w:id="1189"/>
    </w:p>
    <w:p>
      <w:pPr>
        <w:pStyle w:val="Style24"/>
        <w:keepNext w:val="0"/>
        <w:keepLines w:val="0"/>
        <w:widowControl w:val="0"/>
        <w:shd w:val="clear" w:color="auto" w:fill="auto"/>
        <w:bidi w:val="0"/>
        <w:spacing w:before="0" w:after="360" w:line="240" w:lineRule="auto"/>
        <w:ind w:left="0" w:right="0" w:firstLine="0"/>
        <w:jc w:val="left"/>
      </w:pPr>
      <w:bookmarkStart w:id="1190" w:name="bookmark1190"/>
      <w:r>
        <w:rPr>
          <w:b/>
          <w:bCs/>
          <w:color w:val="000000"/>
          <w:spacing w:val="0"/>
          <w:w w:val="100"/>
          <w:position w:val="0"/>
        </w:rPr>
        <w:t>口适用"不适用</w:t>
      </w:r>
      <w:bookmarkEnd w:id="1190"/>
    </w:p>
    <w:p>
      <w:pPr>
        <w:pStyle w:val="Style38"/>
        <w:keepNext/>
        <w:keepLines/>
        <w:widowControl w:val="0"/>
        <w:numPr>
          <w:ilvl w:val="0"/>
          <w:numId w:val="83"/>
        </w:numPr>
        <w:shd w:val="clear" w:color="auto" w:fill="auto"/>
        <w:tabs>
          <w:tab w:pos="493" w:val="left"/>
        </w:tabs>
        <w:bidi w:val="0"/>
        <w:spacing w:before="0" w:after="30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采用公允价值计量模式的投资性房地产</w:t>
      </w:r>
      <w:bookmarkEnd w:id="1191"/>
      <w:bookmarkEnd w:id="1192"/>
      <w:bookmarkEnd w:id="1194"/>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33"/>
        <w:keepNext/>
        <w:keepLines/>
        <w:widowControl w:val="0"/>
        <w:shd w:val="clear" w:color="auto" w:fill="auto"/>
        <w:tabs>
          <w:tab w:pos="474" w:val="left"/>
        </w:tabs>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195"/>
      <w:bookmarkEnd w:id="1196"/>
      <w:bookmarkEnd w:id="11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350,242,523.80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316,069,007.71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350,242,523.80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316,069,007.71</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9"/>
      <w:bookmarkEnd w:id="1200"/>
      <w:bookmarkEnd w:id="120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299,371,251.37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3,890,786.20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54,429,474.45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4,226,292.37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361,917,804.39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42,638,352.21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1,479,842.78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4,250,308.01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48,387,346.01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30,499,643.91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1,479,842.78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4,250,308.01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18,843.01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36,248,637.71</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12,138,708.30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12,138,708.30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1,023,004.94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311,208.64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1,334,213.58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1,023,004.94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311,208.64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1,334,213.58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342,009,603.58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5,370,628.98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57,656,777.52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3,933,926.74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408,970,936.82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12,173,563.25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821,302.29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29,902,531.57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2,951,399.57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45,848,796.68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6,444,791.55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777,942.04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6,466,097.87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389,957.38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14,078,788.84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6,444,791.55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777,942.04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6,466,097.87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389,957.38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14,078,788.84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919,085.21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280,087.29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1,199,172.50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919,085.21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280,087.29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1,199,172.50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18,618,354.80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1,599,244.33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35,449,544.23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3,061,269.66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58,728,413.02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323,391,248.78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3,771,384.65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22,207,233.29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872,657.08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350,242,523.80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287,197,688.12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3,069,483.91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24,526,942.88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1,274,892.80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316,069,007.71</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202"/>
      <w:bookmarkEnd w:id="1203"/>
      <w:bookmarkEnd w:id="12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30,499,643.91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tabs>
          <w:tab w:pos="440" w:val="left"/>
        </w:tabs>
        <w:bidi w:val="0"/>
        <w:spacing w:before="0" w:after="120" w:line="240" w:lineRule="auto"/>
        <w:ind w:left="0" w:right="0" w:firstLine="0"/>
        <w:jc w:val="left"/>
      </w:pPr>
      <w:bookmarkStart w:id="1205" w:name="bookmark1205"/>
      <w:r>
        <w:rPr>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w:t>
        <w:tab/>
        <w:t>本期计提的折旧额为</w:t>
      </w:r>
      <w:r>
        <w:rPr>
          <w:rFonts w:ascii="Times New Roman" w:eastAsia="Times New Roman" w:hAnsi="Times New Roman" w:cs="Times New Roman"/>
          <w:color w:val="000000"/>
          <w:spacing w:val="0"/>
          <w:w w:val="100"/>
          <w:position w:val="0"/>
        </w:rPr>
        <w:t>14,078,788.84</w:t>
      </w:r>
      <w:r>
        <w:rPr>
          <w:color w:val="000000"/>
          <w:spacing w:val="0"/>
          <w:w w:val="100"/>
          <w:position w:val="0"/>
        </w:rPr>
        <w:t>元。</w:t>
      </w:r>
    </w:p>
    <w:p>
      <w:pPr>
        <w:pStyle w:val="Style24"/>
        <w:keepNext w:val="0"/>
        <w:keepLines w:val="0"/>
        <w:widowControl w:val="0"/>
        <w:shd w:val="clear" w:color="auto" w:fill="auto"/>
        <w:tabs>
          <w:tab w:pos="440" w:val="left"/>
        </w:tabs>
        <w:bidi w:val="0"/>
        <w:spacing w:before="0" w:after="120" w:line="240" w:lineRule="auto"/>
        <w:ind w:left="0" w:right="0" w:firstLine="0"/>
        <w:jc w:val="left"/>
      </w:pPr>
      <w:bookmarkStart w:id="1206" w:name="bookmark1206"/>
      <w:r>
        <w:rPr>
          <w:color w:val="000000"/>
          <w:spacing w:val="0"/>
          <w:w w:val="100"/>
          <w:position w:val="0"/>
        </w:rPr>
        <w:t>（</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w:t>
        <w:tab/>
        <w:t>本期公司无暂时闲置的固定资产情况。</w:t>
      </w:r>
    </w:p>
    <w:p>
      <w:pPr>
        <w:pStyle w:val="Style24"/>
        <w:keepNext w:val="0"/>
        <w:keepLines w:val="0"/>
        <w:widowControl w:val="0"/>
        <w:shd w:val="clear" w:color="auto" w:fill="auto"/>
        <w:tabs>
          <w:tab w:pos="440" w:val="left"/>
        </w:tabs>
        <w:bidi w:val="0"/>
        <w:spacing w:before="0" w:after="120" w:line="240" w:lineRule="auto"/>
        <w:ind w:left="0" w:right="0" w:firstLine="0"/>
        <w:jc w:val="left"/>
      </w:pPr>
      <w:bookmarkStart w:id="1207" w:name="bookmark1207"/>
      <w:r>
        <w:rPr>
          <w:color w:val="000000"/>
          <w:spacing w:val="0"/>
          <w:w w:val="100"/>
          <w:position w:val="0"/>
        </w:rPr>
        <w:t>（</w:t>
      </w:r>
      <w:bookmarkEnd w:id="1207"/>
      <w:r>
        <w:rPr>
          <w:rFonts w:ascii="Times New Roman" w:eastAsia="Times New Roman" w:hAnsi="Times New Roman" w:cs="Times New Roman"/>
          <w:color w:val="000000"/>
          <w:spacing w:val="0"/>
          <w:w w:val="100"/>
          <w:position w:val="0"/>
        </w:rPr>
        <w:t>5</w:t>
      </w:r>
      <w:r>
        <w:rPr>
          <w:color w:val="000000"/>
          <w:spacing w:val="0"/>
          <w:w w:val="100"/>
          <w:position w:val="0"/>
        </w:rPr>
        <w:t>）</w:t>
        <w:tab/>
        <w:t>本期公司无通过融资租赁租入的固定资产情况。</w:t>
      </w:r>
    </w:p>
    <w:p>
      <w:pPr>
        <w:pStyle w:val="Style24"/>
        <w:keepNext w:val="0"/>
        <w:keepLines w:val="0"/>
        <w:widowControl w:val="0"/>
        <w:shd w:val="clear" w:color="auto" w:fill="auto"/>
        <w:tabs>
          <w:tab w:pos="440" w:val="left"/>
        </w:tabs>
        <w:bidi w:val="0"/>
        <w:spacing w:before="0" w:after="120" w:line="240" w:lineRule="auto"/>
        <w:ind w:left="0" w:right="0" w:firstLine="0"/>
        <w:jc w:val="left"/>
      </w:pPr>
      <w:bookmarkStart w:id="1208" w:name="bookmark1208"/>
      <w:r>
        <w:rPr>
          <w:color w:val="000000"/>
          <w:spacing w:val="0"/>
          <w:w w:val="100"/>
          <w:position w:val="0"/>
        </w:rPr>
        <w:t>（</w:t>
      </w:r>
      <w:bookmarkEnd w:id="1208"/>
      <w:r>
        <w:rPr>
          <w:rFonts w:ascii="Times New Roman" w:eastAsia="Times New Roman" w:hAnsi="Times New Roman" w:cs="Times New Roman"/>
          <w:color w:val="000000"/>
          <w:spacing w:val="0"/>
          <w:w w:val="100"/>
          <w:position w:val="0"/>
        </w:rPr>
        <w:t>6</w:t>
      </w:r>
      <w:r>
        <w:rPr>
          <w:color w:val="000000"/>
          <w:spacing w:val="0"/>
          <w:w w:val="100"/>
          <w:position w:val="0"/>
        </w:rPr>
        <w:t>）</w:t>
        <w:tab/>
        <w:t>本期公司无通过经营租赁租出的固定资产。</w:t>
      </w:r>
    </w:p>
    <w:p>
      <w:pPr>
        <w:pStyle w:val="Style24"/>
        <w:keepNext w:val="0"/>
        <w:keepLines w:val="0"/>
        <w:widowControl w:val="0"/>
        <w:shd w:val="clear" w:color="auto" w:fill="auto"/>
        <w:tabs>
          <w:tab w:pos="440" w:val="left"/>
        </w:tabs>
        <w:bidi w:val="0"/>
        <w:spacing w:before="0" w:after="120" w:line="240" w:lineRule="auto"/>
        <w:ind w:left="0" w:right="0" w:firstLine="0"/>
        <w:jc w:val="left"/>
      </w:pPr>
      <w:bookmarkStart w:id="1209" w:name="bookmark1209"/>
      <w:r>
        <w:rPr>
          <w:color w:val="000000"/>
          <w:spacing w:val="0"/>
          <w:w w:val="100"/>
          <w:position w:val="0"/>
        </w:rPr>
        <w:t>（</w:t>
      </w:r>
      <w:bookmarkEnd w:id="1209"/>
      <w:r>
        <w:rPr>
          <w:rFonts w:ascii="Times New Roman" w:eastAsia="Times New Roman" w:hAnsi="Times New Roman" w:cs="Times New Roman"/>
          <w:color w:val="000000"/>
          <w:spacing w:val="0"/>
          <w:w w:val="100"/>
          <w:position w:val="0"/>
        </w:rPr>
        <w:t>7</w:t>
      </w:r>
      <w:r>
        <w:rPr>
          <w:color w:val="000000"/>
          <w:spacing w:val="0"/>
          <w:w w:val="100"/>
          <w:position w:val="0"/>
        </w:rPr>
        <w:t>）</w:t>
        <w:tab/>
        <w:t>本期公司无持有待售的固定资产情况。</w:t>
      </w:r>
    </w:p>
    <w:p>
      <w:pPr>
        <w:pStyle w:val="Style24"/>
        <w:keepNext w:val="0"/>
        <w:keepLines w:val="0"/>
        <w:widowControl w:val="0"/>
        <w:shd w:val="clear" w:color="auto" w:fill="auto"/>
        <w:tabs>
          <w:tab w:pos="440" w:val="left"/>
        </w:tabs>
        <w:bidi w:val="0"/>
        <w:spacing w:before="0" w:after="360" w:line="240" w:lineRule="auto"/>
        <w:ind w:left="0" w:right="0" w:firstLine="0"/>
        <w:jc w:val="left"/>
      </w:pPr>
      <w:bookmarkStart w:id="1210" w:name="bookmark1210"/>
      <w:r>
        <w:rPr>
          <w:color w:val="000000"/>
          <w:spacing w:val="0"/>
          <w:w w:val="100"/>
          <w:position w:val="0"/>
        </w:rPr>
        <w:t>（</w:t>
      </w:r>
      <w:bookmarkEnd w:id="1210"/>
      <w:r>
        <w:rPr>
          <w:rFonts w:ascii="Times New Roman" w:eastAsia="Times New Roman" w:hAnsi="Times New Roman" w:cs="Times New Roman"/>
          <w:color w:val="000000"/>
          <w:spacing w:val="0"/>
          <w:w w:val="100"/>
          <w:position w:val="0"/>
        </w:rPr>
        <w:t>8</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日止，公司不存在固定资产可收回金额低于账面价值而需计提减值准备的情形。</w:t>
      </w:r>
    </w:p>
    <w:p>
      <w:pPr>
        <w:pStyle w:val="Style33"/>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11"/>
      <w:bookmarkEnd w:id="1212"/>
      <w:bookmarkEnd w:id="12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13,356,132.49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12,642,155.60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13,356,132.49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12,642,155.60</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15"/>
      <w:bookmarkEnd w:id="1216"/>
      <w:bookmarkEnd w:id="12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办公大楼装修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13,356,132.49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13,356,132.49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12,642,155.60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12,642,155.60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13,356,132.49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13,356,132.49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12,642,155.60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12,642,155.60</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18" w:name="bookmark1218"/>
      <w:bookmarkStart w:id="1219" w:name="bookmark1219"/>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18"/>
      <w:bookmarkEnd w:id="1219"/>
      <w:bookmarkEnd w:id="1220"/>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本期 转入 固定</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工程</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累计</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投入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利息</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化累</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其中：</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利息</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本期 利息 资本</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算比</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办公 大楼 装修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r>
              <w:rPr>
                <w:rFonts w:ascii="Times New Roman" w:eastAsia="Times New Roman" w:hAnsi="Times New Roman" w:cs="Times New Roman"/>
                <w:color w:val="000000"/>
                <w:spacing w:val="0"/>
                <w:w w:val="100"/>
                <w:position w:val="0"/>
              </w:rPr>
              <w:t>3</w:t>
            </w:r>
            <w:r>
              <w:rPr>
                <w:color w:val="000000"/>
                <w:spacing w:val="0"/>
                <w:w w:val="100"/>
                <w:position w:val="0"/>
              </w:rPr>
              <w:t>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12,642 </w:t>
            </w:r>
            <w:r>
              <w:rPr>
                <w:rFonts w:ascii="Times New Roman" w:eastAsia="Times New Roman" w:hAnsi="Times New Roman" w:cs="Times New Roman"/>
                <w:color w:val="000000"/>
                <w:spacing w:val="0"/>
                <w:w w:val="100"/>
                <w:position w:val="0"/>
              </w:rPr>
              <w:t xml:space="preserve">,155.6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12,852 </w:t>
            </w:r>
            <w:r>
              <w:rPr>
                <w:rFonts w:ascii="Times New Roman" w:eastAsia="Times New Roman" w:hAnsi="Times New Roman" w:cs="Times New Roman"/>
                <w:color w:val="000000"/>
                <w:spacing w:val="0"/>
                <w:w w:val="100"/>
                <w:position w:val="0"/>
              </w:rPr>
              <w:t>,685.1</w:t>
            </w:r>
          </w:p>
          <w:p>
            <w:pPr>
              <w:pStyle w:val="Style2"/>
              <w:keepNext w:val="0"/>
              <w:keepLines w:val="0"/>
              <w:widowControl w:val="0"/>
              <w:shd w:val="clear" w:color="auto" w:fill="auto"/>
              <w:bidi w:val="0"/>
              <w:spacing w:before="0" w:after="0" w:line="360" w:lineRule="auto"/>
              <w:ind w:left="0" w:right="0" w:firstLine="5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12,138 </w:t>
            </w:r>
            <w:r>
              <w:rPr>
                <w:rFonts w:ascii="Times New Roman" w:eastAsia="Times New Roman" w:hAnsi="Times New Roman" w:cs="Times New Roman"/>
                <w:color w:val="000000"/>
                <w:spacing w:val="0"/>
                <w:w w:val="100"/>
                <w:position w:val="0"/>
              </w:rPr>
              <w:t xml:space="preserve">,708.3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13,356 ,132.4 9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12,642 ,155.6 0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12,852 ,685.1</w:t>
            </w:r>
          </w:p>
          <w:p>
            <w:pPr>
              <w:pStyle w:val="Style2"/>
              <w:keepNext w:val="0"/>
              <w:keepLines w:val="0"/>
              <w:widowControl w:val="0"/>
              <w:shd w:val="clear" w:color="auto" w:fill="auto"/>
              <w:bidi w:val="0"/>
              <w:spacing w:before="0" w:after="0" w:line="360" w:lineRule="auto"/>
              <w:ind w:left="0" w:right="0" w:firstLine="54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12,138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,708.3</w:t>
            </w:r>
          </w:p>
          <w:p>
            <w:pPr>
              <w:pStyle w:val="Style2"/>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13,356 ,132.4 9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）报告期末不存在在建工程预计可收回金额低于其账面价值而需计提减值准备的情形。</w:t>
      </w:r>
    </w:p>
    <w:p>
      <w:pPr>
        <w:pStyle w:val="Style33"/>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221"/>
      <w:bookmarkEnd w:id="1222"/>
      <w:bookmarkEnd w:id="12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13,358,884.68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13,358,884.68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6,235,450.98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6,235,450.98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19,594,335.66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19,594,335.66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7,771,939.62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7,771,939.62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7,771,939.62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7,771,939.62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7,771,939.62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7,771,939.62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11,822,396.04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11,822,396.04</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13,358,884.68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13,358,884.68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25"/>
      <w:bookmarkEnd w:id="1226"/>
      <w:bookmarkEnd w:id="1228"/>
    </w:p>
    <w:p>
      <w:pPr>
        <w:pStyle w:val="Style38"/>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9"/>
      <w:bookmarkEnd w:id="1230"/>
      <w:bookmarkEnd w:id="1231"/>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26,037,679.00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15,683,162.31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41,720,841.31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2,930,985.68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2,930,985.68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2,930,985.68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2,930,985.68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26,037,679.00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18,614,147.99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44,651,826.99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4,935,307.20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6,133,057.24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11,068,364.44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521,046.12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3,372,605.43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3,893,651.55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521,046.12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3,372,605.43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3,893,651.55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5,456,353.32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9,505,662.67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14,962,015.99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20,581,325.68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9,108,485.32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29,689,811.00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21,102,371.80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9,550,105.07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30,652,476.87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4"/>
        <w:keepNext w:val="0"/>
        <w:keepLines w:val="0"/>
        <w:widowControl w:val="0"/>
        <w:shd w:val="clear" w:color="auto" w:fill="auto"/>
        <w:tabs>
          <w:tab w:pos="440" w:val="left"/>
        </w:tabs>
        <w:bidi w:val="0"/>
        <w:spacing w:before="0" w:after="100" w:line="240" w:lineRule="auto"/>
        <w:ind w:left="0" w:right="0" w:firstLine="0"/>
        <w:jc w:val="left"/>
      </w:pPr>
      <w:bookmarkStart w:id="1232" w:name="bookmark1232"/>
      <w:r>
        <w:rPr>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日止，公司不存在需计提无形资产减值准备的情形。</w:t>
      </w:r>
    </w:p>
    <w:p>
      <w:pPr>
        <w:pStyle w:val="Style24"/>
        <w:keepNext w:val="0"/>
        <w:keepLines w:val="0"/>
        <w:widowControl w:val="0"/>
        <w:shd w:val="clear" w:color="auto" w:fill="auto"/>
        <w:tabs>
          <w:tab w:pos="440" w:val="left"/>
        </w:tabs>
        <w:bidi w:val="0"/>
        <w:spacing w:before="0" w:after="700" w:line="240" w:lineRule="auto"/>
        <w:ind w:left="0" w:right="0" w:firstLine="0"/>
        <w:jc w:val="left"/>
      </w:pPr>
      <w:bookmarkStart w:id="1233" w:name="bookmark1233"/>
      <w:r>
        <w:rPr>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日止，公司不存在未办妥产权证书的土地使用权情况。</w:t>
      </w:r>
    </w:p>
    <w:p>
      <w:pPr>
        <w:pStyle w:val="Style33"/>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34"/>
      <w:bookmarkEnd w:id="1235"/>
      <w:bookmarkEnd w:id="123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租赁办公楼装修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2,051,373.43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4,614,423.33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1,729,385.82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4,936,410.94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2,051,373.43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4,614,423.33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1,729,385.82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4,936,410.94</w:t>
            </w:r>
          </w:p>
        </w:tc>
      </w:tr>
    </w:tbl>
    <w:p>
      <w:pPr>
        <w:widowControl w:val="0"/>
        <w:spacing w:after="659" w:line="1" w:lineRule="exact"/>
      </w:pPr>
    </w:p>
    <w:p>
      <w:pPr>
        <w:pStyle w:val="Style33"/>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38"/>
      <w:bookmarkEnd w:id="1239"/>
      <w:bookmarkEnd w:id="1241"/>
    </w:p>
    <w:p>
      <w:pPr>
        <w:pStyle w:val="Style38"/>
        <w:keepNext/>
        <w:keepLines/>
        <w:widowControl w:val="0"/>
        <w:shd w:val="clear" w:color="auto" w:fill="auto"/>
        <w:bidi w:val="0"/>
        <w:spacing w:before="0" w:after="360" w:line="240" w:lineRule="auto"/>
        <w:ind w:left="0" w:right="0" w:firstLine="0"/>
        <w:jc w:val="left"/>
      </w:pPr>
      <w:bookmarkStart w:id="1242" w:name="bookmark1242"/>
      <w:bookmarkStart w:id="1243" w:name="bookmark1243"/>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42"/>
      <w:bookmarkEnd w:id="1243"/>
      <w:bookmarkEnd w:id="12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4,337,507.22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650,626.08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6,192,739.50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928,910.93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1,943,027.36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388,605.47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3,643,446.07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728,689.21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41,085,880.34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6,162,882.05</w:t>
            </w:r>
          </w:p>
        </w:tc>
      </w:tr>
    </w:tbl>
    <w:p>
      <w:pPr>
        <w:sectPr>
          <w:footnotePr>
            <w:pos w:val="pageBottom"/>
            <w:numFmt w:val="decimal"/>
            <w:numRestart w:val="continuous"/>
          </w:footnotePr>
          <w:pgSz w:w="11900" w:h="16840"/>
          <w:pgMar w:top="1295" w:right="1115" w:bottom="1625" w:left="1103"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47,907,724.35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7,186,158.63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41,503,254.42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6,225,488.15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使用权资产及租赁负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39,889.67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54,228,148.60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8,231,373.63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92,425,320.33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14,045,970.34</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45"/>
      <w:bookmarkEnd w:id="1246"/>
      <w:bookmarkEnd w:id="12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其他债权投资公允价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境外未分配利润影响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45,567,885.41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3,873,270.26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56,456,466.84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4,312,520.17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使用权资产及租赁负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45,568,079.65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3,873,318.82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56,456,466.84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4,312,520.17</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8,231,373.63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14,045,970.34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3,873,318.82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4,312,520.17</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248"/>
      <w:bookmarkEnd w:id="1249"/>
      <w:bookmarkEnd w:id="12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50,695,951.31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7,468,344.35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50,695,971.89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7,468,520.16</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252"/>
      <w:bookmarkEnd w:id="1253"/>
      <w:bookmarkEnd w:id="1255"/>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83,047.99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83,047.99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2,381,557.50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2,387,443.58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4,923,804.77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4,997,852.78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43,307,541.05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50,695,951.31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7,468,344.35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56"/>
      <w:bookmarkEnd w:id="1257"/>
      <w:bookmarkEnd w:id="12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688,784.27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688,784.27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3,795,555.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3,795,555.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688,784.27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688,784.27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3,795,555.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3,795,555.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bookmarkEnd w:id="1262"/>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260"/>
      <w:bookmarkEnd w:id="1261"/>
      <w:bookmarkEnd w:id="1263"/>
    </w:p>
    <w:p>
      <w:pPr>
        <w:pStyle w:val="Style38"/>
        <w:keepNext/>
        <w:keepLines/>
        <w:widowControl w:val="0"/>
        <w:shd w:val="clear" w:color="auto" w:fill="auto"/>
        <w:bidi w:val="0"/>
        <w:spacing w:before="0" w:after="360" w:line="240" w:lineRule="auto"/>
        <w:ind w:left="0" w:right="0" w:firstLine="0"/>
        <w:jc w:val="left"/>
      </w:pPr>
      <w:bookmarkStart w:id="1264" w:name="bookmark1264"/>
      <w:bookmarkStart w:id="1265" w:name="bookmark1265"/>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4"/>
      <w:bookmarkEnd w:id="1265"/>
      <w:bookmarkEnd w:id="12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1,332,599.57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1,759,851.03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1,347,626.57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1,774,878.03</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267"/>
      <w:bookmarkEnd w:id="1268"/>
      <w:bookmarkEnd w:id="12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3,870,591.66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2,712,654.74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3,870,591.66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2,712,654.74</w:t>
            </w:r>
          </w:p>
        </w:tc>
      </w:tr>
    </w:tbl>
    <w:p>
      <w:pPr>
        <w:widowControl w:val="0"/>
        <w:spacing w:after="299" w:line="1" w:lineRule="exact"/>
      </w:pPr>
    </w:p>
    <w:p>
      <w:pPr>
        <w:pStyle w:val="Style38"/>
        <w:keepNext/>
        <w:keepLines/>
        <w:widowControl w:val="0"/>
        <w:shd w:val="clear" w:color="auto" w:fill="auto"/>
        <w:bidi w:val="0"/>
        <w:spacing w:before="0" w:after="34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1"/>
      <w:bookmarkEnd w:id="1272"/>
      <w:bookmarkEnd w:id="1273"/>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61,090,497.73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476,144,731.79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466,598,083.58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70,637,145.94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108,163.22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22,066,425.34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21,784,411.42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390,177.14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61,198,660.95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498,211,157.13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488,382,495.00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71,027,323.08</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74"/>
      <w:bookmarkEnd w:id="1275"/>
      <w:bookmarkEnd w:id="12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59,552,332.07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452,464,269.00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442,811,952.71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69,204,648.36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3,140,227.95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3,140,227.95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111,518.86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11,140,573.92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11,071,684.94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180,407.84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111,518.86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10,409,253.57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10,347,520.33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173,252.10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168,781.54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161,758.19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7,023.35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562,538.81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562,406.42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9,399,660.92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9,397,918.28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1,426,646.80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176,299.70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1,250,347.10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61,090,497.73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476,144,731.79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466,598,083.58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70,637,145.94</w:t>
            </w:r>
          </w:p>
        </w:tc>
      </w:tr>
    </w:tbl>
    <w:p>
      <w:pPr>
        <w:widowControl w:val="0"/>
        <w:spacing w:after="299" w:line="1" w:lineRule="exact"/>
      </w:pPr>
    </w:p>
    <w:p>
      <w:pPr>
        <w:pStyle w:val="Style38"/>
        <w:keepNext/>
        <w:keepLines/>
        <w:widowControl w:val="0"/>
        <w:numPr>
          <w:ilvl w:val="0"/>
          <w:numId w:val="83"/>
        </w:numPr>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设定提存计划列示</w:t>
      </w:r>
      <w:bookmarkEnd w:id="1277"/>
      <w:bookmarkEnd w:id="1278"/>
      <w:bookmarkEnd w:id="12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108,163.22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21,612,724.98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21,339,495.32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381,392.88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453,700.36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444,916.10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108,163.22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22,066,425.34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21,784,411.42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390,177.14</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281"/>
      <w:bookmarkEnd w:id="1282"/>
      <w:bookmarkEnd w:id="12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2,897,554.23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1,015,082.78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1,396,161.08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4,467,904.00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6,318,884.77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5,113,948.03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191,346.73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68,818.11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82,005.68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54,670.45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14,848.00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9,897.30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10,955,470.94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10,724,806.01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700" w:line="240" w:lineRule="auto"/>
        <w:ind w:left="0" w:right="0" w:firstLine="0"/>
        <w:jc w:val="both"/>
      </w:pPr>
      <w:r>
        <w:rPr>
          <w:color w:val="000000"/>
          <w:spacing w:val="0"/>
          <w:w w:val="100"/>
          <w:position w:val="0"/>
        </w:rPr>
        <w:t>主要税项适用税率参见本附注六。</w:t>
      </w:r>
    </w:p>
    <w:p>
      <w:pPr>
        <w:pStyle w:val="Style33"/>
        <w:keepNext/>
        <w:keepLines/>
        <w:widowControl w:val="0"/>
        <w:shd w:val="clear" w:color="auto" w:fill="auto"/>
        <w:bidi w:val="0"/>
        <w:spacing w:before="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85"/>
      <w:bookmarkEnd w:id="1286"/>
      <w:bookmarkEnd w:id="12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995,663.24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2,840,343.27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4,608,680.02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2,840,343.27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5,604,343.26</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both"/>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289"/>
      <w:bookmarkEnd w:id="1290"/>
      <w:bookmarkEnd w:id="12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995,663.24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995,663.24</w:t>
            </w:r>
          </w:p>
        </w:tc>
      </w:tr>
    </w:tbl>
    <w:p>
      <w:pPr>
        <w:widowControl w:val="0"/>
        <w:spacing w:after="299" w:line="1" w:lineRule="exact"/>
      </w:pPr>
    </w:p>
    <w:p>
      <w:pPr>
        <w:pStyle w:val="Style38"/>
        <w:keepNext/>
        <w:keepLines/>
        <w:widowControl w:val="0"/>
        <w:shd w:val="clear" w:color="auto" w:fill="auto"/>
        <w:bidi w:val="0"/>
        <w:spacing w:before="0" w:after="340" w:line="240" w:lineRule="auto"/>
        <w:ind w:left="0" w:right="0" w:firstLine="0"/>
        <w:jc w:val="both"/>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92"/>
      <w:bookmarkEnd w:id="1293"/>
      <w:bookmarkEnd w:id="1294"/>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2,840,343.27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4,545,746.02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2,840,343.27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4,608,680.02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295"/>
      <w:bookmarkEnd w:id="1296"/>
      <w:bookmarkEnd w:id="12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7,383,720.15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6,387,249.40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7,383,720.15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6,387,249.40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299"/>
      <w:bookmarkEnd w:id="1300"/>
      <w:bookmarkEnd w:id="13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12,360,161.55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13,963,546.65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444,245.99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604,661.97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7,383,720.15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6,387,249.40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4,532,195.41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6,971,635.28</w:t>
            </w:r>
          </w:p>
        </w:tc>
      </w:tr>
    </w:tbl>
    <w:p>
      <w:pPr>
        <w:widowControl w:val="0"/>
        <w:spacing w:after="659" w:line="1" w:lineRule="exact"/>
      </w:pPr>
    </w:p>
    <w:p>
      <w:pPr>
        <w:pStyle w:val="Style33"/>
        <w:keepNext/>
        <w:keepLines/>
        <w:widowControl w:val="0"/>
        <w:shd w:val="clear" w:color="auto" w:fill="auto"/>
        <w:bidi w:val="0"/>
        <w:spacing w:before="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303"/>
      <w:bookmarkEnd w:id="1304"/>
      <w:bookmarkEnd w:id="13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283,299,055.</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-7,997.00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283,291,058.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报告期公司股份变动情况详见</w:t>
      </w:r>
      <w:r>
        <w:rPr>
          <w:rFonts w:ascii="Times New Roman" w:eastAsia="Times New Roman" w:hAnsi="Times New Roman" w:cs="Times New Roman"/>
          <w:color w:val="000000"/>
          <w:spacing w:val="0"/>
          <w:w w:val="100"/>
          <w:position w:val="0"/>
        </w:rPr>
        <w:t>“</w:t>
      </w:r>
      <w:r>
        <w:rPr>
          <w:color w:val="000000"/>
          <w:spacing w:val="0"/>
          <w:w w:val="100"/>
          <w:position w:val="0"/>
        </w:rPr>
        <w:t>三、（一）、</w:t>
      </w:r>
      <w:r>
        <w:rPr>
          <w:rFonts w:ascii="Times New Roman" w:eastAsia="Times New Roman" w:hAnsi="Times New Roman" w:cs="Times New Roman"/>
          <w:color w:val="000000"/>
          <w:spacing w:val="0"/>
          <w:w w:val="100"/>
          <w:position w:val="0"/>
        </w:rPr>
        <w:t>1</w:t>
      </w:r>
      <w:r>
        <w:rPr>
          <w:color w:val="000000"/>
          <w:spacing w:val="0"/>
          <w:w w:val="100"/>
          <w:position w:val="0"/>
        </w:rPr>
        <w:t>、公司历史沿革</w:t>
      </w:r>
      <w:r>
        <w:rPr>
          <w:rFonts w:ascii="Times New Roman" w:eastAsia="Times New Roman" w:hAnsi="Times New Roman" w:cs="Times New Roman"/>
          <w:color w:val="000000"/>
          <w:spacing w:val="0"/>
          <w:w w:val="100"/>
          <w:position w:val="0"/>
        </w:rPr>
        <w:t>”</w:t>
      </w:r>
      <w:r>
        <w:rPr>
          <w:color w:val="000000"/>
          <w:spacing w:val="0"/>
          <w:w w:val="100"/>
          <w:position w:val="0"/>
        </w:rPr>
        <w:t>说明。</w:t>
      </w:r>
    </w:p>
    <w:p>
      <w:pPr>
        <w:pStyle w:val="Style33"/>
        <w:keepNext/>
        <w:keepLines/>
        <w:widowControl w:val="0"/>
        <w:shd w:val="clear" w:color="auto" w:fill="auto"/>
        <w:bidi w:val="0"/>
        <w:spacing w:before="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307"/>
      <w:bookmarkEnd w:id="1308"/>
      <w:bookmarkEnd w:id="13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437,742,854.07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437,687,917.07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1,946,069.24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1,946,069.24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439,688,923.31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2,001,006.24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437,687,917.07</w:t>
            </w: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资本溢价（股本溢价）本期变动说明：</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本期减少</w:t>
      </w:r>
    </w:p>
    <w:p>
      <w:pPr>
        <w:pStyle w:val="Style24"/>
        <w:keepNext w:val="0"/>
        <w:keepLines w:val="0"/>
        <w:widowControl w:val="0"/>
        <w:shd w:val="clear" w:color="auto" w:fill="auto"/>
        <w:tabs>
          <w:tab w:pos="536" w:val="left"/>
        </w:tabs>
        <w:bidi w:val="0"/>
        <w:spacing w:before="0" w:after="0" w:line="312" w:lineRule="exact"/>
        <w:ind w:left="0" w:right="0" w:firstLine="0"/>
        <w:jc w:val="both"/>
      </w:pPr>
      <w:bookmarkStart w:id="1311" w:name="bookmark1311"/>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w:t>
        <w:tab/>
        <w:t>根据公司第三届董事会第二十二次会议决议通过的《关于回购注销部分已授予限制性股票的议案》，鉴于公司激励对 象龙乐钦已经离职，根据公司《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年限制性股票激励计划（草案）》，公司回购注销上述激励对象已获授但尚未解锁的 限制性股票共</w:t>
      </w:r>
      <w:r>
        <w:rPr>
          <w:rFonts w:ascii="Times New Roman" w:eastAsia="Times New Roman" w:hAnsi="Times New Roman" w:cs="Times New Roman"/>
          <w:color w:val="000000"/>
          <w:spacing w:val="0"/>
          <w:w w:val="100"/>
          <w:position w:val="0"/>
        </w:rPr>
        <w:t>7,997</w:t>
      </w:r>
      <w:r>
        <w:rPr>
          <w:color w:val="000000"/>
          <w:spacing w:val="0"/>
          <w:w w:val="100"/>
          <w:position w:val="0"/>
        </w:rPr>
        <w:t>股，全部回购价款为人民币</w:t>
      </w:r>
      <w:r>
        <w:rPr>
          <w:rFonts w:ascii="Times New Roman" w:eastAsia="Times New Roman" w:hAnsi="Times New Roman" w:cs="Times New Roman"/>
          <w:color w:val="000000"/>
          <w:spacing w:val="0"/>
          <w:w w:val="100"/>
          <w:position w:val="0"/>
        </w:rPr>
        <w:t>62,934.00</w:t>
      </w:r>
      <w:r>
        <w:rPr>
          <w:color w:val="000000"/>
          <w:spacing w:val="0"/>
          <w:w w:val="100"/>
          <w:position w:val="0"/>
        </w:rPr>
        <w:t>元，其中：股本</w:t>
      </w:r>
      <w:r>
        <w:rPr>
          <w:rFonts w:ascii="Times New Roman" w:eastAsia="Times New Roman" w:hAnsi="Times New Roman" w:cs="Times New Roman"/>
          <w:color w:val="000000"/>
          <w:spacing w:val="0"/>
          <w:w w:val="100"/>
          <w:position w:val="0"/>
        </w:rPr>
        <w:t>7,997.00</w:t>
      </w:r>
      <w:r>
        <w:rPr>
          <w:color w:val="000000"/>
          <w:spacing w:val="0"/>
          <w:w w:val="100"/>
          <w:position w:val="0"/>
        </w:rPr>
        <w:t>元，其余</w:t>
      </w:r>
      <w:r>
        <w:rPr>
          <w:rFonts w:ascii="Times New Roman" w:eastAsia="Times New Roman" w:hAnsi="Times New Roman" w:cs="Times New Roman"/>
          <w:color w:val="000000"/>
          <w:spacing w:val="0"/>
          <w:w w:val="100"/>
          <w:position w:val="0"/>
        </w:rPr>
        <w:t>54,937.00</w:t>
      </w:r>
      <w:r>
        <w:rPr>
          <w:color w:val="000000"/>
          <w:spacing w:val="0"/>
          <w:w w:val="100"/>
          <w:position w:val="0"/>
        </w:rPr>
        <w:t>元冲减资本公积</w:t>
      </w:r>
      <w:r>
        <w:rPr>
          <w:rFonts w:ascii="Times New Roman" w:eastAsia="Times New Roman" w:hAnsi="Times New Roman" w:cs="Times New Roman"/>
          <w:color w:val="000000"/>
          <w:spacing w:val="0"/>
          <w:w w:val="100"/>
          <w:position w:val="0"/>
        </w:rPr>
        <w:t>-</w:t>
      </w:r>
      <w:r>
        <w:rPr>
          <w:color w:val="000000"/>
          <w:spacing w:val="0"/>
          <w:w w:val="100"/>
          <w:position w:val="0"/>
        </w:rPr>
        <w:t>资 本溢价（股本溢价）。</w:t>
      </w:r>
    </w:p>
    <w:p>
      <w:pPr>
        <w:pStyle w:val="Style24"/>
        <w:keepNext w:val="0"/>
        <w:keepLines w:val="0"/>
        <w:widowControl w:val="0"/>
        <w:shd w:val="clear" w:color="auto" w:fill="auto"/>
        <w:tabs>
          <w:tab w:pos="440" w:val="left"/>
        </w:tabs>
        <w:bidi w:val="0"/>
        <w:spacing w:before="0" w:after="360" w:line="312" w:lineRule="exact"/>
        <w:ind w:left="0" w:right="0" w:firstLine="0"/>
        <w:jc w:val="both"/>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w:t>
        <w:tab/>
        <w:t>处置钱方好近金融科技有限公司后，原计入资本公积的金额</w:t>
      </w:r>
      <w:r>
        <w:rPr>
          <w:rFonts w:ascii="Times New Roman" w:eastAsia="Times New Roman" w:hAnsi="Times New Roman" w:cs="Times New Roman"/>
          <w:color w:val="000000"/>
          <w:spacing w:val="0"/>
          <w:w w:val="100"/>
          <w:position w:val="0"/>
        </w:rPr>
        <w:t>1,946,069.24</w:t>
      </w:r>
      <w:r>
        <w:rPr>
          <w:color w:val="000000"/>
          <w:spacing w:val="0"/>
          <w:w w:val="100"/>
          <w:position w:val="0"/>
        </w:rPr>
        <w:t>元转入当期损益。</w:t>
      </w:r>
    </w:p>
    <w:p>
      <w:pPr>
        <w:pStyle w:val="Style33"/>
        <w:keepNext/>
        <w:keepLines/>
        <w:widowControl w:val="0"/>
        <w:shd w:val="clear" w:color="auto" w:fill="auto"/>
        <w:bidi w:val="0"/>
        <w:spacing w:before="0" w:line="240" w:lineRule="auto"/>
        <w:ind w:left="0" w:right="0" w:firstLine="0"/>
        <w:jc w:val="both"/>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313"/>
      <w:bookmarkEnd w:id="1314"/>
      <w:bookmarkEnd w:id="13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62,934.00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62,934.00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700" w:line="365" w:lineRule="exact"/>
        <w:ind w:left="0" w:right="0" w:firstLine="0"/>
        <w:jc w:val="both"/>
      </w:pPr>
      <w:r>
        <w:rPr>
          <w:color w:val="000000"/>
          <w:spacing w:val="0"/>
          <w:w w:val="100"/>
          <w:position w:val="0"/>
        </w:rPr>
        <w:t>其他说明，包括本期增减变动情况、变动原因说明： 本期库存股减少为回购注销失效的限制性股票。</w:t>
      </w:r>
    </w:p>
    <w:p>
      <w:pPr>
        <w:pStyle w:val="Style33"/>
        <w:keepNext/>
        <w:keepLines/>
        <w:widowControl w:val="0"/>
        <w:shd w:val="clear" w:color="auto" w:fill="auto"/>
        <w:bidi w:val="0"/>
        <w:spacing w:before="0" w:line="240" w:lineRule="auto"/>
        <w:ind w:left="0" w:right="0" w:firstLine="0"/>
        <w:jc w:val="both"/>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317"/>
      <w:bookmarkEnd w:id="1318"/>
      <w:bookmarkEnd w:id="13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本期所</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得税前</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-35,277,7</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-6,404,4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-5,443,7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-35,277,7</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-6,404,4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-5,443,7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-181,668.</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-3,528,4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-3,528,4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082.21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-3,528,4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-3,528,4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-3,710,</w:t>
            </w:r>
          </w:p>
        </w:tc>
      </w:tr>
    </w:tbl>
    <w:p>
      <w:pPr>
        <w:sectPr>
          <w:footnotePr>
            <w:pos w:val="pageBottom"/>
            <w:numFmt w:val="decimal"/>
            <w:numRestart w:val="continuous"/>
          </w:footnotePr>
          <w:pgSz w:w="11900" w:h="16840"/>
          <w:pgMar w:top="1257" w:right="1108" w:bottom="1817" w:left="1111" w:header="0" w:footer="3" w:gutter="0"/>
          <w:cols w:space="720"/>
          <w:noEndnote/>
          <w:rtlGutter w:val="0"/>
          <w:docGrid w:linePitch="360"/>
        </w:sectPr>
      </w:pPr>
    </w:p>
    <w:tbl>
      <w:tblPr>
        <w:tblOverlap w:val="never"/>
        <w:jc w:val="center"/>
        <w:tblLayout w:type="fixed"/>
      </w:tblPr>
      <w:tblGrid>
        <w:gridCol w:w="2563"/>
        <w:gridCol w:w="974"/>
        <w:gridCol w:w="850"/>
        <w:gridCol w:w="1051"/>
        <w:gridCol w:w="854"/>
        <w:gridCol w:w="850"/>
        <w:gridCol w:w="854"/>
        <w:gridCol w:w="850"/>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082.21</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-35,459,4</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-9,932,8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-8,972,2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-44,43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21"/>
      <w:bookmarkEnd w:id="1322"/>
      <w:bookmarkEnd w:id="13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73,570,768.42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10,390,988.62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83,961,757.04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73,570,768.42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10,390,988.62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83,961,757.04</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25"/>
      <w:bookmarkEnd w:id="1326"/>
      <w:bookmarkEnd w:id="13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404,407,229.29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366,402,740.11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-2,642,354.22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404,407,229.29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363,760,385.89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66,757,068.93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74,555,031.45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10,390,988.62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5,617,441.96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28,331,041.78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28,290,746.09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432,442,267.82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404,407,229.29</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29"/>
      <w:bookmarkEnd w:id="1330"/>
      <w:bookmarkEnd w:id="13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641,544,678.55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366,361,831.14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573,983,631.21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300,258,889.01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641,544,678.55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366,361,831.14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573,983,631.21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300,258,889.01</w:t>
            </w:r>
          </w:p>
        </w:tc>
      </w:tr>
    </w:tbl>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经审计扣除非经常损益前后净利润孰低是否为负值 口是"否</w:t>
      </w:r>
    </w:p>
    <w:p>
      <w:pPr>
        <w:pStyle w:val="Style33"/>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41" w:right="1112" w:bottom="2055" w:left="1107" w:header="0" w:footer="3" w:gutter="0"/>
          <w:cols w:space="720"/>
          <w:noEndnote/>
          <w:rtlGutter w:val="0"/>
          <w:docGrid w:linePitch="360"/>
        </w:sectPr>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33"/>
      <w:bookmarkEnd w:id="1334"/>
      <w:bookmarkEnd w:id="133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466,234.52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353,861.30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333,019.96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252,758.04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1,366,717.51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8,405.28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230,358.43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247,523.24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2,407,537.46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862,547.86</w:t>
            </w:r>
          </w:p>
        </w:tc>
      </w:tr>
    </w:tbl>
    <w:p>
      <w:pPr>
        <w:widowControl w:val="0"/>
        <w:spacing w:after="659" w:line="1" w:lineRule="exact"/>
      </w:pPr>
    </w:p>
    <w:p>
      <w:pPr>
        <w:pStyle w:val="Style33"/>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3</w:t>
      </w:r>
      <w:bookmarkEnd w:id="133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37"/>
      <w:bookmarkEnd w:id="1338"/>
      <w:bookmarkEnd w:id="13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9,923,605.18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8,794,803.74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加班、出勤餐费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7,530.50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9,241.63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226,923.60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128,213.76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10,250,515.22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9,081,208.94</w:t>
            </w:r>
          </w:p>
        </w:tc>
      </w:tr>
    </w:tbl>
    <w:p>
      <w:pPr>
        <w:widowControl w:val="0"/>
        <w:spacing w:after="659" w:line="1" w:lineRule="exact"/>
      </w:pPr>
    </w:p>
    <w:p>
      <w:pPr>
        <w:pStyle w:val="Style33"/>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41"/>
      <w:bookmarkEnd w:id="1342"/>
      <w:bookmarkEnd w:id="13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48,821,173.03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55,623,254.29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27,552,998.97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33,059,658.35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815,703.26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874,980.17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1,970,906.84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实习生费用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122,907.72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344,927.28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1,423,058.73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1,295,495.64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18,833,012.69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16,433,831.37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2,037,702.46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1,905,564.89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99,665,833.77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111,449,341.92</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345"/>
      <w:bookmarkEnd w:id="1346"/>
      <w:bookmarkEnd w:id="13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77,852,142.32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72,927,533.51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4,681,729.27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3,795,110.91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668,660.26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1,455,041.72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1,111,713.20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915,836.04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441,216.71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581,519.59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84,755,461.76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79,675,041.77</w:t>
            </w:r>
          </w:p>
        </w:tc>
      </w:tr>
    </w:tbl>
    <w:p>
      <w:pPr>
        <w:widowControl w:val="0"/>
        <w:spacing w:after="659" w:line="1" w:lineRule="exact"/>
      </w:pPr>
    </w:p>
    <w:p>
      <w:pPr>
        <w:pStyle w:val="Style33"/>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349"/>
      <w:bookmarkEnd w:id="1350"/>
      <w:bookmarkEnd w:id="13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447,111.67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447,111.67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2,964,707.64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5,368,831.65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11,400,483.48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7,006,326.92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67,962.19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165,320.35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8,950,849.70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1,802,815.62</w:t>
            </w:r>
          </w:p>
        </w:tc>
      </w:tr>
    </w:tbl>
    <w:p>
      <w:pPr>
        <w:widowControl w:val="0"/>
        <w:spacing w:after="659" w:line="1" w:lineRule="exact"/>
      </w:pPr>
    </w:p>
    <w:p>
      <w:pPr>
        <w:pStyle w:val="Style33"/>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353"/>
      <w:bookmarkEnd w:id="1354"/>
      <w:bookmarkEnd w:id="13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2,166,080.00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1,116,017.00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363,171.14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546,082.93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297,566.81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225,902.92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2,826,817.95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1,888,002.85</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357"/>
      <w:bookmarkEnd w:id="1358"/>
      <w:bookmarkEnd w:id="1360"/>
      <w:r>
        <w:br w:type="page"/>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362,462.03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-1,312,398.57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-1,754,526.66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-1,392,064.63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1,362,601.43</w:t>
            </w:r>
          </w:p>
        </w:tc>
      </w:tr>
    </w:tbl>
    <w:p>
      <w:pPr>
        <w:widowControl w:val="0"/>
        <w:spacing w:after="659" w:line="1" w:lineRule="exact"/>
      </w:pPr>
    </w:p>
    <w:p>
      <w:pPr>
        <w:pStyle w:val="Style33"/>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361"/>
      <w:bookmarkEnd w:id="1362"/>
      <w:bookmarkEnd w:id="13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1,837,472.95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-1,529,306.98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-67,063.07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1,775,682.84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-1,596,370.05</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65"/>
      <w:bookmarkEnd w:id="1366"/>
      <w:bookmarkEnd w:id="13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-3,325,484.15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113,973.51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-3,541,728.45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113,973.51</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369"/>
      <w:bookmarkEnd w:id="1370"/>
      <w:bookmarkEnd w:id="13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2,926,422.13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5,590,085.74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2,926,422.13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350,748.35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350,748.35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3,277,370.48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5,858,763.71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3,277,370.48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影响当年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南山区自 主创新产 业发展专 项资金资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 山区科技 创新局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1,728,500.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失业稳岗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会保障基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因符合国 家就业政 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115,011.23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226,382.77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人才安居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住房补租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深圳市南 山区住房 和建设局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因符合国 家就业政 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1,068,500.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年软 博会参展 企业展位 费政府补</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深圳市软 件行业协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因符合地 方产业政 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 件著作权 登记资助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深圳市市 场和质量 监督管理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因符合国 家知识产 权政策而 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专利申请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场监督管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因符合国 家知识产 权政策而 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保就业防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疫抗疫补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香港财政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 方就业政 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2,539,402.</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残疾人养 老保险和 医疗保险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深圳市南 山区残疾 人联合会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 方就业政 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2,926,422.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5,590,085.</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373"/>
      <w:bookmarkEnd w:id="1374"/>
      <w:bookmarkEnd w:id="13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686,030.00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102,211.08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102,211.08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69,730.26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171,941.34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723,131.64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171,941.34</w:t>
            </w:r>
          </w:p>
        </w:tc>
      </w:tr>
    </w:tbl>
    <w:p>
      <w:pPr>
        <w:widowControl w:val="0"/>
        <w:spacing w:after="659" w:line="1" w:lineRule="exact"/>
      </w:pPr>
    </w:p>
    <w:p>
      <w:pPr>
        <w:pStyle w:val="Style33"/>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377"/>
      <w:bookmarkEnd w:id="1378"/>
      <w:bookmarkEnd w:id="1380"/>
    </w:p>
    <w:p>
      <w:pPr>
        <w:pStyle w:val="Style38"/>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81"/>
      <w:bookmarkEnd w:id="1382"/>
      <w:bookmarkEnd w:id="13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-1,166,348.43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3,058,127.21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6,336,065.84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144,467.24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5,169,717.41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3,202,594.45</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84"/>
      <w:bookmarkEnd w:id="1385"/>
      <w:bookmarkEnd w:id="13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71,926,786.34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10,789,017.95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-2,684,526.46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-3,187,552.14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521,216.80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8,689,131.18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-9,000,564.46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5,169,717.41</w:t>
            </w:r>
          </w:p>
        </w:tc>
      </w:tr>
    </w:tbl>
    <w:p>
      <w:pPr>
        <w:spacing w:lineRule="exact" w:line="1"/>
        <w:rPr>
          <w:sz w:val="2"/>
          <w:szCs w:val="2"/>
        </w:rPr>
      </w:pPr>
      <w:r>
        <w:br w:type="page"/>
      </w:r>
    </w:p>
    <w:p>
      <w:pPr>
        <w:pStyle w:val="Style33"/>
        <w:keepNext/>
        <w:keepLines/>
        <w:widowControl w:val="0"/>
        <w:shd w:val="clear" w:color="auto" w:fill="auto"/>
        <w:tabs>
          <w:tab w:pos="483" w:val="left"/>
        </w:tabs>
        <w:bidi w:val="0"/>
        <w:spacing w:before="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w:t>
        <w:tab/>
        <w:t>其他综合收益</w:t>
      </w:r>
      <w:bookmarkEnd w:id="1387"/>
      <w:bookmarkEnd w:id="1388"/>
      <w:bookmarkEnd w:id="139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33"/>
        <w:keepNext/>
        <w:keepLines/>
        <w:widowControl w:val="0"/>
        <w:shd w:val="clear" w:color="auto" w:fill="auto"/>
        <w:tabs>
          <w:tab w:pos="483" w:val="left"/>
        </w:tabs>
        <w:bidi w:val="0"/>
        <w:spacing w:before="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w:t>
        <w:tab/>
        <w:t>现金流量表项目</w:t>
      </w:r>
      <w:bookmarkEnd w:id="1391"/>
      <w:bookmarkEnd w:id="1392"/>
      <w:bookmarkEnd w:id="1394"/>
    </w:p>
    <w:p>
      <w:pPr>
        <w:pStyle w:val="Style38"/>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95"/>
      <w:bookmarkEnd w:id="1396"/>
      <w:bookmarkEnd w:id="13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5,092,502.13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6,706,102.74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8,394,393.06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3,272,981.74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713,919.49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268,677.97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4,056,148.10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18,256,962.78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10,247,762.45</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98"/>
      <w:bookmarkEnd w:id="1399"/>
      <w:bookmarkEnd w:id="14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31,988,471.65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39,265,569.37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67,962.19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165,320.35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1,428,655.49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7,075,230.86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存入保证金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5,002,971.00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1,126,101.00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25,909,319.21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64,397,379.54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47,632,221.58</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401"/>
      <w:bookmarkEnd w:id="1402"/>
      <w:bookmarkEnd w:id="14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租赁负债本金及利息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8,125,531.77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1,988,336.81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8,188,465.77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1,988,336.81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3"/>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4</w:t>
      </w:r>
      <w:bookmarkEnd w:id="1407"/>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405"/>
      <w:bookmarkEnd w:id="1406"/>
      <w:bookmarkEnd w:id="1408"/>
    </w:p>
    <w:p>
      <w:pPr>
        <w:pStyle w:val="Style38"/>
        <w:keepNext/>
        <w:keepLines/>
        <w:widowControl w:val="0"/>
        <w:shd w:val="clear" w:color="auto" w:fill="auto"/>
        <w:bidi w:val="0"/>
        <w:spacing w:before="0" w:after="360" w:line="240" w:lineRule="auto"/>
        <w:ind w:left="0" w:right="0" w:firstLine="0"/>
        <w:jc w:val="left"/>
      </w:pPr>
      <w:bookmarkStart w:id="1409" w:name="bookmark1409"/>
      <w:bookmarkStart w:id="1410" w:name="bookmark1410"/>
      <w:bookmarkStart w:id="1411" w:name="bookmark14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09"/>
      <w:bookmarkEnd w:id="1410"/>
      <w:bookmarkEnd w:id="14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66,757,068.93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74,555,031.45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1,766,045.61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1,482,396.54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14,078,788.84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13,185,111.78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7,771,939.62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3,893,651.55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3,307,724.37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1,729,385.82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1,897,258.78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25,532.88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447,111.67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1,392,064.63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-1,362,601.43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6,775,267.19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-1,284,200.51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-439,201.35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1,428,667.75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-48,728,625.13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-48,928,197.85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-38,648,980.58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-50,283,797.07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8,929,609.77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16,498,671.67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815,703.26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25,826,137.65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11,337,301.62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441,972,268.62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477,536,337.77</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477,536,337.77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522,519,662.48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-35,564,069.15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-44,983,324.71</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both"/>
      </w:pPr>
      <w:bookmarkStart w:id="1412" w:name="bookmark1412"/>
      <w:bookmarkStart w:id="1413" w:name="bookmark1413"/>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12"/>
      <w:bookmarkEnd w:id="1413"/>
      <w:bookmarkEnd w:id="14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441,972,268.62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477,536,337.77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441,946,985.57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477,497,335.92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13,660.78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441,972,268.62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477,536,337.77</w:t>
            </w: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8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年期末现金期末余额为货币资金期末余额</w:t>
      </w:r>
      <w:r>
        <w:rPr>
          <w:rFonts w:ascii="Times New Roman" w:eastAsia="Times New Roman" w:hAnsi="Times New Roman" w:cs="Times New Roman"/>
          <w:color w:val="000000"/>
          <w:spacing w:val="0"/>
          <w:w w:val="100"/>
          <w:position w:val="0"/>
        </w:rPr>
        <w:t>475,079,214.38</w:t>
      </w:r>
      <w:r>
        <w:rPr>
          <w:color w:val="000000"/>
          <w:spacing w:val="0"/>
          <w:w w:val="100"/>
          <w:position w:val="0"/>
        </w:rPr>
        <w:t>元扣除受限货币资金</w:t>
      </w:r>
      <w:r>
        <w:rPr>
          <w:rFonts w:ascii="Times New Roman" w:eastAsia="Times New Roman" w:hAnsi="Times New Roman" w:cs="Times New Roman"/>
          <w:color w:val="000000"/>
          <w:spacing w:val="0"/>
          <w:w w:val="100"/>
          <w:position w:val="0"/>
        </w:rPr>
        <w:t>32,912,290.21</w:t>
      </w:r>
      <w:r>
        <w:rPr>
          <w:color w:val="000000"/>
          <w:spacing w:val="0"/>
          <w:w w:val="100"/>
          <w:position w:val="0"/>
        </w:rPr>
        <w:t>元及定期存款应收利 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94,655.55</w:t>
      </w:r>
      <w:r>
        <w:rPr>
          <w:color w:val="000000"/>
          <w:spacing w:val="0"/>
          <w:w w:val="100"/>
          <w:position w:val="0"/>
        </w:rPr>
        <w:t>元的差额。</w:t>
      </w:r>
    </w:p>
    <w:p>
      <w:pPr>
        <w:pStyle w:val="Style33"/>
        <w:keepNext/>
        <w:keepLines/>
        <w:widowControl w:val="0"/>
        <w:shd w:val="clear" w:color="auto" w:fill="auto"/>
        <w:bidi w:val="0"/>
        <w:spacing w:before="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415"/>
      <w:bookmarkEnd w:id="1416"/>
      <w:bookmarkEnd w:id="14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32,912,290.21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保函保证金，司法冻结资金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32,912,290.21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59" w:line="1" w:lineRule="exact"/>
      </w:pPr>
    </w:p>
    <w:p>
      <w:pPr>
        <w:pStyle w:val="Style33"/>
        <w:keepNext/>
        <w:keepLines/>
        <w:widowControl w:val="0"/>
        <w:shd w:val="clear" w:color="auto" w:fill="auto"/>
        <w:bidi w:val="0"/>
        <w:spacing w:before="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4</w:t>
      </w:r>
      <w:bookmarkEnd w:id="1421"/>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419"/>
      <w:bookmarkEnd w:id="1420"/>
      <w:bookmarkEnd w:id="1422"/>
    </w:p>
    <w:p>
      <w:pPr>
        <w:pStyle w:val="Style38"/>
        <w:keepNext/>
        <w:keepLines/>
        <w:widowControl w:val="0"/>
        <w:shd w:val="clear" w:color="auto" w:fill="auto"/>
        <w:bidi w:val="0"/>
        <w:spacing w:before="0" w:after="360" w:line="240" w:lineRule="auto"/>
        <w:ind w:left="0" w:right="0" w:firstLine="0"/>
        <w:jc w:val="both"/>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23"/>
      <w:bookmarkEnd w:id="1424"/>
      <w:bookmarkEnd w:id="14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165,054,836.02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102,667.21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654,575.33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167,249,296.61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136,743,024.91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144,650,814.73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27,657,235.78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24,629,140.24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26,698,472.17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21,828,670.85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澳门币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23,716.67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14,548,367.35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2,781,647.84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13,852,994.74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15,301,555.26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2,925,657.37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13,365,138.66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10,927,337.37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522,155.71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2,730,939.91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522,155.71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1,497,860.63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1,670,648.33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319,427.96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1,441,331.54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1,178,432.67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9,102,049.47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2,134,493.15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408,115.09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10,633,481.38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8,693,934.38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196,962.46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1,030,138.40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0.1912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196,962.46</w:t>
            </w:r>
          </w:p>
        </w:tc>
      </w:tr>
    </w:tbl>
    <w:p>
      <w:pPr>
        <w:widowControl w:val="0"/>
        <w:spacing w:after="7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322" w:lineRule="exact"/>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26"/>
      <w:bookmarkEnd w:id="1427"/>
      <w:bookmarkEnd w:id="142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tbl>
      <w:tblPr>
        <w:tblOverlap w:val="never"/>
        <w:jc w:val="center"/>
        <w:tblLayout w:type="fixed"/>
      </w:tblPr>
      <w:tblGrid>
        <w:gridCol w:w="1805"/>
        <w:gridCol w:w="1512"/>
        <w:gridCol w:w="1560"/>
        <w:gridCol w:w="2549"/>
        <w:gridCol w:w="188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记账本位币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主要财务报表项目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折算率</w:t>
            </w:r>
          </w:p>
        </w:tc>
      </w:tr>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四方资讯及四方信息</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香港</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资产、负债项目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0.8176</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股东权益（除未分配利润）项目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交易发生日的即期汇率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利润表、现金流量表项目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月度加权平均汇率</w:t>
            </w:r>
          </w:p>
        </w:tc>
      </w:tr>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四方泰国</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泰国</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资产、负债项目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 </w:t>
            </w:r>
            <w:r>
              <w:rPr>
                <w:color w:val="000000"/>
                <w:spacing w:val="0"/>
                <w:w w:val="100"/>
                <w:position w:val="0"/>
                <w:sz w:val="16"/>
                <w:szCs w:val="16"/>
              </w:rPr>
              <w:t>1912</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股东权益（除未分配利润）项目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交易发生日的即期汇率</w:t>
            </w: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利润表、现金流量表项目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月度加权平均汇率</w:t>
            </w:r>
          </w:p>
        </w:tc>
      </w:tr>
    </w:tbl>
    <w:p>
      <w:pPr>
        <w:spacing w:lineRule="exact" w:line="1"/>
        <w:rPr>
          <w:sz w:val="2"/>
          <w:szCs w:val="2"/>
        </w:rPr>
      </w:pPr>
      <w:r>
        <w:br w:type="page"/>
      </w:r>
    </w:p>
    <w:p>
      <w:pPr>
        <w:pStyle w:val="Style33"/>
        <w:keepNext/>
        <w:keepLines/>
        <w:widowControl w:val="0"/>
        <w:shd w:val="clear" w:color="auto" w:fill="auto"/>
        <w:bidi w:val="0"/>
        <w:spacing w:before="0" w:after="34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429"/>
      <w:bookmarkEnd w:id="1430"/>
      <w:bookmarkEnd w:id="1432"/>
    </w:p>
    <w:p>
      <w:pPr>
        <w:pStyle w:val="Style38"/>
        <w:keepNext/>
        <w:keepLines/>
        <w:widowControl w:val="0"/>
        <w:shd w:val="clear" w:color="auto" w:fill="auto"/>
        <w:bidi w:val="0"/>
        <w:spacing w:before="0" w:after="34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33"/>
      <w:bookmarkEnd w:id="1434"/>
      <w:bookmarkEnd w:id="14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年中央外经贸发展专 项资金（服务贸易事项）资 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506,080.00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506,080.00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年中央外经贸发展专 项资金（服务贸易事项）资 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南山区自主创新产业发展专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115,011.23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115,011.23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年软博会参展企业展 位费政府补贴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残疾人养老保险和医疗保险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3,310.90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3,310.90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5,092,502.13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5,092,502.13</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36"/>
      <w:bookmarkEnd w:id="1437"/>
      <w:bookmarkEnd w:id="1438"/>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4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sz w:val="24"/>
          <w:szCs w:val="24"/>
        </w:rPr>
        <w:t>八</w:t>
      </w:r>
      <w:bookmarkEnd w:id="1441"/>
      <w:r>
        <w:rPr>
          <w:color w:val="000000"/>
          <w:spacing w:val="0"/>
          <w:w w:val="100"/>
          <w:position w:val="0"/>
          <w:sz w:val="24"/>
          <w:szCs w:val="24"/>
        </w:rPr>
        <w:t>、合并范围的变更</w:t>
      </w:r>
      <w:bookmarkEnd w:id="1439"/>
      <w:bookmarkEnd w:id="1440"/>
      <w:bookmarkEnd w:id="1442"/>
    </w:p>
    <w:p>
      <w:pPr>
        <w:pStyle w:val="Style33"/>
        <w:keepNext/>
        <w:keepLines/>
        <w:widowControl w:val="0"/>
        <w:shd w:val="clear" w:color="auto" w:fill="auto"/>
        <w:bidi w:val="0"/>
        <w:spacing w:before="0" w:after="340" w:line="240" w:lineRule="auto"/>
        <w:ind w:left="0" w:right="0" w:firstLine="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43"/>
      <w:bookmarkEnd w:id="1444"/>
      <w:bookmarkEnd w:id="1445"/>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、新设子公司</w:t>
      </w:r>
    </w:p>
    <w:tbl>
      <w:tblPr>
        <w:tblOverlap w:val="never"/>
        <w:jc w:val="center"/>
        <w:tblLayout w:type="fixed"/>
      </w:tblPr>
      <w:tblGrid>
        <w:gridCol w:w="1618"/>
        <w:gridCol w:w="3259"/>
        <w:gridCol w:w="2410"/>
        <w:gridCol w:w="202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成都四方融创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3500</w:t>
            </w: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北京四方融创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w:t>
            </w:r>
            <w:r>
              <w:rPr>
                <w:color w:val="000000"/>
                <w:spacing w:val="0"/>
                <w:w w:val="100"/>
                <w:position w:val="0"/>
                <w:sz w:val="16"/>
                <w:szCs w:val="16"/>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1446" w:name="bookmark1446"/>
      <w:bookmarkStart w:id="1447" w:name="bookmark1447"/>
      <w:bookmarkStart w:id="1448" w:name="bookmark1448"/>
      <w:bookmarkStart w:id="1449" w:name="bookmark1449"/>
      <w:r>
        <w:rPr>
          <w:color w:val="000000"/>
          <w:spacing w:val="0"/>
          <w:w w:val="100"/>
          <w:position w:val="0"/>
          <w:sz w:val="24"/>
          <w:szCs w:val="24"/>
        </w:rPr>
        <w:t>九</w:t>
      </w:r>
      <w:bookmarkEnd w:id="1448"/>
      <w:r>
        <w:rPr>
          <w:color w:val="000000"/>
          <w:spacing w:val="0"/>
          <w:w w:val="100"/>
          <w:position w:val="0"/>
          <w:sz w:val="24"/>
          <w:szCs w:val="24"/>
        </w:rPr>
        <w:t>、在其他主体中的权益</w:t>
      </w:r>
      <w:bookmarkEnd w:id="1446"/>
      <w:bookmarkEnd w:id="1447"/>
      <w:bookmarkEnd w:id="1449"/>
    </w:p>
    <w:p>
      <w:pPr>
        <w:pStyle w:val="Style33"/>
        <w:keepNext/>
        <w:keepLines/>
        <w:widowControl w:val="0"/>
        <w:shd w:val="clear" w:color="auto" w:fill="auto"/>
        <w:bidi w:val="0"/>
        <w:spacing w:before="0" w:after="320" w:line="240" w:lineRule="auto"/>
        <w:ind w:left="0" w:right="0" w:firstLine="0"/>
        <w:jc w:val="both"/>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50"/>
      <w:bookmarkEnd w:id="1451"/>
      <w:bookmarkEnd w:id="1452"/>
    </w:p>
    <w:p>
      <w:pPr>
        <w:pStyle w:val="Style38"/>
        <w:keepNext/>
        <w:keepLines/>
        <w:widowControl w:val="0"/>
        <w:shd w:val="clear" w:color="auto" w:fill="auto"/>
        <w:bidi w:val="0"/>
        <w:spacing w:before="0" w:after="320" w:line="240" w:lineRule="auto"/>
        <w:ind w:left="0" w:right="0" w:firstLine="0"/>
        <w:jc w:val="both"/>
      </w:pPr>
      <w:bookmarkStart w:id="1453" w:name="bookmark1453"/>
      <w:bookmarkStart w:id="1454" w:name="bookmark1454"/>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53"/>
      <w:bookmarkEnd w:id="1454"/>
      <w:bookmarkEnd w:id="1455"/>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四方资讯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软件开发和系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同一控制下合 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乐寻坊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四方泰国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泰国曼谷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泰国曼谷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成都四方融创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北京四方融创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56"/>
      <w:bookmarkEnd w:id="1457"/>
      <w:bookmarkEnd w:id="1458"/>
    </w:p>
    <w:p>
      <w:pPr>
        <w:pStyle w:val="Style24"/>
        <w:keepNext w:val="0"/>
        <w:keepLines w:val="0"/>
        <w:widowControl w:val="0"/>
        <w:shd w:val="clear" w:color="auto" w:fill="auto"/>
        <w:bidi w:val="0"/>
        <w:spacing w:before="0" w:after="700" w:line="240" w:lineRule="auto"/>
        <w:ind w:left="0" w:right="0" w:firstLine="0"/>
        <w:jc w:val="both"/>
      </w:pPr>
      <w:r>
        <w:rPr>
          <w:color w:val="000000"/>
          <w:spacing w:val="0"/>
          <w:w w:val="100"/>
          <w:position w:val="0"/>
        </w:rPr>
        <w:t>公司在报告期内没有重要的的非全资子公司。</w:t>
      </w:r>
    </w:p>
    <w:p>
      <w:pPr>
        <w:pStyle w:val="Style33"/>
        <w:keepNext/>
        <w:keepLines/>
        <w:widowControl w:val="0"/>
        <w:shd w:val="clear" w:color="auto" w:fill="auto"/>
        <w:bidi w:val="0"/>
        <w:spacing w:before="0" w:after="320" w:line="240" w:lineRule="auto"/>
        <w:ind w:left="0" w:right="0" w:firstLine="0"/>
        <w:jc w:val="both"/>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59"/>
      <w:bookmarkEnd w:id="1460"/>
      <w:bookmarkEnd w:id="1461"/>
    </w:p>
    <w:p>
      <w:pPr>
        <w:pStyle w:val="Style38"/>
        <w:keepNext/>
        <w:keepLines/>
        <w:widowControl w:val="0"/>
        <w:shd w:val="clear" w:color="auto" w:fill="auto"/>
        <w:bidi w:val="0"/>
        <w:spacing w:before="0" w:line="240" w:lineRule="auto"/>
        <w:ind w:left="0" w:right="0" w:firstLine="0"/>
        <w:jc w:val="both"/>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62"/>
      <w:bookmarkEnd w:id="1463"/>
      <w:bookmarkEnd w:id="14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46,747,663.92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362,462.03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-1,312,398.57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362,462.03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-1,312,398.57</w:t>
            </w:r>
          </w:p>
        </w:tc>
      </w:tr>
    </w:tbl>
    <w:p>
      <w:pPr>
        <w:pStyle w:val="Style28"/>
        <w:keepNext/>
        <w:keepLines/>
        <w:widowControl w:val="0"/>
        <w:shd w:val="clear" w:color="auto" w:fill="auto"/>
        <w:bidi w:val="0"/>
        <w:spacing w:before="0" w:after="240" w:line="240" w:lineRule="auto"/>
        <w:ind w:left="0" w:right="0" w:firstLine="0"/>
        <w:jc w:val="left"/>
      </w:pPr>
      <w:bookmarkStart w:id="1465" w:name="bookmark1465"/>
      <w:bookmarkStart w:id="1466" w:name="bookmark1466"/>
      <w:bookmarkStart w:id="1467" w:name="bookmark1467"/>
      <w:r>
        <w:rPr>
          <w:color w:val="000000"/>
          <w:spacing w:val="0"/>
          <w:w w:val="100"/>
          <w:position w:val="0"/>
          <w:sz w:val="24"/>
          <w:szCs w:val="24"/>
        </w:rPr>
        <w:t>十、与金融工具相关的风险</w:t>
      </w:r>
      <w:bookmarkEnd w:id="1465"/>
      <w:bookmarkEnd w:id="1466"/>
      <w:bookmarkEnd w:id="1467"/>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公司的主要金融工具包括货币资金、应收账款、其他权益工具及应付账款等，各项金融工具的详细情况说明见本附注五 相关项目。与这些金融工具有关的风险，以及公司为降低这些风险所采取的风险管理政策如下所述。公司管理层对这些风险 敞口进行管理和监控以确保将上述风险控制在限定的范围之内。</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公司从事风险管理的目标是在风险和收益之间取得适当的平衡，将风险对公司经营业绩的负面影响降低到最低水平，使 股东及其他权益投资者的利益最大化。基于该风险管理目标，公司风险管理的基本策略是确定和分析公司所面临的各种风险， 建立适当的风险承受底线和进行风险管理，并及时可靠地对各种风险进行监督，将风险控制在限定的范围之内。</w:t>
      </w:r>
    </w:p>
    <w:p>
      <w:pPr>
        <w:pStyle w:val="Style24"/>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公司的金融工具导致的主要风险是信用风险、流动性风险、汇率风险</w:t>
      </w:r>
    </w:p>
    <w:p>
      <w:pPr>
        <w:pStyle w:val="Style61"/>
        <w:keepNext w:val="0"/>
        <w:keepLines w:val="0"/>
        <w:widowControl w:val="0"/>
        <w:shd w:val="clear" w:color="auto" w:fill="auto"/>
        <w:tabs>
          <w:tab w:pos="1230" w:val="left"/>
        </w:tabs>
        <w:bidi w:val="0"/>
        <w:spacing w:before="0" w:after="0" w:line="240" w:lineRule="auto"/>
        <w:ind w:left="0" w:right="0" w:firstLine="500"/>
        <w:jc w:val="left"/>
      </w:pPr>
      <w:bookmarkStart w:id="1468" w:name="bookmark1468"/>
      <w:r>
        <w:rPr>
          <w:rFonts w:ascii="Times New Roman" w:eastAsia="Times New Roman" w:hAnsi="Times New Roman" w:cs="Times New Roman"/>
          <w:color w:val="000000"/>
          <w:spacing w:val="0"/>
          <w:w w:val="100"/>
          <w:position w:val="0"/>
          <w:sz w:val="24"/>
          <w:szCs w:val="24"/>
        </w:rPr>
        <w:t>1</w:t>
      </w:r>
      <w:bookmarkEnd w:id="1468"/>
      <w:r>
        <w:rPr>
          <w:color w:val="000000"/>
          <w:spacing w:val="0"/>
          <w:w w:val="100"/>
          <w:position w:val="0"/>
          <w:sz w:val="24"/>
          <w:szCs w:val="24"/>
        </w:rPr>
        <w:t>、</w:t>
        <w:tab/>
        <w:t>信用风险</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信用风险，是指交易对手方未能履行合同义务而导致本集团产生财务损失的风险。</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公司对信用风险按组合分类进行管理。信用风险主要产生于应收款项。</w:t>
      </w:r>
    </w:p>
    <w:p>
      <w:pPr>
        <w:pStyle w:val="Style24"/>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对于应收款项，公司设定相关政策以控制信用风险敞口。公司基于对债务人的财务状况、外部评级、从第三方获取担保的可 能性、信用记录及其它因素诸如目前市场状况等评估债务人的信用资质并设置相应欠款额度与信用期限。公司会定期对债务 人信用记录进行监控，对于信用记录不良的债务人，公司会采用书面催款、缩短信用期或取消信用期等方式，以确保公司的 整体信用风险在可控的范围内。</w:t>
      </w:r>
    </w:p>
    <w:p>
      <w:pPr>
        <w:pStyle w:val="Style61"/>
        <w:keepNext w:val="0"/>
        <w:keepLines w:val="0"/>
        <w:widowControl w:val="0"/>
        <w:shd w:val="clear" w:color="auto" w:fill="auto"/>
        <w:tabs>
          <w:tab w:pos="1230" w:val="left"/>
        </w:tabs>
        <w:bidi w:val="0"/>
        <w:spacing w:before="0" w:after="0" w:line="240" w:lineRule="auto"/>
        <w:ind w:left="0" w:right="0" w:firstLine="500"/>
        <w:jc w:val="left"/>
      </w:pPr>
      <w:bookmarkStart w:id="1469" w:name="bookmark1469"/>
      <w:r>
        <w:rPr>
          <w:color w:val="000000"/>
          <w:spacing w:val="0"/>
          <w:w w:val="100"/>
          <w:position w:val="0"/>
          <w:sz w:val="24"/>
          <w:szCs w:val="24"/>
        </w:rPr>
        <w:t>2</w:t>
      </w:r>
      <w:bookmarkEnd w:id="1469"/>
      <w:r>
        <w:rPr>
          <w:color w:val="000000"/>
          <w:spacing w:val="0"/>
          <w:w w:val="100"/>
          <w:position w:val="0"/>
          <w:sz w:val="24"/>
          <w:szCs w:val="24"/>
        </w:rPr>
        <w:t>、</w:t>
        <w:tab/>
        <w:t>流动性风险</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流动性风险，是指公司在履行以交付现金或其他金融资产的方式结算的义务时发生资金短缺的风险。</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管理流动风险时，公司保持管理层认为充分的现金及现金等价物并对其进行监控，以满足公司经营需要，并降低现金流量波 动的影响。公司主要通过经营业务产生的资金来筹措营运资金。</w:t>
      </w: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期末公司持有的金融负债和表外担保项目按未折现剩余合同现金流量的到期期限分析如下:</w:t>
      </w:r>
    </w:p>
    <w:tbl>
      <w:tblPr>
        <w:tblOverlap w:val="never"/>
        <w:jc w:val="center"/>
        <w:tblLayout w:type="fixed"/>
      </w:tblPr>
      <w:tblGrid>
        <w:gridCol w:w="1550"/>
        <w:gridCol w:w="1675"/>
        <w:gridCol w:w="1498"/>
        <w:gridCol w:w="1406"/>
        <w:gridCol w:w="1498"/>
        <w:gridCol w:w="1685"/>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二到三年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三年以上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合计</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1,332, </w:t>
            </w:r>
            <w:r>
              <w:rPr>
                <w:color w:val="000000"/>
                <w:spacing w:val="0"/>
                <w:w w:val="100"/>
                <w:position w:val="0"/>
              </w:rPr>
              <w:t xml:space="preserve">599. </w:t>
            </w: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1,347, </w:t>
            </w:r>
            <w:r>
              <w:rPr>
                <w:color w:val="000000"/>
                <w:spacing w:val="0"/>
                <w:w w:val="100"/>
                <w:position w:val="0"/>
              </w:rPr>
              <w:t xml:space="preserve">626. </w:t>
            </w:r>
            <w:r>
              <w:rPr>
                <w:color w:val="000000"/>
                <w:spacing w:val="0"/>
                <w:w w:val="100"/>
                <w:position w:val="0"/>
              </w:rPr>
              <w:t>57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2, 840, </w:t>
            </w:r>
            <w:r>
              <w:rPr>
                <w:color w:val="000000"/>
                <w:spacing w:val="0"/>
                <w:w w:val="100"/>
                <w:position w:val="0"/>
              </w:rPr>
              <w:t xml:space="preserve">343.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2,840,343.27</w:t>
            </w:r>
          </w:p>
        </w:tc>
      </w:tr>
    </w:tbl>
    <w:p>
      <w:pPr>
        <w:widowControl w:val="0"/>
        <w:spacing w:after="139" w:line="1" w:lineRule="exact"/>
      </w:pPr>
    </w:p>
    <w:p>
      <w:pPr>
        <w:pStyle w:val="Style61"/>
        <w:keepNext w:val="0"/>
        <w:keepLines w:val="0"/>
        <w:widowControl w:val="0"/>
        <w:shd w:val="clear" w:color="auto" w:fill="auto"/>
        <w:bidi w:val="0"/>
        <w:spacing w:before="0" w:after="0" w:line="240" w:lineRule="auto"/>
        <w:ind w:left="0" w:right="0" w:firstLine="500"/>
        <w:jc w:val="left"/>
      </w:pPr>
      <w:bookmarkStart w:id="1470" w:name="bookmark1470"/>
      <w:r>
        <w:rPr>
          <w:color w:val="000000"/>
          <w:spacing w:val="0"/>
          <w:w w:val="100"/>
          <w:position w:val="0"/>
          <w:sz w:val="24"/>
          <w:szCs w:val="24"/>
        </w:rPr>
        <w:t>3</w:t>
      </w:r>
      <w:bookmarkEnd w:id="1470"/>
      <w:r>
        <w:rPr>
          <w:color w:val="000000"/>
          <w:spacing w:val="0"/>
          <w:w w:val="100"/>
          <w:position w:val="0"/>
          <w:sz w:val="24"/>
          <w:szCs w:val="24"/>
        </w:rPr>
        <w:t>、汇率风险</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24"/>
        <w:keepNext w:val="0"/>
        <w:keepLines w:val="0"/>
        <w:widowControl w:val="0"/>
        <w:shd w:val="clear" w:color="auto" w:fill="auto"/>
        <w:bidi w:val="0"/>
        <w:spacing w:before="0" w:after="720" w:line="317" w:lineRule="exact"/>
        <w:ind w:left="0" w:right="0" w:firstLine="380"/>
        <w:jc w:val="both"/>
      </w:pPr>
      <w:r>
        <w:rPr>
          <w:color w:val="000000"/>
          <w:spacing w:val="0"/>
          <w:w w:val="100"/>
          <w:position w:val="0"/>
        </w:rPr>
        <w:t>公司尽可能将外币收入与外币支出相匹配以降低汇率风险。此外，公司还可能签署远期外汇合约或货币互换合约以达到 规避汇率风险的目的。于本期及上期，公司未签署任何远期外汇合约或货币互换合约。</w:t>
      </w:r>
    </w:p>
    <w:p>
      <w:pPr>
        <w:pStyle w:val="Style28"/>
        <w:keepNext/>
        <w:keepLines/>
        <w:widowControl w:val="0"/>
        <w:shd w:val="clear" w:color="auto" w:fill="auto"/>
        <w:bidi w:val="0"/>
        <w:spacing w:before="0" w:after="340" w:line="240" w:lineRule="auto"/>
        <w:ind w:left="0" w:right="0" w:firstLine="0"/>
        <w:jc w:val="left"/>
      </w:pPr>
      <w:bookmarkStart w:id="1471" w:name="bookmark1471"/>
      <w:bookmarkStart w:id="1472" w:name="bookmark1472"/>
      <w:bookmarkStart w:id="1473" w:name="bookmark1473"/>
      <w:r>
        <w:rPr>
          <w:color w:val="000000"/>
          <w:spacing w:val="0"/>
          <w:w w:val="100"/>
          <w:position w:val="0"/>
          <w:sz w:val="24"/>
          <w:szCs w:val="24"/>
        </w:rPr>
        <w:t>十^―、公允价值的披露</w:t>
      </w:r>
      <w:bookmarkEnd w:id="1471"/>
      <w:bookmarkEnd w:id="1472"/>
      <w:bookmarkEnd w:id="1473"/>
    </w:p>
    <w:p>
      <w:pPr>
        <w:pStyle w:val="Style33"/>
        <w:keepNext/>
        <w:keepLines/>
        <w:widowControl w:val="0"/>
        <w:shd w:val="clear" w:color="auto" w:fill="auto"/>
        <w:bidi w:val="0"/>
        <w:spacing w:before="0" w:after="34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74"/>
      <w:bookmarkEnd w:id="1475"/>
      <w:bookmarkEnd w:id="14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第三层次公允价值计 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tbl>
      <w:tblPr>
        <w:tblOverlap w:val="never"/>
        <w:jc w:val="center"/>
        <w:tblLayout w:type="fixed"/>
      </w:tblPr>
      <w:tblGrid>
        <w:gridCol w:w="2002"/>
        <w:gridCol w:w="1834"/>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40,671,840.65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40,671,840.65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 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40,671,840.65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40,671,840.65</w:t>
            </w:r>
          </w:p>
        </w:tc>
      </w:tr>
    </w:tbl>
    <w:p>
      <w:pPr>
        <w:pStyle w:val="Style33"/>
        <w:keepNext/>
        <w:keepLines/>
        <w:widowControl w:val="0"/>
        <w:shd w:val="clear" w:color="auto" w:fill="auto"/>
        <w:tabs>
          <w:tab w:pos="378" w:val="left"/>
        </w:tabs>
        <w:bidi w:val="0"/>
        <w:spacing w:before="0" w:after="0" w:line="607" w:lineRule="exact"/>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bookmarkEnd w:id="1479"/>
      <w:r>
        <w:rPr>
          <w:color w:val="000000"/>
          <w:spacing w:val="0"/>
          <w:w w:val="100"/>
          <w:position w:val="0"/>
        </w:rPr>
        <w:t>、</w:t>
        <w:tab/>
        <w:t>持续和非持续第一层次公允价值计量项目市价的确定依据</w:t>
      </w:r>
      <w:bookmarkEnd w:id="1477"/>
      <w:bookmarkEnd w:id="1478"/>
      <w:bookmarkEnd w:id="1480"/>
    </w:p>
    <w:p>
      <w:pPr>
        <w:pStyle w:val="Style24"/>
        <w:keepNext w:val="0"/>
        <w:keepLines w:val="0"/>
        <w:widowControl w:val="0"/>
        <w:shd w:val="clear" w:color="auto" w:fill="auto"/>
        <w:bidi w:val="0"/>
        <w:spacing w:before="0" w:after="0" w:line="607" w:lineRule="exact"/>
        <w:ind w:left="0" w:right="0" w:firstLine="0"/>
        <w:jc w:val="left"/>
      </w:pPr>
      <w:r>
        <w:rPr>
          <w:color w:val="000000"/>
          <w:spacing w:val="0"/>
          <w:w w:val="100"/>
          <w:position w:val="0"/>
        </w:rPr>
        <w:t>相同资产或负债在活跃市场上</w:t>
      </w:r>
      <w:r>
        <w:rPr>
          <w:rFonts w:ascii="Times New Roman" w:eastAsia="Times New Roman" w:hAnsi="Times New Roman" w:cs="Times New Roman"/>
          <w:color w:val="000000"/>
          <w:spacing w:val="0"/>
          <w:w w:val="100"/>
          <w:position w:val="0"/>
        </w:rPr>
        <w:t>（</w:t>
      </w:r>
      <w:r>
        <w:rPr>
          <w:color w:val="000000"/>
          <w:spacing w:val="0"/>
          <w:w w:val="100"/>
          <w:position w:val="0"/>
        </w:rPr>
        <w:t>未经调整</w:t>
      </w:r>
      <w:r>
        <w:rPr>
          <w:rFonts w:ascii="Times New Roman" w:eastAsia="Times New Roman" w:hAnsi="Times New Roman" w:cs="Times New Roman"/>
          <w:color w:val="000000"/>
          <w:spacing w:val="0"/>
          <w:w w:val="100"/>
          <w:position w:val="0"/>
        </w:rPr>
        <w:t>）</w:t>
      </w:r>
      <w:r>
        <w:rPr>
          <w:color w:val="000000"/>
          <w:spacing w:val="0"/>
          <w:w w:val="100"/>
          <w:position w:val="0"/>
        </w:rPr>
        <w:t>的报价</w:t>
      </w:r>
    </w:p>
    <w:p>
      <w:pPr>
        <w:pStyle w:val="Style33"/>
        <w:keepNext/>
        <w:keepLines/>
        <w:widowControl w:val="0"/>
        <w:shd w:val="clear" w:color="auto" w:fill="auto"/>
        <w:tabs>
          <w:tab w:pos="378" w:val="left"/>
        </w:tabs>
        <w:bidi w:val="0"/>
        <w:spacing w:before="0" w:after="0" w:line="607" w:lineRule="exact"/>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color w:val="000000"/>
          <w:spacing w:val="0"/>
          <w:w w:val="100"/>
          <w:position w:val="0"/>
        </w:rPr>
        <w:t>、</w:t>
        <w:tab/>
        <w:t>持续和非持续第二层次公允价值计量项目，采用的估值技术和重要参数的定性及定量信息</w:t>
      </w:r>
      <w:bookmarkEnd w:id="1481"/>
      <w:bookmarkEnd w:id="1482"/>
      <w:bookmarkEnd w:id="1484"/>
    </w:p>
    <w:p>
      <w:pPr>
        <w:pStyle w:val="Style24"/>
        <w:keepNext w:val="0"/>
        <w:keepLines w:val="0"/>
        <w:widowControl w:val="0"/>
        <w:shd w:val="clear" w:color="auto" w:fill="auto"/>
        <w:bidi w:val="0"/>
        <w:spacing w:before="0" w:after="0" w:line="607" w:lineRule="exact"/>
        <w:ind w:left="0" w:right="0" w:firstLine="0"/>
        <w:jc w:val="left"/>
      </w:pPr>
      <w:r>
        <w:rPr>
          <w:color w:val="000000"/>
          <w:spacing w:val="0"/>
          <w:w w:val="100"/>
          <w:position w:val="0"/>
        </w:rPr>
        <w:t>直接</w:t>
      </w:r>
      <w:r>
        <w:rPr>
          <w:rFonts w:ascii="Times New Roman" w:eastAsia="Times New Roman" w:hAnsi="Times New Roman" w:cs="Times New Roman"/>
          <w:color w:val="000000"/>
          <w:spacing w:val="0"/>
          <w:w w:val="100"/>
          <w:position w:val="0"/>
        </w:rPr>
        <w:t>（</w:t>
      </w:r>
      <w:r>
        <w:rPr>
          <w:color w:val="000000"/>
          <w:spacing w:val="0"/>
          <w:w w:val="100"/>
          <w:position w:val="0"/>
        </w:rPr>
        <w:t>比如取自价格</w:t>
      </w:r>
      <w:r>
        <w:rPr>
          <w:rFonts w:ascii="Times New Roman" w:eastAsia="Times New Roman" w:hAnsi="Times New Roman" w:cs="Times New Roman"/>
          <w:color w:val="000000"/>
          <w:spacing w:val="0"/>
          <w:w w:val="100"/>
          <w:position w:val="0"/>
        </w:rPr>
        <w:t>）</w:t>
      </w:r>
      <w:r>
        <w:rPr>
          <w:color w:val="000000"/>
          <w:spacing w:val="0"/>
          <w:w w:val="100"/>
          <w:position w:val="0"/>
        </w:rPr>
        <w:t>或间接</w:t>
      </w:r>
      <w:r>
        <w:rPr>
          <w:rFonts w:ascii="Times New Roman" w:eastAsia="Times New Roman" w:hAnsi="Times New Roman" w:cs="Times New Roman"/>
          <w:color w:val="000000"/>
          <w:spacing w:val="0"/>
          <w:w w:val="100"/>
          <w:position w:val="0"/>
        </w:rPr>
        <w:t>（</w:t>
      </w:r>
      <w:r>
        <w:rPr>
          <w:color w:val="000000"/>
          <w:spacing w:val="0"/>
          <w:w w:val="100"/>
          <w:position w:val="0"/>
        </w:rPr>
        <w:t>比如根据价格推算的</w:t>
      </w:r>
      <w:r>
        <w:rPr>
          <w:rFonts w:ascii="Times New Roman" w:eastAsia="Times New Roman" w:hAnsi="Times New Roman" w:cs="Times New Roman"/>
          <w:color w:val="000000"/>
          <w:spacing w:val="0"/>
          <w:w w:val="100"/>
          <w:position w:val="0"/>
        </w:rPr>
        <w:t>）</w:t>
      </w:r>
      <w:r>
        <w:rPr>
          <w:color w:val="000000"/>
          <w:spacing w:val="0"/>
          <w:w w:val="100"/>
          <w:position w:val="0"/>
        </w:rPr>
        <w:t>可观察到的、除第一层级中的市场报价以外的资产或负债的输入值。</w:t>
      </w:r>
    </w:p>
    <w:p>
      <w:pPr>
        <w:pStyle w:val="Style33"/>
        <w:keepNext/>
        <w:keepLines/>
        <w:widowControl w:val="0"/>
        <w:shd w:val="clear" w:color="auto" w:fill="auto"/>
        <w:tabs>
          <w:tab w:pos="378" w:val="left"/>
        </w:tabs>
        <w:bidi w:val="0"/>
        <w:spacing w:before="0" w:after="0" w:line="607" w:lineRule="exact"/>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color w:val="000000"/>
          <w:spacing w:val="0"/>
          <w:w w:val="100"/>
          <w:position w:val="0"/>
        </w:rPr>
        <w:t>、</w:t>
        <w:tab/>
        <w:t>持续和非持续第三层次公允价值计量项目，采用的估值技术和重要参数的定性及定量信息</w:t>
      </w:r>
      <w:bookmarkEnd w:id="1485"/>
      <w:bookmarkEnd w:id="1486"/>
      <w:bookmarkEnd w:id="1488"/>
    </w:p>
    <w:p>
      <w:pPr>
        <w:pStyle w:val="Style24"/>
        <w:keepNext w:val="0"/>
        <w:keepLines w:val="0"/>
        <w:widowControl w:val="0"/>
        <w:shd w:val="clear" w:color="auto" w:fill="auto"/>
        <w:bidi w:val="0"/>
        <w:spacing w:before="0" w:after="0" w:line="607" w:lineRule="exact"/>
        <w:ind w:left="0" w:right="0" w:firstLine="0"/>
        <w:jc w:val="left"/>
      </w:pPr>
      <w:r>
        <w:rPr>
          <w:color w:val="000000"/>
          <w:spacing w:val="0"/>
          <w:w w:val="100"/>
          <w:position w:val="0"/>
        </w:rPr>
        <w:t>公司对持续第三层次公允价值计量项目采用可比上市公司比较法。可比上市公司比较法的不可观察输入值为流动性折扣。</w:t>
      </w:r>
    </w:p>
    <w:p>
      <w:pPr>
        <w:pStyle w:val="Style33"/>
        <w:keepNext/>
        <w:keepLines/>
        <w:widowControl w:val="0"/>
        <w:shd w:val="clear" w:color="auto" w:fill="auto"/>
        <w:tabs>
          <w:tab w:pos="378" w:val="left"/>
        </w:tabs>
        <w:bidi w:val="0"/>
        <w:spacing w:before="0" w:after="0" w:line="607" w:lineRule="exact"/>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shd w:val="clear" w:color="auto" w:fill="FFFFFF"/>
        </w:rPr>
        <w:t>5</w:t>
      </w:r>
      <w:bookmarkEnd w:id="1491"/>
      <w:r>
        <w:rPr>
          <w:color w:val="000000"/>
          <w:spacing w:val="0"/>
          <w:w w:val="100"/>
          <w:position w:val="0"/>
          <w:shd w:val="clear" w:color="auto" w:fill="FFFFFF"/>
        </w:rPr>
        <w:t>、</w:t>
        <w:tab/>
        <w:t>持续的第三层次公允价值计量项目，期初与期末账面价值间的调节信息及不可观察参数敏感性分析</w:t>
      </w:r>
      <w:bookmarkEnd w:id="1489"/>
      <w:bookmarkEnd w:id="1490"/>
      <w:bookmarkEnd w:id="1492"/>
    </w:p>
    <w:p>
      <w:pPr>
        <w:pStyle w:val="Style24"/>
        <w:keepNext w:val="0"/>
        <w:keepLines w:val="0"/>
        <w:widowControl w:val="0"/>
        <w:shd w:val="clear" w:color="auto" w:fill="auto"/>
        <w:tabs>
          <w:tab w:pos="322" w:val="left"/>
        </w:tabs>
        <w:bidi w:val="0"/>
        <w:spacing w:before="0" w:after="0" w:line="607" w:lineRule="exact"/>
        <w:ind w:left="0" w:right="0" w:firstLine="0"/>
        <w:jc w:val="left"/>
      </w:pPr>
      <w:bookmarkStart w:id="1493" w:name="bookmark1493"/>
      <w:r>
        <w:rPr>
          <w:color w:val="000000"/>
          <w:spacing w:val="0"/>
          <w:w w:val="100"/>
          <w:position w:val="0"/>
        </w:rPr>
        <w:t>公司本期无出现该项情况。</w:t>
      </w:r>
      <w:bookmarkEnd w:id="1493"/>
    </w:p>
    <w:p>
      <w:pPr>
        <w:pStyle w:val="Style33"/>
        <w:keepNext/>
        <w:keepLines/>
        <w:widowControl w:val="0"/>
        <w:shd w:val="clear" w:color="auto" w:fill="auto"/>
        <w:tabs>
          <w:tab w:pos="378" w:val="left"/>
        </w:tabs>
        <w:bidi w:val="0"/>
        <w:spacing w:before="0" w:after="0" w:line="607" w:lineRule="exact"/>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shd w:val="clear" w:color="auto" w:fill="FFFFFF"/>
        </w:rPr>
        <w:t>6</w:t>
      </w:r>
      <w:bookmarkEnd w:id="1496"/>
      <w:r>
        <w:rPr>
          <w:color w:val="000000"/>
          <w:spacing w:val="0"/>
          <w:w w:val="100"/>
          <w:position w:val="0"/>
          <w:shd w:val="clear" w:color="auto" w:fill="FFFFFF"/>
        </w:rPr>
        <w:t>、</w:t>
        <w:tab/>
        <w:t>持续的公允价值计量项目，本期内发生各层级之间转换的，转换的原因及确定转换时点的政策</w:t>
      </w:r>
      <w:bookmarkEnd w:id="1494"/>
      <w:bookmarkEnd w:id="1495"/>
      <w:bookmarkEnd w:id="1497"/>
    </w:p>
    <w:p>
      <w:pPr>
        <w:pStyle w:val="Style24"/>
        <w:keepNext w:val="0"/>
        <w:keepLines w:val="0"/>
        <w:widowControl w:val="0"/>
        <w:shd w:val="clear" w:color="auto" w:fill="auto"/>
        <w:tabs>
          <w:tab w:pos="322" w:val="left"/>
        </w:tabs>
        <w:bidi w:val="0"/>
        <w:spacing w:before="0" w:after="0" w:line="607" w:lineRule="exact"/>
        <w:ind w:left="0" w:right="0" w:firstLine="0"/>
        <w:jc w:val="left"/>
      </w:pPr>
      <w:bookmarkStart w:id="1498" w:name="bookmark1498"/>
      <w:r>
        <w:rPr>
          <w:color w:val="000000"/>
          <w:spacing w:val="0"/>
          <w:w w:val="100"/>
          <w:position w:val="0"/>
        </w:rPr>
        <w:t>公司持续的公允价值计量项目本期内无发生各层级之间转换。</w:t>
      </w:r>
      <w:bookmarkEnd w:id="1498"/>
    </w:p>
    <w:p>
      <w:pPr>
        <w:pStyle w:val="Style33"/>
        <w:keepNext/>
        <w:keepLines/>
        <w:widowControl w:val="0"/>
        <w:shd w:val="clear" w:color="auto" w:fill="auto"/>
        <w:tabs>
          <w:tab w:pos="378" w:val="left"/>
        </w:tabs>
        <w:bidi w:val="0"/>
        <w:spacing w:before="0" w:after="0" w:line="607" w:lineRule="exact"/>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7</w:t>
      </w:r>
      <w:bookmarkEnd w:id="1501"/>
      <w:r>
        <w:rPr>
          <w:color w:val="000000"/>
          <w:spacing w:val="0"/>
          <w:w w:val="100"/>
          <w:position w:val="0"/>
        </w:rPr>
        <w:t>、</w:t>
        <w:tab/>
        <w:t>本期内发生的估值技术变更及变更原因</w:t>
      </w:r>
      <w:bookmarkEnd w:id="1499"/>
      <w:bookmarkEnd w:id="1500"/>
      <w:bookmarkEnd w:id="1502"/>
    </w:p>
    <w:p>
      <w:pPr>
        <w:pStyle w:val="Style24"/>
        <w:keepNext w:val="0"/>
        <w:keepLines w:val="0"/>
        <w:widowControl w:val="0"/>
        <w:shd w:val="clear" w:color="auto" w:fill="auto"/>
        <w:bidi w:val="0"/>
        <w:spacing w:before="0" w:after="0" w:line="607" w:lineRule="exact"/>
        <w:ind w:left="0" w:right="0" w:firstLine="0"/>
        <w:jc w:val="left"/>
      </w:pPr>
      <w:r>
        <w:rPr>
          <w:color w:val="000000"/>
          <w:spacing w:val="0"/>
          <w:w w:val="100"/>
          <w:position w:val="0"/>
        </w:rPr>
        <w:t>公司持续的公允价值计量项目本期内无发生估值技术变更。</w:t>
      </w:r>
    </w:p>
    <w:p>
      <w:pPr>
        <w:pStyle w:val="Style33"/>
        <w:keepNext/>
        <w:keepLines/>
        <w:widowControl w:val="0"/>
        <w:shd w:val="clear" w:color="auto" w:fill="auto"/>
        <w:tabs>
          <w:tab w:pos="378" w:val="left"/>
        </w:tabs>
        <w:bidi w:val="0"/>
        <w:spacing w:before="0" w:after="0" w:line="607" w:lineRule="exact"/>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8</w:t>
      </w:r>
      <w:bookmarkEnd w:id="1505"/>
      <w:r>
        <w:rPr>
          <w:color w:val="000000"/>
          <w:spacing w:val="0"/>
          <w:w w:val="100"/>
          <w:position w:val="0"/>
        </w:rPr>
        <w:t>、</w:t>
        <w:tab/>
        <w:t>不以公允价值计量的金融资产和金融负债的公允价值情况</w:t>
      </w:r>
      <w:bookmarkEnd w:id="1503"/>
      <w:bookmarkEnd w:id="1504"/>
      <w:bookmarkEnd w:id="1506"/>
    </w:p>
    <w:p>
      <w:pPr>
        <w:pStyle w:val="Style24"/>
        <w:keepNext w:val="0"/>
        <w:keepLines w:val="0"/>
        <w:widowControl w:val="0"/>
        <w:shd w:val="clear" w:color="auto" w:fill="auto"/>
        <w:bidi w:val="0"/>
        <w:spacing w:before="0" w:after="340" w:line="607" w:lineRule="exact"/>
        <w:ind w:left="0" w:right="0" w:firstLine="0"/>
        <w:jc w:val="left"/>
      </w:pPr>
      <w:r>
        <w:rPr>
          <w:color w:val="000000"/>
          <w:spacing w:val="0"/>
          <w:w w:val="100"/>
          <w:position w:val="0"/>
        </w:rPr>
        <w:t>公司以摊余成本计量的金融资产和金融负债主要包括：应收款项、其他应收款及应付款项等。</w:t>
      </w:r>
    </w:p>
    <w:p>
      <w:pPr>
        <w:pStyle w:val="Style28"/>
        <w:keepNext/>
        <w:keepLines/>
        <w:widowControl w:val="0"/>
        <w:shd w:val="clear" w:color="auto" w:fill="auto"/>
        <w:bidi w:val="0"/>
        <w:spacing w:before="0" w:after="340" w:line="240" w:lineRule="auto"/>
        <w:ind w:left="0" w:right="0" w:firstLine="0"/>
        <w:jc w:val="left"/>
      </w:pPr>
      <w:bookmarkStart w:id="1507" w:name="bookmark1507"/>
      <w:bookmarkStart w:id="1508" w:name="bookmark1508"/>
      <w:bookmarkStart w:id="1509" w:name="bookmark1509"/>
      <w:r>
        <w:rPr>
          <w:color w:val="000000"/>
          <w:spacing w:val="0"/>
          <w:w w:val="100"/>
          <w:position w:val="0"/>
          <w:sz w:val="24"/>
          <w:szCs w:val="24"/>
        </w:rPr>
        <w:t>十二、关联方及关联交易</w:t>
      </w:r>
      <w:bookmarkEnd w:id="1507"/>
      <w:bookmarkEnd w:id="1508"/>
      <w:bookmarkEnd w:id="1509"/>
    </w:p>
    <w:p>
      <w:pPr>
        <w:pStyle w:val="Style33"/>
        <w:keepNext/>
        <w:keepLines/>
        <w:widowControl w:val="0"/>
        <w:shd w:val="clear" w:color="auto" w:fill="auto"/>
        <w:bidi w:val="0"/>
        <w:spacing w:before="0" w:after="340" w:line="240" w:lineRule="auto"/>
        <w:ind w:left="0" w:right="0" w:firstLine="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10"/>
      <w:bookmarkEnd w:id="1511"/>
      <w:bookmarkEnd w:id="1512"/>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益群集团控股有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HKD1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24.46%</w:t>
            </w:r>
          </w:p>
        </w:tc>
      </w:tr>
    </w:tbl>
    <w:p>
      <w:pPr>
        <w:pStyle w:val="Style24"/>
        <w:keepNext w:val="0"/>
        <w:keepLines w:val="0"/>
        <w:widowControl w:val="0"/>
        <w:shd w:val="clear" w:color="auto" w:fill="auto"/>
        <w:bidi w:val="0"/>
        <w:spacing w:before="0" w:after="60" w:line="302" w:lineRule="exact"/>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340" w:line="302" w:lineRule="exact"/>
        <w:ind w:left="0" w:right="0" w:firstLine="0"/>
        <w:jc w:val="left"/>
      </w:pPr>
      <w:r>
        <w:rPr>
          <w:color w:val="000000"/>
          <w:spacing w:val="0"/>
          <w:w w:val="100"/>
          <w:position w:val="0"/>
        </w:rPr>
        <w:t>公司的实际控制人为周志群。周志群持有益群集团控股有限公司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的股权。法人股东益群集团控股有限公司持有公司 </w:t>
      </w:r>
      <w:r>
        <w:rPr>
          <w:rFonts w:ascii="Times New Roman" w:eastAsia="Times New Roman" w:hAnsi="Times New Roman" w:cs="Times New Roman"/>
          <w:color w:val="000000"/>
          <w:spacing w:val="0"/>
          <w:w w:val="100"/>
          <w:position w:val="0"/>
        </w:rPr>
        <w:t>6,928.05</w:t>
      </w:r>
      <w:r>
        <w:rPr>
          <w:color w:val="000000"/>
          <w:spacing w:val="0"/>
          <w:w w:val="100"/>
          <w:position w:val="0"/>
        </w:rPr>
        <w:t>万股股份，占总股本的</w:t>
      </w:r>
      <w:r>
        <w:rPr>
          <w:rFonts w:ascii="Times New Roman" w:eastAsia="Times New Roman" w:hAnsi="Times New Roman" w:cs="Times New Roman"/>
          <w:color w:val="000000"/>
          <w:spacing w:val="0"/>
          <w:w w:val="100"/>
          <w:position w:val="0"/>
        </w:rPr>
        <w:t>24.46%</w:t>
      </w:r>
      <w:r>
        <w:rPr>
          <w:color w:val="000000"/>
          <w:spacing w:val="0"/>
          <w:w w:val="100"/>
          <w:position w:val="0"/>
        </w:rPr>
        <w:t>，为公司的第一大股东。</w:t>
      </w:r>
    </w:p>
    <w:p>
      <w:pPr>
        <w:pStyle w:val="Style33"/>
        <w:keepNext/>
        <w:keepLines/>
        <w:widowControl w:val="0"/>
        <w:shd w:val="clear" w:color="auto" w:fill="auto"/>
        <w:tabs>
          <w:tab w:pos="378" w:val="left"/>
        </w:tabs>
        <w:bidi w:val="0"/>
        <w:spacing w:before="0" w:after="2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bookmarkEnd w:id="1515"/>
      <w:r>
        <w:rPr>
          <w:color w:val="000000"/>
          <w:spacing w:val="0"/>
          <w:w w:val="100"/>
          <w:position w:val="0"/>
        </w:rPr>
        <w:t>、</w:t>
        <w:tab/>
        <w:t>本企业的子公司情况</w:t>
      </w:r>
      <w:bookmarkEnd w:id="1513"/>
      <w:bookmarkEnd w:id="1514"/>
      <w:bookmarkEnd w:id="1516"/>
    </w:p>
    <w:p>
      <w:pPr>
        <w:pStyle w:val="Style24"/>
        <w:keepNext w:val="0"/>
        <w:keepLines w:val="0"/>
        <w:widowControl w:val="0"/>
        <w:shd w:val="clear" w:color="auto" w:fill="auto"/>
        <w:bidi w:val="0"/>
        <w:spacing w:before="0" w:after="340" w:line="302"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3"/>
        <w:keepNext/>
        <w:keepLines/>
        <w:widowControl w:val="0"/>
        <w:shd w:val="clear" w:color="auto" w:fill="auto"/>
        <w:tabs>
          <w:tab w:pos="378" w:val="left"/>
        </w:tabs>
        <w:bidi w:val="0"/>
        <w:spacing w:before="0" w:after="280" w:line="240" w:lineRule="auto"/>
        <w:ind w:left="0" w:right="0" w:firstLine="0"/>
        <w:jc w:val="both"/>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color w:val="000000"/>
          <w:spacing w:val="0"/>
          <w:w w:val="100"/>
          <w:position w:val="0"/>
        </w:rPr>
        <w:t>、</w:t>
        <w:tab/>
        <w:t>本企业合营和联营企业情况</w:t>
      </w:r>
      <w:bookmarkEnd w:id="1517"/>
      <w:bookmarkEnd w:id="1518"/>
      <w:bookmarkEnd w:id="1520"/>
    </w:p>
    <w:p>
      <w:pPr>
        <w:pStyle w:val="Style24"/>
        <w:keepNext w:val="0"/>
        <w:keepLines w:val="0"/>
        <w:widowControl w:val="0"/>
        <w:shd w:val="clear" w:color="auto" w:fill="auto"/>
        <w:bidi w:val="0"/>
        <w:spacing w:before="0" w:after="340" w:line="302" w:lineRule="exact"/>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3"/>
        <w:keepNext/>
        <w:keepLines/>
        <w:widowControl w:val="0"/>
        <w:shd w:val="clear" w:color="auto" w:fill="auto"/>
        <w:tabs>
          <w:tab w:pos="378" w:val="left"/>
        </w:tabs>
        <w:bidi w:val="0"/>
        <w:spacing w:before="0" w:after="34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color w:val="000000"/>
          <w:spacing w:val="0"/>
          <w:w w:val="100"/>
          <w:position w:val="0"/>
        </w:rPr>
        <w:t>、</w:t>
        <w:tab/>
        <w:t>其他关联方情况</w:t>
      </w:r>
      <w:bookmarkEnd w:id="1521"/>
      <w:bookmarkEnd w:id="1522"/>
      <w:bookmarkEnd w:id="152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德龙动能科技（深圳）有限公司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公司董事、监事兼任董事、高级管理人员的企业</w:t>
            </w:r>
          </w:p>
        </w:tc>
      </w:tr>
      <w:tr>
        <w:trPr>
          <w:trHeight w:val="6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德高智能科技有限公司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公司董事、监事兼任董事、高级管理人员的企业</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德高动能科技（惠州）有限公司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公司董事、监事兼任董事、高级管理人员的企业</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德龙微电技术有限公司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公司董事、监事兼任董事、高级管理人员的企业</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企业管理有限公司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公司董事、监事兼任董事、高级管理人员的企业</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精诚瑞宝计算机系统有限公司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公司董事、监事兼任董事、高级管理人员的企业</w:t>
            </w:r>
          </w:p>
        </w:tc>
      </w:tr>
    </w:tbl>
    <w:p>
      <w:pPr>
        <w:widowControl w:val="0"/>
        <w:spacing w:after="5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注：精诚</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企业管理有限公司及精诚瑞宝计算机系统有限公司于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日后不再为公司关联方。</w:t>
      </w:r>
    </w:p>
    <w:p>
      <w:pPr>
        <w:pStyle w:val="Style33"/>
        <w:keepNext/>
        <w:keepLines/>
        <w:widowControl w:val="0"/>
        <w:shd w:val="clear" w:color="auto" w:fill="auto"/>
        <w:bidi w:val="0"/>
        <w:spacing w:before="0" w:after="340" w:line="240" w:lineRule="auto"/>
        <w:ind w:left="0" w:right="0" w:firstLine="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5</w:t>
      </w:r>
      <w:bookmarkEnd w:id="1527"/>
      <w:r>
        <w:rPr>
          <w:color w:val="000000"/>
          <w:spacing w:val="0"/>
          <w:w w:val="100"/>
          <w:position w:val="0"/>
        </w:rPr>
        <w:t>、关联交易情况</w:t>
      </w:r>
      <w:bookmarkEnd w:id="1525"/>
      <w:bookmarkEnd w:id="1526"/>
      <w:bookmarkEnd w:id="1528"/>
    </w:p>
    <w:p>
      <w:pPr>
        <w:pStyle w:val="Style38"/>
        <w:keepNext/>
        <w:keepLines/>
        <w:widowControl w:val="0"/>
        <w:shd w:val="clear" w:color="auto" w:fill="auto"/>
        <w:bidi w:val="0"/>
        <w:spacing w:before="0" w:after="340" w:line="240" w:lineRule="auto"/>
        <w:ind w:left="0" w:right="0" w:firstLine="0"/>
        <w:jc w:val="both"/>
      </w:pPr>
      <w:bookmarkStart w:id="1529" w:name="bookmark1529"/>
      <w:bookmarkStart w:id="1530" w:name="bookmark1530"/>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29"/>
      <w:bookmarkEnd w:id="1530"/>
      <w:bookmarkEnd w:id="1531"/>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精诚（中国）企 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软件及技术培 训费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19,047.55</w:t>
            </w:r>
          </w:p>
        </w:tc>
      </w:tr>
    </w:tbl>
    <w:p>
      <w:pPr>
        <w:spacing w:lineRule="exact" w:line="1"/>
        <w:rPr>
          <w:sz w:val="2"/>
          <w:szCs w:val="2"/>
        </w:rPr>
      </w:pPr>
      <w:r>
        <w:br w:type="page"/>
      </w:r>
    </w:p>
    <w:tbl>
      <w:tblPr>
        <w:tblOverlap w:val="never"/>
        <w:jc w:val="center"/>
        <w:tblLayout w:type="fixed"/>
      </w:tblPr>
      <w:tblGrid>
        <w:gridCol w:w="1546"/>
        <w:gridCol w:w="1454"/>
        <w:gridCol w:w="1454"/>
        <w:gridCol w:w="1709"/>
        <w:gridCol w:w="1704"/>
        <w:gridCol w:w="171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精诚瑞宝计算机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软件及技术培 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173,113.20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76,415.09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173,113.20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95,462.64</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8"/>
        <w:keepNext/>
        <w:keepLines/>
        <w:widowControl w:val="0"/>
        <w:shd w:val="clear" w:color="auto" w:fill="auto"/>
        <w:bidi w:val="0"/>
        <w:spacing w:before="0" w:after="340" w:line="240" w:lineRule="auto"/>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)关联方资产转让、债务重组情况</w:t>
      </w:r>
      <w:bookmarkEnd w:id="1532"/>
      <w:bookmarkEnd w:id="1533"/>
      <w:bookmarkEnd w:id="15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钱方好近金融科技有限公司</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36.67%</w:t>
            </w:r>
            <w:r>
              <w:rPr>
                <w:color w:val="000000"/>
                <w:spacing w:val="0"/>
                <w:w w:val="100"/>
                <w:position w:val="0"/>
              </w:rPr>
              <w:t>股权出售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2,115.15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2,115.15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8"/>
        <w:keepNext/>
        <w:keepLines/>
        <w:widowControl w:val="0"/>
        <w:numPr>
          <w:ilvl w:val="0"/>
          <w:numId w:val="85"/>
        </w:numPr>
        <w:shd w:val="clear" w:color="auto" w:fill="auto"/>
        <w:bidi w:val="0"/>
        <w:spacing w:before="0" w:after="340" w:line="240" w:lineRule="auto"/>
        <w:ind w:left="0" w:right="0" w:firstLine="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关键管理人员报酬</w:t>
      </w:r>
      <w:bookmarkEnd w:id="1535"/>
      <w:bookmarkEnd w:id="1536"/>
      <w:bookmarkEnd w:id="15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889.96</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404.24</w:t>
            </w:r>
            <w:r>
              <w:rPr>
                <w:color w:val="000000"/>
                <w:spacing w:val="0"/>
                <w:w w:val="100"/>
                <w:position w:val="0"/>
              </w:rPr>
              <w:t>万元</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539" w:name="bookmark1539"/>
      <w:bookmarkStart w:id="1540" w:name="bookmark1540"/>
      <w:bookmarkStart w:id="1541" w:name="bookmark1541"/>
      <w:r>
        <w:rPr>
          <w:color w:val="000000"/>
          <w:spacing w:val="0"/>
          <w:w w:val="100"/>
          <w:position w:val="0"/>
        </w:rPr>
        <w:t>其他关联交易</w:t>
      </w:r>
      <w:bookmarkEnd w:id="1539"/>
      <w:bookmarkEnd w:id="1540"/>
      <w:bookmarkEnd w:id="1541"/>
    </w:p>
    <w:p>
      <w:pPr>
        <w:pStyle w:val="Style33"/>
        <w:keepNext/>
        <w:keepLines/>
        <w:widowControl w:val="0"/>
        <w:shd w:val="clear" w:color="auto" w:fill="auto"/>
        <w:bidi w:val="0"/>
        <w:spacing w:before="0" w:after="34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6</w:t>
      </w:r>
      <w:bookmarkEnd w:id="1544"/>
      <w:r>
        <w:rPr>
          <w:color w:val="000000"/>
          <w:spacing w:val="0"/>
          <w:w w:val="100"/>
          <w:position w:val="0"/>
        </w:rPr>
        <w:t>、关联方应收应付款项</w:t>
      </w:r>
      <w:bookmarkEnd w:id="1542"/>
      <w:bookmarkEnd w:id="1543"/>
      <w:bookmarkEnd w:id="1545"/>
    </w:p>
    <w:p>
      <w:pPr>
        <w:pStyle w:val="Style38"/>
        <w:keepNext/>
        <w:keepLines/>
        <w:widowControl w:val="0"/>
        <w:shd w:val="clear" w:color="auto" w:fill="auto"/>
        <w:bidi w:val="0"/>
        <w:spacing w:before="0" w:after="34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46"/>
      <w:bookmarkEnd w:id="1547"/>
      <w:bookmarkEnd w:id="1548"/>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益群集团控股有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10,404,221.22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104,042.22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40" w:line="315" w:lineRule="exact"/>
        <w:ind w:left="0" w:right="0" w:firstLine="380"/>
        <w:jc w:val="both"/>
      </w:pPr>
      <w:r>
        <w:rPr>
          <w:color w:val="000000"/>
          <w:spacing w:val="0"/>
          <w:w w:val="100"/>
          <w:position w:val="0"/>
        </w:rPr>
        <w:t>报告期内，公司向益群集团控股有限公司出售了参股公司钱方好近金融科技有限公司</w:t>
      </w:r>
      <w:r>
        <w:rPr>
          <w:rFonts w:ascii="Times New Roman" w:eastAsia="Times New Roman" w:hAnsi="Times New Roman" w:cs="Times New Roman"/>
          <w:color w:val="000000"/>
          <w:spacing w:val="0"/>
          <w:w w:val="100"/>
          <w:position w:val="0"/>
        </w:rPr>
        <w:t>36.67%</w:t>
      </w:r>
      <w:r>
        <w:rPr>
          <w:color w:val="000000"/>
          <w:spacing w:val="0"/>
          <w:w w:val="100"/>
          <w:position w:val="0"/>
        </w:rPr>
        <w:t>股权，交易总价为</w:t>
      </w:r>
      <w:r>
        <w:rPr>
          <w:rFonts w:ascii="Times New Roman" w:eastAsia="Times New Roman" w:hAnsi="Times New Roman" w:cs="Times New Roman"/>
          <w:color w:val="000000"/>
          <w:spacing w:val="0"/>
          <w:w w:val="100"/>
          <w:position w:val="0"/>
        </w:rPr>
        <w:t xml:space="preserve">2,545.06 </w:t>
      </w:r>
      <w:r>
        <w:rPr>
          <w:color w:val="000000"/>
          <w:spacing w:val="0"/>
          <w:w w:val="100"/>
          <w:position w:val="0"/>
        </w:rPr>
        <w:t>万港元。公司与益群集团控股有限公司共同签署了《有关钱方好近金融科技有限公司约</w:t>
      </w:r>
      <w:r>
        <w:rPr>
          <w:rFonts w:ascii="Times New Roman" w:eastAsia="Times New Roman" w:hAnsi="Times New Roman" w:cs="Times New Roman"/>
          <w:color w:val="000000"/>
          <w:spacing w:val="0"/>
          <w:w w:val="100"/>
          <w:position w:val="0"/>
        </w:rPr>
        <w:t>36.67%</w:t>
      </w:r>
      <w:r>
        <w:rPr>
          <w:color w:val="000000"/>
          <w:spacing w:val="0"/>
          <w:w w:val="100"/>
          <w:position w:val="0"/>
        </w:rPr>
        <w:t>已发行股本之买卖契据》。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日，公司已收到益群集团控股有限公司支付的首期交易价款</w:t>
      </w:r>
      <w:r>
        <w:rPr>
          <w:rFonts w:ascii="Times New Roman" w:eastAsia="Times New Roman" w:hAnsi="Times New Roman" w:cs="Times New Roman"/>
          <w:color w:val="000000"/>
          <w:spacing w:val="0"/>
          <w:w w:val="100"/>
          <w:position w:val="0"/>
        </w:rPr>
        <w:t>1,272.53</w:t>
      </w:r>
      <w:r>
        <w:rPr>
          <w:color w:val="000000"/>
          <w:spacing w:val="0"/>
          <w:w w:val="100"/>
          <w:position w:val="0"/>
        </w:rPr>
        <w:t>万港元，剩余款项将于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日前支付完毕。</w:t>
      </w:r>
    </w:p>
    <w:p>
      <w:pPr>
        <w:pStyle w:val="Style38"/>
        <w:keepNext/>
        <w:keepLines/>
        <w:widowControl w:val="0"/>
        <w:shd w:val="clear" w:color="auto" w:fill="auto"/>
        <w:bidi w:val="0"/>
        <w:spacing w:before="0" w:after="340" w:line="240" w:lineRule="auto"/>
        <w:ind w:left="0" w:right="0" w:firstLine="0"/>
        <w:jc w:val="left"/>
      </w:pPr>
      <w:bookmarkStart w:id="1549" w:name="bookmark1549"/>
      <w:bookmarkStart w:id="1550" w:name="bookmark1550"/>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49"/>
      <w:bookmarkEnd w:id="1550"/>
      <w:bookmarkEnd w:id="15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精诚瑞宝计算机系统有限公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56,603.77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5"/>
        <w:gridCol w:w="2395"/>
        <w:gridCol w:w="2390"/>
        <w:gridCol w:w="2400"/>
      </w:tblGrid>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8"/>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r>
        <w:rPr>
          <w:color w:val="000000"/>
          <w:spacing w:val="0"/>
          <w:w w:val="100"/>
          <w:position w:val="0"/>
          <w:sz w:val="24"/>
          <w:szCs w:val="24"/>
        </w:rPr>
        <w:t>十三、股份支付</w:t>
      </w:r>
      <w:bookmarkEnd w:id="1552"/>
      <w:bookmarkEnd w:id="1553"/>
      <w:bookmarkEnd w:id="1554"/>
    </w:p>
    <w:p>
      <w:pPr>
        <w:pStyle w:val="Style33"/>
        <w:keepNext/>
        <w:keepLines/>
        <w:widowControl w:val="0"/>
        <w:shd w:val="clear" w:color="auto" w:fill="auto"/>
        <w:tabs>
          <w:tab w:pos="368" w:val="left"/>
        </w:tabs>
        <w:bidi w:val="0"/>
        <w:spacing w:before="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1</w:t>
      </w:r>
      <w:bookmarkEnd w:id="1557"/>
      <w:r>
        <w:rPr>
          <w:color w:val="000000"/>
          <w:spacing w:val="0"/>
          <w:w w:val="100"/>
          <w:position w:val="0"/>
        </w:rPr>
        <w:t>、</w:t>
        <w:tab/>
        <w:t>股份支付总体情况</w:t>
      </w:r>
      <w:bookmarkEnd w:id="1555"/>
      <w:bookmarkEnd w:id="1556"/>
      <w:bookmarkEnd w:id="155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2</w:t>
      </w:r>
      <w:bookmarkEnd w:id="1561"/>
      <w:r>
        <w:rPr>
          <w:color w:val="000000"/>
          <w:spacing w:val="0"/>
          <w:w w:val="100"/>
          <w:position w:val="0"/>
        </w:rPr>
        <w:t>、</w:t>
        <w:tab/>
        <w:t>以权益结算的股份支付情况</w:t>
      </w:r>
      <w:bookmarkEnd w:id="1559"/>
      <w:bookmarkEnd w:id="1560"/>
      <w:bookmarkEnd w:id="156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color w:val="000000"/>
          <w:spacing w:val="0"/>
          <w:w w:val="100"/>
          <w:position w:val="0"/>
        </w:rPr>
        <w:t>、</w:t>
        <w:tab/>
        <w:t>以现金结算的股份支付情况</w:t>
      </w:r>
      <w:bookmarkEnd w:id="1563"/>
      <w:bookmarkEnd w:id="1564"/>
      <w:bookmarkEnd w:id="156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378" w:val="left"/>
        </w:tabs>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color w:val="000000"/>
          <w:spacing w:val="0"/>
          <w:w w:val="100"/>
          <w:position w:val="0"/>
        </w:rPr>
        <w:t>、</w:t>
        <w:tab/>
        <w:t>股份支付的修改、终止情况</w:t>
      </w:r>
      <w:bookmarkEnd w:id="1567"/>
      <w:bookmarkEnd w:id="1568"/>
      <w:bookmarkEnd w:id="1570"/>
    </w:p>
    <w:p>
      <w:pPr>
        <w:pStyle w:val="Style24"/>
        <w:keepNext w:val="0"/>
        <w:keepLines w:val="0"/>
        <w:widowControl w:val="0"/>
        <w:shd w:val="clear" w:color="auto" w:fill="auto"/>
        <w:bidi w:val="0"/>
        <w:spacing w:before="0" w:after="960" w:line="240" w:lineRule="auto"/>
        <w:ind w:left="0" w:right="0" w:firstLine="0"/>
        <w:jc w:val="left"/>
      </w:pPr>
      <w:r>
        <w:rPr>
          <w:color w:val="000000"/>
          <w:spacing w:val="0"/>
          <w:w w:val="100"/>
          <w:position w:val="0"/>
        </w:rPr>
        <w:t>报告期内股份支付无发生修改及终止情况。</w:t>
      </w:r>
    </w:p>
    <w:p>
      <w:pPr>
        <w:pStyle w:val="Style28"/>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3" w:name="bookmark1573"/>
      <w:r>
        <w:rPr>
          <w:color w:val="000000"/>
          <w:spacing w:val="0"/>
          <w:w w:val="100"/>
          <w:position w:val="0"/>
          <w:sz w:val="24"/>
          <w:szCs w:val="24"/>
        </w:rPr>
        <w:t>十四、承诺及或有事项</w:t>
      </w:r>
      <w:bookmarkEnd w:id="1571"/>
      <w:bookmarkEnd w:id="1572"/>
      <w:bookmarkEnd w:id="1573"/>
    </w:p>
    <w:p>
      <w:pPr>
        <w:pStyle w:val="Style33"/>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74"/>
      <w:bookmarkEnd w:id="1575"/>
      <w:bookmarkEnd w:id="1576"/>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经营租赁承担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根据不可撤销的有关房屋经营租赁协议，报告期以后应支付的最低租赁付款额如下:</w:t>
      </w:r>
    </w:p>
    <w:tbl>
      <w:tblPr>
        <w:tblOverlap w:val="never"/>
        <w:jc w:val="center"/>
        <w:tblLayout w:type="fixed"/>
      </w:tblPr>
      <w:tblGrid>
        <w:gridCol w:w="4565"/>
        <w:gridCol w:w="469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2021. 12.31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7,719,409.00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4,124, </w:t>
            </w:r>
            <w:r>
              <w:rPr>
                <w:color w:val="000000"/>
                <w:spacing w:val="0"/>
                <w:w w:val="100"/>
                <w:position w:val="0"/>
              </w:rPr>
              <w:t xml:space="preserve">740. </w:t>
            </w:r>
            <w:r>
              <w:rPr>
                <w:color w:val="000000"/>
                <w:spacing w:val="0"/>
                <w:w w:val="100"/>
                <w:position w:val="0"/>
              </w:rPr>
              <w:t>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516,012.42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12, 360, </w:t>
            </w:r>
            <w:r>
              <w:rPr>
                <w:color w:val="000000"/>
                <w:spacing w:val="0"/>
                <w:w w:val="100"/>
                <w:position w:val="0"/>
              </w:rPr>
              <w:t xml:space="preserve">161. </w:t>
            </w:r>
            <w:r>
              <w:rPr>
                <w:color w:val="000000"/>
                <w:spacing w:val="0"/>
                <w:w w:val="100"/>
                <w:position w:val="0"/>
              </w:rPr>
              <w:t>55</w:t>
            </w:r>
          </w:p>
        </w:tc>
      </w:tr>
    </w:tbl>
    <w:p>
      <w:pPr>
        <w:widowControl w:val="0"/>
        <w:spacing w:after="99" w:line="1" w:lineRule="exact"/>
      </w:pPr>
    </w:p>
    <w:p>
      <w:pPr>
        <w:pStyle w:val="Style24"/>
        <w:keepNext w:val="0"/>
        <w:keepLines w:val="0"/>
        <w:widowControl w:val="0"/>
        <w:shd w:val="clear" w:color="auto" w:fill="auto"/>
        <w:bidi w:val="0"/>
        <w:spacing w:before="0" w:after="700" w:line="240" w:lineRule="auto"/>
        <w:ind w:left="0" w:right="0" w:firstLine="0"/>
        <w:jc w:val="left"/>
      </w:pPr>
      <w:r>
        <w:rPr>
          <w:color w:val="000000"/>
          <w:spacing w:val="0"/>
          <w:w w:val="100"/>
          <w:position w:val="0"/>
        </w:rPr>
        <w:t>除上述事项外，公司不存在其他应披露的重要承诺事项。</w:t>
      </w:r>
    </w:p>
    <w:p>
      <w:pPr>
        <w:pStyle w:val="Style33"/>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77"/>
      <w:bookmarkEnd w:id="1578"/>
      <w:bookmarkEnd w:id="1579"/>
    </w:p>
    <w:p>
      <w:pPr>
        <w:pStyle w:val="Style38"/>
        <w:keepNext/>
        <w:keepLines/>
        <w:widowControl w:val="0"/>
        <w:shd w:val="clear" w:color="auto" w:fill="auto"/>
        <w:bidi w:val="0"/>
        <w:spacing w:before="0" w:after="36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80"/>
      <w:bookmarkEnd w:id="1581"/>
      <w:bookmarkEnd w:id="1582"/>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）未决诉讼或仲裁形成的或有事项及其财务影响</w:t>
      </w:r>
    </w:p>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日，深圳市双润实业集团有限公司向广东省深圳市南山区人民法院提起诉讼申请，以四方精创没有履行 </w:t>
      </w:r>
      <w:r>
        <w:rPr>
          <w:color w:val="000000"/>
          <w:spacing w:val="0"/>
          <w:w w:val="100"/>
          <w:position w:val="0"/>
        </w:rPr>
        <w:t>付款义务为由向四方精创提起诉讼。</w:t>
      </w:r>
    </w:p>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日，公司收到广东省深圳市南山区人民法院出具（</w:t>
      </w:r>
      <w:r>
        <w:rPr>
          <w:rFonts w:ascii="Times New Roman" w:eastAsia="Times New Roman" w:hAnsi="Times New Roman" w:cs="Times New Roman"/>
          <w:color w:val="000000"/>
          <w:spacing w:val="0"/>
          <w:w w:val="100"/>
          <w:position w:val="0"/>
        </w:rPr>
        <w:t>2021</w:t>
      </w:r>
      <w:r>
        <w:rPr>
          <w:color w:val="000000"/>
          <w:spacing w:val="0"/>
          <w:w w:val="100"/>
          <w:position w:val="0"/>
        </w:rPr>
        <w:t>）粤</w:t>
      </w:r>
      <w:r>
        <w:rPr>
          <w:rFonts w:ascii="Times New Roman" w:eastAsia="Times New Roman" w:hAnsi="Times New Roman" w:cs="Times New Roman"/>
          <w:color w:val="000000"/>
          <w:spacing w:val="0"/>
          <w:w w:val="100"/>
          <w:position w:val="0"/>
        </w:rPr>
        <w:t>0305</w:t>
      </w:r>
      <w:r>
        <w:rPr>
          <w:color w:val="000000"/>
          <w:spacing w:val="0"/>
          <w:w w:val="100"/>
          <w:position w:val="0"/>
        </w:rPr>
        <w:t>民初</w:t>
      </w:r>
      <w:r>
        <w:rPr>
          <w:rFonts w:ascii="Times New Roman" w:eastAsia="Times New Roman" w:hAnsi="Times New Roman" w:cs="Times New Roman"/>
          <w:color w:val="000000"/>
          <w:spacing w:val="0"/>
          <w:w w:val="100"/>
          <w:position w:val="0"/>
        </w:rPr>
        <w:t>16243</w:t>
      </w:r>
      <w:r>
        <w:rPr>
          <w:color w:val="000000"/>
          <w:spacing w:val="0"/>
          <w:w w:val="100"/>
          <w:position w:val="0"/>
        </w:rPr>
        <w:t>号查封、扣押、冻结财产 通知书，于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日，公司实际被冻结的银行账户资金余额为</w:t>
      </w:r>
      <w:r>
        <w:rPr>
          <w:rFonts w:ascii="Times New Roman" w:eastAsia="Times New Roman" w:hAnsi="Times New Roman" w:cs="Times New Roman"/>
          <w:color w:val="000000"/>
          <w:spacing w:val="0"/>
          <w:w w:val="100"/>
          <w:position w:val="0"/>
        </w:rPr>
        <w:t>2,590.93</w:t>
      </w:r>
      <w:r>
        <w:rPr>
          <w:color w:val="000000"/>
          <w:spacing w:val="0"/>
          <w:w w:val="100"/>
          <w:position w:val="0"/>
        </w:rPr>
        <w:t>万元。</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截止本财务报告报出日，本案一审还未结束。公司聘请第三方工程造价单位对工程进行审计后认为已根据相关合同约定支 付了工程款，本案件不会对本公司经营活动造成重大影响。</w:t>
      </w:r>
    </w:p>
    <w:p>
      <w:pPr>
        <w:pStyle w:val="Style24"/>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除存在上述事项外，截止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日，公司无其他应披露未披露的重要或有事项。</w:t>
      </w:r>
    </w:p>
    <w:p>
      <w:pPr>
        <w:pStyle w:val="Style38"/>
        <w:keepNext/>
        <w:keepLines/>
        <w:widowControl w:val="0"/>
        <w:shd w:val="clear" w:color="auto" w:fill="auto"/>
        <w:bidi w:val="0"/>
        <w:spacing w:before="0" w:after="300" w:line="240" w:lineRule="auto"/>
        <w:ind w:left="0" w:right="0" w:firstLine="0"/>
        <w:jc w:val="both"/>
      </w:pPr>
      <w:bookmarkStart w:id="1583" w:name="bookmark1583"/>
      <w:bookmarkStart w:id="1584" w:name="bookmark1584"/>
      <w:bookmarkStart w:id="1585" w:name="bookmark1585"/>
      <w:r>
        <w:rPr>
          <w:color w:val="000000"/>
          <w:spacing w:val="0"/>
          <w:w w:val="100"/>
          <w:position w:val="0"/>
        </w:rPr>
        <w:t>公司没有需要披露的重要或有事项，也应予以说明</w:t>
      </w:r>
      <w:bookmarkEnd w:id="1583"/>
      <w:bookmarkEnd w:id="1584"/>
      <w:bookmarkEnd w:id="1585"/>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00" w:line="240" w:lineRule="auto"/>
        <w:ind w:left="0" w:right="0" w:firstLine="0"/>
        <w:jc w:val="both"/>
      </w:pPr>
      <w:bookmarkStart w:id="1586" w:name="bookmark1586"/>
      <w:bookmarkStart w:id="1587" w:name="bookmark1587"/>
      <w:bookmarkStart w:id="1588" w:name="bookmark1588"/>
      <w:r>
        <w:rPr>
          <w:color w:val="000000"/>
          <w:spacing w:val="0"/>
          <w:w w:val="100"/>
          <w:position w:val="0"/>
          <w:sz w:val="24"/>
          <w:szCs w:val="24"/>
        </w:rPr>
        <w:t>十五、资产负债表日后事项</w:t>
      </w:r>
      <w:bookmarkEnd w:id="1586"/>
      <w:bookmarkEnd w:id="1587"/>
      <w:bookmarkEnd w:id="1588"/>
    </w:p>
    <w:p>
      <w:pPr>
        <w:pStyle w:val="Style33"/>
        <w:keepNext/>
        <w:keepLines/>
        <w:widowControl w:val="0"/>
        <w:shd w:val="clear" w:color="auto" w:fill="auto"/>
        <w:bidi w:val="0"/>
        <w:spacing w:before="0" w:line="240" w:lineRule="auto"/>
        <w:ind w:left="0" w:right="0" w:firstLine="0"/>
        <w:jc w:val="both"/>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89"/>
      <w:bookmarkEnd w:id="1590"/>
      <w:bookmarkEnd w:id="15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28,329,105.80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28,329,105.80</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both"/>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92"/>
      <w:bookmarkEnd w:id="1593"/>
      <w:bookmarkEnd w:id="1594"/>
    </w:p>
    <w:p>
      <w:pPr>
        <w:pStyle w:val="Style61"/>
        <w:keepNext w:val="0"/>
        <w:keepLines w:val="0"/>
        <w:widowControl w:val="0"/>
        <w:shd w:val="clear" w:color="auto" w:fill="auto"/>
        <w:tabs>
          <w:tab w:pos="368" w:val="left"/>
        </w:tabs>
        <w:bidi w:val="0"/>
        <w:spacing w:before="0" w:after="0" w:line="240" w:lineRule="auto"/>
        <w:ind w:left="0" w:right="0" w:firstLine="0"/>
        <w:jc w:val="both"/>
        <w:rPr>
          <w:sz w:val="22"/>
          <w:szCs w:val="22"/>
        </w:rPr>
      </w:pPr>
      <w:bookmarkStart w:id="1595" w:name="bookmark1595"/>
      <w:r>
        <w:rPr>
          <w:color w:val="000000"/>
          <w:spacing w:val="0"/>
          <w:w w:val="100"/>
          <w:position w:val="0"/>
          <w:sz w:val="22"/>
          <w:szCs w:val="22"/>
        </w:rPr>
        <w:t>1</w:t>
      </w:r>
      <w:bookmarkEnd w:id="1595"/>
      <w:r>
        <w:rPr>
          <w:color w:val="000000"/>
          <w:spacing w:val="0"/>
          <w:w w:val="100"/>
          <w:position w:val="0"/>
          <w:sz w:val="22"/>
          <w:szCs w:val="22"/>
        </w:rPr>
        <w:t>、</w:t>
        <w:tab/>
        <w:t>利润分配</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号第四届董事会第九次会议通过的《关于审议</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年度利润分配及资本公积金转增股本预案的议 案》，以截至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283,291,058</w:t>
      </w:r>
      <w:r>
        <w:rPr>
          <w:color w:val="000000"/>
          <w:spacing w:val="0"/>
          <w:w w:val="100"/>
          <w:position w:val="0"/>
        </w:rPr>
        <w:t>股为基数</w:t>
      </w:r>
      <w:r>
        <w:rPr>
          <w:rFonts w:ascii="Times New Roman" w:eastAsia="Times New Roman" w:hAnsi="Times New Roman" w:cs="Times New Roman"/>
          <w:color w:val="000000"/>
          <w:spacing w:val="0"/>
          <w:w w:val="100"/>
          <w:position w:val="0"/>
        </w:rPr>
        <w:t>,</w:t>
      </w:r>
      <w:r>
        <w:rPr>
          <w:color w:val="000000"/>
          <w:spacing w:val="0"/>
          <w:w w:val="100"/>
          <w:position w:val="0"/>
        </w:rPr>
        <w:t>拟向全体股东分配共计现金人民币</w:t>
      </w:r>
      <w:r>
        <w:rPr>
          <w:rFonts w:ascii="Times New Roman" w:eastAsia="Times New Roman" w:hAnsi="Times New Roman" w:cs="Times New Roman"/>
          <w:color w:val="000000"/>
          <w:spacing w:val="0"/>
          <w:w w:val="100"/>
          <w:position w:val="0"/>
        </w:rPr>
        <w:t>28,329,105.80</w:t>
      </w:r>
      <w:r>
        <w:rPr>
          <w:color w:val="000000"/>
          <w:spacing w:val="0"/>
          <w:w w:val="100"/>
          <w:position w:val="0"/>
        </w:rPr>
        <w:t>元，即 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股，本次转增股份数量为</w:t>
      </w:r>
      <w:r>
        <w:rPr>
          <w:rFonts w:ascii="Times New Roman" w:eastAsia="Times New Roman" w:hAnsi="Times New Roman" w:cs="Times New Roman"/>
          <w:color w:val="000000"/>
          <w:spacing w:val="0"/>
          <w:w w:val="100"/>
          <w:position w:val="0"/>
        </w:rPr>
        <w:t>226,632,846</w:t>
      </w:r>
      <w:r>
        <w:rPr>
          <w:color w:val="000000"/>
          <w:spacing w:val="0"/>
          <w:w w:val="100"/>
          <w:position w:val="0"/>
        </w:rPr>
        <w:t>股 （转增股数系公司根据实际计算结果四舍五入所得，最终转增数量以中国证券登记结算有限公司实际转增结果为准），转增 后公司股本总数将增加至</w:t>
      </w:r>
      <w:r>
        <w:rPr>
          <w:rFonts w:ascii="Times New Roman" w:eastAsia="Times New Roman" w:hAnsi="Times New Roman" w:cs="Times New Roman"/>
          <w:color w:val="000000"/>
          <w:spacing w:val="0"/>
          <w:w w:val="100"/>
          <w:position w:val="0"/>
        </w:rPr>
        <w:t>509,923,904</w:t>
      </w:r>
      <w:r>
        <w:rPr>
          <w:color w:val="000000"/>
          <w:spacing w:val="0"/>
          <w:w w:val="100"/>
          <w:position w:val="0"/>
        </w:rPr>
        <w:t>股。（以上净利润额、可分配利润额以及利润分配后剩余未分配利润额以最终经审计 数据为准。</w:t>
      </w:r>
    </w:p>
    <w:p>
      <w:pPr>
        <w:pStyle w:val="Style24"/>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董事会审议利润分配后至权益分派实施公告确定的股权登记日前公司股本发生变动的，将按照“现金分红总额固定不变” 的原则对分配比例进行调整。</w:t>
      </w:r>
    </w:p>
    <w:p>
      <w:pPr>
        <w:pStyle w:val="Style61"/>
        <w:keepNext w:val="0"/>
        <w:keepLines w:val="0"/>
        <w:widowControl w:val="0"/>
        <w:shd w:val="clear" w:color="auto" w:fill="auto"/>
        <w:tabs>
          <w:tab w:pos="378" w:val="left"/>
        </w:tabs>
        <w:bidi w:val="0"/>
        <w:spacing w:before="0" w:after="0" w:line="240" w:lineRule="auto"/>
        <w:ind w:left="0" w:right="0" w:firstLine="0"/>
        <w:jc w:val="left"/>
        <w:rPr>
          <w:sz w:val="22"/>
          <w:szCs w:val="22"/>
        </w:rPr>
      </w:pPr>
      <w:bookmarkStart w:id="1596" w:name="bookmark1596"/>
      <w:r>
        <w:rPr>
          <w:color w:val="000000"/>
          <w:spacing w:val="0"/>
          <w:w w:val="100"/>
          <w:position w:val="0"/>
          <w:sz w:val="22"/>
          <w:szCs w:val="22"/>
        </w:rPr>
        <w:t>2</w:t>
      </w:r>
      <w:bookmarkEnd w:id="1596"/>
      <w:r>
        <w:rPr>
          <w:color w:val="000000"/>
          <w:spacing w:val="0"/>
          <w:w w:val="100"/>
          <w:position w:val="0"/>
          <w:sz w:val="22"/>
          <w:szCs w:val="22"/>
        </w:rPr>
        <w:t>、</w:t>
        <w:tab/>
        <w:t>向特定对象发行股票并在创业板上市</w:t>
      </w:r>
    </w:p>
    <w:p>
      <w:pPr>
        <w:pStyle w:val="Style24"/>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根据公司第三届董事会第十九次会议和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年第二次临时股东大会审议通过，并经中国证券监督管理委员会《关于同 意深圳四方精创资讯股份有限公司向特定对象发行股票注册的批复》（证监许可〔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882</w:t>
      </w:r>
      <w:r>
        <w:rPr>
          <w:color w:val="000000"/>
          <w:spacing w:val="0"/>
          <w:w w:val="100"/>
          <w:position w:val="0"/>
        </w:rPr>
        <w:t>号）同意，公司拟向特定投资 者发行不超过</w:t>
      </w:r>
      <w:r>
        <w:rPr>
          <w:rFonts w:ascii="Times New Roman" w:eastAsia="Times New Roman" w:hAnsi="Times New Roman" w:cs="Times New Roman"/>
          <w:color w:val="000000"/>
          <w:spacing w:val="0"/>
          <w:w w:val="100"/>
          <w:position w:val="0"/>
        </w:rPr>
        <w:t>2,500.00</w:t>
      </w:r>
      <w:r>
        <w:rPr>
          <w:color w:val="000000"/>
          <w:spacing w:val="0"/>
          <w:w w:val="100"/>
          <w:position w:val="0"/>
        </w:rPr>
        <w:t>万股的普通股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股）。公司实际向</w:t>
      </w:r>
      <w:r>
        <w:rPr>
          <w:rFonts w:ascii="Times New Roman" w:eastAsia="Times New Roman" w:hAnsi="Times New Roman" w:cs="Times New Roman"/>
          <w:color w:val="000000"/>
          <w:spacing w:val="0"/>
          <w:w w:val="100"/>
          <w:position w:val="0"/>
        </w:rPr>
        <w:t>11</w:t>
      </w:r>
      <w:r>
        <w:rPr>
          <w:color w:val="000000"/>
          <w:spacing w:val="0"/>
          <w:w w:val="100"/>
          <w:position w:val="0"/>
        </w:rPr>
        <w:t>名特定对象发行人民币普通股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20,725,388.00</w:t>
      </w:r>
      <w:r>
        <w:rPr>
          <w:color w:val="000000"/>
          <w:spacing w:val="0"/>
          <w:w w:val="100"/>
          <w:position w:val="0"/>
        </w:rPr>
        <w:t>股，每 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w:t>
      </w:r>
      <w:r>
        <w:rPr>
          <w:rFonts w:ascii="Times New Roman" w:eastAsia="Times New Roman" w:hAnsi="Times New Roman" w:cs="Times New Roman"/>
          <w:color w:val="000000"/>
          <w:spacing w:val="0"/>
          <w:w w:val="100"/>
          <w:position w:val="0"/>
        </w:rPr>
        <w:t>19.30</w:t>
      </w:r>
      <w:r>
        <w:rPr>
          <w:color w:val="000000"/>
          <w:spacing w:val="0"/>
          <w:w w:val="100"/>
          <w:position w:val="0"/>
        </w:rPr>
        <w:t>元，均为现金认购，上述股票发行工作已于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w:t>
      </w:r>
    </w:p>
    <w:p>
      <w:pPr>
        <w:pStyle w:val="Style24"/>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本次股票发行工作结束后，公司注册资本增加</w:t>
      </w:r>
      <w:r>
        <w:rPr>
          <w:rFonts w:ascii="Times New Roman" w:eastAsia="Times New Roman" w:hAnsi="Times New Roman" w:cs="Times New Roman"/>
          <w:color w:val="000000"/>
          <w:spacing w:val="0"/>
          <w:w w:val="100"/>
          <w:position w:val="0"/>
        </w:rPr>
        <w:t>20,725,388.00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304,016,446.00</w:t>
      </w:r>
      <w:r>
        <w:rPr>
          <w:color w:val="000000"/>
          <w:spacing w:val="0"/>
          <w:w w:val="100"/>
          <w:position w:val="0"/>
        </w:rPr>
        <w:t>元，变更后股</w:t>
      </w:r>
      <w:r>
        <w:br w:type="page"/>
      </w:r>
    </w:p>
    <w:p>
      <w:pPr>
        <w:pStyle w:val="Style28"/>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sz w:val="24"/>
          <w:szCs w:val="24"/>
        </w:rPr>
        <w:t>十六、其他重要事项</w:t>
      </w:r>
      <w:bookmarkEnd w:id="1597"/>
      <w:bookmarkEnd w:id="1598"/>
      <w:bookmarkEnd w:id="1599"/>
    </w:p>
    <w:p>
      <w:pPr>
        <w:pStyle w:val="Style33"/>
        <w:keepNext/>
        <w:keepLines/>
        <w:widowControl w:val="0"/>
        <w:shd w:val="clear" w:color="auto" w:fill="auto"/>
        <w:bidi w:val="0"/>
        <w:spacing w:before="0" w:after="320" w:line="240" w:lineRule="auto"/>
        <w:ind w:left="0" w:right="0" w:firstLine="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00"/>
      <w:bookmarkEnd w:id="1601"/>
      <w:bookmarkEnd w:id="1602"/>
    </w:p>
    <w:p>
      <w:pPr>
        <w:pStyle w:val="Style38"/>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03"/>
      <w:bookmarkEnd w:id="1604"/>
      <w:bookmarkEnd w:id="1605"/>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公司按照主营业务地区划分经营分部，并将营业收入占所有分部收入合计</w:t>
      </w:r>
      <w:r>
        <w:rPr>
          <w:color w:val="000000"/>
          <w:spacing w:val="0"/>
          <w:w w:val="100"/>
          <w:position w:val="0"/>
        </w:rPr>
        <w:t>10%</w:t>
      </w:r>
      <w:r>
        <w:rPr>
          <w:color w:val="000000"/>
          <w:spacing w:val="0"/>
          <w:w w:val="100"/>
          <w:position w:val="0"/>
        </w:rPr>
        <w:t>以上的经营分部确认为报告分部，各报告分部 的情况如下：</w:t>
      </w:r>
    </w:p>
    <w:tbl>
      <w:tblPr>
        <w:tblOverlap w:val="never"/>
        <w:jc w:val="center"/>
        <w:tblLayout w:type="fixed"/>
      </w:tblPr>
      <w:tblGrid>
        <w:gridCol w:w="2280"/>
        <w:gridCol w:w="2832"/>
        <w:gridCol w:w="410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报告分部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所属公司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报告分部</w:t>
            </w: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四方精创、乐寻坊、成都四方融创、北京四方融创</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报告分部</w:t>
            </w:r>
            <w:r>
              <w:rPr>
                <w:color w:val="000000"/>
                <w:spacing w:val="0"/>
                <w:w w:val="100"/>
                <w:position w:val="0"/>
                <w:sz w:val="16"/>
                <w:szCs w:val="16"/>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四方资讯、四方信息、四方泰国</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报告分部的会计政策见附注三。</w:t>
      </w:r>
    </w:p>
    <w:p>
      <w:pPr>
        <w:widowControl w:val="0"/>
        <w:spacing w:after="639" w:line="1" w:lineRule="exact"/>
      </w:pPr>
    </w:p>
    <w:p>
      <w:pPr>
        <w:pStyle w:val="Style38"/>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606"/>
      <w:bookmarkEnd w:id="1607"/>
      <w:bookmarkEnd w:id="16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1,325,092,347.04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426,127,067.03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-460,668,845.81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1,290,550,568.26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120,498,571.82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381,616,354.96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-400,157,655.70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101,957,271.08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557,458,569.02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382,703,920.52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-298,617,810.99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641,544,678.55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295,407,013.56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371,260,175.98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-300,305,358.40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366,361,831.14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108,255,232.38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-38,028,864.74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1,700,418.70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71,926,786.34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r>
        <w:rPr>
          <w:color w:val="000000"/>
          <w:spacing w:val="0"/>
          <w:w w:val="100"/>
          <w:position w:val="0"/>
          <w:sz w:val="24"/>
          <w:szCs w:val="24"/>
        </w:rPr>
        <w:t>十七、母公司财务报表主要项目注释</w:t>
      </w:r>
      <w:bookmarkEnd w:id="1609"/>
      <w:bookmarkEnd w:id="1610"/>
      <w:bookmarkEnd w:id="1611"/>
    </w:p>
    <w:p>
      <w:pPr>
        <w:pStyle w:val="Style33"/>
        <w:keepNext/>
        <w:keepLines/>
        <w:widowControl w:val="0"/>
        <w:shd w:val="clear" w:color="auto" w:fill="auto"/>
        <w:bidi w:val="0"/>
        <w:spacing w:before="0" w:after="32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12"/>
      <w:bookmarkEnd w:id="1613"/>
      <w:bookmarkEnd w:id="1614"/>
    </w:p>
    <w:p>
      <w:pPr>
        <w:pStyle w:val="Style38"/>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15"/>
      <w:bookmarkEnd w:id="1616"/>
      <w:bookmarkEnd w:id="161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1,314,8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382,568,</w:t>
            </w: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4,017.7</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8,091.9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7,833.4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140,27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2,862.3</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30.44</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3,675,9</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136,59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6,936.5</w:t>
            </w:r>
          </w:p>
          <w:p>
            <w:pPr>
              <w:pStyle w:val="Style2"/>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130,83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7,388.2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4,429,7</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126,407,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内部往来组合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320,54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1,155.4</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69.56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320,54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1,155.4</w:t>
            </w:r>
          </w:p>
          <w:p>
            <w:pPr>
              <w:pStyle w:val="Style2"/>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256,16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0,445.2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256,160,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445.26</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460,81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4,017.7</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3,675,9</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457,13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8,091.9</w:t>
            </w:r>
          </w:p>
          <w:p>
            <w:pPr>
              <w:pStyle w:val="Style2"/>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388,31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2,673.4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5,744,5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382,568,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098.02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按组合计提坏账准备：国内客户组合</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130,368,870.76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1,825,164.19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8,732,186.48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912,513.49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386,811.89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153,254.87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784,993.19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784,993.19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140,272,862.32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3,675,925.74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按组合计提坏账准备：内部往来组合</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320,541,155.40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320,541,155.40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450,910,026.16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8,732,186.48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386,811.89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784,993.19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460,814,017.72</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18"/>
      <w:bookmarkEnd w:id="1619"/>
      <w:bookmarkEnd w:id="1620"/>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1,314,840.00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1,314,840.00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4,429,735.47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753,809.73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3,675,925.74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5,744,575.47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2,068,649.73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3,675,925.74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1,314,840.00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1,314,840.00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295,880,602.72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121,758,390.80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2,236,294.55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24,660,552.68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3,390,993.13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105,483.37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2,429,569.18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34,013.97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448,120,108.51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97.25%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2,375,791.89</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21"/>
      <w:bookmarkEnd w:id="1622"/>
      <w:bookmarkEnd w:id="16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37,850,211.10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3,320,068.57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37,850,211.10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3,320,068.57</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24"/>
      <w:bookmarkEnd w:id="1625"/>
      <w:bookmarkEnd w:id="1626"/>
    </w:p>
    <w:p>
      <w:pPr>
        <w:pStyle w:val="Style64"/>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1</w:t>
      </w:r>
      <w:bookmarkEnd w:id="1629"/>
      <w:r>
        <w:rPr>
          <w:color w:val="000000"/>
          <w:spacing w:val="0"/>
          <w:w w:val="100"/>
          <w:position w:val="0"/>
        </w:rPr>
        <w:t>）其他应收款按款项性质分类情况</w:t>
      </w:r>
      <w:bookmarkEnd w:id="1627"/>
      <w:bookmarkEnd w:id="1628"/>
      <w:bookmarkEnd w:id="1630"/>
    </w:p>
    <w:p>
      <w:pPr>
        <w:pStyle w:val="Style24"/>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3,070,920.30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3,353,604.62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34,810,000.00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37,880,920.30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3,353,604.62</w:t>
            </w:r>
          </w:p>
        </w:tc>
      </w:tr>
    </w:tbl>
    <w:p>
      <w:pPr>
        <w:widowControl w:val="0"/>
        <w:spacing w:after="299" w:line="1" w:lineRule="exact"/>
      </w:pPr>
    </w:p>
    <w:p>
      <w:pPr>
        <w:pStyle w:val="Style64"/>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bookmarkEnd w:id="1633"/>
      <w:r>
        <w:rPr>
          <w:color w:val="000000"/>
          <w:spacing w:val="0"/>
          <w:w w:val="100"/>
          <w:position w:val="0"/>
        </w:rPr>
        <w:t>）坏账准备计提情况</w:t>
      </w:r>
      <w:bookmarkEnd w:id="1631"/>
      <w:bookmarkEnd w:id="1632"/>
      <w:bookmarkEnd w:id="16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33,536.05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33,536.05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2,826.85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2,826.85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30,709.20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30,709.20</w:t>
            </w:r>
          </w:p>
        </w:tc>
      </w:tr>
    </w:tbl>
    <w:p>
      <w:pPr>
        <w:pStyle w:val="Style24"/>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损失准备本期变动金额重大的账面余额变动情况 口适用”不适用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37,880,920.30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37,880,920.30</w:t>
            </w:r>
          </w:p>
        </w:tc>
      </w:tr>
    </w:tbl>
    <w:p>
      <w:pPr>
        <w:widowControl w:val="0"/>
        <w:spacing w:after="299" w:line="1" w:lineRule="exact"/>
      </w:pPr>
    </w:p>
    <w:p>
      <w:pPr>
        <w:pStyle w:val="Style64"/>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3</w:t>
      </w:r>
      <w:bookmarkEnd w:id="1637"/>
      <w:r>
        <w:rPr>
          <w:color w:val="000000"/>
          <w:spacing w:val="0"/>
          <w:w w:val="100"/>
          <w:position w:val="0"/>
        </w:rPr>
        <w:t>）本期计提、收回或转回的坏账准备情况</w:t>
      </w:r>
      <w:bookmarkEnd w:id="1635"/>
      <w:bookmarkEnd w:id="1636"/>
      <w:bookmarkEnd w:id="163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押金、保证金及备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33,536.05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2,826.85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30,709.20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33,536.05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2,826.85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30,709.20</w:t>
            </w:r>
          </w:p>
        </w:tc>
      </w:tr>
    </w:tbl>
    <w:p>
      <w:pPr>
        <w:widowControl w:val="0"/>
        <w:spacing w:after="299" w:line="1" w:lineRule="exact"/>
      </w:pPr>
    </w:p>
    <w:p>
      <w:pPr>
        <w:pStyle w:val="Style64"/>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color w:val="000000"/>
          <w:spacing w:val="0"/>
          <w:w w:val="100"/>
          <w:position w:val="0"/>
        </w:rPr>
        <w:t>）本期实际核销的其他应收款情况</w:t>
      </w:r>
      <w:bookmarkEnd w:id="1639"/>
      <w:bookmarkEnd w:id="1640"/>
      <w:bookmarkEnd w:id="1642"/>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报告期内无需要核销的其他应收款。</w:t>
      </w:r>
      <w:r>
        <w:br w:type="page"/>
      </w:r>
    </w:p>
    <w:p>
      <w:pPr>
        <w:pStyle w:val="Style64"/>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color w:val="000000"/>
          <w:spacing w:val="0"/>
          <w:w w:val="100"/>
          <w:position w:val="0"/>
        </w:rPr>
        <w:t>）按欠款方归集的期末余额前五名的其他应收款情况</w:t>
      </w:r>
      <w:bookmarkEnd w:id="1643"/>
      <w:bookmarkEnd w:id="1644"/>
      <w:bookmarkEnd w:id="16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30,810,000.00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717,343.40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7,173.43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3,800.00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35,907,343.40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10,973.43</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3</w:t>
      </w:r>
      <w:bookmarkEnd w:id="1649"/>
      <w:r>
        <w:rPr>
          <w:color w:val="000000"/>
          <w:spacing w:val="0"/>
          <w:w w:val="100"/>
          <w:position w:val="0"/>
        </w:rPr>
        <w:t>、长期股权投资</w:t>
      </w:r>
      <w:bookmarkEnd w:id="1647"/>
      <w:bookmarkEnd w:id="1648"/>
      <w:bookmarkEnd w:id="16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57,713,705.33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57,713,705.33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42,713,705.33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42,713,705.33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16,484,107.11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16,484,107.11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57,713,705.33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57,713,705.33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59,197,812.44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59,197,812.44</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51"/>
      <w:bookmarkEnd w:id="1652"/>
      <w:bookmarkEnd w:id="16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期初余额 </w:t>
            </w: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四方资讯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10,737,705.3</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10,737,705.3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26,976,000.0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26,976,000.0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乐寻坊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成都四方融 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42,713,705.3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57,713,705.3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54"/>
      <w:bookmarkEnd w:id="1655"/>
      <w:bookmarkEnd w:id="16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北京优</w:t>
            </w: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智汇咨 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16,484,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291,71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16,484,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291,71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16,484,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291,71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19" w:line="1" w:lineRule="exact"/>
      </w:pPr>
    </w:p>
    <w:p>
      <w:pPr>
        <w:pStyle w:val="Style33"/>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4</w:t>
      </w:r>
      <w:bookmarkEnd w:id="1659"/>
      <w:r>
        <w:rPr>
          <w:color w:val="000000"/>
          <w:spacing w:val="0"/>
          <w:w w:val="100"/>
          <w:position w:val="0"/>
        </w:rPr>
        <w:t>、营业收入和营业成本</w:t>
      </w:r>
      <w:bookmarkEnd w:id="1657"/>
      <w:bookmarkEnd w:id="1658"/>
      <w:bookmarkEnd w:id="16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557,391,330.25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295,407,013.56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484,842,777.76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288,269,774.49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557,391,330.25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295,407,013.56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484,842,777.76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288,269,774.49</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color w:val="000000"/>
          <w:spacing w:val="0"/>
          <w:w w:val="100"/>
          <w:position w:val="0"/>
        </w:rPr>
        <w:t>、投资收益</w:t>
      </w:r>
      <w:bookmarkEnd w:id="1661"/>
      <w:bookmarkEnd w:id="1662"/>
      <w:bookmarkEnd w:id="16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291,710.51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1,211,264.36</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2,057,515.71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2,349,226.22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3,886,264.36</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65" w:name="bookmark1665"/>
      <w:bookmarkStart w:id="1666" w:name="bookmark1666"/>
      <w:bookmarkStart w:id="1667" w:name="bookmark1667"/>
      <w:r>
        <w:rPr>
          <w:color w:val="000000"/>
          <w:spacing w:val="0"/>
          <w:w w:val="100"/>
          <w:position w:val="0"/>
        </w:rPr>
        <w:t>其他</w:t>
      </w:r>
      <w:bookmarkEnd w:id="1665"/>
      <w:bookmarkEnd w:id="1666"/>
      <w:bookmarkEnd w:id="1667"/>
    </w:p>
    <w:p>
      <w:pPr>
        <w:pStyle w:val="Style28"/>
        <w:keepNext/>
        <w:keepLines/>
        <w:widowControl w:val="0"/>
        <w:shd w:val="clear" w:color="auto" w:fill="auto"/>
        <w:bidi w:val="0"/>
        <w:spacing w:before="0" w:after="340" w:line="240" w:lineRule="auto"/>
        <w:ind w:left="0" w:right="0" w:firstLine="0"/>
        <w:jc w:val="left"/>
      </w:pPr>
      <w:bookmarkStart w:id="1668" w:name="bookmark1668"/>
      <w:bookmarkStart w:id="1669" w:name="bookmark1669"/>
      <w:bookmarkStart w:id="1670" w:name="bookmark1670"/>
      <w:r>
        <w:rPr>
          <w:color w:val="000000"/>
          <w:spacing w:val="0"/>
          <w:w w:val="100"/>
          <w:position w:val="0"/>
          <w:sz w:val="24"/>
          <w:szCs w:val="24"/>
        </w:rPr>
        <w:t>十八、补充资料</w:t>
      </w:r>
      <w:bookmarkEnd w:id="1668"/>
      <w:bookmarkEnd w:id="1669"/>
      <w:bookmarkEnd w:id="1670"/>
    </w:p>
    <w:p>
      <w:pPr>
        <w:pStyle w:val="Style33"/>
        <w:keepNext/>
        <w:keepLines/>
        <w:widowControl w:val="0"/>
        <w:shd w:val="clear" w:color="auto" w:fill="auto"/>
        <w:bidi w:val="0"/>
        <w:spacing w:before="0" w:after="34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71"/>
      <w:bookmarkEnd w:id="1672"/>
      <w:bookmarkEnd w:id="1673"/>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-1,856,537.74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越权审批或无正式批准文件的税收返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5,753,240.08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1,314,840.00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281,018.09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1,396,362.73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4,096,197.70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74"/>
      <w:bookmarkEnd w:id="1675"/>
      <w:bookmarkEnd w:id="1676"/>
    </w:p>
    <w:tbl>
      <w:tblPr>
        <w:tblOverlap w:val="never"/>
        <w:jc w:val="center"/>
        <w:tblLayout w:type="fixed"/>
      </w:tblPr>
      <w:tblGrid>
        <w:gridCol w:w="2669"/>
        <w:gridCol w:w="3082"/>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3</w:t>
      </w:r>
      <w:bookmarkEnd w:id="1679"/>
      <w:r>
        <w:rPr>
          <w:color w:val="000000"/>
          <w:spacing w:val="0"/>
          <w:w w:val="100"/>
          <w:position w:val="0"/>
        </w:rPr>
        <w:t>、境内外会计准则下会计数据差异</w:t>
      </w:r>
      <w:bookmarkEnd w:id="1677"/>
      <w:bookmarkEnd w:id="1678"/>
      <w:bookmarkEnd w:id="1680"/>
    </w:p>
    <w:p>
      <w:pPr>
        <w:pStyle w:val="Style38"/>
        <w:keepNext/>
        <w:keepLines/>
        <w:widowControl w:val="0"/>
        <w:shd w:val="clear" w:color="auto" w:fill="auto"/>
        <w:bidi w:val="0"/>
        <w:spacing w:before="0" w:after="360" w:line="240" w:lineRule="auto"/>
        <w:ind w:left="0" w:right="0" w:firstLine="0"/>
        <w:jc w:val="left"/>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681"/>
      <w:bookmarkEnd w:id="1682"/>
      <w:bookmarkEnd w:id="1683"/>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38"/>
        <w:keepNext/>
        <w:keepLines/>
        <w:widowControl w:val="0"/>
        <w:shd w:val="clear" w:color="auto" w:fill="auto"/>
        <w:bidi w:val="0"/>
        <w:spacing w:before="0" w:after="400" w:line="240" w:lineRule="auto"/>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684"/>
      <w:bookmarkEnd w:id="1685"/>
      <w:bookmarkEnd w:id="168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374" w:right="1065" w:bottom="1494" w:left="10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7">
    <w:name w:val="Heading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Body text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Table of contents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2">
    <w:name w:val="Table caption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3">
    <w:name w:val="Body text (7)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58">
    <w:name w:val="Body text (6)_"/>
    <w:basedOn w:val="DefaultParagraphFont"/>
    <w:link w:val="Style57"/>
    <w:rPr>
      <w:rFonts w:ascii="SimHei" w:eastAsia="SimHei" w:hAnsi="SimHei" w:cs="SimHei"/>
      <w:b w:val="0"/>
      <w:bCs w:val="0"/>
      <w:i w:val="0"/>
      <w:iCs w:val="0"/>
      <w:smallCaps w:val="0"/>
      <w:strike w:val="0"/>
      <w:color w:val="333333"/>
      <w:sz w:val="14"/>
      <w:szCs w:val="14"/>
      <w:u w:val="none"/>
      <w:shd w:val="clear" w:color="auto" w:fill="auto"/>
    </w:rPr>
  </w:style>
  <w:style w:type="character" w:customStyle="1" w:styleId="CharStyle62">
    <w:name w:val="Body text (8)_"/>
    <w:basedOn w:val="DefaultParagraphFont"/>
    <w:link w:val="Style61"/>
    <w:rPr>
      <w:rFonts w:ascii="SimSun" w:eastAsia="SimSun" w:hAnsi="SimSun" w:cs="SimSun"/>
      <w:b/>
      <w:bCs/>
      <w:i w:val="0"/>
      <w:iCs w:val="0"/>
      <w:smallCaps w:val="0"/>
      <w:strike w:val="0"/>
      <w:u w:val="none"/>
      <w:shd w:val="clear" w:color="auto" w:fill="auto"/>
    </w:rPr>
  </w:style>
  <w:style w:type="character" w:customStyle="1" w:styleId="CharStyle65">
    <w:name w:val="Heading #5_"/>
    <w:basedOn w:val="DefaultParagraphFont"/>
    <w:link w:val="Style6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Body text (3)"/>
    <w:basedOn w:val="Normal"/>
    <w:link w:val="CharStyle11"/>
    <w:pPr>
      <w:widowControl w:val="0"/>
      <w:shd w:val="clear" w:color="auto" w:fill="auto"/>
      <w:spacing w:after="8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6">
    <w:name w:val="Heading #1"/>
    <w:basedOn w:val="Normal"/>
    <w:link w:val="CharStyle17"/>
    <w:pPr>
      <w:widowControl w:val="0"/>
      <w:shd w:val="clear" w:color="auto" w:fill="auto"/>
      <w:spacing w:before="63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Body text (2)"/>
    <w:basedOn w:val="Normal"/>
    <w:link w:val="CharStyle19"/>
    <w:pPr>
      <w:widowControl w:val="0"/>
      <w:shd w:val="clear" w:color="auto" w:fill="auto"/>
      <w:spacing w:after="80" w:line="624" w:lineRule="exact"/>
    </w:pPr>
    <w:rPr>
      <w:rFonts w:ascii="SimSun" w:eastAsia="SimSun" w:hAnsi="SimSun" w:cs="SimSun"/>
      <w:b/>
      <w:bCs/>
      <w:i w:val="0"/>
      <w:iCs w:val="0"/>
      <w:smallCaps w:val="0"/>
      <w:strike w:val="0"/>
      <w:sz w:val="28"/>
      <w:szCs w:val="28"/>
      <w:u w:val="none"/>
      <w:shd w:val="clear" w:color="auto" w:fill="auto"/>
    </w:rPr>
  </w:style>
  <w:style w:type="paragraph" w:customStyle="1" w:styleId="Style21">
    <w:name w:val="Table of contents"/>
    <w:basedOn w:val="Normal"/>
    <w:link w:val="CharStyle22"/>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styleId="Style24">
    <w:name w:val="Body text"/>
    <w:basedOn w:val="Normal"/>
    <w:link w:val="CharStyle25"/>
    <w:qFormat/>
    <w:pPr>
      <w:widowControl w:val="0"/>
      <w:shd w:val="clear" w:color="auto" w:fill="auto"/>
      <w:spacing w:after="8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Heading #2"/>
    <w:basedOn w:val="Normal"/>
    <w:link w:val="CharStyle29"/>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31">
    <w:name w:val="Table caption"/>
    <w:basedOn w:val="Normal"/>
    <w:link w:val="CharStyle32"/>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Heading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Heading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Body text (7)"/>
    <w:basedOn w:val="Normal"/>
    <w:link w:val="CharStyle53"/>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57">
    <w:name w:val="Body text (6)"/>
    <w:basedOn w:val="Normal"/>
    <w:link w:val="CharStyle58"/>
    <w:pPr>
      <w:widowControl w:val="0"/>
      <w:shd w:val="clear" w:color="auto" w:fill="auto"/>
      <w:spacing w:after="830"/>
      <w:jc w:val="center"/>
    </w:pPr>
    <w:rPr>
      <w:rFonts w:ascii="SimHei" w:eastAsia="SimHei" w:hAnsi="SimHei" w:cs="SimHei"/>
      <w:b w:val="0"/>
      <w:bCs w:val="0"/>
      <w:i w:val="0"/>
      <w:iCs w:val="0"/>
      <w:smallCaps w:val="0"/>
      <w:strike w:val="0"/>
      <w:color w:val="333333"/>
      <w:sz w:val="14"/>
      <w:szCs w:val="14"/>
      <w:u w:val="none"/>
      <w:shd w:val="clear" w:color="auto" w:fill="auto"/>
    </w:rPr>
  </w:style>
  <w:style w:type="paragraph" w:customStyle="1" w:styleId="Style61">
    <w:name w:val="Body text (8)"/>
    <w:basedOn w:val="Normal"/>
    <w:link w:val="CharStyle62"/>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64">
    <w:name w:val="Heading #5"/>
    <w:basedOn w:val="Normal"/>
    <w:link w:val="CharStyle6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82361</dc:creator>
  <cp:keywords/>
</cp:coreProperties>
</file>