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SimHei" w:eastAsia="SimHei" w:hAnsi="SimHei" w:cs="SimHei"/>
          <w:color w:val="29497D"/>
          <w:spacing w:val="0"/>
          <w:w w:val="100"/>
          <w:position w:val="0"/>
          <w:sz w:val="26"/>
          <w:szCs w:val="26"/>
          <w:vertAlign w:val="subscript"/>
        </w:rPr>
        <w:t>r</w:t>
      </w:r>
      <w:r>
        <w:rPr>
          <w:rFonts w:ascii="SimHei" w:eastAsia="SimHei" w:hAnsi="SimHei" w:cs="SimHei"/>
          <w:color w:val="29497D"/>
          <w:spacing w:val="0"/>
          <w:w w:val="100"/>
          <w:position w:val="0"/>
          <w:sz w:val="26"/>
          <w:szCs w:val="26"/>
        </w:rPr>
        <w:t>\</w:t>
      </w:r>
      <w:r>
        <w:rPr>
          <w:rFonts w:ascii="SimHei" w:eastAsia="SimHei" w:hAnsi="SimHei" w:cs="SimHei"/>
          <w:color w:val="29497D"/>
          <w:spacing w:val="0"/>
          <w:w w:val="100"/>
          <w:position w:val="0"/>
          <w:sz w:val="26"/>
          <w:szCs w:val="26"/>
        </w:rPr>
        <w:t>四</w:t>
      </w:r>
      <w:r>
        <w:rPr>
          <w:rFonts w:ascii="SimHei" w:eastAsia="SimHei" w:hAnsi="SimHei" w:cs="SimHei"/>
          <w:color w:val="5A606D"/>
          <w:spacing w:val="0"/>
          <w:w w:val="100"/>
          <w:position w:val="0"/>
          <w:sz w:val="26"/>
          <w:szCs w:val="26"/>
        </w:rPr>
        <w:t>方精创</w:t>
      </w:r>
    </w:p>
    <w:p>
      <w:pPr>
        <w:pStyle w:val="Style2"/>
        <w:keepNext w:val="0"/>
        <w:keepLines w:val="0"/>
        <w:widowControl w:val="0"/>
        <w:shd w:val="clear" w:color="auto" w:fill="auto"/>
        <w:bidi w:val="0"/>
        <w:spacing w:before="0" w:after="500" w:line="240" w:lineRule="auto"/>
        <w:ind w:left="0" w:right="0" w:firstLine="0"/>
        <w:jc w:val="center"/>
        <w:rPr>
          <w:sz w:val="16"/>
          <w:szCs w:val="16"/>
        </w:rPr>
      </w:pPr>
      <w:r>
        <w:rPr>
          <w:rFonts w:ascii="Candara" w:eastAsia="Candara" w:hAnsi="Candara" w:cs="Candara"/>
          <w:color w:val="29497D"/>
          <w:spacing w:val="0"/>
          <w:w w:val="100"/>
          <w:position w:val="0"/>
          <w:sz w:val="16"/>
          <w:szCs w:val="16"/>
        </w:rPr>
        <w:t xml:space="preserve">\ </w:t>
      </w:r>
      <w:r>
        <w:rPr>
          <w:rFonts w:ascii="Candara" w:eastAsia="Candara" w:hAnsi="Candara" w:cs="Candara"/>
          <w:color w:val="5A606D"/>
          <w:spacing w:val="0"/>
          <w:w w:val="100"/>
          <w:position w:val="0"/>
          <w:sz w:val="16"/>
          <w:szCs w:val="16"/>
        </w:rPr>
        <w:t xml:space="preserve">FORMS </w:t>
      </w:r>
      <w:r>
        <w:rPr>
          <w:rFonts w:ascii="Candara" w:eastAsia="Candara" w:hAnsi="Candara" w:cs="Candara"/>
          <w:color w:val="BBBBBB"/>
          <w:spacing w:val="0"/>
          <w:w w:val="100"/>
          <w:position w:val="0"/>
          <w:sz w:val="16"/>
          <w:szCs w:val="16"/>
        </w:rPr>
        <w:t>SYNTRON</w:t>
      </w:r>
    </w:p>
    <w:p>
      <w:pPr>
        <w:pStyle w:val="Style2"/>
        <w:keepNext w:val="0"/>
        <w:keepLines w:val="0"/>
        <w:widowControl w:val="0"/>
        <w:shd w:val="clear" w:color="auto" w:fill="auto"/>
        <w:bidi w:val="0"/>
        <w:spacing w:before="0" w:after="580" w:line="240" w:lineRule="auto"/>
        <w:ind w:left="0" w:right="0" w:firstLine="0"/>
        <w:jc w:val="center"/>
        <w:rPr>
          <w:sz w:val="36"/>
          <w:szCs w:val="36"/>
        </w:rPr>
      </w:pPr>
      <w:r>
        <w:rPr>
          <w:b/>
          <w:bCs/>
          <w:color w:val="000000"/>
          <w:spacing w:val="0"/>
          <w:w w:val="100"/>
          <w:position w:val="0"/>
          <w:sz w:val="36"/>
          <w:szCs w:val="36"/>
        </w:rPr>
        <w:t>深圳四方精创资讯股份有限公司</w:t>
      </w:r>
    </w:p>
    <w:p>
      <w:pPr>
        <w:pStyle w:val="Style14"/>
        <w:keepNext w:val="0"/>
        <w:keepLines w:val="0"/>
        <w:widowControl w:val="0"/>
        <w:shd w:val="clear" w:color="auto" w:fill="auto"/>
        <w:bidi w:val="0"/>
        <w:spacing w:before="0" w:after="5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2"/>
        <w:keepNext w:val="0"/>
        <w:keepLines w:val="0"/>
        <w:widowControl w:val="0"/>
        <w:shd w:val="clear" w:color="auto" w:fill="auto"/>
        <w:bidi w:val="0"/>
        <w:spacing w:before="0" w:after="40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2021-028</w:t>
      </w:r>
    </w:p>
    <w:p>
      <w:pPr>
        <w:pStyle w:val="Style2"/>
        <w:keepNext w:val="0"/>
        <w:keepLines w:val="0"/>
        <w:widowControl w:val="0"/>
        <w:shd w:val="clear" w:color="auto" w:fill="auto"/>
        <w:bidi w:val="0"/>
        <w:spacing w:before="0" w:after="54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794" w:right="968" w:bottom="2794" w:left="110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20"/>
        <w:keepNext/>
        <w:keepLines/>
        <w:widowControl w:val="0"/>
        <w:shd w:val="clear" w:color="auto" w:fill="auto"/>
        <w:bidi w:val="0"/>
        <w:spacing w:before="36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22"/>
        <w:keepNext w:val="0"/>
        <w:keepLines w:val="0"/>
        <w:widowControl w:val="0"/>
        <w:shd w:val="clear" w:color="auto" w:fill="auto"/>
        <w:bidi w:val="0"/>
        <w:spacing w:before="0" w:line="629" w:lineRule="exact"/>
        <w:ind w:left="0" w:right="0" w:firstLine="58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22"/>
        <w:keepNext w:val="0"/>
        <w:keepLines w:val="0"/>
        <w:widowControl w:val="0"/>
        <w:shd w:val="clear" w:color="auto" w:fill="auto"/>
        <w:bidi w:val="0"/>
        <w:spacing w:before="0" w:line="624" w:lineRule="exact"/>
        <w:ind w:left="0" w:right="0" w:firstLine="580"/>
        <w:jc w:val="both"/>
      </w:pPr>
      <w:r>
        <w:rPr>
          <w:color w:val="000000"/>
          <w:spacing w:val="0"/>
          <w:w w:val="100"/>
          <w:position w:val="0"/>
        </w:rPr>
        <w:t>公司负责人周志群、主管会计工作负责人及会计机构负责人（会计主管人员） 陈淑玲声明：保证年度报告中财务报告的真实、准确、完整。</w:t>
      </w:r>
    </w:p>
    <w:p>
      <w:pPr>
        <w:pStyle w:val="Style22"/>
        <w:keepNext w:val="0"/>
        <w:keepLines w:val="0"/>
        <w:widowControl w:val="0"/>
        <w:shd w:val="clear" w:color="auto" w:fill="auto"/>
        <w:bidi w:val="0"/>
        <w:spacing w:before="0"/>
        <w:ind w:left="0" w:right="0" w:firstLine="58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ind w:left="0" w:right="0" w:firstLine="580"/>
        <w:jc w:val="both"/>
      </w:pPr>
      <w:r>
        <w:rPr>
          <w:color w:val="000000"/>
          <w:spacing w:val="0"/>
          <w:w w:val="100"/>
          <w:position w:val="0"/>
        </w:rPr>
        <w:t xml:space="preserve">（一）面临依赖金融机构和客户集中的风险：公司主营业务对金融机构发 展的依赖程度高，尤其是对金融机构信息化投入存在较大的依赖性。如果我国 宏观经济形势出现较大波动、金融机构管理体制变化、全球经济不景气等不利 因素导致金融机构的信息化建设速度放缓，将可能对公司的业务发展产生不利 影响。公司核心业务是为金融机构提供软件产品、解决方案以及应用维护，业 务收入主要来源于大型商业银行，其特点决定了公司的客户集中度较高。（二） 面临市场竞争日益激烈的风险：公司多年来通过自身技术的不断积累和对金融 机构需求的深入研究和准确把握，赢得了良好的市场声誉，在业内具有较高的 知名度和较强的竞争能力。但由于金融科技市场是一个高度开放的市场，来自 国内外同行的竞争日趋激烈；行业内企业也有可能通过压低价格等手段来参与 市场竞争，导致竞争加剧。如果公司应对市场竞争的方式采取不当，将对公司 的经营发展产生不利影响。（三）创新产品研发风险：公司正在实施创新驱动 战略，分布式、微服务、区块链等前沿金融科技产品的研发工作，存在一定的 不确定因素，因此有不能达到预期目标的风险。（四）面临人才流失和人工成 </w:t>
      </w:r>
      <w:r>
        <w:rPr>
          <w:color w:val="000000"/>
          <w:spacing w:val="0"/>
          <w:w w:val="100"/>
          <w:position w:val="0"/>
        </w:rPr>
        <w:t xml:space="preserve">本上涨的风险：国家经济结构转型，互联网新兴行业的快速发展，导致对专业 人才的争夺非常激烈；公司核心业务最主要的成本为人工成本。随着公司业务 发展，人员规模不断增加。同时，物价水平持续上涨，生活成本持续上升，薪 酬水平不断上涨，带来了很大的成本压力。（五）业务季节性波动的风险：目 前公司的客户主要为银行类金融机构，银行信息化建设的预算、立项、招标、 采购和实施具有明显的季节性特征，一般在第四季度制订次年年度预算计划， 审批通常集中在次年第一季度，采购招标一般则安排在次年第一、二季度；此 外，上半年存在春节放假等因素，员工招聘培训在上半年也较多，因此公司上 半年的营业收入和营业利润占比较少，在下半年占比较多，业绩存在季节性波 动。（六）存在业务规模扩张和对外投资导致的管理风险：随着公司规模加大、 业务模式创新、市场多元化和不断加大的对外投资与合作，相应资产规模、人 员规模也不断加大以及不同国家和地区的法律法规的不同，这对公司的管理提 出了更高的要求。如果不能相应调整完善原有的运营管理体系和提高经营管理 水平，建立起与之相适应的运作机制并有效运行，将直接影响公司的经营效率、 发展速度和业绩水平。（七）市场技术发展方向变化的风险：目前软件行业正 处于快速发展阶段，技术更新换代快，用户对技术服务的要求不断提高。因此, 若公司对技术和市场的变化不能快速响应，对行业关键技术的发展动态不能及 时掌控，将导致公司的市场竞争能力下降，公司因而存在一定的技术发展风险。 公司在做好主营业务的同时，会跟随金融科技发展趋势，但若对技术及市场等 变化未能准确、快速响应，业务转型将存在达不到预期目标的风险，未来是否 盈利存在不确定性。（八）尽管公司已做充分的市场调研和可行性论证，但项 目实施周期较长，在此期间由于宏观经济、市场环境、技术进步等因素，存在 </w:t>
      </w:r>
      <w:r>
        <w:rPr>
          <w:color w:val="000000"/>
          <w:spacing w:val="0"/>
          <w:w w:val="100"/>
          <w:position w:val="0"/>
        </w:rPr>
        <w:t>募集资金投资项目不达预期的风险。（九）公司设立的子公司、合资公司、参 股公司，未来实现盈利存在不确定性。（十）国际政治经济不稳定及汇率波动 风险：公司正在实施全球化布局，目前海外业务占比规模较大。报告期内，贸 易保护主义有加剧的趋势，而国际政治经济形势的不确定性，将会给公司在海 外业务拓展方面带来不确定性，汇率波动也会给公司外汇结算等方面带来潜在 风险。（十一）疫情带来的不确定性风险：自年初全国疫情爆发以来，公司第一 时间成立疫情应对紧急工作组，全面落实疫情防控的各项措施，并稳步推进复 工复产。虽然目前国内疫情已得到有效控制，但在全球范围内仍有进一步恶化 的风险。如疫情进一步在全球范围蔓延，将会给全球各产业生产和经营带来不 同程度的不利影响，预计也会增加公司的整体业务的不确定性风险。</w:t>
      </w:r>
    </w:p>
    <w:p>
      <w:pPr>
        <w:pStyle w:val="Style22"/>
        <w:keepNext w:val="0"/>
        <w:keepLines w:val="0"/>
        <w:widowControl w:val="0"/>
        <w:shd w:val="clear" w:color="auto" w:fill="auto"/>
        <w:bidi w:val="0"/>
        <w:spacing w:before="0" w:after="0" w:line="628" w:lineRule="exact"/>
        <w:ind w:left="0" w:right="0" w:firstLine="580"/>
        <w:jc w:val="both"/>
        <w:sectPr>
          <w:footnotePr>
            <w:pos w:val="pageBottom"/>
            <w:numFmt w:val="decimal"/>
            <w:numRestart w:val="continuous"/>
          </w:footnotePr>
          <w:pgSz w:w="11900" w:h="16840"/>
          <w:pgMar w:top="1282" w:right="991" w:bottom="1661" w:left="1084" w:header="0" w:footer="3" w:gutter="0"/>
          <w:cols w:space="720"/>
          <w:noEndnote/>
          <w:rtlGutter w:val="0"/>
          <w:docGrid w:linePitch="360"/>
        </w:sectPr>
      </w:pPr>
      <w:r>
        <w:rPr>
          <w:color w:val="000000"/>
          <w:spacing w:val="0"/>
          <w:w w:val="100"/>
          <w:position w:val="0"/>
        </w:rPr>
        <w:t>公司经本次董事会审议通过的利润分配预案为：以截至2020年12月31日 公司总股本</w:t>
      </w:r>
      <w:r>
        <w:rPr>
          <w:color w:val="000000"/>
          <w:spacing w:val="0"/>
          <w:w w:val="100"/>
          <w:position w:val="0"/>
        </w:rPr>
        <w:t>283,299,055.00</w:t>
      </w:r>
      <w:r>
        <w:rPr>
          <w:color w:val="000000"/>
          <w:spacing w:val="0"/>
          <w:w w:val="100"/>
          <w:position w:val="0"/>
        </w:rPr>
        <w:t xml:space="preserve">股为基数,拟向全体股东分配共计现金人民币 </w:t>
      </w:r>
      <w:r>
        <w:rPr>
          <w:color w:val="000000"/>
          <w:spacing w:val="0"/>
          <w:w w:val="100"/>
          <w:position w:val="0"/>
        </w:rPr>
        <w:t>28,329,905.50</w:t>
      </w:r>
      <w:r>
        <w:rPr>
          <w:color w:val="000000"/>
          <w:spacing w:val="0"/>
          <w:w w:val="100"/>
          <w:position w:val="0"/>
        </w:rPr>
        <w:t>元，即每10股派发现金股利1元人民币（含税）。本次利润分配不 转增不送红股，剩余未分配利润结转入下一年度。（以上净利润额、可分配利 润额以及利润分配后剩余未分配利润额以最终经审计数据为准。）</w:t>
      </w:r>
    </w:p>
    <w:p>
      <w:pPr>
        <w:pStyle w:val="Style14"/>
        <w:keepNext w:val="0"/>
        <w:keepLines w:val="0"/>
        <w:widowControl w:val="0"/>
        <w:shd w:val="clear" w:color="auto" w:fill="auto"/>
        <w:bidi w:val="0"/>
        <w:spacing w:before="120" w:after="140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25"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6"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53"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8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23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25</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389"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456"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460"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464"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525"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603"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607"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4"/>
        <w:keepNext w:val="0"/>
        <w:keepLines w:val="0"/>
        <w:widowControl w:val="0"/>
        <w:shd w:val="clear" w:color="auto" w:fill="auto"/>
        <w:tabs>
          <w:tab w:leader="dot" w:pos="9625" w:val="right"/>
        </w:tabs>
        <w:bidi w:val="0"/>
        <w:spacing w:before="0" w:line="240" w:lineRule="auto"/>
        <w:ind w:left="0" w:right="0" w:firstLine="0"/>
        <w:jc w:val="both"/>
      </w:pPr>
      <w:hyperlink w:anchor="bookmark1665" w:tooltip="Current Document">
        <w:r>
          <w:rPr>
            <w:color w:val="000000"/>
            <w:spacing w:val="0"/>
            <w:w w:val="100"/>
            <w:position w:val="0"/>
          </w:rPr>
          <w:t>第十三节备查文件目录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179</w:t>
        </w:r>
      </w:hyperlink>
      <w:r>
        <w:br w:type="page"/>
      </w:r>
      <w:r>
        <w:fldChar w:fldCharType="end"/>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公司、本公司、四方精创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Systex Solutions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Systex Solutions (HK)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乐寻坊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深圳前海乐寻坊区块链科技有限公司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四方泰国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四方精创（泰国）有限公司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人民币万元</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bookmarkEnd w:id="4"/>
    </w:p>
    <w:p>
      <w:pPr>
        <w:pStyle w:val="Style28"/>
        <w:keepNext/>
        <w:keepLines/>
        <w:widowControl w:val="0"/>
        <w:shd w:val="clear" w:color="auto" w:fill="auto"/>
        <w:bidi w:val="0"/>
        <w:spacing w:before="0" w:after="320" w:line="240" w:lineRule="auto"/>
        <w:ind w:left="0" w:right="0" w:firstLine="24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Forms Syntron Information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Forms Syntron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r>
              <w:rPr>
                <w:rFonts w:ascii="Times New Roman" w:eastAsia="Times New Roman" w:hAnsi="Times New Roman" w:cs="Times New Roman"/>
                <w:color w:val="000000"/>
                <w:spacing w:val="0"/>
                <w:w w:val="100"/>
                <w:position w:val="0"/>
              </w:rPr>
              <w:t>3</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"http://www.formssi.com" </w:instrText>
            </w:r>
            <w:r>
              <w:fldChar w:fldCharType="separate"/>
            </w:r>
            <w:r>
              <w:rPr>
                <w:rFonts w:ascii="Times New Roman" w:eastAsia="Times New Roman" w:hAnsi="Times New Roman" w:cs="Times New Roman"/>
                <w:color w:val="000000"/>
                <w:spacing w:val="0"/>
                <w:w w:val="100"/>
                <w:position w:val="0"/>
              </w:rPr>
              <w:t>www.formssi.com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"mailto:formssyntronss@formssi.com" </w:instrText>
            </w:r>
            <w:r>
              <w:fldChar w:fldCharType="separate"/>
            </w:r>
            <w:r>
              <w:rPr>
                <w:rFonts w:ascii="Times New Roman" w:eastAsia="Times New Roman" w:hAnsi="Times New Roman" w:cs="Times New Roman"/>
                <w:color w:val="000000"/>
                <w:spacing w:val="0"/>
                <w:w w:val="100"/>
                <w:position w:val="0"/>
              </w:rPr>
              <w:t>formssyntronss@formssi.com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张雅倩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深圳市南山区粤海街道高新区社区高新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深圳市南山区粤海街道高新区社区高新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0755-86649962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fbrmssyntronss@fbrmssi.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"mailto:fbrmssyntronss@fbrmssi.com" </w:instrText>
            </w:r>
            <w:r>
              <w:fldChar w:fldCharType="separate"/>
            </w:r>
            <w:r>
              <w:rPr>
                <w:rFonts w:ascii="Times New Roman" w:eastAsia="Times New Roman" w:hAnsi="Times New Roman" w:cs="Times New Roman"/>
                <w:color w:val="000000"/>
                <w:spacing w:val="0"/>
                <w:w w:val="100"/>
                <w:position w:val="0"/>
              </w:rPr>
              <w:t>fbrmssyntronss@fbrmssi.com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福建省福州市湖东路</w:t>
            </w:r>
            <w:r>
              <w:rPr>
                <w:rFonts w:ascii="Times New Roman" w:eastAsia="Times New Roman" w:hAnsi="Times New Roman" w:cs="Times New Roman"/>
                <w:color w:val="000000"/>
                <w:spacing w:val="0"/>
                <w:w w:val="100"/>
                <w:position w:val="0"/>
              </w:rPr>
              <w:t>152</w:t>
            </w:r>
            <w:r>
              <w:rPr>
                <w:color w:val="000000"/>
                <w:spacing w:val="0"/>
                <w:w w:val="100"/>
                <w:position w:val="0"/>
              </w:rPr>
              <w:t>号中山大厦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6-9</w:t>
            </w:r>
            <w:r>
              <w:rPr>
                <w:color w:val="000000"/>
                <w:spacing w:val="0"/>
                <w:w w:val="100"/>
                <w:position w:val="0"/>
              </w:rPr>
              <w:t>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俞健业、梁倩倩</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525,558,672.81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487,816,568.83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74,555,031.45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96,238,638.56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68,804,381.94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65,963,440.93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88,436,850.20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66,055,860.72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11,337,301.62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119,278,918.09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79,294,660.13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1,251,771,470.81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1,197,411,942.54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1,233,192,855.43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1,165,443,607.65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1,102,435,617.35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1,054,204,545.71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99" w:line="1" w:lineRule="exact"/>
      </w:pPr>
    </w:p>
    <w:tbl>
      <w:tblPr>
        <w:tblOverlap w:val="never"/>
        <w:jc w:val="center"/>
        <w:tblLayout w:type="fixed"/>
      </w:tblPr>
      <w:tblGrid>
        <w:gridCol w:w="4531"/>
        <w:gridCol w:w="505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283,299,055</w:t>
            </w:r>
          </w:p>
        </w:tc>
      </w:tr>
    </w:tbl>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4531"/>
        <w:gridCol w:w="50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0.2632</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3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99,025,379.99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153,030,893.79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143,060,051.99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178,867,305.44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7,180,618.05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18,289,016.43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25,439,245.70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23,646,151.27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7,001,862.15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15,811,501.34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23,438,082.89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19,711,994.55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-69,577,830.83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-12,159,919.62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-63,798,534.63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156,873,586.70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517" w:val="left"/>
        </w:tabs>
        <w:bidi w:val="0"/>
        <w:spacing w:before="0" w:after="3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5"/>
        <w:keepNext/>
        <w:keepLines/>
        <w:widowControl w:val="0"/>
        <w:shd w:val="clear" w:color="auto" w:fill="auto"/>
        <w:tabs>
          <w:tab w:pos="392"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92"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92"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3</w:t>
      </w:r>
      <w:bookmarkEnd w:id="45"/>
      <w:r>
        <w:rPr>
          <w:color w:val="000000"/>
          <w:spacing w:val="0"/>
          <w:w w:val="100"/>
          <w:position w:val="0"/>
        </w:rPr>
        <w:t>、</w:t>
        <w:tab/>
        <w:t>境内外会计准则下会计数据差异原因说明</w:t>
      </w:r>
      <w:bookmarkEnd w:id="43"/>
      <w:bookmarkEnd w:id="44"/>
      <w:bookmarkEnd w:id="46"/>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4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-25,532.88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-241,572.42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7,478,088.59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8,799,759.14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4,098,847.28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417,762.53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189,071.49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-485,104.55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174,852.23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1,524,806.93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1,377,022.11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623,649.09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8,591,590.52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7,801,788.36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2,748,521.22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1900" w:h="16840"/>
          <w:pgMar w:top="1441" w:right="1119" w:bottom="1604" w:left="109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160" w:line="240" w:lineRule="auto"/>
        <w:ind w:left="0" w:right="0" w:firstLine="0"/>
        <w:jc w:val="center"/>
      </w:pPr>
      <w:bookmarkStart w:id="51" w:name="bookmark51"/>
      <w:bookmarkStart w:id="52" w:name="bookmark52"/>
      <w:bookmarkStart w:id="53" w:name="bookmark53"/>
      <w:bookmarkStart w:id="54" w:name="bookmark54"/>
      <w:r>
        <w:rPr>
          <w:color w:val="000000"/>
          <w:spacing w:val="0"/>
          <w:w w:val="100"/>
          <w:position w:val="0"/>
        </w:rPr>
        <w:t>第三节公司业务概要</w:t>
      </w:r>
      <w:bookmarkEnd w:id="52"/>
      <w:bookmarkEnd w:id="53"/>
      <w:bookmarkEnd w:id="54"/>
      <w:bookmarkEnd w:id="51"/>
    </w:p>
    <w:p>
      <w:pPr>
        <w:pStyle w:val="Style28"/>
        <w:keepNext/>
        <w:keepLines/>
        <w:widowControl w:val="0"/>
        <w:shd w:val="clear" w:color="auto" w:fill="auto"/>
        <w:bidi w:val="0"/>
        <w:spacing w:before="0" w:after="2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公司需遵守《深圳证券交易所行业信息披露指引第</w:t>
      </w:r>
      <w:r>
        <w:rPr>
          <w:color w:val="000000"/>
          <w:spacing w:val="0"/>
          <w:w w:val="100"/>
          <w:position w:val="0"/>
        </w:rPr>
        <w:t>12</w:t>
      </w:r>
      <w:r>
        <w:rPr>
          <w:color w:val="000000"/>
          <w:spacing w:val="0"/>
          <w:w w:val="100"/>
          <w:position w:val="0"/>
        </w:rPr>
        <w:t>号一一上市公司从事软件与信息技术服务业务》的披露要求</w:t>
      </w:r>
    </w:p>
    <w:p>
      <w:pPr>
        <w:pStyle w:val="Style30"/>
        <w:keepNext w:val="0"/>
        <w:keepLines w:val="0"/>
        <w:widowControl w:val="0"/>
        <w:shd w:val="clear" w:color="auto" w:fill="auto"/>
        <w:tabs>
          <w:tab w:pos="471" w:val="left"/>
        </w:tabs>
        <w:bidi w:val="0"/>
        <w:spacing w:before="0" w:after="0" w:line="313" w:lineRule="exact"/>
        <w:ind w:left="0" w:right="0" w:firstLine="0"/>
        <w:jc w:val="both"/>
      </w:pPr>
      <w:bookmarkStart w:id="59" w:name="bookmark59"/>
      <w:r>
        <w:rPr>
          <w:color w:val="000000"/>
          <w:spacing w:val="0"/>
          <w:w w:val="100"/>
          <w:position w:val="0"/>
        </w:rPr>
        <w:t>（</w:t>
      </w:r>
      <w:bookmarkEnd w:id="59"/>
      <w:r>
        <w:rPr>
          <w:color w:val="000000"/>
          <w:spacing w:val="0"/>
          <w:w w:val="100"/>
          <w:position w:val="0"/>
        </w:rPr>
        <w:t>一）</w:t>
        <w:tab/>
        <w:t>公司业务相关的宏观经济层面或外部经营环境的发展现状和变化趋势及公司行业地位或区域市场地位的变动趋势</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公司的经营范围包括从事计算机软、硬件的技术开发，销售自行开发的软件；数据库的设计、开发和维护；计算机系统 集成及其相关的技术咨询、维护；计算机软、硬件的批发、佣金代理（不含拍卖）、进出口及相关配套业务；技术进出口。</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报告期，公司继续坚持做好主营业务，秉承在服务好现有客户的同时积极拓展新客户；充分发挥公司全球服务能力，坚 持境内外协同发展，聚焦海内外金融机构需求，以期实现业务增长；公司积极把握“银行</w:t>
      </w:r>
      <w:r>
        <w:rPr>
          <w:rFonts w:ascii="Times New Roman" w:eastAsia="Times New Roman" w:hAnsi="Times New Roman" w:cs="Times New Roman"/>
          <w:color w:val="000000"/>
          <w:spacing w:val="0"/>
          <w:w w:val="100"/>
          <w:position w:val="0"/>
        </w:rPr>
        <w:t>4.0</w:t>
      </w:r>
      <w:r>
        <w:rPr>
          <w:color w:val="000000"/>
          <w:spacing w:val="0"/>
          <w:w w:val="100"/>
          <w:position w:val="0"/>
        </w:rPr>
        <w:t>”发展机遇，积极投入分布式、 微服务、区块链、数字货币</w:t>
      </w:r>
      <w:r>
        <w:rPr>
          <w:color w:val="000000"/>
          <w:spacing w:val="0"/>
          <w:w w:val="100"/>
          <w:position w:val="0"/>
        </w:rPr>
        <w:t>、</w:t>
      </w:r>
      <w:r>
        <w:rPr>
          <w:color w:val="000000"/>
          <w:spacing w:val="0"/>
          <w:w w:val="100"/>
          <w:position w:val="0"/>
        </w:rPr>
        <w:t>AI+</w:t>
      </w:r>
      <w:r>
        <w:rPr>
          <w:color w:val="000000"/>
          <w:spacing w:val="0"/>
          <w:w w:val="100"/>
          <w:position w:val="0"/>
        </w:rPr>
        <w:t>大数据、</w:t>
      </w:r>
      <w:r>
        <w:rPr>
          <w:color w:val="000000"/>
          <w:spacing w:val="0"/>
          <w:w w:val="100"/>
          <w:position w:val="0"/>
        </w:rPr>
        <w:t>5G</w:t>
      </w:r>
      <w:r>
        <w:rPr>
          <w:color w:val="000000"/>
          <w:spacing w:val="0"/>
          <w:w w:val="100"/>
          <w:position w:val="0"/>
        </w:rPr>
        <w:t>应用等新技术研发，以期在技术上把握先发优势，积极推动产品在境内外落地。 公司在深耕港澳市场的同时，积极响应国家一带一路政策，继续推进全资孙公司四方精创（泰国）有限公司的业务发展，拓 展东南亚市场等国际市场，布局未来业务发展；公司始终坚持以人为本，产品+服务，平台+服务的发展方向，不断提高管理 能力、组织能力、市场拓展能力以适应公司经营计划和战略规划，实现公司发展目标。</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报告期，公司继续保持研发投入，全年研发投入</w:t>
      </w:r>
      <w:r>
        <w:rPr>
          <w:color w:val="000000"/>
          <w:spacing w:val="0"/>
          <w:w w:val="100"/>
          <w:position w:val="0"/>
        </w:rPr>
        <w:t>7,967.50</w:t>
      </w:r>
      <w:r>
        <w:rPr>
          <w:color w:val="000000"/>
          <w:spacing w:val="0"/>
          <w:w w:val="100"/>
          <w:position w:val="0"/>
        </w:rPr>
        <w:t>万元，占公司营业收入的</w:t>
      </w:r>
      <w:r>
        <w:rPr>
          <w:color w:val="000000"/>
          <w:spacing w:val="0"/>
          <w:w w:val="100"/>
          <w:position w:val="0"/>
        </w:rPr>
        <w:t>13.88%,</w:t>
      </w:r>
      <w:r>
        <w:rPr>
          <w:color w:val="000000"/>
          <w:spacing w:val="0"/>
          <w:w w:val="100"/>
          <w:position w:val="0"/>
        </w:rPr>
        <w:t>其中分布式架构、微服务平 台及区块链的技术研发投入占全年研发投入的</w:t>
      </w:r>
      <w:r>
        <w:rPr>
          <w:color w:val="000000"/>
          <w:spacing w:val="0"/>
          <w:w w:val="100"/>
          <w:position w:val="0"/>
        </w:rPr>
        <w:t xml:space="preserve">86. </w:t>
      </w:r>
      <w:r>
        <w:rPr>
          <w:color w:val="000000"/>
          <w:spacing w:val="0"/>
          <w:w w:val="100"/>
          <w:position w:val="0"/>
        </w:rPr>
        <w:t>52%</w:t>
      </w:r>
      <w:r>
        <w:rPr>
          <w:color w:val="000000"/>
          <w:spacing w:val="0"/>
          <w:w w:val="100"/>
          <w:position w:val="0"/>
        </w:rPr>
        <w:t>。公司已推出了面向金融行业的分布式</w:t>
      </w:r>
      <w:r>
        <w:rPr>
          <w:color w:val="000000"/>
          <w:spacing w:val="0"/>
          <w:w w:val="100"/>
          <w:position w:val="0"/>
        </w:rPr>
        <w:t>PaaS</w:t>
      </w:r>
      <w:r>
        <w:rPr>
          <w:color w:val="000000"/>
          <w:spacing w:val="0"/>
          <w:w w:val="100"/>
          <w:position w:val="0"/>
        </w:rPr>
        <w:t>平台、微服务</w:t>
      </w:r>
      <w:r>
        <w:rPr>
          <w:color w:val="000000"/>
          <w:spacing w:val="0"/>
          <w:w w:val="100"/>
          <w:position w:val="0"/>
        </w:rPr>
        <w:t>SaaS</w:t>
      </w:r>
      <w:r>
        <w:rPr>
          <w:color w:val="000000"/>
          <w:spacing w:val="0"/>
          <w:w w:val="100"/>
          <w:position w:val="0"/>
        </w:rPr>
        <w:t>平台及建 制在其上的模块化银行业务平台，具备面向“银行</w:t>
      </w:r>
      <w:r>
        <w:rPr>
          <w:rFonts w:ascii="Times New Roman" w:eastAsia="Times New Roman" w:hAnsi="Times New Roman" w:cs="Times New Roman"/>
          <w:color w:val="000000"/>
          <w:spacing w:val="0"/>
          <w:w w:val="100"/>
          <w:position w:val="0"/>
        </w:rPr>
        <w:t>4.0</w:t>
      </w:r>
      <w:r>
        <w:rPr>
          <w:color w:val="000000"/>
          <w:spacing w:val="0"/>
          <w:w w:val="100"/>
          <w:position w:val="0"/>
        </w:rPr>
        <w:t>”发展的技术能力；公司已具备从区块链底层平台到应用解决方案的 全方位研发与交付能力，区块链+数字经济融合创新能力，实现多种场景落地。在技术研发的同时，积极开展对外合作，业 务模式创新，推动技术转化与产品落地。</w:t>
      </w:r>
      <w:r>
        <w:rPr>
          <w:color w:val="000000"/>
          <w:spacing w:val="0"/>
          <w:w w:val="100"/>
          <w:position w:val="0"/>
        </w:rPr>
        <w:t>PaaS+SaaS</w:t>
      </w:r>
      <w:r>
        <w:rPr>
          <w:color w:val="000000"/>
          <w:spacing w:val="0"/>
          <w:w w:val="100"/>
          <w:position w:val="0"/>
        </w:rPr>
        <w:t>平台可助力金融机构客户智慧、极简、开放、安全、高效地部署各类应 用，帮助客户节省成本、提升效率。</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报告期内，公司在做好疫情防控的同时，努力按照经营计划，稳步推进各项业务，实现营业收入</w:t>
      </w:r>
      <w:r>
        <w:rPr>
          <w:color w:val="000000"/>
          <w:spacing w:val="0"/>
          <w:w w:val="100"/>
          <w:position w:val="0"/>
        </w:rPr>
        <w:t xml:space="preserve">57, </w:t>
      </w:r>
      <w:r>
        <w:rPr>
          <w:color w:val="000000"/>
          <w:spacing w:val="0"/>
          <w:w w:val="100"/>
          <w:position w:val="0"/>
        </w:rPr>
        <w:t xml:space="preserve">398. </w:t>
      </w:r>
      <w:r>
        <w:rPr>
          <w:color w:val="000000"/>
          <w:spacing w:val="0"/>
          <w:w w:val="100"/>
          <w:position w:val="0"/>
        </w:rPr>
        <w:t>36</w:t>
      </w:r>
      <w:r>
        <w:rPr>
          <w:color w:val="000000"/>
          <w:spacing w:val="0"/>
          <w:w w:val="100"/>
          <w:position w:val="0"/>
        </w:rPr>
        <w:t>万元，较上 年同期增长</w:t>
      </w:r>
      <w:r>
        <w:rPr>
          <w:color w:val="000000"/>
          <w:spacing w:val="0"/>
          <w:w w:val="100"/>
          <w:position w:val="0"/>
        </w:rPr>
        <w:t>9.21%，</w:t>
      </w:r>
      <w:r>
        <w:rPr>
          <w:color w:val="000000"/>
          <w:spacing w:val="0"/>
          <w:w w:val="100"/>
          <w:position w:val="0"/>
        </w:rPr>
        <w:t>其中软件开发收入</w:t>
      </w:r>
      <w:r>
        <w:rPr>
          <w:color w:val="000000"/>
          <w:spacing w:val="0"/>
          <w:w w:val="100"/>
          <w:position w:val="0"/>
        </w:rPr>
        <w:t xml:space="preserve">53, </w:t>
      </w:r>
      <w:r>
        <w:rPr>
          <w:color w:val="000000"/>
          <w:spacing w:val="0"/>
          <w:w w:val="100"/>
          <w:position w:val="0"/>
        </w:rPr>
        <w:t xml:space="preserve">687. </w:t>
      </w:r>
      <w:r>
        <w:rPr>
          <w:color w:val="000000"/>
          <w:spacing w:val="0"/>
          <w:w w:val="100"/>
          <w:position w:val="0"/>
        </w:rPr>
        <w:t>50</w:t>
      </w:r>
      <w:r>
        <w:rPr>
          <w:color w:val="000000"/>
          <w:spacing w:val="0"/>
          <w:w w:val="100"/>
          <w:position w:val="0"/>
        </w:rPr>
        <w:t>万元，较上年同期增长</w:t>
      </w:r>
      <w:r>
        <w:rPr>
          <w:color w:val="000000"/>
          <w:spacing w:val="0"/>
          <w:w w:val="100"/>
          <w:position w:val="0"/>
        </w:rPr>
        <w:t xml:space="preserve">5. </w:t>
      </w:r>
      <w:r>
        <w:rPr>
          <w:color w:val="000000"/>
          <w:spacing w:val="0"/>
          <w:w w:val="100"/>
          <w:position w:val="0"/>
        </w:rPr>
        <w:t>18%；</w:t>
      </w:r>
      <w:r>
        <w:rPr>
          <w:color w:val="000000"/>
          <w:spacing w:val="0"/>
          <w:w w:val="100"/>
          <w:position w:val="0"/>
        </w:rPr>
        <w:t>公司努力实现产品</w:t>
      </w:r>
      <w:r>
        <w:rPr>
          <w:color w:val="000000"/>
          <w:spacing w:val="0"/>
          <w:w w:val="100"/>
          <w:position w:val="0"/>
        </w:rPr>
        <w:t>+</w:t>
      </w:r>
      <w:r>
        <w:rPr>
          <w:color w:val="000000"/>
          <w:spacing w:val="0"/>
          <w:w w:val="100"/>
          <w:position w:val="0"/>
        </w:rPr>
        <w:t>服务，积极推动业务模式 创新，咨询、维护及产品授权收入</w:t>
      </w:r>
      <w:r>
        <w:rPr>
          <w:color w:val="000000"/>
          <w:spacing w:val="0"/>
          <w:w w:val="100"/>
          <w:position w:val="0"/>
        </w:rPr>
        <w:t xml:space="preserve">3, </w:t>
      </w:r>
      <w:r>
        <w:rPr>
          <w:color w:val="000000"/>
          <w:spacing w:val="0"/>
          <w:w w:val="100"/>
          <w:position w:val="0"/>
        </w:rPr>
        <w:t xml:space="preserve">345. </w:t>
      </w:r>
      <w:r>
        <w:rPr>
          <w:color w:val="000000"/>
          <w:spacing w:val="0"/>
          <w:w w:val="100"/>
          <w:position w:val="0"/>
        </w:rPr>
        <w:t>05</w:t>
      </w:r>
      <w:r>
        <w:rPr>
          <w:color w:val="000000"/>
          <w:spacing w:val="0"/>
          <w:w w:val="100"/>
          <w:position w:val="0"/>
        </w:rPr>
        <w:t>万元，同比增长</w:t>
      </w:r>
      <w:r>
        <w:rPr>
          <w:color w:val="000000"/>
          <w:spacing w:val="0"/>
          <w:w w:val="100"/>
          <w:position w:val="0"/>
        </w:rPr>
        <w:t>122.58%,</w:t>
      </w:r>
      <w:r>
        <w:rPr>
          <w:color w:val="000000"/>
          <w:spacing w:val="0"/>
          <w:w w:val="100"/>
          <w:position w:val="0"/>
        </w:rPr>
        <w:t>其中咨询和产品授权收入分别为</w:t>
      </w:r>
      <w:r>
        <w:rPr>
          <w:color w:val="000000"/>
          <w:spacing w:val="0"/>
          <w:w w:val="100"/>
          <w:position w:val="0"/>
        </w:rPr>
        <w:t>2,240.05</w:t>
      </w:r>
      <w:r>
        <w:rPr>
          <w:color w:val="000000"/>
          <w:spacing w:val="0"/>
          <w:w w:val="100"/>
          <w:position w:val="0"/>
        </w:rPr>
        <w:t>万元、</w:t>
      </w:r>
      <w:r>
        <w:rPr>
          <w:color w:val="000000"/>
          <w:spacing w:val="0"/>
          <w:w w:val="100"/>
          <w:position w:val="0"/>
        </w:rPr>
        <w:t xml:space="preserve">144.28 </w:t>
      </w:r>
      <w:r>
        <w:rPr>
          <w:color w:val="000000"/>
          <w:spacing w:val="0"/>
          <w:w w:val="100"/>
          <w:position w:val="0"/>
        </w:rPr>
        <w:t>万元；公司积极拓展境外市场，实现境外收入</w:t>
      </w:r>
      <w:r>
        <w:rPr>
          <w:color w:val="000000"/>
          <w:spacing w:val="0"/>
          <w:w w:val="100"/>
          <w:position w:val="0"/>
        </w:rPr>
        <w:t xml:space="preserve">36, </w:t>
      </w:r>
      <w:r>
        <w:rPr>
          <w:color w:val="000000"/>
          <w:spacing w:val="0"/>
          <w:w w:val="100"/>
          <w:position w:val="0"/>
        </w:rPr>
        <w:t xml:space="preserve">233. </w:t>
      </w:r>
      <w:r>
        <w:rPr>
          <w:color w:val="000000"/>
          <w:spacing w:val="0"/>
          <w:w w:val="100"/>
          <w:position w:val="0"/>
        </w:rPr>
        <w:t>64</w:t>
      </w:r>
      <w:r>
        <w:rPr>
          <w:color w:val="000000"/>
          <w:spacing w:val="0"/>
          <w:w w:val="100"/>
          <w:position w:val="0"/>
        </w:rPr>
        <w:t>万元，较上年同期增长</w:t>
      </w:r>
      <w:r>
        <w:rPr>
          <w:color w:val="000000"/>
          <w:spacing w:val="0"/>
          <w:w w:val="100"/>
          <w:position w:val="0"/>
        </w:rPr>
        <w:t>13.70%</w:t>
      </w:r>
      <w:r>
        <w:rPr>
          <w:color w:val="000000"/>
          <w:spacing w:val="0"/>
          <w:w w:val="100"/>
          <w:position w:val="0"/>
        </w:rPr>
        <w:t>。</w:t>
      </w:r>
    </w:p>
    <w:p>
      <w:pPr>
        <w:pStyle w:val="Style30"/>
        <w:keepNext w:val="0"/>
        <w:keepLines w:val="0"/>
        <w:widowControl w:val="0"/>
        <w:shd w:val="clear" w:color="auto" w:fill="auto"/>
        <w:tabs>
          <w:tab w:pos="471" w:val="left"/>
        </w:tabs>
        <w:bidi w:val="0"/>
        <w:spacing w:before="0" w:after="0" w:line="313" w:lineRule="exact"/>
        <w:ind w:left="380" w:right="0" w:hanging="380"/>
        <w:jc w:val="left"/>
      </w:pPr>
      <w:bookmarkStart w:id="60" w:name="bookmark60"/>
      <w:r>
        <w:rPr>
          <w:color w:val="000000"/>
          <w:spacing w:val="0"/>
          <w:w w:val="100"/>
          <w:position w:val="0"/>
        </w:rPr>
        <w:t>（</w:t>
      </w:r>
      <w:bookmarkEnd w:id="60"/>
      <w:r>
        <w:rPr>
          <w:color w:val="000000"/>
          <w:spacing w:val="0"/>
          <w:w w:val="100"/>
          <w:position w:val="0"/>
        </w:rPr>
        <w:t>二）</w:t>
        <w:tab/>
        <w:t>公司业务相关的宏观经济层面或外部经营环境的发展现状和变化趋势及公司行业地位或区域市场地位的变动趋势 公司是技术领先的专业金融</w:t>
      </w:r>
      <w:r>
        <w:rPr>
          <w:color w:val="000000"/>
          <w:spacing w:val="0"/>
          <w:w w:val="100"/>
          <w:position w:val="0"/>
        </w:rPr>
        <w:t>IT</w:t>
      </w:r>
      <w:r>
        <w:rPr>
          <w:color w:val="000000"/>
          <w:spacing w:val="0"/>
          <w:w w:val="100"/>
          <w:position w:val="0"/>
        </w:rPr>
        <w:t>综合解决方案供应商，其中针对大型商业银行的软件开发服务是本公司传统核心业务，主</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要客户为境内外大型商业银行，是中国银行、中银香港、渣打银行、东亚银行、华侨永亨银行、微众银行、</w:t>
      </w:r>
      <w:r>
        <w:rPr>
          <w:color w:val="000000"/>
          <w:spacing w:val="0"/>
          <w:w w:val="100"/>
          <w:position w:val="0"/>
        </w:rPr>
        <w:t>WelabBank</w:t>
      </w:r>
      <w:r>
        <w:rPr>
          <w:color w:val="000000"/>
          <w:spacing w:val="0"/>
          <w:w w:val="100"/>
          <w:position w:val="0"/>
        </w:rPr>
        <w:t>（</w:t>
      </w:r>
      <w:r>
        <w:rPr>
          <w:color w:val="000000"/>
          <w:spacing w:val="0"/>
          <w:w w:val="100"/>
          <w:position w:val="0"/>
        </w:rPr>
        <w:t>汇 立银行）、大新银行、百信银行、</w:t>
      </w:r>
      <w:r>
        <w:rPr>
          <w:color w:val="000000"/>
          <w:spacing w:val="0"/>
          <w:w w:val="100"/>
          <w:position w:val="0"/>
        </w:rPr>
        <w:t>KTB</w:t>
      </w:r>
      <w:r>
        <w:rPr>
          <w:color w:val="000000"/>
          <w:spacing w:val="0"/>
          <w:w w:val="100"/>
          <w:position w:val="0"/>
        </w:rPr>
        <w:t>（泰京银行）、</w:t>
      </w:r>
      <w:r>
        <w:rPr>
          <w:color w:val="000000"/>
          <w:spacing w:val="0"/>
          <w:w w:val="100"/>
          <w:position w:val="0"/>
        </w:rPr>
        <w:t>KTC</w:t>
      </w:r>
      <w:r>
        <w:rPr>
          <w:color w:val="000000"/>
          <w:spacing w:val="0"/>
          <w:w w:val="100"/>
          <w:position w:val="0"/>
        </w:rPr>
        <w:t>（泰京信用卡公司）等境内外知名金融机构的合作伙伴。公司具备 面向“银行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的技术能力、全方位解决方案与顾问咨询能力，全球服务能力，不仅可为国内大中小型金融机构提供全方 位的金融</w:t>
      </w:r>
      <w:r>
        <w:rPr>
          <w:color w:val="000000"/>
          <w:spacing w:val="0"/>
          <w:w w:val="100"/>
          <w:position w:val="0"/>
        </w:rPr>
        <w:t>IT</w:t>
      </w:r>
      <w:r>
        <w:rPr>
          <w:color w:val="000000"/>
          <w:spacing w:val="0"/>
          <w:w w:val="100"/>
          <w:position w:val="0"/>
        </w:rPr>
        <w:t>需求支持，也可为港澳、东南亚及世界其他国家和地区的金融机构提供顾问咨询、设计研发、产品、交付运维的 金融科技支持，从而助力金融机构全流程技术及业务的快速创新和持续发展。</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根据国家工业与信息化部发布的软件和信息技术服务业统计公报，</w:t>
      </w:r>
      <w:r>
        <w:rPr>
          <w:color w:val="000000"/>
          <w:spacing w:val="0"/>
          <w:w w:val="100"/>
          <w:position w:val="0"/>
        </w:rPr>
        <w:t>2020</w:t>
      </w:r>
      <w:r>
        <w:rPr>
          <w:color w:val="000000"/>
          <w:spacing w:val="0"/>
          <w:w w:val="100"/>
          <w:position w:val="0"/>
        </w:rPr>
        <w:t>年我国软件和信息技术服务业持续恢复，逐步摆 脱疫情负面影响，呈现平稳发展态势，完成软件业务收入达到</w:t>
      </w:r>
      <w:r>
        <w:rPr>
          <w:color w:val="000000"/>
          <w:spacing w:val="0"/>
          <w:w w:val="100"/>
          <w:position w:val="0"/>
        </w:rPr>
        <w:t>81,616</w:t>
      </w:r>
      <w:r>
        <w:rPr>
          <w:color w:val="000000"/>
          <w:spacing w:val="0"/>
          <w:w w:val="100"/>
          <w:position w:val="0"/>
        </w:rPr>
        <w:t>亿元，同比增长</w:t>
      </w:r>
      <w:r>
        <w:rPr>
          <w:color w:val="000000"/>
          <w:spacing w:val="0"/>
          <w:w w:val="100"/>
          <w:position w:val="0"/>
        </w:rPr>
        <w:t>13.3%</w:t>
      </w:r>
      <w:r>
        <w:rPr>
          <w:color w:val="000000"/>
          <w:spacing w:val="0"/>
          <w:w w:val="100"/>
          <w:position w:val="0"/>
        </w:rPr>
        <w:t>。从分领域收入来看，软件产品 收入实现较快增长，</w:t>
      </w:r>
      <w:r>
        <w:rPr>
          <w:color w:val="000000"/>
          <w:spacing w:val="0"/>
          <w:w w:val="100"/>
          <w:position w:val="0"/>
        </w:rPr>
        <w:t>2020</w:t>
      </w:r>
      <w:r>
        <w:rPr>
          <w:color w:val="000000"/>
          <w:spacing w:val="0"/>
          <w:w w:val="100"/>
          <w:position w:val="0"/>
        </w:rPr>
        <w:t>年软件产品实现收入</w:t>
      </w:r>
      <w:r>
        <w:rPr>
          <w:color w:val="000000"/>
          <w:spacing w:val="0"/>
          <w:w w:val="100"/>
          <w:position w:val="0"/>
        </w:rPr>
        <w:t>22,758</w:t>
      </w:r>
      <w:r>
        <w:rPr>
          <w:color w:val="000000"/>
          <w:spacing w:val="0"/>
          <w:w w:val="100"/>
          <w:position w:val="0"/>
        </w:rPr>
        <w:t>亿元，同比增长</w:t>
      </w:r>
      <w:r>
        <w:rPr>
          <w:color w:val="000000"/>
          <w:spacing w:val="0"/>
          <w:w w:val="100"/>
          <w:position w:val="0"/>
        </w:rPr>
        <w:t>10.1%,</w:t>
      </w:r>
      <w:r>
        <w:rPr>
          <w:color w:val="000000"/>
          <w:spacing w:val="0"/>
          <w:w w:val="100"/>
          <w:position w:val="0"/>
        </w:rPr>
        <w:t>占全行业比重为</w:t>
      </w:r>
      <w:r>
        <w:rPr>
          <w:color w:val="000000"/>
          <w:spacing w:val="0"/>
          <w:w w:val="100"/>
          <w:position w:val="0"/>
        </w:rPr>
        <w:t>27.9%；</w:t>
      </w:r>
      <w:r>
        <w:rPr>
          <w:color w:val="000000"/>
          <w:spacing w:val="0"/>
          <w:w w:val="100"/>
          <w:position w:val="0"/>
        </w:rPr>
        <w:t>受益于信息技术服务加 快云化发展，</w:t>
      </w:r>
      <w:r>
        <w:rPr>
          <w:color w:val="000000"/>
          <w:spacing w:val="0"/>
          <w:w w:val="100"/>
          <w:position w:val="0"/>
        </w:rPr>
        <w:t>2020</w:t>
      </w:r>
      <w:r>
        <w:rPr>
          <w:color w:val="000000"/>
          <w:spacing w:val="0"/>
          <w:w w:val="100"/>
          <w:position w:val="0"/>
        </w:rPr>
        <w:t>年信息技术服务实现收入</w:t>
      </w:r>
      <w:r>
        <w:rPr>
          <w:color w:val="000000"/>
          <w:spacing w:val="0"/>
          <w:w w:val="100"/>
          <w:position w:val="0"/>
        </w:rPr>
        <w:t>49, 868</w:t>
      </w:r>
      <w:r>
        <w:rPr>
          <w:color w:val="000000"/>
          <w:spacing w:val="0"/>
          <w:w w:val="100"/>
          <w:position w:val="0"/>
        </w:rPr>
        <w:t>亿元，同比增长</w:t>
      </w:r>
      <w:r>
        <w:rPr>
          <w:color w:val="000000"/>
          <w:spacing w:val="0"/>
          <w:w w:val="100"/>
          <w:position w:val="0"/>
        </w:rPr>
        <w:t>15.2%,</w:t>
      </w:r>
      <w:r>
        <w:rPr>
          <w:color w:val="000000"/>
          <w:spacing w:val="0"/>
          <w:w w:val="100"/>
          <w:position w:val="0"/>
        </w:rPr>
        <w:t>增速高出全行业平均水平</w:t>
      </w:r>
      <w:r>
        <w:rPr>
          <w:color w:val="000000"/>
          <w:spacing w:val="0"/>
          <w:w w:val="100"/>
          <w:position w:val="0"/>
        </w:rPr>
        <w:t>1.9</w:t>
      </w:r>
      <w:r>
        <w:rPr>
          <w:color w:val="000000"/>
          <w:spacing w:val="0"/>
          <w:w w:val="100"/>
          <w:position w:val="0"/>
        </w:rPr>
        <w:t>个百分点，占全行业 收入比重为</w:t>
      </w:r>
      <w:r>
        <w:rPr>
          <w:color w:val="000000"/>
          <w:spacing w:val="0"/>
          <w:w w:val="100"/>
          <w:position w:val="0"/>
        </w:rPr>
        <w:t>61.1%</w:t>
      </w:r>
      <w:r>
        <w:rPr>
          <w:color w:val="000000"/>
          <w:spacing w:val="0"/>
          <w:w w:val="100"/>
          <w:position w:val="0"/>
        </w:rPr>
        <w:t>。国内软件和信息技术服务业处在高速发展的轨道中，为公司的业务持续发展提供广阔的市场空间。</w:t>
      </w:r>
    </w:p>
    <w:p>
      <w:pPr>
        <w:pStyle w:val="Style30"/>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中国银行业</w:t>
      </w:r>
      <w:r>
        <w:rPr>
          <w:color w:val="000000"/>
          <w:spacing w:val="0"/>
          <w:w w:val="100"/>
          <w:position w:val="0"/>
        </w:rPr>
        <w:t>IT</w:t>
      </w:r>
      <w:r>
        <w:rPr>
          <w:color w:val="000000"/>
          <w:spacing w:val="0"/>
          <w:w w:val="100"/>
          <w:position w:val="0"/>
        </w:rPr>
        <w:t>解决方案市场发展现状及趋势：随着中国人民银行《金融科技</w:t>
      </w:r>
      <w:r>
        <w:rPr>
          <w:color w:val="000000"/>
          <w:spacing w:val="0"/>
          <w:w w:val="100"/>
          <w:position w:val="0"/>
        </w:rPr>
        <w:t>（FinTech）</w:t>
      </w:r>
      <w:r>
        <w:rPr>
          <w:color w:val="000000"/>
          <w:spacing w:val="0"/>
          <w:w w:val="100"/>
          <w:position w:val="0"/>
        </w:rPr>
        <w:t>发展规划</w:t>
      </w:r>
      <w:r>
        <w:rPr>
          <w:color w:val="000000"/>
          <w:spacing w:val="0"/>
          <w:w w:val="100"/>
          <w:position w:val="0"/>
        </w:rPr>
        <w:t>（2019-2021</w:t>
      </w:r>
      <w:r>
        <w:rPr>
          <w:color w:val="000000"/>
          <w:spacing w:val="0"/>
          <w:w w:val="100"/>
          <w:position w:val="0"/>
        </w:rPr>
        <w:t>年）》的 出台，新兴技术的商用化落地实践愈发丰富，多家银行推出</w:t>
      </w:r>
      <w:r>
        <w:rPr>
          <w:color w:val="000000"/>
          <w:spacing w:val="0"/>
          <w:w w:val="100"/>
          <w:position w:val="0"/>
        </w:rPr>
        <w:t>5G</w:t>
      </w:r>
      <w:r>
        <w:rPr>
          <w:color w:val="000000"/>
          <w:spacing w:val="0"/>
          <w:w w:val="100"/>
          <w:position w:val="0"/>
        </w:rPr>
        <w:t>智能网点，区块链应用不断加码，银行延伸智慧服务触角，推 动“线上</w:t>
      </w:r>
      <w:r>
        <w:rPr>
          <w:color w:val="000000"/>
          <w:spacing w:val="0"/>
          <w:w w:val="100"/>
          <w:position w:val="0"/>
        </w:rPr>
        <w:t>+</w:t>
      </w:r>
      <w:r>
        <w:rPr>
          <w:color w:val="000000"/>
          <w:spacing w:val="0"/>
          <w:w w:val="100"/>
          <w:position w:val="0"/>
        </w:rPr>
        <w:t>线下” “人工</w:t>
      </w:r>
      <w:r>
        <w:rPr>
          <w:color w:val="000000"/>
          <w:spacing w:val="0"/>
          <w:w w:val="100"/>
          <w:position w:val="0"/>
        </w:rPr>
        <w:t>+</w:t>
      </w:r>
      <w:r>
        <w:rPr>
          <w:color w:val="000000"/>
          <w:spacing w:val="0"/>
          <w:w w:val="100"/>
          <w:position w:val="0"/>
        </w:rPr>
        <w:t>智能”融合发展，</w:t>
      </w:r>
      <w:r>
        <w:rPr>
          <w:color w:val="000000"/>
          <w:spacing w:val="0"/>
          <w:w w:val="100"/>
          <w:position w:val="0"/>
        </w:rPr>
        <w:t>IT</w:t>
      </w:r>
      <w:r>
        <w:rPr>
          <w:color w:val="000000"/>
          <w:spacing w:val="0"/>
          <w:w w:val="100"/>
          <w:position w:val="0"/>
        </w:rPr>
        <w:t>基础架构的分布式转型取得突破性进展。根据</w:t>
      </w:r>
      <w:r>
        <w:rPr>
          <w:color w:val="000000"/>
          <w:spacing w:val="0"/>
          <w:w w:val="100"/>
          <w:position w:val="0"/>
        </w:rPr>
        <w:t>I DC</w:t>
      </w:r>
      <w:r>
        <w:rPr>
          <w:color w:val="000000"/>
          <w:spacing w:val="0"/>
          <w:w w:val="100"/>
          <w:position w:val="0"/>
        </w:rPr>
        <w:t>报告的数据显示，</w:t>
      </w:r>
      <w:r>
        <w:rPr>
          <w:color w:val="000000"/>
          <w:spacing w:val="0"/>
          <w:w w:val="100"/>
          <w:position w:val="0"/>
        </w:rPr>
        <w:t xml:space="preserve">2019-2024 </w:t>
      </w:r>
      <w:r>
        <w:rPr>
          <w:color w:val="000000"/>
          <w:spacing w:val="0"/>
          <w:w w:val="100"/>
          <w:position w:val="0"/>
        </w:rPr>
        <w:t>年我国银行业</w:t>
      </w:r>
      <w:r>
        <w:rPr>
          <w:color w:val="000000"/>
          <w:spacing w:val="0"/>
          <w:w w:val="100"/>
          <w:position w:val="0"/>
        </w:rPr>
        <w:t>IT</w:t>
      </w:r>
      <w:r>
        <w:rPr>
          <w:color w:val="000000"/>
          <w:spacing w:val="0"/>
          <w:w w:val="100"/>
          <w:position w:val="0"/>
        </w:rPr>
        <w:t>解决方案市场规模将以</w:t>
      </w:r>
      <w:r>
        <w:rPr>
          <w:color w:val="000000"/>
          <w:spacing w:val="0"/>
          <w:w w:val="100"/>
          <w:position w:val="0"/>
        </w:rPr>
        <w:t>24.5%</w:t>
      </w:r>
      <w:r>
        <w:rPr>
          <w:color w:val="000000"/>
          <w:spacing w:val="0"/>
          <w:w w:val="100"/>
          <w:position w:val="0"/>
        </w:rPr>
        <w:t>的年复合增长率增长，到</w:t>
      </w:r>
      <w:r>
        <w:rPr>
          <w:color w:val="000000"/>
          <w:spacing w:val="0"/>
          <w:w w:val="100"/>
          <w:position w:val="0"/>
        </w:rPr>
        <w:t>2024</w:t>
      </w:r>
      <w:r>
        <w:rPr>
          <w:color w:val="000000"/>
          <w:spacing w:val="0"/>
          <w:w w:val="100"/>
          <w:position w:val="0"/>
        </w:rPr>
        <w:t>年，其市场规模将达到</w:t>
      </w:r>
      <w:r>
        <w:rPr>
          <w:color w:val="000000"/>
          <w:spacing w:val="0"/>
          <w:w w:val="100"/>
          <w:position w:val="0"/>
        </w:rPr>
        <w:t>1273.5</w:t>
      </w:r>
      <w:r>
        <w:rPr>
          <w:color w:val="000000"/>
          <w:spacing w:val="0"/>
          <w:w w:val="100"/>
          <w:position w:val="0"/>
        </w:rPr>
        <w:t>亿元。目前我国正 迎来金融科技发展浪潮，金融与科技融合发展已经成为行业趋势。银行业</w:t>
      </w:r>
      <w:r>
        <w:rPr>
          <w:color w:val="000000"/>
          <w:spacing w:val="0"/>
          <w:w w:val="100"/>
          <w:position w:val="0"/>
        </w:rPr>
        <w:t>IT</w:t>
      </w:r>
      <w:r>
        <w:rPr>
          <w:color w:val="000000"/>
          <w:spacing w:val="0"/>
          <w:w w:val="100"/>
          <w:position w:val="0"/>
        </w:rPr>
        <w:t>解决方案市场受政策规划、信息技术发展和产业 内力等多轮因素驱动下，新一轮</w:t>
      </w:r>
      <w:r>
        <w:rPr>
          <w:color w:val="000000"/>
          <w:spacing w:val="0"/>
          <w:w w:val="100"/>
          <w:position w:val="0"/>
        </w:rPr>
        <w:t>IT</w:t>
      </w:r>
      <w:r>
        <w:rPr>
          <w:color w:val="000000"/>
          <w:spacing w:val="0"/>
          <w:w w:val="100"/>
          <w:position w:val="0"/>
        </w:rPr>
        <w:t>建设将迎来爆发，行业未来发展前景广阔。</w:t>
      </w:r>
    </w:p>
    <w:p>
      <w:pPr>
        <w:pStyle w:val="Style28"/>
        <w:keepNext/>
        <w:keepLines/>
        <w:widowControl w:val="0"/>
        <w:shd w:val="clear" w:color="auto" w:fill="auto"/>
        <w:bidi w:val="0"/>
        <w:spacing w:before="0" w:after="30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5"/>
        <w:keepNext/>
        <w:keepLines/>
        <w:widowControl w:val="0"/>
        <w:shd w:val="clear" w:color="auto" w:fill="auto"/>
        <w:bidi w:val="0"/>
        <w:spacing w:before="0" w:after="30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报告期满足条件的在建工程转为固定资产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报告期无重大变化</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报告期满足条件的在建工程转为固定资产</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30"/>
        <w:keepNext w:val="0"/>
        <w:keepLines w:val="0"/>
        <w:widowControl w:val="0"/>
        <w:shd w:val="clear" w:color="auto" w:fill="auto"/>
        <w:tabs>
          <w:tab w:pos="334" w:val="left"/>
        </w:tabs>
        <w:bidi w:val="0"/>
        <w:spacing w:before="0" w:after="0" w:line="312" w:lineRule="exact"/>
        <w:ind w:left="0" w:right="0" w:firstLine="0"/>
        <w:jc w:val="left"/>
      </w:pPr>
      <w:bookmarkStart w:id="77" w:name="bookmark77"/>
      <w:r>
        <w:rPr>
          <w:rFonts w:ascii="Times New Roman" w:eastAsia="Times New Roman" w:hAnsi="Times New Roman" w:cs="Times New Roman"/>
          <w:color w:val="000000"/>
          <w:spacing w:val="0"/>
          <w:w w:val="100"/>
          <w:position w:val="0"/>
        </w:rPr>
        <w:t>1</w:t>
      </w:r>
      <w:bookmarkEnd w:id="77"/>
      <w:r>
        <w:rPr>
          <w:color w:val="000000"/>
          <w:spacing w:val="0"/>
          <w:w w:val="100"/>
          <w:position w:val="0"/>
        </w:rPr>
        <w:t>、</w:t>
        <w:tab/>
        <w:t>面向"银行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时代的技术能力</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公司积极投入分布式、微服务、区块链、数字货币、</w:t>
      </w:r>
      <w:r>
        <w:rPr>
          <w:color w:val="000000"/>
          <w:spacing w:val="0"/>
          <w:w w:val="100"/>
          <w:position w:val="0"/>
        </w:rPr>
        <w:t>AI+</w:t>
      </w:r>
      <w:r>
        <w:rPr>
          <w:color w:val="000000"/>
          <w:spacing w:val="0"/>
          <w:w w:val="100"/>
          <w:position w:val="0"/>
        </w:rPr>
        <w:t>大数据</w:t>
      </w:r>
      <w:r>
        <w:rPr>
          <w:color w:val="000000"/>
          <w:spacing w:val="0"/>
          <w:w w:val="100"/>
          <w:position w:val="0"/>
        </w:rPr>
        <w:t>、</w:t>
      </w:r>
      <w:r>
        <w:rPr>
          <w:color w:val="000000"/>
          <w:spacing w:val="0"/>
          <w:w w:val="100"/>
          <w:position w:val="0"/>
        </w:rPr>
        <w:t>5G</w:t>
      </w:r>
      <w:r>
        <w:rPr>
          <w:color w:val="000000"/>
          <w:spacing w:val="0"/>
          <w:w w:val="100"/>
          <w:position w:val="0"/>
        </w:rPr>
        <w:t>应用等新技术研发，已推出面向金融行业的分布式 架构、微服务平台与建制在其上的模块化银行业务平台，可帮助各种规模的银行客户更好地迎接</w:t>
      </w:r>
      <w:r>
        <w:rPr>
          <w:rFonts w:ascii="Times New Roman" w:eastAsia="Times New Roman" w:hAnsi="Times New Roman" w:cs="Times New Roman"/>
          <w:color w:val="000000"/>
          <w:spacing w:val="0"/>
          <w:w w:val="100"/>
          <w:position w:val="0"/>
        </w:rPr>
        <w:t>“</w:t>
      </w:r>
      <w:r>
        <w:rPr>
          <w:color w:val="000000"/>
          <w:spacing w:val="0"/>
          <w:w w:val="100"/>
          <w:position w:val="0"/>
        </w:rPr>
        <w:t>银行</w:t>
      </w:r>
      <w:r>
        <w:rPr>
          <w:rFonts w:ascii="Times New Roman" w:eastAsia="Times New Roman" w:hAnsi="Times New Roman" w:cs="Times New Roman"/>
          <w:color w:val="000000"/>
          <w:spacing w:val="0"/>
          <w:w w:val="100"/>
          <w:position w:val="0"/>
        </w:rPr>
        <w:t>4.0”</w:t>
      </w:r>
      <w:r>
        <w:rPr>
          <w:color w:val="000000"/>
          <w:spacing w:val="0"/>
          <w:w w:val="100"/>
          <w:position w:val="0"/>
        </w:rPr>
        <w:t>时代的挑战；公 司已具备从区块链底层平台到应用解决方案的全方位研发与交付能力，具备区块链</w:t>
      </w:r>
      <w:r>
        <w:rPr>
          <w:rFonts w:ascii="Times New Roman" w:eastAsia="Times New Roman" w:hAnsi="Times New Roman" w:cs="Times New Roman"/>
          <w:color w:val="000000"/>
          <w:spacing w:val="0"/>
          <w:w w:val="100"/>
          <w:position w:val="0"/>
        </w:rPr>
        <w:t>+</w:t>
      </w:r>
      <w:r>
        <w:rPr>
          <w:color w:val="000000"/>
          <w:spacing w:val="0"/>
          <w:w w:val="100"/>
          <w:position w:val="0"/>
        </w:rPr>
        <w:t>数字经济融合创新应用的能力，并在数 字货币、应用型通证等加密数字资产领域积累了丰富的研发与运营经验。通过持续推动产品落地，在技术上把握先发优势， 公司已具备面向</w:t>
      </w:r>
      <w:r>
        <w:rPr>
          <w:color w:val="000000"/>
          <w:spacing w:val="0"/>
          <w:w w:val="100"/>
          <w:position w:val="0"/>
        </w:rPr>
        <w:t>"</w:t>
      </w:r>
      <w:r>
        <w:rPr>
          <w:color w:val="000000"/>
          <w:spacing w:val="0"/>
          <w:w w:val="100"/>
          <w:position w:val="0"/>
        </w:rPr>
        <w:t>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的技术能力。</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78" w:name="bookmark78"/>
      <w:r>
        <w:rPr>
          <w:rFonts w:ascii="Times New Roman" w:eastAsia="Times New Roman" w:hAnsi="Times New Roman" w:cs="Times New Roman"/>
          <w:color w:val="000000"/>
          <w:spacing w:val="0"/>
          <w:w w:val="100"/>
          <w:position w:val="0"/>
        </w:rPr>
        <w:t>2</w:t>
      </w:r>
      <w:bookmarkEnd w:id="78"/>
      <w:r>
        <w:rPr>
          <w:color w:val="000000"/>
          <w:spacing w:val="0"/>
          <w:w w:val="100"/>
          <w:position w:val="0"/>
        </w:rPr>
        <w:t>、</w:t>
        <w:tab/>
        <w:t>全方位解决方案与顾问咨询能力</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公司可以为金融机构客户提供顾问咨询、设计研发、交付运维的全方位、端到端的综合解决方案。基于新一代分布式基 础平台以及面向“银行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的基础架构，公司不但有能力向海内外金融机构提供面向“银行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的更简单、更敏捷、更 安全的产品与解决方案，还可以向客户提供全分布式最佳数字化解决方案的顾问咨询服务，助力金融机构全流程技术及业务 的快速创新和持续发展。</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79" w:name="bookmark79"/>
      <w:r>
        <w:rPr>
          <w:rFonts w:ascii="Times New Roman" w:eastAsia="Times New Roman" w:hAnsi="Times New Roman" w:cs="Times New Roman"/>
          <w:color w:val="000000"/>
          <w:spacing w:val="0"/>
          <w:w w:val="100"/>
          <w:position w:val="0"/>
        </w:rPr>
        <w:t>3</w:t>
      </w:r>
      <w:bookmarkEnd w:id="79"/>
      <w:r>
        <w:rPr>
          <w:color w:val="000000"/>
          <w:spacing w:val="0"/>
          <w:w w:val="100"/>
          <w:position w:val="0"/>
        </w:rPr>
        <w:t>、</w:t>
        <w:tab/>
        <w:t>全球服务能力</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公司秉承境内外业务协同发展的战略，通过与海内外金融机构长期紧密的合作，积累了丰富的海内外金融业务与技术经 验，并深刻理解不同文化体系下的商业规则，具有为全球不同国家和地区的金融机构发展提供规模化离岸服务的能力。</w:t>
      </w:r>
    </w:p>
    <w:p>
      <w:pPr>
        <w:pStyle w:val="Style30"/>
        <w:keepNext w:val="0"/>
        <w:keepLines w:val="0"/>
        <w:widowControl w:val="0"/>
        <w:shd w:val="clear" w:color="auto" w:fill="auto"/>
        <w:tabs>
          <w:tab w:pos="354" w:val="left"/>
        </w:tabs>
        <w:bidi w:val="0"/>
        <w:spacing w:before="0" w:after="0" w:line="312" w:lineRule="exact"/>
        <w:ind w:left="0" w:right="0" w:firstLine="0"/>
        <w:jc w:val="both"/>
      </w:pPr>
      <w:bookmarkStart w:id="80" w:name="bookmark80"/>
      <w:r>
        <w:rPr>
          <w:rFonts w:ascii="Times New Roman" w:eastAsia="Times New Roman" w:hAnsi="Times New Roman" w:cs="Times New Roman"/>
          <w:color w:val="000000"/>
          <w:spacing w:val="0"/>
          <w:w w:val="100"/>
          <w:position w:val="0"/>
        </w:rPr>
        <w:t>4</w:t>
      </w:r>
      <w:bookmarkEnd w:id="80"/>
      <w:r>
        <w:rPr>
          <w:color w:val="000000"/>
          <w:spacing w:val="0"/>
          <w:w w:val="100"/>
          <w:position w:val="0"/>
        </w:rPr>
        <w:t>、</w:t>
        <w:tab/>
        <w:t>人才优势</w:t>
      </w:r>
    </w:p>
    <w:p>
      <w:pPr>
        <w:pStyle w:val="Style30"/>
        <w:keepNext w:val="0"/>
        <w:keepLines w:val="0"/>
        <w:widowControl w:val="0"/>
        <w:shd w:val="clear" w:color="auto" w:fill="auto"/>
        <w:bidi w:val="0"/>
        <w:spacing w:before="0" w:after="300" w:line="312" w:lineRule="exact"/>
        <w:ind w:left="0" w:right="0" w:firstLine="380"/>
        <w:jc w:val="both"/>
        <w:sectPr>
          <w:footnotePr>
            <w:pos w:val="pageBottom"/>
            <w:numFmt w:val="decimal"/>
            <w:numRestart w:val="continuous"/>
          </w:footnotePr>
          <w:pgSz w:w="11900" w:h="16840"/>
          <w:pgMar w:top="1455" w:right="1020" w:bottom="1892" w:left="1102" w:header="0" w:footer="3" w:gutter="0"/>
          <w:cols w:space="720"/>
          <w:noEndnote/>
          <w:rtlGutter w:val="0"/>
          <w:docGrid w:linePitch="360"/>
        </w:sectPr>
      </w:pPr>
      <w:r>
        <w:rPr>
          <w:color w:val="000000"/>
          <w:spacing w:val="0"/>
          <w:w w:val="100"/>
          <w:position w:val="0"/>
        </w:rPr>
        <w:t>公司拥有具备国际视野与前沿金融科技背景的顾问咨询团队；拥有掌握领先技术和具备创新能力的产品研发团队；拥有 具备金融</w:t>
      </w:r>
      <w:r>
        <w:rPr>
          <w:rFonts w:ascii="Times New Roman" w:eastAsia="Times New Roman" w:hAnsi="Times New Roman" w:cs="Times New Roman"/>
          <w:color w:val="000000"/>
          <w:spacing w:val="0"/>
          <w:w w:val="100"/>
          <w:position w:val="0"/>
        </w:rPr>
        <w:t>+</w:t>
      </w:r>
      <w:r>
        <w:rPr>
          <w:color w:val="000000"/>
          <w:spacing w:val="0"/>
          <w:w w:val="100"/>
          <w:position w:val="0"/>
        </w:rPr>
        <w:t>科技的复合型交付团队；拥有具有先进管理经验的境内外管理及营销专家团队。专业团队规模</w:t>
      </w:r>
      <w:r>
        <w:rPr>
          <w:rFonts w:ascii="Times New Roman" w:eastAsia="Times New Roman" w:hAnsi="Times New Roman" w:cs="Times New Roman"/>
          <w:color w:val="000000"/>
          <w:spacing w:val="0"/>
          <w:w w:val="100"/>
          <w:position w:val="0"/>
        </w:rPr>
        <w:t>2</w:t>
      </w:r>
      <w:r>
        <w:rPr>
          <w:color w:val="000000"/>
          <w:spacing w:val="0"/>
          <w:w w:val="100"/>
          <w:position w:val="0"/>
        </w:rPr>
        <w:t>000+,</w:t>
      </w:r>
      <w:r>
        <w:rPr>
          <w:color w:val="000000"/>
          <w:spacing w:val="0"/>
          <w:w w:val="100"/>
          <w:position w:val="0"/>
        </w:rPr>
        <w:t>为公司全 球化布局、持续创新和未来发展提供了有力的保障。</w:t>
      </w:r>
    </w:p>
    <w:p>
      <w:pPr>
        <w:pStyle w:val="Style20"/>
        <w:keepNext/>
        <w:keepLines/>
        <w:widowControl w:val="0"/>
        <w:shd w:val="clear" w:color="auto" w:fill="auto"/>
        <w:bidi w:val="0"/>
        <w:spacing w:line="240" w:lineRule="auto"/>
        <w:ind w:left="0" w:right="0" w:firstLine="0"/>
        <w:jc w:val="center"/>
      </w:pPr>
      <w:bookmarkStart w:id="81" w:name="bookmark81"/>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bookmarkEnd w:id="81"/>
    </w:p>
    <w:p>
      <w:pPr>
        <w:pStyle w:val="Style28"/>
        <w:keepNext/>
        <w:keepLines/>
        <w:widowControl w:val="0"/>
        <w:shd w:val="clear" w:color="auto" w:fill="auto"/>
        <w:tabs>
          <w:tab w:pos="512" w:val="left"/>
        </w:tabs>
        <w:bidi w:val="0"/>
        <w:spacing w:before="0" w:after="26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w:t>
        <w:tab/>
        <w:t>概述</w:t>
      </w:r>
      <w:bookmarkEnd w:id="85"/>
      <w:bookmarkEnd w:id="86"/>
      <w:bookmarkEnd w:id="88"/>
    </w:p>
    <w:p>
      <w:pPr>
        <w:pStyle w:val="Style30"/>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报告期内，公司在做好疫情防控的同时，努力按照经营计划，稳步推进各项业务，实现营业收入</w:t>
      </w:r>
      <w:r>
        <w:rPr>
          <w:rFonts w:ascii="Times New Roman" w:eastAsia="Times New Roman" w:hAnsi="Times New Roman" w:cs="Times New Roman"/>
          <w:color w:val="000000"/>
          <w:spacing w:val="0"/>
          <w:w w:val="100"/>
          <w:position w:val="0"/>
        </w:rPr>
        <w:t>57,398.36</w:t>
      </w:r>
      <w:r>
        <w:rPr>
          <w:color w:val="000000"/>
          <w:spacing w:val="0"/>
          <w:w w:val="100"/>
          <w:position w:val="0"/>
        </w:rPr>
        <w:t>万元，较上 年同期增长</w:t>
      </w:r>
      <w:r>
        <w:rPr>
          <w:rFonts w:ascii="Times New Roman" w:eastAsia="Times New Roman" w:hAnsi="Times New Roman" w:cs="Times New Roman"/>
          <w:color w:val="000000"/>
          <w:spacing w:val="0"/>
          <w:w w:val="100"/>
          <w:position w:val="0"/>
        </w:rPr>
        <w:t>9.21%</w:t>
      </w:r>
      <w:r>
        <w:rPr>
          <w:color w:val="000000"/>
          <w:spacing w:val="0"/>
          <w:w w:val="100"/>
          <w:position w:val="0"/>
        </w:rPr>
        <w:t>,其中软件开发收入</w:t>
      </w:r>
      <w:r>
        <w:rPr>
          <w:rFonts w:ascii="Times New Roman" w:eastAsia="Times New Roman" w:hAnsi="Times New Roman" w:cs="Times New Roman"/>
          <w:color w:val="000000"/>
          <w:spacing w:val="0"/>
          <w:w w:val="100"/>
          <w:position w:val="0"/>
        </w:rPr>
        <w:t>53,687.50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5.18%</w:t>
      </w:r>
      <w:r>
        <w:rPr>
          <w:color w:val="000000"/>
          <w:spacing w:val="0"/>
          <w:w w:val="100"/>
          <w:position w:val="0"/>
        </w:rPr>
        <w:t>；公司努力实现平台</w:t>
      </w:r>
      <w:r>
        <w:rPr>
          <w:rFonts w:ascii="Times New Roman" w:eastAsia="Times New Roman" w:hAnsi="Times New Roman" w:cs="Times New Roman"/>
          <w:color w:val="000000"/>
          <w:spacing w:val="0"/>
          <w:w w:val="100"/>
          <w:position w:val="0"/>
        </w:rPr>
        <w:t>+</w:t>
      </w:r>
      <w:r>
        <w:rPr>
          <w:color w:val="000000"/>
          <w:spacing w:val="0"/>
          <w:w w:val="100"/>
          <w:position w:val="0"/>
        </w:rPr>
        <w:t>服务、产品</w:t>
      </w:r>
      <w:r>
        <w:rPr>
          <w:rFonts w:ascii="Times New Roman" w:eastAsia="Times New Roman" w:hAnsi="Times New Roman" w:cs="Times New Roman"/>
          <w:color w:val="000000"/>
          <w:spacing w:val="0"/>
          <w:w w:val="100"/>
          <w:position w:val="0"/>
        </w:rPr>
        <w:t>+</w:t>
      </w:r>
      <w:r>
        <w:rPr>
          <w:color w:val="000000"/>
          <w:spacing w:val="0"/>
          <w:w w:val="100"/>
          <w:position w:val="0"/>
        </w:rPr>
        <w:t>服务，积 极推动业务模式创新，咨询、维护及产品授权收入</w:t>
      </w:r>
      <w:r>
        <w:rPr>
          <w:rFonts w:ascii="Times New Roman" w:eastAsia="Times New Roman" w:hAnsi="Times New Roman" w:cs="Times New Roman"/>
          <w:color w:val="000000"/>
          <w:spacing w:val="0"/>
          <w:w w:val="100"/>
          <w:position w:val="0"/>
        </w:rPr>
        <w:t>3,345.05</w:t>
      </w:r>
      <w:r>
        <w:rPr>
          <w:color w:val="000000"/>
          <w:spacing w:val="0"/>
          <w:w w:val="100"/>
          <w:position w:val="0"/>
        </w:rPr>
        <w:t>万元，同比增长</w:t>
      </w:r>
      <w:r>
        <w:rPr>
          <w:rFonts w:ascii="Times New Roman" w:eastAsia="Times New Roman" w:hAnsi="Times New Roman" w:cs="Times New Roman"/>
          <w:color w:val="000000"/>
          <w:spacing w:val="0"/>
          <w:w w:val="100"/>
          <w:position w:val="0"/>
        </w:rPr>
        <w:t>122.58%</w:t>
      </w:r>
      <w:r>
        <w:rPr>
          <w:color w:val="000000"/>
          <w:spacing w:val="0"/>
          <w:w w:val="100"/>
          <w:position w:val="0"/>
        </w:rPr>
        <w:t>，其中咨询和产品授权收入分别为</w:t>
      </w:r>
      <w:r>
        <w:rPr>
          <w:rFonts w:ascii="Times New Roman" w:eastAsia="Times New Roman" w:hAnsi="Times New Roman" w:cs="Times New Roman"/>
          <w:color w:val="000000"/>
          <w:spacing w:val="0"/>
          <w:w w:val="100"/>
          <w:position w:val="0"/>
        </w:rPr>
        <w:t xml:space="preserve">2,240.05 </w:t>
      </w:r>
      <w:r>
        <w:rPr>
          <w:color w:val="000000"/>
          <w:spacing w:val="0"/>
          <w:w w:val="100"/>
          <w:position w:val="0"/>
        </w:rPr>
        <w:t>万元、</w:t>
      </w:r>
      <w:r>
        <w:rPr>
          <w:rFonts w:ascii="Times New Roman" w:eastAsia="Times New Roman" w:hAnsi="Times New Roman" w:cs="Times New Roman"/>
          <w:color w:val="000000"/>
          <w:spacing w:val="0"/>
          <w:w w:val="100"/>
          <w:position w:val="0"/>
        </w:rPr>
        <w:t>144.28</w:t>
      </w:r>
      <w:r>
        <w:rPr>
          <w:color w:val="000000"/>
          <w:spacing w:val="0"/>
          <w:w w:val="100"/>
          <w:position w:val="0"/>
        </w:rPr>
        <w:t>万元；公司积极拓展境外市场，实现境外收入</w:t>
      </w:r>
      <w:r>
        <w:rPr>
          <w:rFonts w:ascii="Times New Roman" w:eastAsia="Times New Roman" w:hAnsi="Times New Roman" w:cs="Times New Roman"/>
          <w:color w:val="000000"/>
          <w:spacing w:val="0"/>
          <w:w w:val="100"/>
          <w:position w:val="0"/>
        </w:rPr>
        <w:t>36,233.64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13.70%</w:t>
      </w:r>
      <w:r>
        <w:rPr>
          <w:color w:val="000000"/>
          <w:spacing w:val="0"/>
          <w:w w:val="100"/>
          <w:position w:val="0"/>
        </w:rPr>
        <w:t>。</w:t>
      </w:r>
    </w:p>
    <w:p>
      <w:pPr>
        <w:pStyle w:val="Style30"/>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年，公司继续保持研发投入，全年研发投入</w:t>
      </w:r>
      <w:r>
        <w:rPr>
          <w:rFonts w:ascii="Times New Roman" w:eastAsia="Times New Roman" w:hAnsi="Times New Roman" w:cs="Times New Roman"/>
          <w:color w:val="000000"/>
          <w:spacing w:val="0"/>
          <w:w w:val="100"/>
          <w:position w:val="0"/>
        </w:rPr>
        <w:t>7,967.50</w:t>
      </w:r>
      <w:r>
        <w:rPr>
          <w:color w:val="000000"/>
          <w:spacing w:val="0"/>
          <w:w w:val="100"/>
          <w:position w:val="0"/>
        </w:rPr>
        <w:t>万元，占公司营业收入的</w:t>
      </w:r>
      <w:r>
        <w:rPr>
          <w:rFonts w:ascii="Times New Roman" w:eastAsia="Times New Roman" w:hAnsi="Times New Roman" w:cs="Times New Roman"/>
          <w:color w:val="000000"/>
          <w:spacing w:val="0"/>
          <w:w w:val="100"/>
          <w:position w:val="0"/>
        </w:rPr>
        <w:t>13.88%</w:t>
      </w:r>
      <w:r>
        <w:rPr>
          <w:color w:val="000000"/>
          <w:spacing w:val="0"/>
          <w:w w:val="100"/>
          <w:position w:val="0"/>
        </w:rPr>
        <w:t xml:space="preserve">；公司加大力度研发分布式 </w:t>
      </w:r>
      <w:r>
        <w:rPr>
          <w:rFonts w:ascii="Times New Roman" w:eastAsia="Times New Roman" w:hAnsi="Times New Roman" w:cs="Times New Roman"/>
          <w:color w:val="000000"/>
          <w:spacing w:val="0"/>
          <w:w w:val="100"/>
          <w:position w:val="0"/>
        </w:rPr>
        <w:t>PaaS</w:t>
      </w:r>
      <w:r>
        <w:rPr>
          <w:color w:val="000000"/>
          <w:spacing w:val="0"/>
          <w:w w:val="100"/>
          <w:position w:val="0"/>
        </w:rPr>
        <w:t>平台、微服务</w:t>
      </w:r>
      <w:r>
        <w:rPr>
          <w:rFonts w:ascii="Times New Roman" w:eastAsia="Times New Roman" w:hAnsi="Times New Roman" w:cs="Times New Roman"/>
          <w:color w:val="000000"/>
          <w:spacing w:val="0"/>
          <w:w w:val="100"/>
          <w:position w:val="0"/>
        </w:rPr>
        <w:t>SaaS</w:t>
      </w:r>
      <w:r>
        <w:rPr>
          <w:color w:val="000000"/>
          <w:spacing w:val="0"/>
          <w:w w:val="100"/>
          <w:position w:val="0"/>
        </w:rPr>
        <w:t>平台及区块链技术，占全年研发投入的</w:t>
      </w:r>
      <w:r>
        <w:rPr>
          <w:rFonts w:ascii="Times New Roman" w:eastAsia="Times New Roman" w:hAnsi="Times New Roman" w:cs="Times New Roman"/>
          <w:color w:val="000000"/>
          <w:spacing w:val="0"/>
          <w:w w:val="100"/>
          <w:position w:val="0"/>
        </w:rPr>
        <w:t>86.52%</w:t>
      </w:r>
      <w:r>
        <w:rPr>
          <w:color w:val="000000"/>
          <w:spacing w:val="0"/>
          <w:w w:val="100"/>
          <w:position w:val="0"/>
        </w:rPr>
        <w:t>。公司在报告期内已推出面向金融行业的分布式</w:t>
      </w:r>
      <w:r>
        <w:rPr>
          <w:rFonts w:ascii="Times New Roman" w:eastAsia="Times New Roman" w:hAnsi="Times New Roman" w:cs="Times New Roman"/>
          <w:color w:val="000000"/>
          <w:spacing w:val="0"/>
          <w:w w:val="100"/>
          <w:position w:val="0"/>
        </w:rPr>
        <w:t xml:space="preserve">PaaS </w:t>
      </w:r>
      <w:r>
        <w:rPr>
          <w:color w:val="000000"/>
          <w:spacing w:val="0"/>
          <w:w w:val="100"/>
          <w:position w:val="0"/>
        </w:rPr>
        <w:t>平台、微服务</w:t>
      </w:r>
      <w:r>
        <w:rPr>
          <w:rFonts w:ascii="Times New Roman" w:eastAsia="Times New Roman" w:hAnsi="Times New Roman" w:cs="Times New Roman"/>
          <w:color w:val="000000"/>
          <w:spacing w:val="0"/>
          <w:w w:val="100"/>
          <w:position w:val="0"/>
        </w:rPr>
        <w:t>SaaS</w:t>
      </w:r>
      <w:r>
        <w:rPr>
          <w:color w:val="000000"/>
          <w:spacing w:val="0"/>
          <w:w w:val="100"/>
          <w:position w:val="0"/>
        </w:rPr>
        <w:t>平台及建制在其上的模块化银行业务平台，具备了面向“银行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的技术能力；公司新增软件著作权、 软件产品登记、科技成果登记共计</w:t>
      </w:r>
      <w:r>
        <w:rPr>
          <w:rFonts w:ascii="Times New Roman" w:eastAsia="Times New Roman" w:hAnsi="Times New Roman" w:cs="Times New Roman"/>
          <w:color w:val="000000"/>
          <w:spacing w:val="0"/>
          <w:w w:val="100"/>
          <w:position w:val="0"/>
        </w:rPr>
        <w:t>110</w:t>
      </w:r>
      <w:r>
        <w:rPr>
          <w:color w:val="000000"/>
          <w:spacing w:val="0"/>
          <w:w w:val="100"/>
          <w:position w:val="0"/>
        </w:rPr>
        <w:t>项。公司继续积极推进募集资金投资项目建设工作，</w:t>
      </w:r>
      <w:r>
        <w:rPr>
          <w:rFonts w:ascii="Times New Roman" w:eastAsia="Times New Roman" w:hAnsi="Times New Roman" w:cs="Times New Roman"/>
          <w:color w:val="000000"/>
          <w:spacing w:val="0"/>
          <w:w w:val="100"/>
          <w:position w:val="0"/>
        </w:rPr>
        <w:t>2020</w:t>
      </w:r>
      <w:r>
        <w:rPr>
          <w:color w:val="000000"/>
          <w:spacing w:val="0"/>
          <w:w w:val="100"/>
          <w:position w:val="0"/>
        </w:rPr>
        <w:t>年完成投入</w:t>
      </w:r>
      <w:r>
        <w:rPr>
          <w:rFonts w:ascii="Times New Roman" w:eastAsia="Times New Roman" w:hAnsi="Times New Roman" w:cs="Times New Roman"/>
          <w:color w:val="000000"/>
          <w:spacing w:val="0"/>
          <w:w w:val="100"/>
          <w:position w:val="0"/>
        </w:rPr>
        <w:t>233.44</w:t>
      </w:r>
      <w:r>
        <w:rPr>
          <w:color w:val="000000"/>
          <w:spacing w:val="0"/>
          <w:w w:val="100"/>
          <w:position w:val="0"/>
        </w:rPr>
        <w:t>万元， 截止至</w:t>
      </w:r>
      <w:r>
        <w:rPr>
          <w:rFonts w:ascii="Times New Roman" w:eastAsia="Times New Roman" w:hAnsi="Times New Roman" w:cs="Times New Roman"/>
          <w:color w:val="000000"/>
          <w:spacing w:val="0"/>
          <w:w w:val="100"/>
          <w:position w:val="0"/>
        </w:rPr>
        <w:t>2020</w:t>
      </w:r>
      <w:r>
        <w:rPr>
          <w:color w:val="000000"/>
          <w:spacing w:val="0"/>
          <w:w w:val="100"/>
          <w:position w:val="0"/>
        </w:rPr>
        <w:t>年底累计投入募集资金</w:t>
      </w:r>
      <w:r>
        <w:rPr>
          <w:rFonts w:ascii="Times New Roman" w:eastAsia="Times New Roman" w:hAnsi="Times New Roman" w:cs="Times New Roman"/>
          <w:color w:val="000000"/>
          <w:spacing w:val="0"/>
          <w:w w:val="100"/>
          <w:position w:val="0"/>
        </w:rPr>
        <w:t>42,747.05</w:t>
      </w:r>
      <w:r>
        <w:rPr>
          <w:color w:val="000000"/>
          <w:spacing w:val="0"/>
          <w:w w:val="100"/>
          <w:position w:val="0"/>
        </w:rPr>
        <w:t>万元，为公司发展起到了良好的推动作用。</w:t>
      </w:r>
    </w:p>
    <w:p>
      <w:pPr>
        <w:pStyle w:val="Style30"/>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公司继续坚持境内外协同发展战略，聚焦海内外金融机构需求。在技术研发的同时，积极开展对外合作，业务模式创新， 推动技术转化与产品落地。公司积极拓展东南亚市场等国际市场，布局未来业务发展。</w:t>
      </w:r>
    </w:p>
    <w:p>
      <w:pPr>
        <w:pStyle w:val="Style28"/>
        <w:keepNext/>
        <w:keepLines/>
        <w:widowControl w:val="0"/>
        <w:shd w:val="clear" w:color="auto" w:fill="auto"/>
        <w:tabs>
          <w:tab w:pos="512" w:val="left"/>
        </w:tabs>
        <w:bidi w:val="0"/>
        <w:spacing w:before="0" w:after="3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w:t>
        <w:tab/>
        <w:t>主营业务分析</w:t>
      </w:r>
      <w:bookmarkEnd w:id="89"/>
      <w:bookmarkEnd w:id="90"/>
      <w:bookmarkEnd w:id="92"/>
    </w:p>
    <w:p>
      <w:pPr>
        <w:pStyle w:val="Style35"/>
        <w:keepNext/>
        <w:keepLines/>
        <w:widowControl w:val="0"/>
        <w:shd w:val="clear" w:color="auto" w:fill="auto"/>
        <w:tabs>
          <w:tab w:pos="398" w:val="left"/>
        </w:tabs>
        <w:bidi w:val="0"/>
        <w:spacing w:before="0" w:after="26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概述</w:t>
      </w:r>
      <w:bookmarkEnd w:id="93"/>
      <w:bookmarkEnd w:id="94"/>
      <w:bookmarkEnd w:id="96"/>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是否与经营情况讨论与分析中的概述披露相同</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tabs>
          <w:tab w:pos="398" w:val="left"/>
        </w:tabs>
        <w:bidi w:val="0"/>
        <w:spacing w:before="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收入与成本</w:t>
      </w:r>
      <w:bookmarkEnd w:id="100"/>
      <w:bookmarkEnd w:id="97"/>
      <w:bookmarkEnd w:id="98"/>
    </w:p>
    <w:p>
      <w:pPr>
        <w:pStyle w:val="Style40"/>
        <w:keepNext/>
        <w:keepLines/>
        <w:widowControl w:val="0"/>
        <w:shd w:val="clear" w:color="auto" w:fill="auto"/>
        <w:bidi w:val="0"/>
        <w:spacing w:before="0" w:after="260" w:line="240" w:lineRule="auto"/>
        <w:ind w:left="0" w:right="0" w:firstLine="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营业收入整体情况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525,558,672.81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525,558,672.81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536,874,962.51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510,442,087.31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咨询、维护及产品授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33,450,464.68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15,028,266.90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3,658,204.02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88,318.60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4,042.05%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211,647,222.67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206,873,107.52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362,336,408.54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318,685,565.29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11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99,025,379.9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153,030,893.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143,060,051.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178,867,305.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107,124,497.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104,962,215.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115,717,259.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197,754,700.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7,180,618.05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18,289,016.4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25,439,245.7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23,646,151.2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13,968,118.6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17,670,507.3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25,097,400.7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39,502,611.8</w:t>
            </w:r>
          </w:p>
        </w:tc>
      </w:tr>
      <w:tr>
        <w:trPr>
          <w:trHeight w:val="28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0"/>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目前公司的客户主要为银行类金融机构，银行信息化建设的预算、立项、招标、采购和实施具有季节性特征，一般在第 四季度制订次年年度预算计划，审批通常集中在次年第一季度，采购招标一般则安排在次年第一、二季度；此外，上半年存 在春节放假等因素，员工招聘培训在上半年也较多，因此公司上半年的营业收入和营业利润占比较少，在下半年占比较多， 业绩存在季节性波动。</w:t>
      </w:r>
    </w:p>
    <w:p>
      <w:pPr>
        <w:pStyle w:val="Style40"/>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536,874,962.51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288,306,168.32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咨询、维护及产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33,450,464.68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9,081,624.20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3,658,204.02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211,647,222.67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125,159,714.20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362,336,408.54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175,099,174.81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r>
    </w:tbl>
    <w:p>
      <w:pPr>
        <w:pStyle w:val="Style30"/>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9"/>
      <w:bookmarkEnd w:id="110"/>
      <w:bookmarkEnd w:id="11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3"/>
      <w:bookmarkEnd w:id="114"/>
      <w:bookmarkEnd w:id="11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7"/>
      <w:bookmarkEnd w:id="118"/>
      <w:bookmarkEnd w:id="12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280,008,788.17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256,906,471.94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17,379,004.35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9,212,838.25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266,180,762.88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w:t>
            </w:r>
          </w:p>
        </w:tc>
      </w:tr>
    </w:tbl>
    <w:p>
      <w:pPr>
        <w:widowControl w:val="0"/>
        <w:spacing w:after="4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271,560,384.75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251,581,731.14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16,745,783.57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9,026,300.16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85.52%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咨询、维护及产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8,448,403.42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5,324,740.80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咨询、维护及产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633,220.78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186,538.09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266,180,762.88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12.80%</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280,008,788.17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256,906,471.94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17,379,004.35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9,212,838.25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w:t>
            </w:r>
          </w:p>
        </w:tc>
      </w:tr>
      <w:tr>
        <w:trPr>
          <w:trHeight w:val="6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266,180,762.88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w:t>
            </w:r>
          </w:p>
        </w:tc>
      </w:tr>
    </w:tbl>
    <w:p>
      <w:pPr>
        <w:widowControl w:val="0"/>
        <w:spacing w:after="4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280,008,788.17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256,906,471.94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17,379,004.35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9,212,838.25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2,871,096.49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266,180,762.88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w:t>
            </w:r>
          </w:p>
        </w:tc>
      </w:tr>
    </w:tbl>
    <w:p>
      <w:pPr>
        <w:widowControl w:val="0"/>
        <w:spacing w:after="29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451,086,986.93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243,484,891.63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126,975,122.28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47,133,704.59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16,957,500.80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16,535,767.63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451,086,986.93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78.59%</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405,652.02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405,652.02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405,652.02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9,081,208.94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3,359,319.17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主要是报告期销售人员薪酬增加所 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111,449,341.92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86,717,043.61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1,802,815.62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-10,490,943.55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主要是由于汇率变动导致汇兑损失</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79,675,041.77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84,315,394.86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3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年公司继续保持研发投入，全年研发投入</w:t>
      </w:r>
      <w:r>
        <w:rPr>
          <w:rFonts w:ascii="Times New Roman" w:eastAsia="Times New Roman" w:hAnsi="Times New Roman" w:cs="Times New Roman"/>
          <w:color w:val="000000"/>
          <w:spacing w:val="0"/>
          <w:w w:val="100"/>
          <w:position w:val="0"/>
        </w:rPr>
        <w:t>7,967.5</w:t>
      </w:r>
      <w:r>
        <w:rPr>
          <w:color w:val="000000"/>
          <w:spacing w:val="0"/>
          <w:w w:val="100"/>
          <w:position w:val="0"/>
        </w:rPr>
        <w:t>万元，占公司营业收入的</w:t>
      </w:r>
      <w:r>
        <w:rPr>
          <w:rFonts w:ascii="Times New Roman" w:eastAsia="Times New Roman" w:hAnsi="Times New Roman" w:cs="Times New Roman"/>
          <w:color w:val="000000"/>
          <w:spacing w:val="0"/>
          <w:w w:val="100"/>
          <w:position w:val="0"/>
        </w:rPr>
        <w:t>13.88%</w:t>
      </w:r>
      <w:r>
        <w:rPr>
          <w:color w:val="000000"/>
          <w:spacing w:val="0"/>
          <w:w w:val="100"/>
          <w:position w:val="0"/>
        </w:rPr>
        <w:t>。公司新增软件著作权、软件产 品登记、科技成果登记共计</w:t>
      </w:r>
      <w:r>
        <w:rPr>
          <w:rFonts w:ascii="Times New Roman" w:eastAsia="Times New Roman" w:hAnsi="Times New Roman" w:cs="Times New Roman"/>
          <w:color w:val="000000"/>
          <w:spacing w:val="0"/>
          <w:w w:val="100"/>
          <w:position w:val="0"/>
        </w:rPr>
        <w:t>110</w:t>
      </w:r>
      <w:r>
        <w:rPr>
          <w:color w:val="000000"/>
          <w:spacing w:val="0"/>
          <w:w w:val="100"/>
          <w:position w:val="0"/>
        </w:rPr>
        <w:t>项。</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79,675,041.77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84,315,394.86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75,321,614.94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552,399,189.90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572,973,584.54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541,061,888.28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453,694,666.45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11,337,301.62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119,278,918.09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3,039,293.33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26,459,333.41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27,767,407.57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-23,420,040.08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-27,431,684.45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102,306,494.98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-102,306,494.98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-44,983,324.71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-9,735,301.87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-362.06%</w:t>
            </w:r>
          </w:p>
        </w:tc>
      </w:tr>
    </w:tbl>
    <w:p>
      <w:pPr>
        <w:pStyle w:val="Style30"/>
        <w:keepNext w:val="0"/>
        <w:keepLines w:val="0"/>
        <w:widowControl w:val="0"/>
        <w:shd w:val="clear" w:color="auto" w:fill="auto"/>
        <w:bidi w:val="0"/>
        <w:spacing w:before="0" w:after="120" w:line="331"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公司经营活动产生的现金流量净额</w:t>
      </w:r>
      <w:r>
        <w:rPr>
          <w:rFonts w:ascii="Times New Roman" w:eastAsia="Times New Roman" w:hAnsi="Times New Roman" w:cs="Times New Roman"/>
          <w:color w:val="000000"/>
          <w:spacing w:val="0"/>
          <w:w w:val="100"/>
          <w:position w:val="0"/>
        </w:rPr>
        <w:t>2020</w:t>
      </w:r>
      <w:r>
        <w:rPr>
          <w:color w:val="000000"/>
          <w:spacing w:val="0"/>
          <w:w w:val="100"/>
          <w:position w:val="0"/>
        </w:rPr>
        <w:t>年较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年减少了 </w:t>
      </w:r>
      <w:r>
        <w:rPr>
          <w:rFonts w:ascii="Times New Roman" w:eastAsia="Times New Roman" w:hAnsi="Times New Roman" w:cs="Times New Roman"/>
          <w:color w:val="000000"/>
          <w:spacing w:val="0"/>
          <w:w w:val="100"/>
          <w:position w:val="0"/>
        </w:rPr>
        <w:t>90.5%</w:t>
      </w:r>
      <w:r>
        <w:rPr>
          <w:color w:val="000000"/>
          <w:spacing w:val="0"/>
          <w:w w:val="100"/>
          <w:position w:val="0"/>
        </w:rPr>
        <w:t>,主要是由于本期支付职工薪酬增加及应收账款回款减少 所致</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投资活动现金流入</w:t>
      </w:r>
      <w:r>
        <w:rPr>
          <w:rFonts w:ascii="Times New Roman" w:eastAsia="Times New Roman" w:hAnsi="Times New Roman" w:cs="Times New Roman"/>
          <w:color w:val="000000"/>
          <w:spacing w:val="0"/>
          <w:w w:val="100"/>
          <w:position w:val="0"/>
        </w:rPr>
        <w:t>2020</w:t>
      </w:r>
      <w:r>
        <w:rPr>
          <w:color w:val="000000"/>
          <w:spacing w:val="0"/>
          <w:w w:val="100"/>
          <w:position w:val="0"/>
        </w:rPr>
        <w:t>年较</w:t>
      </w:r>
      <w:r>
        <w:rPr>
          <w:rFonts w:ascii="Times New Roman" w:eastAsia="Times New Roman" w:hAnsi="Times New Roman" w:cs="Times New Roman"/>
          <w:color w:val="000000"/>
          <w:spacing w:val="0"/>
          <w:w w:val="100"/>
          <w:position w:val="0"/>
        </w:rPr>
        <w:t>2019</w:t>
      </w:r>
      <w:r>
        <w:rPr>
          <w:color w:val="000000"/>
          <w:spacing w:val="0"/>
          <w:w w:val="100"/>
          <w:position w:val="0"/>
        </w:rPr>
        <w:t>年增加</w:t>
      </w:r>
      <w:r>
        <w:rPr>
          <w:rFonts w:ascii="Times New Roman" w:eastAsia="Times New Roman" w:hAnsi="Times New Roman" w:cs="Times New Roman"/>
          <w:color w:val="000000"/>
          <w:spacing w:val="0"/>
          <w:w w:val="100"/>
          <w:position w:val="0"/>
        </w:rPr>
        <w:t>805.30%</w:t>
      </w:r>
      <w:r>
        <w:rPr>
          <w:color w:val="000000"/>
          <w:spacing w:val="0"/>
          <w:w w:val="100"/>
          <w:position w:val="0"/>
        </w:rPr>
        <w:t>，主要是由于本期投资收益增加所致。</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rPr>
        <w:t>2020</w:t>
      </w:r>
      <w:r>
        <w:rPr>
          <w:color w:val="000000"/>
          <w:spacing w:val="0"/>
          <w:w w:val="100"/>
          <w:position w:val="0"/>
        </w:rPr>
        <w:t>年较</w:t>
      </w:r>
      <w:r>
        <w:rPr>
          <w:rFonts w:ascii="Times New Roman" w:eastAsia="Times New Roman" w:hAnsi="Times New Roman" w:cs="Times New Roman"/>
          <w:color w:val="000000"/>
          <w:spacing w:val="0"/>
          <w:w w:val="100"/>
          <w:position w:val="0"/>
        </w:rPr>
        <w:t>2019</w:t>
      </w:r>
      <w:r>
        <w:rPr>
          <w:color w:val="000000"/>
          <w:spacing w:val="0"/>
          <w:w w:val="100"/>
          <w:position w:val="0"/>
        </w:rPr>
        <w:t>年减少</w:t>
      </w:r>
      <w:r>
        <w:rPr>
          <w:rFonts w:ascii="Times New Roman" w:eastAsia="Times New Roman" w:hAnsi="Times New Roman" w:cs="Times New Roman"/>
          <w:color w:val="000000"/>
          <w:spacing w:val="0"/>
          <w:w w:val="100"/>
          <w:position w:val="0"/>
        </w:rPr>
        <w:t>70.58%</w:t>
      </w:r>
      <w:r>
        <w:rPr>
          <w:color w:val="000000"/>
          <w:spacing w:val="0"/>
          <w:w w:val="100"/>
          <w:position w:val="0"/>
        </w:rPr>
        <w:t>，主要是由于上年回购授予限制性股票所致。</w:t>
      </w:r>
    </w:p>
    <w:p>
      <w:pPr>
        <w:pStyle w:val="Style30"/>
        <w:keepNext w:val="0"/>
        <w:keepLines w:val="0"/>
        <w:widowControl w:val="0"/>
        <w:shd w:val="clear" w:color="auto" w:fill="auto"/>
        <w:bidi w:val="0"/>
        <w:spacing w:before="0" w:after="120" w:line="331"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三</w:t>
      </w:r>
      <w:bookmarkEnd w:id="147"/>
      <w:r>
        <w:rPr>
          <w:color w:val="000000"/>
          <w:spacing w:val="0"/>
          <w:w w:val="100"/>
          <w:position w:val="0"/>
          <w:sz w:val="24"/>
          <w:szCs w:val="24"/>
        </w:rPr>
        <w:t>、非主营业务情况</w:t>
      </w:r>
      <w:bookmarkEnd w:id="145"/>
      <w:bookmarkEnd w:id="146"/>
      <w:bookmarkEnd w:id="148"/>
    </w:p>
    <w:p>
      <w:pPr>
        <w:pStyle w:val="Style30"/>
        <w:keepNext w:val="0"/>
        <w:keepLines w:val="0"/>
        <w:widowControl w:val="0"/>
        <w:shd w:val="clear" w:color="auto" w:fill="auto"/>
        <w:bidi w:val="0"/>
        <w:spacing w:before="0" w:after="12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after="30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sz w:val="24"/>
          <w:szCs w:val="24"/>
        </w:rPr>
        <w:t>四</w:t>
      </w:r>
      <w:bookmarkEnd w:id="151"/>
      <w:r>
        <w:rPr>
          <w:color w:val="000000"/>
          <w:spacing w:val="0"/>
          <w:w w:val="100"/>
          <w:position w:val="0"/>
          <w:sz w:val="24"/>
          <w:szCs w:val="24"/>
        </w:rPr>
        <w:t>、资产及负债状况分析</w:t>
      </w:r>
      <w:bookmarkEnd w:id="149"/>
      <w:bookmarkEnd w:id="150"/>
      <w:bookmarkEnd w:id="152"/>
    </w:p>
    <w:p>
      <w:pPr>
        <w:pStyle w:val="Style35"/>
        <w:keepNext/>
        <w:keepLines/>
        <w:widowControl w:val="0"/>
        <w:shd w:val="clear" w:color="auto" w:fill="auto"/>
        <w:bidi w:val="0"/>
        <w:spacing w:before="0" w:after="36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1157"/>
        <w:gridCol w:w="256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485,160,678.7</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526,922,052.54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209,616,066.1</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162,554,318.36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58,495,239.05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9,567,041.20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46,747,663.92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48,393,395.82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316,069,007.7</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302,285,456.43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12,642,155.60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19,379,842.84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10,608,754.42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47,076,310.59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54,841,508.99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30,652,476.87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31,748,992.45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、以公允价值计量的资产和负债</w:t>
      </w:r>
      <w:bookmarkEnd w:id="157"/>
      <w:bookmarkEnd w:id="158"/>
      <w:bookmarkEnd w:id="160"/>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200"/>
        <w:gridCol w:w="1459"/>
        <w:gridCol w:w="826"/>
        <w:gridCol w:w="898"/>
        <w:gridCol w:w="1066"/>
        <w:gridCol w:w="912"/>
        <w:gridCol w:w="121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54,841,508.9</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-7,765,198.40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-41,503,254.41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47,076,310.59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54,841,508.9</w:t>
            </w:r>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-7,765,198.40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-41,503,254.41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47,076,310.59</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、截至报告期末的资产权利受限情况</w:t>
      </w:r>
      <w:bookmarkEnd w:id="161"/>
      <w:bookmarkEnd w:id="162"/>
      <w:bookmarkEnd w:id="164"/>
    </w:p>
    <w:p>
      <w:pPr>
        <w:pStyle w:val="Style33"/>
        <w:keepNext w:val="0"/>
        <w:keepLines w:val="0"/>
        <w:widowControl w:val="0"/>
        <w:shd w:val="clear" w:color="auto" w:fill="auto"/>
        <w:bidi w:val="0"/>
        <w:spacing w:before="0" w:after="0" w:line="240" w:lineRule="auto"/>
        <w:ind w:left="480" w:right="0" w:firstLine="0"/>
        <w:jc w:val="left"/>
      </w:pPr>
      <w:r>
        <w:rPr>
          <w:color w:val="000000"/>
          <w:spacing w:val="0"/>
          <w:w w:val="100"/>
          <w:position w:val="0"/>
        </w:rPr>
        <w:t>因抵押、质押或冻结等对使用有限制，以及放在境外且资金汇回受到限制的货币资金明细如下:</w:t>
      </w:r>
    </w:p>
    <w:tbl>
      <w:tblPr>
        <w:tblOverlap w:val="never"/>
        <w:jc w:val="center"/>
        <w:tblLayout w:type="fixed"/>
      </w:tblPr>
      <w:tblGrid>
        <w:gridCol w:w="4397"/>
        <w:gridCol w:w="2429"/>
        <w:gridCol w:w="24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873,899.00</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873,899.00</w:t>
            </w:r>
          </w:p>
        </w:tc>
      </w:tr>
    </w:tbl>
    <w:p>
      <w:pPr>
        <w:widowControl w:val="0"/>
        <w:spacing w:after="619" w:line="1" w:lineRule="exact"/>
      </w:pPr>
    </w:p>
    <w:p>
      <w:pPr>
        <w:pStyle w:val="Style28"/>
        <w:keepNext/>
        <w:keepLines/>
        <w:widowControl w:val="0"/>
        <w:shd w:val="clear" w:color="auto" w:fill="auto"/>
        <w:bidi w:val="0"/>
        <w:spacing w:before="0" w:after="34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五</w:t>
      </w:r>
      <w:bookmarkEnd w:id="167"/>
      <w:r>
        <w:rPr>
          <w:color w:val="000000"/>
          <w:spacing w:val="0"/>
          <w:w w:val="100"/>
          <w:position w:val="0"/>
          <w:sz w:val="24"/>
          <w:szCs w:val="24"/>
        </w:rPr>
        <w:t>、投资状况分析</w:t>
      </w:r>
      <w:bookmarkEnd w:id="165"/>
      <w:bookmarkEnd w:id="166"/>
      <w:bookmarkEnd w:id="168"/>
    </w:p>
    <w:p>
      <w:pPr>
        <w:pStyle w:val="Style35"/>
        <w:keepNext/>
        <w:keepLines/>
        <w:widowControl w:val="0"/>
        <w:shd w:val="clear" w:color="auto" w:fill="auto"/>
        <w:bidi w:val="0"/>
        <w:spacing w:before="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、总体情况</w:t>
      </w:r>
      <w:bookmarkEnd w:id="169"/>
      <w:bookmarkEnd w:id="170"/>
      <w:bookmarkEnd w:id="172"/>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26,459,333.41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27,767,407.57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w:t>
            </w:r>
          </w:p>
        </w:tc>
      </w:tr>
    </w:tbl>
    <w:p>
      <w:pPr>
        <w:widowControl w:val="0"/>
        <w:spacing w:after="339" w:line="1" w:lineRule="exact"/>
      </w:pPr>
    </w:p>
    <w:p>
      <w:pPr>
        <w:pStyle w:val="Style35"/>
        <w:keepNext/>
        <w:keepLines/>
        <w:widowControl w:val="0"/>
        <w:shd w:val="clear" w:color="auto" w:fill="auto"/>
        <w:tabs>
          <w:tab w:pos="378" w:val="left"/>
        </w:tabs>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报告期内获取的重大的股权投资情况</w:t>
      </w:r>
      <w:bookmarkEnd w:id="173"/>
      <w:bookmarkEnd w:id="174"/>
      <w:bookmarkEnd w:id="176"/>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报告期内正在进行的重大的非股权投资情况</w:t>
      </w:r>
      <w:bookmarkEnd w:id="177"/>
      <w:bookmarkEnd w:id="178"/>
      <w:bookmarkEnd w:id="180"/>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以公允价值计量的金融资产</w:t>
      </w:r>
      <w:bookmarkEnd w:id="181"/>
      <w:bookmarkEnd w:id="182"/>
      <w:bookmarkEnd w:id="184"/>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88,579,565</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-7,765,198.40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-41,503,254.41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4,815,000.0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47,076,310.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88,579,565</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-7,765,198.40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-41,503,254.41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4,815,000.0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47,076,310.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5</w:t>
      </w:r>
      <w:bookmarkEnd w:id="187"/>
      <w:r>
        <w:rPr>
          <w:color w:val="000000"/>
          <w:spacing w:val="0"/>
          <w:w w:val="100"/>
          <w:position w:val="0"/>
        </w:rPr>
        <w:t>、募集资金使用情况</w:t>
      </w:r>
      <w:bookmarkEnd w:id="185"/>
      <w:bookmarkEnd w:id="186"/>
      <w:bookmarkEnd w:id="188"/>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both"/>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9"/>
      <w:bookmarkEnd w:id="190"/>
      <w:bookmarkEnd w:id="192"/>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闲置两年 以上募集 资金金额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结余募集 资金余额 已经公司 履行决策 程序后永 久用于补 充流动资 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840</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核准，公司首次向社会公众公开发行人民币普通股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万股，每股发行价格</w:t>
            </w:r>
            <w:r>
              <w:rPr>
                <w:rFonts w:ascii="Times New Roman" w:eastAsia="Times New Roman" w:hAnsi="Times New Roman" w:cs="Times New Roman"/>
                <w:color w:val="000000"/>
                <w:spacing w:val="0"/>
                <w:w w:val="100"/>
                <w:position w:val="0"/>
              </w:rPr>
              <w:t>18.76</w:t>
            </w:r>
            <w:r>
              <w:rPr>
                <w:color w:val="000000"/>
                <w:spacing w:val="0"/>
                <w:w w:val="100"/>
                <w:position w:val="0"/>
              </w:rPr>
              <w:t>元，扣除发行费用后公司实际募集资金净额为</w:t>
            </w:r>
            <w:r>
              <w:rPr>
                <w:rFonts w:ascii="Times New Roman" w:eastAsia="Times New Roman" w:hAnsi="Times New Roman" w:cs="Times New Roman"/>
                <w:color w:val="000000"/>
                <w:spacing w:val="0"/>
                <w:w w:val="100"/>
                <w:position w:val="0"/>
              </w:rPr>
              <w:t>42,747.05</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 募投项目已累计投入募集资金</w:t>
            </w:r>
            <w:r>
              <w:rPr>
                <w:rFonts w:ascii="Times New Roman" w:eastAsia="Times New Roman" w:hAnsi="Times New Roman" w:cs="Times New Roman"/>
                <w:color w:val="000000"/>
                <w:spacing w:val="0"/>
                <w:w w:val="100"/>
                <w:position w:val="0"/>
              </w:rPr>
              <w:t>42,747.05</w:t>
            </w:r>
            <w:r>
              <w:rPr>
                <w:color w:val="000000"/>
                <w:spacing w:val="0"/>
                <w:w w:val="100"/>
                <w:position w:val="0"/>
              </w:rPr>
              <w:t>万元，募集资金余额为</w:t>
            </w:r>
            <w:r>
              <w:rPr>
                <w:rFonts w:ascii="Times New Roman" w:eastAsia="Times New Roman" w:hAnsi="Times New Roman" w:cs="Times New Roman"/>
                <w:color w:val="000000"/>
                <w:spacing w:val="0"/>
                <w:w w:val="100"/>
                <w:position w:val="0"/>
              </w:rPr>
              <w:t>0.00</w:t>
            </w:r>
            <w:r>
              <w:rPr>
                <w:color w:val="000000"/>
                <w:spacing w:val="0"/>
                <w:w w:val="100"/>
                <w:position w:val="0"/>
              </w:rPr>
              <w:t>万元(不考虑银行手续费和利息)。募集资金实际投 资项目与首发招股说明书承诺一致，不存在变更募集资金使用用途的情况。</w:t>
            </w:r>
          </w:p>
        </w:tc>
      </w:tr>
    </w:tbl>
    <w:p>
      <w:pPr>
        <w:widowControl w:val="0"/>
        <w:spacing w:after="299" w:line="1" w:lineRule="exact"/>
      </w:pPr>
    </w:p>
    <w:p>
      <w:pPr>
        <w:pStyle w:val="Style40"/>
        <w:keepNext/>
        <w:keepLines/>
        <w:widowControl w:val="0"/>
        <w:numPr>
          <w:ilvl w:val="0"/>
          <w:numId w:val="1"/>
        </w:numPr>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募集资金承诺项目情况</w:t>
      </w:r>
      <w:bookmarkEnd w:id="193"/>
      <w:bookmarkEnd w:id="194"/>
      <w:bookmarkEnd w:id="19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79"/>
        <w:gridCol w:w="523"/>
        <w:gridCol w:w="850"/>
        <w:gridCol w:w="893"/>
        <w:gridCol w:w="946"/>
        <w:gridCol w:w="960"/>
        <w:gridCol w:w="619"/>
        <w:gridCol w:w="725"/>
        <w:gridCol w:w="730"/>
        <w:gridCol w:w="898"/>
        <w:gridCol w:w="725"/>
        <w:gridCol w:w="73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承诺投资项 目和超募资 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 已变 更项 目</w:t>
            </w:r>
            <w:r>
              <w:rPr>
                <w:rFonts w:ascii="Times New Roman" w:eastAsia="Times New Roman" w:hAnsi="Times New Roman" w:cs="Times New Roman"/>
                <w:color w:val="000000"/>
                <w:spacing w:val="0"/>
                <w:w w:val="100"/>
                <w:position w:val="0"/>
              </w:rPr>
              <w:t>(</w:t>
            </w:r>
            <w:r>
              <w:rPr>
                <w:color w:val="000000"/>
                <w:spacing w:val="0"/>
                <w:w w:val="100"/>
                <w:position w:val="0"/>
              </w:rPr>
              <w:t>含 部分 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right"/>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98" w:lineRule="exact"/>
              <w:ind w:left="0" w:right="0" w:firstLine="0"/>
              <w:jc w:val="left"/>
            </w:pPr>
            <w:r>
              <w:rPr>
                <w:color w:val="000000"/>
                <w:spacing w:val="0"/>
                <w:w w:val="100"/>
                <w:position w:val="0"/>
              </w:rPr>
              <w:t>截至期末累 计投入金额</w:t>
            </w:r>
          </w:p>
          <w:p>
            <w:pPr>
              <w:pStyle w:val="Style2"/>
              <w:keepNext w:val="0"/>
              <w:keepLines w:val="0"/>
              <w:widowControl w:val="0"/>
              <w:shd w:val="clear" w:color="auto" w:fill="auto"/>
              <w:bidi w:val="0"/>
              <w:spacing w:before="0" w:after="0" w:line="346"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9" w:lineRule="exact"/>
              <w:ind w:left="0" w:right="0" w:firstLine="0"/>
              <w:jc w:val="center"/>
            </w:pPr>
            <w:r>
              <w:rPr>
                <w:color w:val="000000"/>
                <w:spacing w:val="0"/>
                <w:w w:val="100"/>
                <w:position w:val="0"/>
              </w:rPr>
              <w:t>截至期 末投资 进度</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8"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银行软件技 术服务交付 中心建设项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5,417.56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新一代银行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核心业务系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6,823.09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普惠金融云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11,714.01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11,714.01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9"/>
        <w:gridCol w:w="523"/>
        <w:gridCol w:w="850"/>
        <w:gridCol w:w="893"/>
        <w:gridCol w:w="946"/>
        <w:gridCol w:w="960"/>
        <w:gridCol w:w="619"/>
        <w:gridCol w:w="725"/>
        <w:gridCol w:w="730"/>
        <w:gridCol w:w="898"/>
        <w:gridCol w:w="725"/>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服务中心建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银行移动应 用平台建设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28,863.84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归还银行贷 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补充流动资 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超募资金投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42,747.05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28,863.84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26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银行软件技术服务交付中心建设项目主要是面向银行业提供</w:t>
            </w:r>
            <w:r>
              <w:rPr>
                <w:rFonts w:ascii="Times New Roman" w:eastAsia="Times New Roman" w:hAnsi="Times New Roman" w:cs="Times New Roman"/>
                <w:color w:val="000000"/>
                <w:spacing w:val="0"/>
                <w:w w:val="100"/>
                <w:position w:val="0"/>
              </w:rPr>
              <w:t>IT</w:t>
            </w:r>
            <w:r>
              <w:rPr>
                <w:color w:val="000000"/>
                <w:spacing w:val="0"/>
                <w:w w:val="100"/>
                <w:position w:val="0"/>
              </w:rPr>
              <w:t>技术开发和服务，潜在客户主要为大中型银 行。该项目近年的客户数量和业务规模未能实现有效突破，一定程度限制了该业务的拓展速度，导致该项目 实现效益低于预期实现效益。</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研发中心建设为非生产性项目，项目建成后将与其他募投项目相结合共同完善公司的研发体系；不直接对外 销售，不直接产生利润，未承诺效益，因此未单独核算。</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新一代银行核心业务系统建设项目，项目具有研发时间长、效益回报周期长等特点，一定程度上限制了该业 务的拓展速度。同时，银行在该领域的需求随着金融</w:t>
            </w:r>
            <w:r>
              <w:rPr>
                <w:rFonts w:ascii="Times New Roman" w:eastAsia="Times New Roman" w:hAnsi="Times New Roman" w:cs="Times New Roman"/>
                <w:color w:val="000000"/>
                <w:spacing w:val="0"/>
                <w:w w:val="100"/>
                <w:position w:val="0"/>
              </w:rPr>
              <w:t>IT</w:t>
            </w:r>
            <w:r>
              <w:rPr>
                <w:color w:val="000000"/>
                <w:spacing w:val="0"/>
                <w:w w:val="100"/>
                <w:position w:val="0"/>
              </w:rPr>
              <w:t>技术的发展而发生变化，从大型主机转向自主可控的 分布式架构，项目未实现承诺效益。</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项目可行性 发生重大变 化的情况说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 金额、用途 及使用进展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资项目实施 地点变更情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 资项目实施 方式调整情 况</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79"/>
        <w:gridCol w:w="86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日第二届董事会第四次会议决议和广东正中珠江会计师事务所（特殊普通合伙）出具的 广会专字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2015]G13800020379</w:t>
            </w:r>
            <w:r>
              <w:rPr>
                <w:color w:val="000000"/>
                <w:spacing w:val="0"/>
                <w:w w:val="100"/>
                <w:position w:val="0"/>
              </w:rPr>
              <w:t>号《以自筹资金预先投入募集资金投资项目的鉴证报告》，公司以募集资金人 民币</w:t>
            </w:r>
            <w:r>
              <w:rPr>
                <w:rFonts w:ascii="Times New Roman" w:eastAsia="Times New Roman" w:hAnsi="Times New Roman" w:cs="Times New Roman"/>
                <w:color w:val="000000"/>
                <w:spacing w:val="0"/>
                <w:w w:val="100"/>
                <w:position w:val="0"/>
              </w:rPr>
              <w:t>52,755,099.50</w:t>
            </w:r>
            <w:r>
              <w:rPr>
                <w:color w:val="000000"/>
                <w:spacing w:val="0"/>
                <w:w w:val="100"/>
                <w:position w:val="0"/>
              </w:rPr>
              <w:t>元置换先期投入募集资金投资项目的自筹资金。</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 现募集资金 结余的金额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募集资金账户节余资金为</w:t>
            </w:r>
            <w:r>
              <w:rPr>
                <w:rFonts w:ascii="Times New Roman" w:eastAsia="Times New Roman" w:hAnsi="Times New Roman" w:cs="Times New Roman"/>
                <w:color w:val="000000"/>
                <w:spacing w:val="0"/>
                <w:w w:val="100"/>
                <w:position w:val="0"/>
              </w:rPr>
              <w:t>6,760,775.35</w:t>
            </w:r>
            <w:r>
              <w:rPr>
                <w:color w:val="000000"/>
                <w:spacing w:val="0"/>
                <w:w w:val="100"/>
                <w:position w:val="0"/>
              </w:rPr>
              <w:t>元</w:t>
            </w:r>
            <w:r>
              <w:rPr>
                <w:color w:val="000000"/>
                <w:spacing w:val="0"/>
                <w:w w:val="100"/>
                <w:position w:val="0"/>
              </w:rPr>
              <w:t>，</w:t>
            </w:r>
            <w:r>
              <w:rPr>
                <w:color w:val="000000"/>
                <w:spacing w:val="0"/>
                <w:w w:val="100"/>
                <w:position w:val="0"/>
              </w:rPr>
              <w:t>该资金来源为募集资金存放产生的利息收入。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尚未使用的 募集资金用 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结余募集资金余额已经公司履行决策程序后永久用于补充流动资金。</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7"/>
      <w:bookmarkEnd w:id="198"/>
      <w:bookmarkEnd w:id="200"/>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12" w:val="left"/>
        </w:tabs>
        <w:bidi w:val="0"/>
        <w:spacing w:before="0" w:after="34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六</w:t>
      </w:r>
      <w:bookmarkEnd w:id="203"/>
      <w:r>
        <w:rPr>
          <w:color w:val="000000"/>
          <w:spacing w:val="0"/>
          <w:w w:val="100"/>
          <w:position w:val="0"/>
          <w:sz w:val="24"/>
          <w:szCs w:val="24"/>
        </w:rPr>
        <w:t>、</w:t>
        <w:tab/>
        <w:t>重大资产和股权出售</w:t>
      </w:r>
      <w:bookmarkEnd w:id="201"/>
      <w:bookmarkEnd w:id="202"/>
      <w:bookmarkEnd w:id="204"/>
    </w:p>
    <w:p>
      <w:pPr>
        <w:pStyle w:val="Style35"/>
        <w:keepNext/>
        <w:keepLines/>
        <w:widowControl w:val="0"/>
        <w:shd w:val="clear" w:color="auto" w:fill="auto"/>
        <w:tabs>
          <w:tab w:pos="407"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出售重大资产情况</w:t>
      </w:r>
      <w:bookmarkEnd w:id="205"/>
      <w:bookmarkEnd w:id="206"/>
      <w:bookmarkEnd w:id="208"/>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07"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出售重大股权情况</w:t>
      </w:r>
      <w:bookmarkEnd w:id="209"/>
      <w:bookmarkEnd w:id="210"/>
      <w:bookmarkEnd w:id="212"/>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4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七</w:t>
      </w:r>
      <w:bookmarkEnd w:id="215"/>
      <w:r>
        <w:rPr>
          <w:color w:val="000000"/>
          <w:spacing w:val="0"/>
          <w:w w:val="100"/>
          <w:position w:val="0"/>
          <w:sz w:val="24"/>
          <w:szCs w:val="24"/>
        </w:rPr>
        <w:t>、</w:t>
        <w:tab/>
        <w:t>主要控股参股公司分析</w:t>
      </w:r>
      <w:bookmarkEnd w:id="213"/>
      <w:bookmarkEnd w:id="214"/>
      <w:bookmarkEnd w:id="21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288,038,913.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42,996,895.3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307,926,386.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14,306,681.8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14,966,624.5</w:t>
            </w:r>
          </w:p>
        </w:tc>
      </w:tr>
    </w:tbl>
    <w:tbl>
      <w:tblPr>
        <w:tblOverlap w:val="never"/>
        <w:jc w:val="center"/>
        <w:tblLayout w:type="fixed"/>
      </w:tblPr>
      <w:tblGrid>
        <w:gridCol w:w="1061"/>
        <w:gridCol w:w="1195"/>
        <w:gridCol w:w="1046"/>
        <w:gridCol w:w="1042"/>
        <w:gridCol w:w="1046"/>
        <w:gridCol w:w="1046"/>
        <w:gridCol w:w="1046"/>
        <w:gridCol w:w="1042"/>
        <w:gridCol w:w="1051"/>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r>
              <w:rPr>
                <w:rFonts w:ascii="Times New Roman" w:eastAsia="Times New Roman" w:hAnsi="Times New Roman" w:cs="Times New Roman"/>
                <w:color w:val="000000"/>
                <w:spacing w:val="0"/>
                <w:w w:val="100"/>
                <w:position w:val="0"/>
              </w:rPr>
              <w:t>（</w:t>
            </w:r>
            <w:r>
              <w:rPr>
                <w:color w:val="000000"/>
                <w:spacing w:val="0"/>
                <w:w w:val="100"/>
                <w:position w:val="0"/>
              </w:rPr>
              <w:t>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w:t>
            </w:r>
            <w:r>
              <w:rPr>
                <w:color w:val="000000"/>
                <w:spacing w:val="0"/>
                <w:w w:val="100"/>
                <w:position w:val="0"/>
              </w:rPr>
              <w:t>万泰铢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11,891,323.2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55,042,969.4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17,010,835.7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13,283,176.0</w:t>
            </w: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339" w:line="1" w:lineRule="exact"/>
      </w:pPr>
    </w:p>
    <w:p>
      <w:pPr>
        <w:pStyle w:val="Style28"/>
        <w:keepNext/>
        <w:keepLines/>
        <w:widowControl w:val="0"/>
        <w:shd w:val="clear" w:color="auto" w:fill="auto"/>
        <w:bidi w:val="0"/>
        <w:spacing w:before="0" w:after="2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八</w:t>
      </w:r>
      <w:bookmarkEnd w:id="219"/>
      <w:r>
        <w:rPr>
          <w:color w:val="000000"/>
          <w:spacing w:val="0"/>
          <w:w w:val="100"/>
          <w:position w:val="0"/>
          <w:sz w:val="24"/>
          <w:szCs w:val="24"/>
        </w:rPr>
        <w:t>、公司控制的结构化主体情况</w:t>
      </w:r>
      <w:bookmarkEnd w:id="217"/>
      <w:bookmarkEnd w:id="218"/>
      <w:bookmarkEnd w:id="220"/>
    </w:p>
    <w:p>
      <w:pPr>
        <w:pStyle w:val="Style30"/>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九</w:t>
      </w:r>
      <w:bookmarkEnd w:id="223"/>
      <w:r>
        <w:rPr>
          <w:color w:val="000000"/>
          <w:spacing w:val="0"/>
          <w:w w:val="100"/>
          <w:position w:val="0"/>
          <w:sz w:val="24"/>
          <w:szCs w:val="24"/>
        </w:rPr>
        <w:t>、公司未来发展的展望</w:t>
      </w:r>
      <w:bookmarkEnd w:id="221"/>
      <w:bookmarkEnd w:id="222"/>
      <w:bookmarkEnd w:id="224"/>
    </w:p>
    <w:p>
      <w:pPr>
        <w:pStyle w:val="Style3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全球金融机构正进入全新的发展时期，银行业从</w:t>
      </w:r>
      <w:r>
        <w:rPr>
          <w:rFonts w:ascii="Times New Roman" w:eastAsia="Times New Roman" w:hAnsi="Times New Roman" w:cs="Times New Roman"/>
          <w:color w:val="000000"/>
          <w:spacing w:val="0"/>
          <w:w w:val="100"/>
          <w:position w:val="0"/>
        </w:rPr>
        <w:t>3.0</w:t>
      </w:r>
      <w:r>
        <w:rPr>
          <w:color w:val="000000"/>
          <w:spacing w:val="0"/>
          <w:w w:val="100"/>
          <w:position w:val="0"/>
        </w:rPr>
        <w:t>时代迈向以体验式银行服务为核心的智能“银行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时代，传统 架构面临挑战、快速响应能力受限、业务连续性诉求不断提高及运营模式升级。金融服务将嵌入到人们生产生活的各个方面, 并朝着智能化方向演进。金融科技行业面临巨大的挑战，但也迎来前所未有的发展机遇。</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公司将把握金融科技的发展趋势，在继续坚持做好传统核心业务的同时，坚持积极投入分布式、微服务、区块链、数字 货币、</w:t>
      </w:r>
      <w:r>
        <w:rPr>
          <w:rFonts w:ascii="Times New Roman" w:eastAsia="Times New Roman" w:hAnsi="Times New Roman" w:cs="Times New Roman"/>
          <w:color w:val="000000"/>
          <w:spacing w:val="0"/>
          <w:w w:val="100"/>
          <w:position w:val="0"/>
        </w:rPr>
        <w:t>AI+</w:t>
      </w:r>
      <w:r>
        <w:rPr>
          <w:color w:val="000000"/>
          <w:spacing w:val="0"/>
          <w:w w:val="100"/>
          <w:position w:val="0"/>
        </w:rPr>
        <w:t>大数据、</w:t>
      </w:r>
      <w:r>
        <w:rPr>
          <w:rFonts w:ascii="Times New Roman" w:eastAsia="Times New Roman" w:hAnsi="Times New Roman" w:cs="Times New Roman"/>
          <w:color w:val="000000"/>
          <w:spacing w:val="0"/>
          <w:w w:val="100"/>
          <w:position w:val="0"/>
        </w:rPr>
        <w:t>5G</w:t>
      </w:r>
      <w:r>
        <w:rPr>
          <w:color w:val="000000"/>
          <w:spacing w:val="0"/>
          <w:w w:val="100"/>
          <w:position w:val="0"/>
        </w:rPr>
        <w:t>应用等新技术研发与合作。公司将继续积极推动技术领先的金融级分布式架构以及基于分布式架构、 微服务平台产品的持续落地，为包括银行在内的金融机构提供分布式最佳数字化解决方案与交付运维；公司将继续积极推动 区块链技术创新应用的持续落地；继续积极探索区块链</w:t>
      </w:r>
      <w:r>
        <w:rPr>
          <w:rFonts w:ascii="Times New Roman" w:eastAsia="Times New Roman" w:hAnsi="Times New Roman" w:cs="Times New Roman"/>
          <w:color w:val="000000"/>
          <w:spacing w:val="0"/>
          <w:w w:val="100"/>
          <w:position w:val="0"/>
        </w:rPr>
        <w:t>+</w:t>
      </w:r>
      <w:r>
        <w:rPr>
          <w:color w:val="000000"/>
          <w:spacing w:val="0"/>
          <w:w w:val="100"/>
          <w:position w:val="0"/>
        </w:rPr>
        <w:t>人才服务创新业务模式；继续坚持境内外业务协同发展，深耕港澳 市场，拓展东南亚等国际市场，实现业务增长。充分发挥公司面向“银行</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的技术能力、全方位解决方案与顾问咨询能 力、全球服务能力优势，依托规模化的金融</w:t>
      </w:r>
      <w:r>
        <w:rPr>
          <w:rFonts w:ascii="Times New Roman" w:eastAsia="Times New Roman" w:hAnsi="Times New Roman" w:cs="Times New Roman"/>
          <w:color w:val="000000"/>
          <w:spacing w:val="0"/>
          <w:w w:val="100"/>
          <w:position w:val="0"/>
        </w:rPr>
        <w:t>+</w:t>
      </w:r>
      <w:r>
        <w:rPr>
          <w:color w:val="000000"/>
          <w:spacing w:val="0"/>
          <w:w w:val="100"/>
          <w:position w:val="0"/>
        </w:rPr>
        <w:t>科技的复合型人才团队，逐步实现产品</w:t>
      </w:r>
      <w:r>
        <w:rPr>
          <w:rFonts w:ascii="Times New Roman" w:eastAsia="Times New Roman" w:hAnsi="Times New Roman" w:cs="Times New Roman"/>
          <w:color w:val="000000"/>
          <w:spacing w:val="0"/>
          <w:w w:val="100"/>
          <w:position w:val="0"/>
        </w:rPr>
        <w:t>+</w:t>
      </w:r>
      <w:r>
        <w:rPr>
          <w:color w:val="000000"/>
          <w:spacing w:val="0"/>
          <w:w w:val="100"/>
          <w:position w:val="0"/>
        </w:rPr>
        <w:t>服务、平台</w:t>
      </w:r>
      <w:r>
        <w:rPr>
          <w:rFonts w:ascii="Times New Roman" w:eastAsia="Times New Roman" w:hAnsi="Times New Roman" w:cs="Times New Roman"/>
          <w:color w:val="000000"/>
          <w:spacing w:val="0"/>
          <w:w w:val="100"/>
          <w:position w:val="0"/>
        </w:rPr>
        <w:t>+</w:t>
      </w:r>
      <w:r>
        <w:rPr>
          <w:color w:val="000000"/>
          <w:spacing w:val="0"/>
          <w:w w:val="100"/>
          <w:position w:val="0"/>
        </w:rPr>
        <w:t>服务的业务升级。促进公 司业务发展。</w:t>
      </w:r>
    </w:p>
    <w:p>
      <w:pPr>
        <w:pStyle w:val="Style30"/>
        <w:keepNext w:val="0"/>
        <w:keepLines w:val="0"/>
        <w:widowControl w:val="0"/>
        <w:shd w:val="clear" w:color="auto" w:fill="auto"/>
        <w:bidi w:val="0"/>
        <w:spacing w:before="0" w:after="720" w:line="317" w:lineRule="exact"/>
        <w:ind w:left="0" w:right="0" w:firstLine="360"/>
        <w:jc w:val="both"/>
      </w:pPr>
      <w:r>
        <w:rPr>
          <w:color w:val="000000"/>
          <w:spacing w:val="0"/>
          <w:w w:val="100"/>
          <w:position w:val="0"/>
        </w:rPr>
        <w:t>展望未来，公司将坚持以人为本，技术引领，做好主营业务；围绕创新驱动，谋求业务持续升级转型；将坚持全球化布 局与创新驱动战略，为客户提供更简单、更敏捷、更安全的产品与解决方案，成为海内外金融机构不可或缺的合作伙伴。</w:t>
      </w:r>
    </w:p>
    <w:p>
      <w:pPr>
        <w:pStyle w:val="Style28"/>
        <w:keepNext/>
        <w:keepLines/>
        <w:widowControl w:val="0"/>
        <w:shd w:val="clear" w:color="auto" w:fill="auto"/>
        <w:bidi w:val="0"/>
        <w:spacing w:before="0" w:after="340" w:line="240" w:lineRule="auto"/>
        <w:ind w:left="0" w:right="0" w:firstLine="0"/>
        <w:jc w:val="left"/>
      </w:pPr>
      <w:bookmarkStart w:id="225" w:name="bookmark225"/>
      <w:bookmarkStart w:id="226" w:name="bookmark226"/>
      <w:bookmarkStart w:id="227" w:name="bookmark227"/>
      <w:r>
        <w:rPr>
          <w:color w:val="000000"/>
          <w:spacing w:val="0"/>
          <w:w w:val="100"/>
          <w:position w:val="0"/>
          <w:sz w:val="24"/>
          <w:szCs w:val="24"/>
        </w:rPr>
        <w:t>十、接待调研、沟通、采访等活动登记表</w:t>
      </w:r>
      <w:bookmarkEnd w:id="225"/>
      <w:bookmarkEnd w:id="226"/>
      <w:bookmarkEnd w:id="227"/>
    </w:p>
    <w:p>
      <w:pPr>
        <w:pStyle w:val="Style35"/>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、报告期内接待调研、沟通、采访等活动登记表</w:t>
      </w:r>
      <w:bookmarkEnd w:id="228"/>
      <w:bookmarkEnd w:id="229"/>
      <w:bookmarkEnd w:id="231"/>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441" w:right="1054" w:bottom="1427" w:left="1063" w:header="0" w:footer="3" w:gutter="0"/>
          <w:cols w:space="720"/>
          <w:noEndnote/>
          <w:rtlGutter w:val="0"/>
          <w:docGrid w:linePitch="360"/>
        </w:sectPr>
      </w:pPr>
      <w:r>
        <w:rPr>
          <w:color w:val="000000"/>
          <w:spacing w:val="0"/>
          <w:w w:val="100"/>
          <w:position w:val="0"/>
        </w:rPr>
        <w:t>公司报告期内未发生接待调研、沟通、采访等活动。</w:t>
      </w:r>
    </w:p>
    <w:p>
      <w:pPr>
        <w:pStyle w:val="Style20"/>
        <w:keepNext/>
        <w:keepLines/>
        <w:widowControl w:val="0"/>
        <w:shd w:val="clear" w:color="auto" w:fill="auto"/>
        <w:bidi w:val="0"/>
        <w:spacing w:before="580" w:line="240" w:lineRule="auto"/>
        <w:ind w:left="0" w:right="0" w:firstLine="0"/>
        <w:jc w:val="center"/>
      </w:pPr>
      <w:bookmarkStart w:id="232" w:name="bookmark232"/>
      <w:bookmarkStart w:id="233" w:name="bookmark233"/>
      <w:bookmarkStart w:id="234" w:name="bookmark234"/>
      <w:bookmarkStart w:id="235" w:name="bookmark235"/>
      <w:r>
        <w:rPr>
          <w:color w:val="000000"/>
          <w:spacing w:val="0"/>
          <w:w w:val="100"/>
          <w:position w:val="0"/>
        </w:rPr>
        <w:t>第五节重要事项</w:t>
      </w:r>
      <w:bookmarkEnd w:id="233"/>
      <w:bookmarkEnd w:id="234"/>
      <w:bookmarkEnd w:id="235"/>
      <w:bookmarkEnd w:id="232"/>
    </w:p>
    <w:p>
      <w:pPr>
        <w:pStyle w:val="Style28"/>
        <w:keepNext/>
        <w:keepLines/>
        <w:widowControl w:val="0"/>
        <w:shd w:val="clear" w:color="auto" w:fill="auto"/>
        <w:bidi w:val="0"/>
        <w:spacing w:before="0" w:after="26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一</w:t>
      </w:r>
      <w:bookmarkEnd w:id="238"/>
      <w:r>
        <w:rPr>
          <w:color w:val="000000"/>
          <w:spacing w:val="0"/>
          <w:w w:val="100"/>
          <w:position w:val="0"/>
          <w:sz w:val="24"/>
          <w:szCs w:val="24"/>
        </w:rPr>
        <w:t>、公司普通股利润分配及资本公积金转增股本情况</w:t>
      </w:r>
      <w:bookmarkEnd w:id="236"/>
      <w:bookmarkEnd w:id="237"/>
      <w:bookmarkEnd w:id="239"/>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日召开第三届董事会第十六次会议以及于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日召开年度股东大会审议通过了《关于 审议</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年度利润分配及资本公积金转增股本预案的议案》，以公司总股本</w:t>
      </w:r>
      <w:r>
        <w:rPr>
          <w:rFonts w:ascii="Times New Roman" w:eastAsia="Times New Roman" w:hAnsi="Times New Roman" w:cs="Times New Roman"/>
          <w:color w:val="000000"/>
          <w:spacing w:val="0"/>
          <w:w w:val="100"/>
          <w:position w:val="0"/>
        </w:rPr>
        <w:t>18,896.8261</w:t>
      </w:r>
      <w:r>
        <w:rPr>
          <w:color w:val="000000"/>
          <w:spacing w:val="0"/>
          <w:w w:val="100"/>
          <w:position w:val="0"/>
        </w:rPr>
        <w:t>万股为基数，拟向全体股东分配共 计现金人民币</w:t>
      </w:r>
      <w:r>
        <w:rPr>
          <w:rFonts w:ascii="Times New Roman" w:eastAsia="Times New Roman" w:hAnsi="Times New Roman" w:cs="Times New Roman"/>
          <w:color w:val="000000"/>
          <w:spacing w:val="0"/>
          <w:w w:val="100"/>
          <w:position w:val="0"/>
        </w:rPr>
        <w:t>28,345,239.15</w:t>
      </w:r>
      <w:r>
        <w:rPr>
          <w:color w:val="000000"/>
          <w:spacing w:val="0"/>
          <w:w w:val="100"/>
          <w:position w:val="0"/>
        </w:rPr>
        <w:t>元，即每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1.50</w:t>
      </w:r>
      <w:r>
        <w:rPr>
          <w:color w:val="000000"/>
          <w:spacing w:val="0"/>
          <w:w w:val="100"/>
          <w:position w:val="0"/>
        </w:rPr>
        <w:t>元人民币（含税）</w:t>
      </w:r>
      <w:r>
        <w:rPr>
          <w:i/>
          <w:iCs/>
          <w:color w:val="000000"/>
          <w:spacing w:val="0"/>
          <w:w w:val="100"/>
          <w:position w:val="0"/>
        </w:rPr>
        <w:t>。</w:t>
      </w:r>
      <w:r>
        <w:rPr>
          <w:color w:val="000000"/>
          <w:spacing w:val="0"/>
          <w:w w:val="100"/>
          <w:position w:val="0"/>
        </w:rPr>
        <w:t>同时拟以股本溢价形成的资本公积金向全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9,448.4131</w:t>
      </w:r>
      <w:r>
        <w:rPr>
          <w:color w:val="000000"/>
          <w:spacing w:val="0"/>
          <w:w w:val="100"/>
          <w:position w:val="0"/>
        </w:rPr>
        <w:t>万股，转增后公司总股本为</w:t>
      </w:r>
      <w:r>
        <w:rPr>
          <w:rFonts w:ascii="Times New Roman" w:eastAsia="Times New Roman" w:hAnsi="Times New Roman" w:cs="Times New Roman"/>
          <w:color w:val="000000"/>
          <w:spacing w:val="0"/>
          <w:w w:val="100"/>
          <w:position w:val="0"/>
        </w:rPr>
        <w:t>28,345.2392</w:t>
      </w:r>
      <w:r>
        <w:rPr>
          <w:color w:val="000000"/>
          <w:spacing w:val="0"/>
          <w:w w:val="100"/>
          <w:position w:val="0"/>
        </w:rPr>
        <w:t xml:space="preserve">万股。本次利润分配不送红股，剩余 未分配利润结转入下一年度。（以上净利润额、可分配利润额以及利润分配后剩余未分配利润额以最终经审计数据为准。） 董事会审议利润分配及资本公积金转增股本预案后至权益分派实施公告确定的股权登记日前公司股本发生变动的，将按照 </w:t>
      </w:r>
      <w:r>
        <w:rPr>
          <w:rFonts w:ascii="Times New Roman" w:eastAsia="Times New Roman" w:hAnsi="Times New Roman" w:cs="Times New Roman"/>
          <w:color w:val="000000"/>
          <w:spacing w:val="0"/>
          <w:w w:val="100"/>
          <w:position w:val="0"/>
        </w:rPr>
        <w:t>“</w:t>
      </w:r>
      <w:r>
        <w:rPr>
          <w:color w:val="000000"/>
          <w:spacing w:val="0"/>
          <w:w w:val="100"/>
          <w:position w:val="0"/>
        </w:rPr>
        <w:t>现金分红总额、转增股本总额固定不变</w:t>
      </w:r>
      <w:r>
        <w:rPr>
          <w:rFonts w:ascii="Times New Roman" w:eastAsia="Times New Roman" w:hAnsi="Times New Roman" w:cs="Times New Roman"/>
          <w:color w:val="000000"/>
          <w:spacing w:val="0"/>
          <w:w w:val="100"/>
          <w:position w:val="0"/>
        </w:rPr>
        <w:t>”</w:t>
      </w:r>
      <w:r>
        <w:rPr>
          <w:color w:val="000000"/>
          <w:spacing w:val="0"/>
          <w:w w:val="100"/>
          <w:position w:val="0"/>
        </w:rPr>
        <w:t>的原则对分配比例进行调整。根据</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年度股东大会决议，该利润分配方案</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日已实施完毕。</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152"/>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28,329,905.50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28,329,905.50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404,407,229.29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0"/>
        <w:jc w:val="center"/>
      </w:pPr>
      <w:r>
        <w:rPr>
          <w:color w:val="000000"/>
          <w:spacing w:val="0"/>
          <w:w w:val="100"/>
          <w:position w:val="0"/>
        </w:rPr>
        <w:t>本次现金分红情况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403" w:lineRule="exact"/>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br/>
        <w:t>利润分配或资本公积金转增预案的详细情况说明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240"/>
        <w:jc w:val="both"/>
      </w:pPr>
      <w:r>
        <w:rPr>
          <w:color w:val="000000"/>
          <w:spacing w:val="0"/>
          <w:w w:val="100"/>
          <w:position w:val="0"/>
        </w:rPr>
        <w:t>经华兴会计师事务所（特殊普通合伙）审计，截止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日的未分配利润总计</w:t>
      </w:r>
      <w:r>
        <w:rPr>
          <w:rFonts w:ascii="Times New Roman" w:eastAsia="Times New Roman" w:hAnsi="Times New Roman" w:cs="Times New Roman"/>
          <w:color w:val="000000"/>
          <w:spacing w:val="0"/>
          <w:w w:val="100"/>
          <w:position w:val="0"/>
        </w:rPr>
        <w:t>404,407,229.29</w:t>
      </w:r>
      <w:r>
        <w:rPr>
          <w:color w:val="000000"/>
          <w:spacing w:val="0"/>
          <w:w w:val="100"/>
          <w:position w:val="0"/>
        </w:rPr>
        <w:t>元，报告期末资 本公积</w:t>
      </w:r>
      <w:r>
        <w:rPr>
          <w:rFonts w:ascii="Times New Roman" w:eastAsia="Times New Roman" w:hAnsi="Times New Roman" w:cs="Times New Roman"/>
          <w:color w:val="000000"/>
          <w:spacing w:val="0"/>
          <w:w w:val="100"/>
          <w:position w:val="0"/>
        </w:rPr>
        <w:t>439,688,923.31</w:t>
      </w:r>
      <w:r>
        <w:rPr>
          <w:color w:val="000000"/>
          <w:spacing w:val="0"/>
          <w:w w:val="100"/>
          <w:position w:val="0"/>
        </w:rPr>
        <w:t>元，根据公司实际状况和未来可持续协调发展的需求，并根据中国证监会鼓励企业现金分红的指导 意见，在符合利润分配原则、保证公司正常经营和长远发展的前提下，更好地兼顾股东的即期利益和长远利益，根据《公 司法》及《公司章程》的相关规定，现拟定如下利润分配及资本公积金转增股本预案：以截至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 股本</w:t>
      </w:r>
      <w:r>
        <w:rPr>
          <w:rFonts w:ascii="Times New Roman" w:eastAsia="Times New Roman" w:hAnsi="Times New Roman" w:cs="Times New Roman"/>
          <w:color w:val="000000"/>
          <w:spacing w:val="0"/>
          <w:w w:val="100"/>
          <w:position w:val="0"/>
        </w:rPr>
        <w:t>283,299,055.00</w:t>
      </w:r>
      <w:r>
        <w:rPr>
          <w:color w:val="000000"/>
          <w:spacing w:val="0"/>
          <w:w w:val="100"/>
          <w:position w:val="0"/>
        </w:rPr>
        <w:t>股为基数</w:t>
      </w:r>
      <w:r>
        <w:rPr>
          <w:rFonts w:ascii="Times New Roman" w:eastAsia="Times New Roman" w:hAnsi="Times New Roman" w:cs="Times New Roman"/>
          <w:color w:val="000000"/>
          <w:spacing w:val="0"/>
          <w:w w:val="100"/>
          <w:position w:val="0"/>
        </w:rPr>
        <w:t>,</w:t>
      </w:r>
      <w:r>
        <w:rPr>
          <w:color w:val="000000"/>
          <w:spacing w:val="0"/>
          <w:w w:val="100"/>
          <w:position w:val="0"/>
        </w:rPr>
        <w:t>拟向全体股东分配共计现金人民币</w:t>
      </w:r>
      <w:r>
        <w:rPr>
          <w:rFonts w:ascii="Times New Roman" w:eastAsia="Times New Roman" w:hAnsi="Times New Roman" w:cs="Times New Roman"/>
          <w:color w:val="000000"/>
          <w:spacing w:val="0"/>
          <w:w w:val="100"/>
          <w:position w:val="0"/>
        </w:rPr>
        <w:t>28,329,905.50</w:t>
      </w:r>
      <w:r>
        <w:rPr>
          <w:color w:val="000000"/>
          <w:spacing w:val="0"/>
          <w:w w:val="100"/>
          <w:position w:val="0"/>
        </w:rPr>
        <w:t>元，即每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含 税</w:t>
      </w:r>
      <w:r>
        <w:rPr>
          <w:rFonts w:ascii="Times New Roman" w:eastAsia="Times New Roman" w:hAnsi="Times New Roman" w:cs="Times New Roman"/>
          <w:color w:val="000000"/>
          <w:spacing w:val="0"/>
          <w:w w:val="100"/>
          <w:position w:val="0"/>
        </w:rPr>
        <w:t>）</w:t>
      </w:r>
      <w:r>
        <w:rPr>
          <w:color w:val="000000"/>
          <w:spacing w:val="0"/>
          <w:w w:val="100"/>
          <w:position w:val="0"/>
        </w:rPr>
        <w:t>。本次利润分配不转增不送红股，剩余未分配利润结转入下一年度。董事会审议利润分配预案后至权分派实施公告确定 的股权登记日前公司股本发生变动的，将按照</w:t>
      </w:r>
      <w:r>
        <w:rPr>
          <w:rFonts w:ascii="Times New Roman" w:eastAsia="Times New Roman" w:hAnsi="Times New Roman" w:cs="Times New Roman"/>
          <w:color w:val="000000"/>
          <w:spacing w:val="0"/>
          <w:w w:val="100"/>
          <w:position w:val="0"/>
        </w:rPr>
        <w:t>“</w:t>
      </w:r>
      <w:r>
        <w:rPr>
          <w:color w:val="000000"/>
          <w:spacing w:val="0"/>
          <w:w w:val="100"/>
          <w:position w:val="0"/>
        </w:rPr>
        <w:t>现金分红总额固定不变</w:t>
      </w:r>
      <w:r>
        <w:rPr>
          <w:rFonts w:ascii="Times New Roman" w:eastAsia="Times New Roman" w:hAnsi="Times New Roman" w:cs="Times New Roman"/>
          <w:color w:val="000000"/>
          <w:spacing w:val="0"/>
          <w:w w:val="100"/>
          <w:position w:val="0"/>
        </w:rPr>
        <w:t>”</w:t>
      </w:r>
      <w:r>
        <w:rPr>
          <w:color w:val="000000"/>
          <w:spacing w:val="0"/>
          <w:w w:val="100"/>
          <w:position w:val="0"/>
        </w:rPr>
        <w:t>的原则对分配比例进行调整。该利润分配方案尚需 提交公司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tabs>
          <w:tab w:pos="284" w:val="left"/>
        </w:tabs>
        <w:bidi w:val="0"/>
        <w:spacing w:before="0" w:after="0" w:line="312" w:lineRule="exact"/>
        <w:ind w:left="0" w:right="0" w:firstLine="0"/>
        <w:jc w:val="both"/>
      </w:pPr>
      <w:bookmarkStart w:id="240" w:name="bookmark240"/>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年度以截止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194,220,862</w:t>
      </w:r>
      <w:r>
        <w:rPr>
          <w:color w:val="000000"/>
          <w:spacing w:val="0"/>
          <w:w w:val="100"/>
          <w:position w:val="0"/>
        </w:rPr>
        <w:t>股为基数，拟向全体股东分配共计现金人民币</w:t>
      </w:r>
      <w:r>
        <w:rPr>
          <w:rFonts w:ascii="Times New Roman" w:eastAsia="Times New Roman" w:hAnsi="Times New Roman" w:cs="Times New Roman"/>
          <w:color w:val="000000"/>
          <w:spacing w:val="0"/>
          <w:w w:val="100"/>
          <w:position w:val="0"/>
        </w:rPr>
        <w:t>29,133,129.30</w:t>
      </w:r>
      <w:r>
        <w:rPr>
          <w:color w:val="000000"/>
          <w:spacing w:val="0"/>
          <w:w w:val="100"/>
          <w:position w:val="0"/>
        </w:rPr>
        <w:t>元，即 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1.50</w:t>
      </w:r>
      <w:r>
        <w:rPr>
          <w:color w:val="000000"/>
          <w:spacing w:val="0"/>
          <w:w w:val="100"/>
          <w:position w:val="0"/>
        </w:rPr>
        <w:t>元人民币（含税）。本次利润分配不送红股，剩余未分配利润结转入下一年度。董事会审议利润分 配预案后至权分派实施公告确定的股权登记日前公司股本发生变动的，将按照分配总额不变的原则对分配比例进行调整。根 据</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年度股东大会决议，该利润分配方案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日已实施完毕。</w:t>
      </w:r>
    </w:p>
    <w:p>
      <w:pPr>
        <w:pStyle w:val="Style30"/>
        <w:keepNext w:val="0"/>
        <w:keepLines w:val="0"/>
        <w:widowControl w:val="0"/>
        <w:shd w:val="clear" w:color="auto" w:fill="auto"/>
        <w:tabs>
          <w:tab w:pos="294" w:val="left"/>
        </w:tabs>
        <w:bidi w:val="0"/>
        <w:spacing w:before="0" w:after="0" w:line="312" w:lineRule="exact"/>
        <w:ind w:left="0" w:right="0" w:firstLine="0"/>
        <w:jc w:val="both"/>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年度以截止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188,968,261</w:t>
      </w:r>
      <w:r>
        <w:rPr>
          <w:color w:val="000000"/>
          <w:spacing w:val="0"/>
          <w:w w:val="100"/>
          <w:position w:val="0"/>
        </w:rPr>
        <w:t>股为基数，拟向全体股东分配共计现金人民币</w:t>
      </w:r>
      <w:r>
        <w:rPr>
          <w:rFonts w:ascii="Times New Roman" w:eastAsia="Times New Roman" w:hAnsi="Times New Roman" w:cs="Times New Roman"/>
          <w:color w:val="000000"/>
          <w:spacing w:val="0"/>
          <w:w w:val="100"/>
          <w:position w:val="0"/>
        </w:rPr>
        <w:t>28,345,239.15</w:t>
      </w:r>
      <w:r>
        <w:rPr>
          <w:color w:val="000000"/>
          <w:spacing w:val="0"/>
          <w:w w:val="100"/>
          <w:position w:val="0"/>
        </w:rPr>
        <w:t>元， 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1.50</w:t>
      </w:r>
      <w:r>
        <w:rPr>
          <w:color w:val="000000"/>
          <w:spacing w:val="0"/>
          <w:w w:val="100"/>
          <w:position w:val="0"/>
        </w:rPr>
        <w:t>元人民币（含税）；同时拟以股本溢价形成的资本公积金向全体股东每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9,448.4131</w:t>
      </w:r>
      <w:r>
        <w:rPr>
          <w:color w:val="000000"/>
          <w:spacing w:val="0"/>
          <w:w w:val="100"/>
          <w:position w:val="0"/>
        </w:rPr>
        <w:t>万股，转增后公司总股本为</w:t>
      </w:r>
      <w:r>
        <w:rPr>
          <w:rFonts w:ascii="Times New Roman" w:eastAsia="Times New Roman" w:hAnsi="Times New Roman" w:cs="Times New Roman"/>
          <w:color w:val="000000"/>
          <w:spacing w:val="0"/>
          <w:w w:val="100"/>
          <w:position w:val="0"/>
        </w:rPr>
        <w:t>28,345.239</w:t>
      </w:r>
      <w:r>
        <w:rPr>
          <w:rFonts w:ascii="Times New Roman" w:eastAsia="Times New Roman" w:hAnsi="Times New Roman" w:cs="Times New Roman"/>
          <w:color w:val="000000"/>
          <w:spacing w:val="0"/>
          <w:w w:val="100"/>
          <w:position w:val="0"/>
        </w:rPr>
        <w:t>2</w:t>
      </w:r>
      <w:r>
        <w:rPr>
          <w:color w:val="000000"/>
          <w:spacing w:val="0"/>
          <w:w w:val="100"/>
          <w:position w:val="0"/>
        </w:rPr>
        <w:t>万股。本次利润分配不送红股，剩余未分配利润结转入下一年度。董事会 审议利润分配预案后至权分派实施公告确定的股权登记日前公司股本发生变动的，将按照分配总额不变的原则对分配比例进 行调整。根据</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年度股东大会决议，该利润分配方案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日已实施完毕。</w:t>
      </w:r>
    </w:p>
    <w:p>
      <w:pPr>
        <w:pStyle w:val="Style30"/>
        <w:keepNext w:val="0"/>
        <w:keepLines w:val="0"/>
        <w:widowControl w:val="0"/>
        <w:shd w:val="clear" w:color="auto" w:fill="auto"/>
        <w:tabs>
          <w:tab w:pos="294" w:val="left"/>
        </w:tabs>
        <w:bidi w:val="0"/>
        <w:spacing w:before="0" w:after="0" w:line="312" w:lineRule="exact"/>
        <w:ind w:left="0" w:right="0" w:firstLine="0"/>
        <w:jc w:val="both"/>
      </w:pPr>
      <w:bookmarkStart w:id="242" w:name="bookmark242"/>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283,299,055.00</w:t>
      </w:r>
      <w:r>
        <w:rPr>
          <w:color w:val="000000"/>
          <w:spacing w:val="0"/>
          <w:w w:val="100"/>
          <w:position w:val="0"/>
        </w:rPr>
        <w:t>股为基数</w:t>
      </w:r>
      <w:r>
        <w:rPr>
          <w:rFonts w:ascii="Times New Roman" w:eastAsia="Times New Roman" w:hAnsi="Times New Roman" w:cs="Times New Roman"/>
          <w:color w:val="000000"/>
          <w:spacing w:val="0"/>
          <w:w w:val="100"/>
          <w:position w:val="0"/>
        </w:rPr>
        <w:t>,</w:t>
      </w:r>
      <w:r>
        <w:rPr>
          <w:color w:val="000000"/>
          <w:spacing w:val="0"/>
          <w:w w:val="100"/>
          <w:position w:val="0"/>
        </w:rPr>
        <w:t>拟向全体股东分配共计现金人民币</w:t>
      </w:r>
      <w:r>
        <w:rPr>
          <w:rFonts w:ascii="Times New Roman" w:eastAsia="Times New Roman" w:hAnsi="Times New Roman" w:cs="Times New Roman"/>
          <w:color w:val="000000"/>
          <w:spacing w:val="0"/>
          <w:w w:val="100"/>
          <w:position w:val="0"/>
        </w:rPr>
        <w:t xml:space="preserve">28,329,905.50 </w:t>
      </w:r>
      <w:r>
        <w:rPr>
          <w:color w:val="000000"/>
          <w:spacing w:val="0"/>
          <w:w w:val="100"/>
          <w:position w:val="0"/>
        </w:rPr>
        <w:t>元，即每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。本次利润分配不转增不送红股，剩余未分配利润结转入下一年度。（以上净 利润额、可分配利润额以及利润分配后剩余未分配利润额以最终经审计数据为准。）董事会审议利润分配后至权益分派实施 公告确定的股权登记日前公司股本发生变动的，将按照</w:t>
      </w:r>
      <w:r>
        <w:rPr>
          <w:rFonts w:ascii="Times New Roman" w:eastAsia="Times New Roman" w:hAnsi="Times New Roman" w:cs="Times New Roman"/>
          <w:color w:val="000000"/>
          <w:spacing w:val="0"/>
          <w:w w:val="100"/>
          <w:position w:val="0"/>
        </w:rPr>
        <w:t>“</w:t>
      </w:r>
      <w:r>
        <w:rPr>
          <w:color w:val="000000"/>
          <w:spacing w:val="0"/>
          <w:w w:val="100"/>
          <w:position w:val="0"/>
        </w:rPr>
        <w:t>现金分红总额固定不变</w:t>
      </w:r>
      <w:r>
        <w:rPr>
          <w:rFonts w:ascii="Times New Roman" w:eastAsia="Times New Roman" w:hAnsi="Times New Roman" w:cs="Times New Roman"/>
          <w:color w:val="000000"/>
          <w:spacing w:val="0"/>
          <w:w w:val="100"/>
          <w:position w:val="0"/>
        </w:rPr>
        <w:t>”</w:t>
      </w:r>
      <w:r>
        <w:rPr>
          <w:color w:val="000000"/>
          <w:spacing w:val="0"/>
          <w:w w:val="100"/>
          <w:position w:val="0"/>
        </w:rPr>
        <w:t>的原则对分配比例进行调整。该利润分配方 案尚需提交公司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w:t>
      </w:r>
    </w:p>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28,329,905.50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74,555,031.45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28,329,905.50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28,345,239.15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96,238,638.56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28,345,239.15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29,133,129.30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68,804,381.94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29,133,129.30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42.34%</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、现金分红总额（含其他方式）</w:t>
      </w:r>
      <w:r>
        <w:rPr>
          <w:rFonts w:ascii="Times New Roman" w:eastAsia="Times New Roman" w:hAnsi="Times New Roman" w:cs="Times New Roman"/>
          <w:color w:val="000000"/>
          <w:spacing w:val="0"/>
          <w:w w:val="100"/>
          <w:position w:val="0"/>
        </w:rPr>
        <w:t>=</w:t>
      </w:r>
      <w:r>
        <w:rPr>
          <w:color w:val="000000"/>
          <w:spacing w:val="0"/>
          <w:w w:val="100"/>
          <w:position w:val="0"/>
        </w:rPr>
        <w:t>现金分红金额</w:t>
      </w:r>
      <w:r>
        <w:rPr>
          <w:rFonts w:ascii="Times New Roman" w:eastAsia="Times New Roman" w:hAnsi="Times New Roman" w:cs="Times New Roman"/>
          <w:color w:val="000000"/>
          <w:spacing w:val="0"/>
          <w:w w:val="100"/>
          <w:position w:val="0"/>
        </w:rPr>
        <w:t>+</w:t>
      </w:r>
      <w:r>
        <w:rPr>
          <w:color w:val="000000"/>
          <w:spacing w:val="0"/>
          <w:w w:val="100"/>
          <w:position w:val="0"/>
        </w:rPr>
        <w:t>以其他方式现金分红的金额。</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after="2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二</w:t>
      </w:r>
      <w:bookmarkEnd w:id="245"/>
      <w:r>
        <w:rPr>
          <w:color w:val="000000"/>
          <w:spacing w:val="0"/>
          <w:w w:val="100"/>
          <w:position w:val="0"/>
          <w:sz w:val="24"/>
          <w:szCs w:val="24"/>
        </w:rPr>
        <w:t>、承诺事项履行情况</w:t>
      </w:r>
      <w:bookmarkEnd w:id="243"/>
      <w:bookmarkEnd w:id="244"/>
      <w:bookmarkEnd w:id="246"/>
    </w:p>
    <w:p>
      <w:pPr>
        <w:pStyle w:val="Style35"/>
        <w:keepNext/>
        <w:keepLines/>
        <w:widowControl w:val="0"/>
        <w:shd w:val="clear" w:color="auto" w:fill="auto"/>
        <w:bidi w:val="0"/>
        <w:spacing w:before="0" w:line="322" w:lineRule="exact"/>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1</w:t>
      </w:r>
      <w:bookmarkEnd w:id="249"/>
      <w:r>
        <w:rPr>
          <w:color w:val="000000"/>
          <w:spacing w:val="0"/>
          <w:w w:val="100"/>
          <w:position w:val="0"/>
        </w:rPr>
        <w:t>、公司实际控制人、股东、关联方、收购人以及公司等承诺相关方在报告期内履行完毕及截至报告期末 尚未履行完毕的承诺事项</w:t>
      </w:r>
      <w:bookmarkEnd w:id="247"/>
      <w:bookmarkEnd w:id="248"/>
      <w:bookmarkEnd w:id="25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1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周志群、邓修 生、李琳、林 隆奋、胡行 军、王勇、郑 登元、黄永 雄、罗川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担任发行人 董事、监事、 高级管理人 员的间接股 东周志群、邓 修生、李琳、 林隆奋、胡行 军、王勇、郑 登元、黄永雄 及罗川承诺： 在其任职期 间每年通过 集中竞价、大 宗交易、协议 转让等方式 转让的股份 不超过其所 持有公司股 份总数的百 分之二十五； 离职后半年 内，不转让其 所持有的公 司股份；其在 首次公开发 行股票上市 之日起六个 月内申报离 职的，自申报 离职之日起 十八个月内 不转让其直 接持有的公 司股份；在首 次公开发行 股票上市之 日起第七个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月至第十二 个月之间申 报离职的，自 申报离职之 日起十二个 月内不转让 其直接持有 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深圳四方精 创资讯股份 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本次募集资 金投资项目 所需资金拟 全部由本次 公开发行股 票的募集资 金投入解决。 本次股票发 行募集资金 到位后，公司 将采用专款 专用、专户存 储的方式来 管理募集资 金，按以上排 列顺序及项 目投资计划 投入资金。若 本次发行实 际募集资金 不能满足上 述全部项目 投资需要，资 金缺口通过 公司自筹资 金或银行贷 款解决；如果 本次发行及 上市募集资 金到位时间 与资金需求 的时间要求 不一致，公司 可根据实际 情况以自有 资金或银行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借款先行投 入，待募集资 金到位后予 以置换。</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深圳四方精 创资讯股份 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公司实施积 极的利润分 配政策，重视 对股东的合 理投资回报 并兼顾公司 的可持续发 展，利润分配 政策保持连 续性和稳定 性，健全现金 分红制度。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）公司可 以采取现金、 股票或者现 金与股票相 结合的方式 分配股利，并 优先采用现 金分红的方 式分配利润。 公司每年度 至少进行一 次利润分配， 公司董事会 可以根据公 司的盈利及 资金需求状 况提议公司 进行中期股 利分配；（</w:t>
            </w:r>
            <w:r>
              <w:rPr>
                <w:rFonts w:ascii="Times New Roman" w:eastAsia="Times New Roman" w:hAnsi="Times New Roman" w:cs="Times New Roman"/>
                <w:color w:val="000000"/>
                <w:spacing w:val="0"/>
                <w:w w:val="100"/>
                <w:position w:val="0"/>
              </w:rPr>
              <w:t>2</w:t>
            </w:r>
            <w:r>
              <w:rPr>
                <w:color w:val="000000"/>
                <w:spacing w:val="0"/>
                <w:w w:val="100"/>
                <w:position w:val="0"/>
              </w:rPr>
              <w:t>） 公司研究论 证股利分配 政策及利润 分配方案应 当充分考虑 独立董事、监 事和中小股 东的意见。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）在满足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本章程规定 的现金分红 条件的情况 下，公司应积 极实施以现 金方式分配 股利。公司在 当年盈利、累 计未分配利 润为正且公 司现金流可 以满足公司 正常经营和 持续发展的 情况下，如无 重大投资计 划或重大现 金支出等事 项发生，公司 应当采取现 金方式分配 股利，且每年 以现金方式 分配的利润 应不低于当 年实现的可 分配利润的 </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）在 保证公司股 本规模和股 权结构合理 的前提下，基 于回报投资 者和分享企 业价值的考 虑，从公司成 长性、每股净 资产的摊薄、 公司股价与 公司股本规 模的匹配性 等真实合理 因素出发，当 公司股票估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值处于合理 范围内，公司 可以在满足 现金股利分 配条件的同 时，制订股票 股利分配方 案。⑸公 司董事会应 在定期报告 中披露利润 分配方案。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)公司的 利润分配政 策不得随意 变更，以保持 其持续性和 稳定性。(</w:t>
            </w:r>
            <w:r>
              <w:rPr>
                <w:rFonts w:ascii="Times New Roman" w:eastAsia="Times New Roman" w:hAnsi="Times New Roman" w:cs="Times New Roman"/>
                <w:color w:val="000000"/>
                <w:spacing w:val="0"/>
                <w:w w:val="100"/>
                <w:position w:val="0"/>
              </w:rPr>
              <w:t>7</w:t>
            </w:r>
            <w:r>
              <w:rPr>
                <w:color w:val="000000"/>
                <w:spacing w:val="0"/>
                <w:w w:val="100"/>
                <w:position w:val="0"/>
              </w:rPr>
              <w:t xml:space="preserve">) 股东违规占 用公司资金 情况的，公司 应当扣减该 股东所分配 的现金红利， 以偿还其占 用的资金。 </w:t>
            </w:r>
            <w:r>
              <w:rPr>
                <w:rFonts w:ascii="Times New Roman" w:eastAsia="Times New Roman" w:hAnsi="Times New Roman" w:cs="Times New Roman"/>
                <w:color w:val="000000"/>
                <w:spacing w:val="0"/>
                <w:w w:val="100"/>
                <w:position w:val="0"/>
              </w:rPr>
              <w:t xml:space="preserve">2014~2016 </w:t>
            </w:r>
            <w:r>
              <w:rPr>
                <w:color w:val="000000"/>
                <w:spacing w:val="0"/>
                <w:w w:val="100"/>
                <w:position w:val="0"/>
              </w:rPr>
              <w:t>年股东分红 回报计划：公 司在当年盈 利、累计未分 配利润为正 且公司现金 流可以满足 公司正常经 营和持续发 展的情况下， 如无重大投 资计划或重 大现金支出 等事项发生， 公司应当采 取现金方式 分配股利，且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每年以现金 方式分配的 利润应不低 于当年实现 的可分配利 润的</w:t>
            </w:r>
            <w:r>
              <w:rPr>
                <w:rFonts w:ascii="Times New Roman" w:eastAsia="Times New Roman" w:hAnsi="Times New Roman" w:cs="Times New Roman"/>
                <w:color w:val="000000"/>
                <w:spacing w:val="0"/>
                <w:w w:val="100"/>
                <w:position w:val="0"/>
              </w:rPr>
              <w:t>20%</w:t>
            </w:r>
            <w:r>
              <w:rPr>
                <w:color w:val="000000"/>
                <w:spacing w:val="0"/>
                <w:w w:val="100"/>
                <w:position w:val="0"/>
              </w:rPr>
              <w:t>。在 确保足额现 金股利分配 的前提下，公 司可以另行 增加股票股 利分配和公 积金转增股 本等方式。关 于公司利润 分配政策及 股东未来分 红回报规划 的具体内容， 请详细参阅 本招股说明 书第九节''财 务会计信息 与管理层分 析''的相关内 容。</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周志群</w:t>
            </w:r>
            <w:r>
              <w:rPr>
                <w:rFonts w:ascii="Times New Roman" w:eastAsia="Times New Roman" w:hAnsi="Times New Roman" w:cs="Times New Roman"/>
                <w:color w:val="000000"/>
                <w:spacing w:val="0"/>
                <w:w w:val="100"/>
                <w:position w:val="0"/>
              </w:rPr>
              <w:t>;</w:t>
            </w:r>
            <w:r>
              <w:rPr>
                <w:color w:val="000000"/>
                <w:spacing w:val="0"/>
                <w:w w:val="100"/>
                <w:position w:val="0"/>
              </w:rPr>
              <w:t>邓修 生</w:t>
            </w:r>
            <w:r>
              <w:rPr>
                <w:rFonts w:ascii="Times New Roman" w:eastAsia="Times New Roman" w:hAnsi="Times New Roman" w:cs="Times New Roman"/>
                <w:color w:val="000000"/>
                <w:spacing w:val="0"/>
                <w:w w:val="100"/>
                <w:position w:val="0"/>
              </w:rPr>
              <w:t>;</w:t>
            </w:r>
            <w:r>
              <w:rPr>
                <w:color w:val="000000"/>
                <w:spacing w:val="0"/>
                <w:w w:val="100"/>
                <w:position w:val="0"/>
              </w:rPr>
              <w:t>益群集团 控股有限公 司</w:t>
            </w:r>
            <w:r>
              <w:rPr>
                <w:rFonts w:ascii="Times New Roman" w:eastAsia="Times New Roman" w:hAnsi="Times New Roman" w:cs="Times New Roman"/>
                <w:color w:val="000000"/>
                <w:spacing w:val="0"/>
                <w:w w:val="100"/>
                <w:position w:val="0"/>
              </w:rPr>
              <w:t>;</w:t>
            </w:r>
            <w:r>
              <w:rPr>
                <w:color w:val="000000"/>
                <w:spacing w:val="0"/>
                <w:w w:val="100"/>
                <w:position w:val="0"/>
              </w:rPr>
              <w:t>益威集团 控股有限公 司</w:t>
            </w:r>
            <w:r>
              <w:rPr>
                <w:rFonts w:ascii="Times New Roman" w:eastAsia="Times New Roman" w:hAnsi="Times New Roman" w:cs="Times New Roman"/>
                <w:color w:val="000000"/>
                <w:spacing w:val="0"/>
                <w:w w:val="100"/>
                <w:position w:val="0"/>
              </w:rPr>
              <w:t>;</w:t>
            </w:r>
            <w:r>
              <w:rPr>
                <w:color w:val="000000"/>
                <w:spacing w:val="0"/>
                <w:w w:val="100"/>
                <w:position w:val="0"/>
              </w:rPr>
              <w:t>益志集团 控股有限公 司</w:t>
            </w:r>
            <w:r>
              <w:rPr>
                <w:rFonts w:ascii="Times New Roman" w:eastAsia="Times New Roman" w:hAnsi="Times New Roman" w:cs="Times New Roman"/>
                <w:color w:val="000000"/>
                <w:spacing w:val="0"/>
                <w:w w:val="100"/>
                <w:position w:val="0"/>
              </w:rPr>
              <w:t>;</w:t>
            </w:r>
            <w:r>
              <w:rPr>
                <w:color w:val="000000"/>
                <w:spacing w:val="0"/>
                <w:w w:val="100"/>
                <w:position w:val="0"/>
              </w:rPr>
              <w:t>精诚资讯 股份有限公 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、实际控制 人的承诺为 避免实际控 制人未来可 能与公司发 生同业竞争， 公司的实际 控制人周志 群先生和邓 修生先生已 分别于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向公司出具 了《避免同业 竞争的承诺 函》，承诺内 容如下：本人 依照中国法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律法规被确 认为四方精 创实际控制 人及关联方 期间，将不会 在中国境内 或境外以任 何方式（包括 但不限于单 独经营、通过 合资经营或 拥有另一公 司或企业的 股权及其它 权益）直接或 间接从事或 参与任何与 四方精创构 成竞争的任 何业务或活 动，不以任何 方式从事或 参与生产任 何与四方精 创相同、相似 或可能取代 四方精创的 业务活动；本 人如从任何 第三方获得 的商业机会 与四方精创 经营的业务 有竞争或可 能有竞争，则 本公司将立 即通知四方 精创，并将该 商业机会让 予四方精创； 本人承诺不 利用任何方 式从事影响 或可能影响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四方精创经 营、发展的业 务或活动。</w:t>
            </w:r>
            <w:r>
              <w:rPr>
                <w:rFonts w:ascii="Times New Roman" w:eastAsia="Times New Roman" w:hAnsi="Times New Roman" w:cs="Times New Roman"/>
                <w:color w:val="000000"/>
                <w:spacing w:val="0"/>
                <w:w w:val="100"/>
                <w:position w:val="0"/>
              </w:rPr>
              <w:t>2</w:t>
            </w:r>
            <w:r>
              <w:rPr>
                <w:color w:val="000000"/>
                <w:spacing w:val="0"/>
                <w:w w:val="100"/>
                <w:position w:val="0"/>
              </w:rPr>
              <w:t>、 益群控股、益 威控股和益 志控股的承 诺为避免控 股股东未来 可能与公司 发生同业竞 争，公司的控 股股东益群 控股和实际 控制人之一 邓修生先生 控制的益威 控股以及益 志控股已分 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日向公 司出具了《避 免同业竞争 的承诺函》， 承诺内容如 下：本公司依 照中国法律 法规被确认 为四方精创 控股股东及 关联方期间， 将不会在中 国境内或境 外以任何方 式（包括但不 限于单独经 营、通过合资 经营或拥有 另一公司或 企业的股权 及其它权益） 直接或间接 从事或参与 任何与四方 精创构成竞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争的任何业 务或活动，不 以任何方式 从事或参与 生产任何与 四方精创相 同、相似或可 能取代四方 精创的业务 活动；本公司 如从任何第 三方获得的 商业机会与 四方精创经 营的业务有 竞争或可能 有竞争，则本 公司将立即 通知四方精 创，并将该商 业机会让予 四方精创；本 公司承诺不 利用任何方 式从事影响 或可能影响 四方精创经 营、发展的业 务或活动。</w:t>
            </w:r>
            <w:r>
              <w:rPr>
                <w:rFonts w:ascii="Times New Roman" w:eastAsia="Times New Roman" w:hAnsi="Times New Roman" w:cs="Times New Roman"/>
                <w:color w:val="000000"/>
                <w:spacing w:val="0"/>
                <w:w w:val="100"/>
                <w:position w:val="0"/>
              </w:rPr>
              <w:t>3</w:t>
            </w:r>
            <w:r>
              <w:rPr>
                <w:color w:val="000000"/>
                <w:spacing w:val="0"/>
                <w:w w:val="100"/>
                <w:position w:val="0"/>
              </w:rPr>
              <w:t xml:space="preserve">、 精诚资讯的 承诺为避免 公司其他主 要股东未来 可能与公司 发生同业竞 争，公司股东 </w:t>
            </w:r>
            <w:r>
              <w:rPr>
                <w:rFonts w:ascii="Times New Roman" w:eastAsia="Times New Roman" w:hAnsi="Times New Roman" w:cs="Times New Roman"/>
                <w:color w:val="000000"/>
                <w:spacing w:val="0"/>
                <w:w w:val="100"/>
                <w:position w:val="0"/>
              </w:rPr>
              <w:t>Systex</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Solutions </w:t>
            </w:r>
            <w:r>
              <w:rPr>
                <w:color w:val="000000"/>
                <w:spacing w:val="0"/>
                <w:w w:val="100"/>
                <w:position w:val="0"/>
              </w:rPr>
              <w:t xml:space="preserve">的控 股股东精诚 资讯已于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日向公司出 具了《避免同 业竞争的承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诺函》，承诺 内容如下：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 本公司投资 的全资或控 股企业及本 公司可控制 的其它企业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（以下合称</w:t>
            </w:r>
            <w:r>
              <w:rPr>
                <w:rFonts w:ascii="Times New Roman" w:eastAsia="Times New Roman" w:hAnsi="Times New Roman" w:cs="Times New Roman"/>
                <w:color w:val="000000"/>
                <w:spacing w:val="0"/>
                <w:w w:val="100"/>
                <w:position w:val="0"/>
              </w:rPr>
              <w:t xml:space="preserve">" </w:t>
            </w:r>
            <w:r>
              <w:rPr>
                <w:color w:val="000000"/>
                <w:spacing w:val="0"/>
                <w:w w:val="100"/>
                <w:position w:val="0"/>
              </w:rPr>
              <w:t>精诚集团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在 全球范围内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（除台湾地 区外）不从 事、亦不通过 独资经营或 以取得控制 权之合资经 营、拥有在其 它公司或企 业的股票或 权益的形式 从事定制化 软件开发（含 相应的应用 维护）业务， 该等业务包 括但不限于 银行信息系 统（包括银行 核心业务系 统、银行其他 业务系统、银 行渠道类系 统、银行管理 类系统等）相 关的一切软 件开发服务 及由此产生 的软件产品 销售以及其 它定制化软 件开发业务。 自本承诺函 签署之日起，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精诚集团在 中华人民共 和国大陆地 区、香港特别 行政区以及 澳门特别行 政区不从事、 亦不通过独 资经营或以 取得控制权 之合资经营、 拥有在其它 公司或企业 的股票或权 益的形式从 事金融业之 信息系统集 成业务（含相 应的应用维 护）。如台湾 注册企业或 其在其他地 区之子公司、 分公司或其 他分支机构 所发生之相 关业务，以该 业务之实际 发生地确定 是否属于上 述避免同业 竞争之范围。</w:t>
            </w:r>
          </w:p>
          <w:p>
            <w:pPr>
              <w:pStyle w:val="Style2"/>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精诚集 团目前并无 计划且承诺 未来不会通 过增持四方 精创股份等 方式成为四 方精创的实 际控制人。</w:t>
            </w:r>
          </w:p>
          <w:p>
            <w:pPr>
              <w:pStyle w:val="Style2"/>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如果精 诚集团有违 反本承诺函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的业务或活 动，则本公司 将赔偿四方 精创之损失， 赔偿范围以 如下两者较 高者为准：① 精诚集团因 该等同业竞 争行为而获 得的利益；或 ②四方精创 因精诚集团 违反承诺函 之行为而受 到的损失，该 等损失包括 预期利益的 损失。规范和 减少关联交 易的承诺公 司实际控制 人周志群、邓 修生，以及主 要股东益群 控股、益威控 股承诺:''不利 用控股股东</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实际控制人 地位促使发 行人股东大 会或董事会 做出侵犯其 他中小股东 合法权益的 决议；在与发 行人发生关 联交易时，将 按照公平合 理和正常的 商业交易条 件进行，将不 会要求或接 受发行人给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予比在任何 一项市场公 平交易中第 三者更优惠 的条件，并善 意、严格地履 行与发行人 签订的各种 关联交易协 议，不会向发 行人谋求任 何超出上述 规定以外的 利益或收益。 若违反上述 承诺，本公司 </w:t>
            </w:r>
            <w:r>
              <w:rPr>
                <w:rFonts w:ascii="Times New Roman" w:eastAsia="Times New Roman" w:hAnsi="Times New Roman" w:cs="Times New Roman"/>
                <w:color w:val="000000"/>
                <w:spacing w:val="0"/>
                <w:w w:val="100"/>
                <w:position w:val="0"/>
              </w:rPr>
              <w:t>/</w:t>
            </w:r>
            <w:r>
              <w:rPr>
                <w:color w:val="000000"/>
                <w:spacing w:val="0"/>
                <w:w w:val="100"/>
                <w:position w:val="0"/>
              </w:rPr>
              <w:t>本人将承担 相应的法律 责任，包括但 不限于由此 给发行人及 其他中小股 东造成的全 部损失承担 赔偿责任。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深圳四方精 创资讯股份 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填补被摊薄 即期回报的 措施及承诺 国务院办公 厅于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日发布了《国 务院办公厅 关于进一步 加强资本市 场中小投资 者合法权益 保护工作的 意见》（国办 发</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1</w:t>
            </w:r>
            <w:r>
              <w:rPr>
                <w:rFonts w:ascii="Times New Roman" w:eastAsia="Times New Roman" w:hAnsi="Times New Roman" w:cs="Times New Roman"/>
                <w:color w:val="000000"/>
                <w:spacing w:val="0"/>
                <w:w w:val="100"/>
                <w:position w:val="0"/>
              </w:rPr>
              <w:t xml:space="preserve">110 </w:t>
            </w:r>
            <w:r>
              <w:rPr>
                <w:color w:val="000000"/>
                <w:spacing w:val="0"/>
                <w:w w:val="100"/>
                <w:position w:val="0"/>
              </w:rPr>
              <w:t xml:space="preserve">号）并提出， </w:t>
            </w:r>
            <w:r>
              <w:rPr>
                <w:rFonts w:ascii="Times New Roman" w:eastAsia="Times New Roman" w:hAnsi="Times New Roman" w:cs="Times New Roman"/>
                <w:color w:val="000000"/>
                <w:spacing w:val="0"/>
                <w:w w:val="100"/>
                <w:position w:val="0"/>
              </w:rPr>
              <w:t>"</w:t>
            </w:r>
            <w:r>
              <w:rPr>
                <w:color w:val="000000"/>
                <w:spacing w:val="0"/>
                <w:w w:val="100"/>
                <w:position w:val="0"/>
              </w:rPr>
              <w:t>公司首次公 开发行股票、 上市公司再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融资或者并 购重组摊薄 即期回报的， 应当承诺并 兑现填补回 报的具体措 施</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公司实现归 属于母公司 股东的净利 润 </w:t>
            </w:r>
            <w:r>
              <w:rPr>
                <w:rFonts w:ascii="Times New Roman" w:eastAsia="Times New Roman" w:hAnsi="Times New Roman" w:cs="Times New Roman"/>
                <w:color w:val="000000"/>
                <w:spacing w:val="0"/>
                <w:w w:val="100"/>
                <w:position w:val="0"/>
              </w:rPr>
              <w:t xml:space="preserve">8,428.38 </w:t>
            </w:r>
            <w:r>
              <w:rPr>
                <w:color w:val="000000"/>
                <w:spacing w:val="0"/>
                <w:w w:val="100"/>
                <w:position w:val="0"/>
              </w:rPr>
              <w:t>万元，每股收 益为</w:t>
            </w:r>
            <w:r>
              <w:rPr>
                <w:rFonts w:ascii="Times New Roman" w:eastAsia="Times New Roman" w:hAnsi="Times New Roman" w:cs="Times New Roman"/>
                <w:color w:val="000000"/>
                <w:spacing w:val="0"/>
                <w:w w:val="100"/>
                <w:position w:val="0"/>
              </w:rPr>
              <w:t>1.12</w:t>
            </w:r>
            <w:r>
              <w:rPr>
                <w:color w:val="000000"/>
                <w:spacing w:val="0"/>
                <w:w w:val="100"/>
                <w:position w:val="0"/>
              </w:rPr>
              <w:t xml:space="preserve">元， 加权平均净 资产收益率 为 </w:t>
            </w:r>
            <w:r>
              <w:rPr>
                <w:rFonts w:ascii="Times New Roman" w:eastAsia="Times New Roman" w:hAnsi="Times New Roman" w:cs="Times New Roman"/>
                <w:color w:val="000000"/>
                <w:spacing w:val="0"/>
                <w:w w:val="100"/>
                <w:position w:val="0"/>
              </w:rPr>
              <w:t>27.85%</w:t>
            </w:r>
            <w:r>
              <w:rPr>
                <w:color w:val="000000"/>
                <w:spacing w:val="0"/>
                <w:w w:val="100"/>
                <w:position w:val="0"/>
              </w:rPr>
              <w:t xml:space="preserve">。本 次发行前公 司总股本为 </w:t>
            </w:r>
            <w:r>
              <w:rPr>
                <w:rFonts w:ascii="Times New Roman" w:eastAsia="Times New Roman" w:hAnsi="Times New Roman" w:cs="Times New Roman"/>
                <w:color w:val="000000"/>
                <w:spacing w:val="0"/>
                <w:w w:val="100"/>
                <w:position w:val="0"/>
              </w:rPr>
              <w:t>7,500</w:t>
            </w:r>
            <w:r>
              <w:rPr>
                <w:color w:val="000000"/>
                <w:spacing w:val="0"/>
                <w:w w:val="100"/>
                <w:position w:val="0"/>
              </w:rPr>
              <w:t>万股， 本次发行完 成后，公司总 股本和归属 母公司股东 所有者权益 将有较大幅 度的增加。虽 然本公司的 募集资金项 目将用于公 司主营业务 发展并进行 严格论证，但 募集资金投 资项目建设 需要一定周 期，在公司股 本和净资产 均增加的情 况下，短期 内，公司的每 股收益和加 权平均净资 产收益率等 指标将出现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一定幅度的 下降。针对上 述情况，本公 司对填补回 报提出若干 措施并承诺 如下：（一） 提升核心竞 争力，增强公 司可持续盈 利能力</w:t>
            </w:r>
            <w:r>
              <w:rPr>
                <w:rFonts w:ascii="Times New Roman" w:eastAsia="Times New Roman" w:hAnsi="Times New Roman" w:cs="Times New Roman"/>
                <w:color w:val="000000"/>
                <w:spacing w:val="0"/>
                <w:w w:val="100"/>
                <w:position w:val="0"/>
              </w:rPr>
              <w:t>1</w:t>
            </w:r>
            <w:r>
              <w:rPr>
                <w:color w:val="000000"/>
                <w:spacing w:val="0"/>
                <w:w w:val="100"/>
                <w:position w:val="0"/>
              </w:rPr>
              <w:t>、凭 借公司在业 内多年积累 的项目经验、 服务信誉、国 际化视野等 方面的优势， 坚持高端化 发展，以大型 商业银行的 大型机业务 为主要市场 发展方向，进 一步凝聚高 层次人才，拓 展</w:t>
            </w:r>
            <w:r>
              <w:rPr>
                <w:rFonts w:ascii="Times New Roman" w:eastAsia="Times New Roman" w:hAnsi="Times New Roman" w:cs="Times New Roman"/>
                <w:color w:val="000000"/>
                <w:spacing w:val="0"/>
                <w:w w:val="100"/>
                <w:position w:val="0"/>
              </w:rPr>
              <w:t>IT</w:t>
            </w:r>
            <w:r>
              <w:rPr>
                <w:color w:val="000000"/>
                <w:spacing w:val="0"/>
                <w:w w:val="100"/>
                <w:position w:val="0"/>
              </w:rPr>
              <w:t xml:space="preserve">系统综 合服务能力， 通过与客户 之间的全面 合作，构造客 户聚集效应。 </w:t>
            </w:r>
            <w:r>
              <w:rPr>
                <w:rFonts w:ascii="Times New Roman" w:eastAsia="Times New Roman" w:hAnsi="Times New Roman" w:cs="Times New Roman"/>
                <w:color w:val="000000"/>
                <w:spacing w:val="0"/>
                <w:w w:val="100"/>
                <w:position w:val="0"/>
              </w:rPr>
              <w:t>2</w:t>
            </w:r>
            <w:r>
              <w:rPr>
                <w:color w:val="000000"/>
                <w:spacing w:val="0"/>
                <w:w w:val="100"/>
                <w:position w:val="0"/>
              </w:rPr>
              <w:t>、强化专业 化发展原则， 继续巩固和 深化公司在 银行核心业 务系统服务 方面的专业 化能力，加大 研发投入和 技术储备，进 一步扩大核 心领域的业 务规模，提升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市场占有率。 </w:t>
            </w:r>
            <w:r>
              <w:rPr>
                <w:rFonts w:ascii="Times New Roman" w:eastAsia="Times New Roman" w:hAnsi="Times New Roman" w:cs="Times New Roman"/>
                <w:color w:val="000000"/>
                <w:spacing w:val="0"/>
                <w:w w:val="100"/>
                <w:position w:val="0"/>
              </w:rPr>
              <w:t>3</w:t>
            </w:r>
            <w:r>
              <w:rPr>
                <w:color w:val="000000"/>
                <w:spacing w:val="0"/>
                <w:w w:val="100"/>
                <w:position w:val="0"/>
              </w:rPr>
              <w:t>、坚持国际 市场与国内 市场互动发 展原则，完善 国际市场布 局，进一步提 升全球服务 交付能力，大 力拓展国内 市场，充分抓 住中国产业 升级背景下 银行</w:t>
            </w:r>
            <w:r>
              <w:rPr>
                <w:rFonts w:ascii="Times New Roman" w:eastAsia="Times New Roman" w:hAnsi="Times New Roman" w:cs="Times New Roman"/>
                <w:color w:val="000000"/>
                <w:spacing w:val="0"/>
                <w:w w:val="100"/>
                <w:position w:val="0"/>
              </w:rPr>
              <w:t>IT</w:t>
            </w:r>
            <w:r>
              <w:rPr>
                <w:color w:val="000000"/>
                <w:spacing w:val="0"/>
                <w:w w:val="100"/>
                <w:position w:val="0"/>
              </w:rPr>
              <w:t>系统 服务大发展 的市场机遇。</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（二）加快募 投项目投资 进度，争取早 日实现项目 预期效益。本 次募集资金 项目中</w:t>
            </w:r>
            <w:r>
              <w:rPr>
                <w:rFonts w:ascii="Times New Roman" w:eastAsia="Times New Roman" w:hAnsi="Times New Roman" w:cs="Times New Roman"/>
                <w:color w:val="000000"/>
                <w:spacing w:val="0"/>
                <w:w w:val="100"/>
                <w:position w:val="0"/>
              </w:rPr>
              <w:t>"</w:t>
            </w:r>
            <w:r>
              <w:rPr>
                <w:color w:val="000000"/>
                <w:spacing w:val="0"/>
                <w:w w:val="100"/>
                <w:position w:val="0"/>
              </w:rPr>
              <w:t>银行 软件技术服 务交付中心 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研发中心建 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 一代银行核 心业务系统 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普惠金融云 服务中心建 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银 行移动应用 平台建设项 目''等都是围 绕公司主营 业务而进行， 有利于大幅 提升公司软 件测试能力 和交付质量、 有利于提升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公司的基础 研发体系、提 升向小型金 融机构提供 普惠金融云 服务解决方 案的能力，加 大公司前瞻 性投入，持续 对银行移动 应用业务进 行研究。公司 将加快上述 募投项目的 投资进度，争 取早日实现 项目的预期 效益，尽快提 升公司的盈 利能力。（三） 提高资金使 用效率，保证 公司经营规 模的扩大公 司将提高募 集资金的使 用效率，以保 证公司经营 规模的扩大， 并为公司持 续健康发展 及业务链延 伸提供资金 支持。（四） 优化投资回 报机制</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月，公司 </w:t>
            </w:r>
            <w:r>
              <w:rPr>
                <w:rFonts w:ascii="Times New Roman" w:eastAsia="Times New Roman" w:hAnsi="Times New Roman" w:cs="Times New Roman"/>
                <w:color w:val="000000"/>
                <w:spacing w:val="0"/>
                <w:w w:val="100"/>
                <w:position w:val="0"/>
              </w:rPr>
              <w:t>2012</w:t>
            </w:r>
            <w:r>
              <w:rPr>
                <w:color w:val="000000"/>
                <w:spacing w:val="0"/>
                <w:w w:val="100"/>
                <w:position w:val="0"/>
              </w:rPr>
              <w:t>年第一 次临时股东 大会审议通 过了《关于深 圳四方精创 资讯股份有 限公司首次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公开发行人 民币普通股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 后分红回报 规划的议案》;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根据《上市公 司监管指引 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 公司现金分 红》等相关规 定，公司对股 东分配回报 规划进行调 整。公司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年度股东大 会审议通过 相关调整，并 制定了 </w:t>
            </w:r>
            <w:r>
              <w:rPr>
                <w:rFonts w:ascii="Times New Roman" w:eastAsia="Times New Roman" w:hAnsi="Times New Roman" w:cs="Times New Roman"/>
                <w:color w:val="000000"/>
                <w:spacing w:val="0"/>
                <w:w w:val="100"/>
                <w:position w:val="0"/>
              </w:rPr>
              <w:t>2014 ~ 2016</w:t>
            </w:r>
            <w:r>
              <w:rPr>
                <w:color w:val="000000"/>
                <w:spacing w:val="0"/>
                <w:w w:val="100"/>
                <w:position w:val="0"/>
              </w:rPr>
              <w:t>年股东 分红回报计 划。公司将优 先米用现金 分红的方式 分配利润，注 重对投资者 尤其是中小 股东回报。</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周志群</w:t>
            </w:r>
            <w:r>
              <w:rPr>
                <w:rFonts w:ascii="Times New Roman" w:eastAsia="Times New Roman" w:hAnsi="Times New Roman" w:cs="Times New Roman"/>
                <w:color w:val="000000"/>
                <w:spacing w:val="0"/>
                <w:w w:val="100"/>
                <w:position w:val="0"/>
              </w:rPr>
              <w:t>;</w:t>
            </w:r>
            <w:r>
              <w:rPr>
                <w:color w:val="000000"/>
                <w:spacing w:val="0"/>
                <w:w w:val="100"/>
                <w:position w:val="0"/>
              </w:rPr>
              <w:t>邓修 生</w:t>
            </w:r>
            <w:r>
              <w:rPr>
                <w:rFonts w:ascii="Times New Roman" w:eastAsia="Times New Roman" w:hAnsi="Times New Roman" w:cs="Times New Roman"/>
                <w:color w:val="000000"/>
                <w:spacing w:val="0"/>
                <w:w w:val="100"/>
                <w:position w:val="0"/>
              </w:rPr>
              <w:t>;</w:t>
            </w:r>
            <w:r>
              <w:rPr>
                <w:color w:val="000000"/>
                <w:spacing w:val="0"/>
                <w:w w:val="100"/>
                <w:position w:val="0"/>
              </w:rPr>
              <w:t>李琳</w:t>
            </w:r>
            <w:r>
              <w:rPr>
                <w:rFonts w:ascii="Times New Roman" w:eastAsia="Times New Roman" w:hAnsi="Times New Roman" w:cs="Times New Roman"/>
                <w:color w:val="000000"/>
                <w:spacing w:val="0"/>
                <w:w w:val="100"/>
                <w:position w:val="0"/>
              </w:rPr>
              <w:t>;</w:t>
            </w:r>
            <w:r>
              <w:rPr>
                <w:color w:val="000000"/>
                <w:spacing w:val="0"/>
                <w:w w:val="100"/>
                <w:position w:val="0"/>
              </w:rPr>
              <w:t>林隆 奋</w:t>
            </w:r>
            <w:r>
              <w:rPr>
                <w:rFonts w:ascii="Times New Roman" w:eastAsia="Times New Roman" w:hAnsi="Times New Roman" w:cs="Times New Roman"/>
                <w:color w:val="000000"/>
                <w:spacing w:val="0"/>
                <w:w w:val="100"/>
                <w:position w:val="0"/>
              </w:rPr>
              <w:t>;</w:t>
            </w:r>
            <w:r>
              <w:rPr>
                <w:color w:val="000000"/>
                <w:spacing w:val="0"/>
                <w:w w:val="100"/>
                <w:position w:val="0"/>
              </w:rPr>
              <w:t>顾嘉勇</w:t>
            </w:r>
            <w:r>
              <w:rPr>
                <w:rFonts w:ascii="Times New Roman" w:eastAsia="Times New Roman" w:hAnsi="Times New Roman" w:cs="Times New Roman"/>
                <w:color w:val="000000"/>
                <w:spacing w:val="0"/>
                <w:w w:val="100"/>
                <w:position w:val="0"/>
              </w:rPr>
              <w:t>;</w:t>
            </w:r>
            <w:r>
              <w:rPr>
                <w:color w:val="000000"/>
                <w:spacing w:val="0"/>
                <w:w w:val="100"/>
                <w:position w:val="0"/>
              </w:rPr>
              <w:t>何 敏</w:t>
            </w:r>
            <w:r>
              <w:rPr>
                <w:rFonts w:ascii="Times New Roman" w:eastAsia="Times New Roman" w:hAnsi="Times New Roman" w:cs="Times New Roman"/>
                <w:color w:val="000000"/>
                <w:spacing w:val="0"/>
                <w:w w:val="100"/>
                <w:position w:val="0"/>
              </w:rPr>
              <w:t>;</w:t>
            </w:r>
            <w:r>
              <w:rPr>
                <w:color w:val="000000"/>
                <w:spacing w:val="0"/>
                <w:w w:val="100"/>
                <w:position w:val="0"/>
              </w:rPr>
              <w:t>张力</w:t>
            </w:r>
            <w:r>
              <w:rPr>
                <w:rFonts w:ascii="Times New Roman" w:eastAsia="Times New Roman" w:hAnsi="Times New Roman" w:cs="Times New Roman"/>
                <w:color w:val="000000"/>
                <w:spacing w:val="0"/>
                <w:w w:val="100"/>
                <w:position w:val="0"/>
              </w:rPr>
              <w:t>;</w:t>
            </w:r>
            <w:r>
              <w:rPr>
                <w:color w:val="000000"/>
                <w:spacing w:val="0"/>
                <w:w w:val="100"/>
                <w:position w:val="0"/>
              </w:rPr>
              <w:t>胡行 军</w:t>
            </w:r>
            <w:r>
              <w:rPr>
                <w:rFonts w:ascii="Times New Roman" w:eastAsia="Times New Roman" w:hAnsi="Times New Roman" w:cs="Times New Roman"/>
                <w:color w:val="000000"/>
                <w:spacing w:val="0"/>
                <w:w w:val="100"/>
                <w:position w:val="0"/>
              </w:rPr>
              <w:t>;</w:t>
            </w:r>
            <w:r>
              <w:rPr>
                <w:color w:val="000000"/>
                <w:spacing w:val="0"/>
                <w:w w:val="100"/>
                <w:position w:val="0"/>
              </w:rPr>
              <w:t>郑登元</w:t>
            </w:r>
            <w:r>
              <w:rPr>
                <w:rFonts w:ascii="Times New Roman" w:eastAsia="Times New Roman" w:hAnsi="Times New Roman" w:cs="Times New Roman"/>
                <w:color w:val="000000"/>
                <w:spacing w:val="0"/>
                <w:w w:val="100"/>
                <w:position w:val="0"/>
              </w:rPr>
              <w:t>;</w:t>
            </w:r>
            <w:r>
              <w:rPr>
                <w:color w:val="000000"/>
                <w:spacing w:val="0"/>
                <w:w w:val="100"/>
                <w:position w:val="0"/>
              </w:rPr>
              <w:t>王 勇</w:t>
            </w:r>
            <w:r>
              <w:rPr>
                <w:rFonts w:ascii="Times New Roman" w:eastAsia="Times New Roman" w:hAnsi="Times New Roman" w:cs="Times New Roman"/>
                <w:color w:val="000000"/>
                <w:spacing w:val="0"/>
                <w:w w:val="100"/>
                <w:position w:val="0"/>
              </w:rPr>
              <w:t>;</w:t>
            </w:r>
            <w:r>
              <w:rPr>
                <w:color w:val="000000"/>
                <w:spacing w:val="0"/>
                <w:w w:val="100"/>
                <w:position w:val="0"/>
              </w:rPr>
              <w:t>黄永雄</w:t>
            </w:r>
            <w:r>
              <w:rPr>
                <w:rFonts w:ascii="Times New Roman" w:eastAsia="Times New Roman" w:hAnsi="Times New Roman" w:cs="Times New Roman"/>
                <w:color w:val="000000"/>
                <w:spacing w:val="0"/>
                <w:w w:val="100"/>
                <w:position w:val="0"/>
              </w:rPr>
              <w:t>;</w:t>
            </w:r>
            <w:r>
              <w:rPr>
                <w:color w:val="000000"/>
                <w:spacing w:val="0"/>
                <w:w w:val="100"/>
                <w:position w:val="0"/>
              </w:rPr>
              <w:t>罗 川</w:t>
            </w:r>
            <w:r>
              <w:rPr>
                <w:rFonts w:ascii="Times New Roman" w:eastAsia="Times New Roman" w:hAnsi="Times New Roman" w:cs="Times New Roman"/>
                <w:color w:val="000000"/>
                <w:spacing w:val="0"/>
                <w:w w:val="100"/>
                <w:position w:val="0"/>
              </w:rPr>
              <w:t>;</w:t>
            </w:r>
            <w:r>
              <w:rPr>
                <w:color w:val="000000"/>
                <w:spacing w:val="0"/>
                <w:w w:val="100"/>
                <w:position w:val="0"/>
              </w:rPr>
              <w:t>深圳四方 精创资讯股 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关于承诺履 行的约束措 施（一）发行 人将严格履 行本公司就 首次公开发 行股票并上 市所作出的 所有公开承 诺事项，积极 接受社会监 督。如未能履 行、确已无法 履行或无法 按期履行其 在招股说明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书中所作出 的相关承诺， 其将采取如 下措施：</w:t>
            </w:r>
            <w:r>
              <w:rPr>
                <w:rFonts w:ascii="Times New Roman" w:eastAsia="Times New Roman" w:hAnsi="Times New Roman" w:cs="Times New Roman"/>
                <w:color w:val="000000"/>
                <w:spacing w:val="0"/>
                <w:w w:val="100"/>
                <w:position w:val="0"/>
              </w:rPr>
              <w:t>1</w:t>
            </w:r>
            <w:r>
              <w:rPr>
                <w:color w:val="000000"/>
                <w:spacing w:val="0"/>
                <w:w w:val="100"/>
                <w:position w:val="0"/>
              </w:rPr>
              <w:t>、 如非因不可 抗力原因导 致未能履行 公开承诺事 项的，需提出 新的承诺（相 关承诺需按 法律、法规、 公司章程的 规定履行相 关审批程序） 并接受如下 约束措施，直 至新的承诺 履行完毕或 相应补救措 施实施完毕：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）在股东 大会及中国 证监会指定 的披露媒体 上公开说明 未履行的原 因、具体情况 和相关约束 性措施并向 股东和社会 公众投资者 道歉；（</w:t>
            </w:r>
            <w:r>
              <w:rPr>
                <w:rFonts w:ascii="Times New Roman" w:eastAsia="Times New Roman" w:hAnsi="Times New Roman" w:cs="Times New Roman"/>
                <w:color w:val="000000"/>
                <w:spacing w:val="0"/>
                <w:w w:val="100"/>
                <w:position w:val="0"/>
              </w:rPr>
              <w:t>2</w:t>
            </w:r>
            <w:r>
              <w:rPr>
                <w:color w:val="000000"/>
                <w:spacing w:val="0"/>
                <w:w w:val="100"/>
                <w:position w:val="0"/>
              </w:rPr>
              <w:t>） 不得进行公 开再融资；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）对公司 该等未履行 承诺的行为 负有个人责 任的董事、监 事、高级管理 人员调减或 停发薪酬或 津贴；（</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不得批准未 履行承诺的 董事、监事、 高级管理人 员的主动离 职申请，但可 以进行职务 变更；（</w:t>
            </w:r>
            <w:r>
              <w:rPr>
                <w:rFonts w:ascii="Times New Roman" w:eastAsia="Times New Roman" w:hAnsi="Times New Roman" w:cs="Times New Roman"/>
                <w:color w:val="000000"/>
                <w:spacing w:val="0"/>
                <w:w w:val="100"/>
                <w:position w:val="0"/>
              </w:rPr>
              <w:t>5</w:t>
            </w:r>
            <w:r>
              <w:rPr>
                <w:color w:val="000000"/>
                <w:spacing w:val="0"/>
                <w:w w:val="100"/>
                <w:position w:val="0"/>
              </w:rPr>
              <w:t xml:space="preserve">） 给投资者造 成损失的，本 公司将向投 资者依法承 担赔偿责任。 </w:t>
            </w:r>
            <w:r>
              <w:rPr>
                <w:rFonts w:ascii="Times New Roman" w:eastAsia="Times New Roman" w:hAnsi="Times New Roman" w:cs="Times New Roman"/>
                <w:color w:val="000000"/>
                <w:spacing w:val="0"/>
                <w:w w:val="100"/>
                <w:position w:val="0"/>
              </w:rPr>
              <w:t>2</w:t>
            </w:r>
            <w:r>
              <w:rPr>
                <w:color w:val="000000"/>
                <w:spacing w:val="0"/>
                <w:w w:val="100"/>
                <w:position w:val="0"/>
              </w:rPr>
              <w:t>、如因不可 抗力原因导 致未能履行 公开承诺事 项的，需提出 新的承诺（相 关承诺需按 法律、法规、 公司章程的 规定履行相 关审批程序） 并接受如下 约束措施，直 至新的承诺 履行完毕或 相应补救措 施实施完毕：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）在股东 大会及中国 证监会指定 的披露媒体 上公开说明 未履行的原 因、具体情况 和相关约束 性措施并向 股东和社会 公众投资者 道歉；（</w:t>
            </w:r>
            <w:r>
              <w:rPr>
                <w:rFonts w:ascii="Times New Roman" w:eastAsia="Times New Roman" w:hAnsi="Times New Roman" w:cs="Times New Roman"/>
                <w:color w:val="000000"/>
                <w:spacing w:val="0"/>
                <w:w w:val="100"/>
                <w:position w:val="0"/>
              </w:rPr>
              <w:t>2</w:t>
            </w:r>
            <w:r>
              <w:rPr>
                <w:color w:val="000000"/>
                <w:spacing w:val="0"/>
                <w:w w:val="100"/>
                <w:position w:val="0"/>
              </w:rPr>
              <w:t>） 尽快研究将 投资者利益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损失降低到 最小的处理 方案，并提交 股东大会审 议，尽可能地 保护本公司 投资者利益。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（二）实际控 制人周志群、 邓修生，董事 李琳、林隆 奋，监事胡行 军、王勇、郑 登元，及高级 管理人员罗 川、黄永雄如 未能履行、确 已无法履行 或无法按期 履行其在招 股说明书中 所作出的相 关承诺，其将 采取如下措 施：</w:t>
            </w:r>
            <w:r>
              <w:rPr>
                <w:rFonts w:ascii="Times New Roman" w:eastAsia="Times New Roman" w:hAnsi="Times New Roman" w:cs="Times New Roman"/>
                <w:color w:val="000000"/>
                <w:spacing w:val="0"/>
                <w:w w:val="100"/>
                <w:position w:val="0"/>
              </w:rPr>
              <w:t>1</w:t>
            </w:r>
            <w:r>
              <w:rPr>
                <w:color w:val="000000"/>
                <w:spacing w:val="0"/>
                <w:w w:val="100"/>
                <w:position w:val="0"/>
              </w:rPr>
              <w:t>、如本 人非因不可 抗力原因导 致未能履行 公开承诺事 项的，需提出 新的承诺并 接受如下约 束措施，直</w:t>
            </w:r>
            <w:r>
              <w:rPr>
                <w:color w:val="000000"/>
                <w:spacing w:val="0"/>
                <w:w w:val="100"/>
                <w:position w:val="0"/>
                <w:u w:val="single"/>
              </w:rPr>
              <w:t xml:space="preserve">至 </w:t>
            </w:r>
            <w:r>
              <w:rPr>
                <w:color w:val="000000"/>
                <w:spacing w:val="0"/>
                <w:w w:val="100"/>
                <w:position w:val="0"/>
              </w:rPr>
              <w:t>新的承诺履 行完毕或相 应补救措施 实施完毕：</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）在股东 大会及中国 证监会指定 的披露媒体 上公开说明 未履行的原 因、具体情况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和相关约束 性措施并向 股东和社会 公众投资者 道歉；（</w:t>
            </w:r>
            <w:r>
              <w:rPr>
                <w:rFonts w:ascii="Times New Roman" w:eastAsia="Times New Roman" w:hAnsi="Times New Roman" w:cs="Times New Roman"/>
                <w:color w:val="000000"/>
                <w:spacing w:val="0"/>
                <w:w w:val="100"/>
                <w:position w:val="0"/>
              </w:rPr>
              <w:t>2</w:t>
            </w:r>
            <w:r>
              <w:rPr>
                <w:color w:val="000000"/>
                <w:spacing w:val="0"/>
                <w:w w:val="100"/>
                <w:position w:val="0"/>
              </w:rPr>
              <w:t>） 不得转让公 司股份。因继 承、被强制执 行、上市公司 重组、为履行 保护投资者 利益承诺等 必须转股的 情形除外；</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）暂不领 取公司分配 利润中归属 于个人的部 分；（</w:t>
            </w:r>
            <w:r>
              <w:rPr>
                <w:rFonts w:ascii="Times New Roman" w:eastAsia="Times New Roman" w:hAnsi="Times New Roman" w:cs="Times New Roman"/>
                <w:color w:val="000000"/>
                <w:spacing w:val="0"/>
                <w:w w:val="100"/>
                <w:position w:val="0"/>
              </w:rPr>
              <w:t>4</w:t>
            </w:r>
            <w:r>
              <w:rPr>
                <w:color w:val="000000"/>
                <w:spacing w:val="0"/>
                <w:w w:val="100"/>
                <w:position w:val="0"/>
              </w:rPr>
              <w:t>）可 以职务变更 但不得主动 要求离职；</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）主动申 请调减或停 发薪酬或津 贴；⑹如 果因未履行 相关承诺事 项而获得收 益的，所获收 益归公司所 有，并在获得 收益的五个 工作日内将 所获收益支 付给公司指 定账户；（</w:t>
            </w:r>
            <w:r>
              <w:rPr>
                <w:rFonts w:ascii="Times New Roman" w:eastAsia="Times New Roman" w:hAnsi="Times New Roman" w:cs="Times New Roman"/>
                <w:color w:val="000000"/>
                <w:spacing w:val="0"/>
                <w:w w:val="100"/>
                <w:position w:val="0"/>
              </w:rPr>
              <w:t>7</w:t>
            </w:r>
            <w:r>
              <w:rPr>
                <w:color w:val="000000"/>
                <w:spacing w:val="0"/>
                <w:w w:val="100"/>
                <w:position w:val="0"/>
              </w:rPr>
              <w:t>） 未履行上述 承诺及招股 说明书的其 他承诺事项， 给投资者造 成损失的，依 法赔偿投资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者损失；（</w:t>
            </w:r>
            <w:r>
              <w:rPr>
                <w:rFonts w:ascii="Times New Roman" w:eastAsia="Times New Roman" w:hAnsi="Times New Roman" w:cs="Times New Roman"/>
                <w:color w:val="000000"/>
                <w:spacing w:val="0"/>
                <w:w w:val="100"/>
                <w:position w:val="0"/>
              </w:rPr>
              <w:t>8</w:t>
            </w:r>
            <w:r>
              <w:rPr>
                <w:color w:val="000000"/>
                <w:spacing w:val="0"/>
                <w:w w:val="100"/>
                <w:position w:val="0"/>
              </w:rPr>
              <w:t>） 公司未履行 上述承诺及 招股说明书 的其他承诺 事项，给投资 者造成损失 的，将依法承 担连带赔偿 责任。</w:t>
            </w:r>
            <w:r>
              <w:rPr>
                <w:rFonts w:ascii="Times New Roman" w:eastAsia="Times New Roman" w:hAnsi="Times New Roman" w:cs="Times New Roman"/>
                <w:color w:val="000000"/>
                <w:spacing w:val="0"/>
                <w:w w:val="100"/>
                <w:position w:val="0"/>
              </w:rPr>
              <w:t>2</w:t>
            </w:r>
            <w:r>
              <w:rPr>
                <w:color w:val="000000"/>
                <w:spacing w:val="0"/>
                <w:w w:val="100"/>
                <w:position w:val="0"/>
              </w:rPr>
              <w:t>、如 本人因不可 抗力原因导 致未能履行 公开承诺事 项的，需提出 新的承诺并 接受如下约 束措施，直</w:t>
            </w:r>
            <w:r>
              <w:rPr>
                <w:color w:val="000000"/>
                <w:spacing w:val="0"/>
                <w:w w:val="100"/>
                <w:position w:val="0"/>
                <w:u w:val="single"/>
              </w:rPr>
              <w:t xml:space="preserve">至 </w:t>
            </w:r>
            <w:r>
              <w:rPr>
                <w:color w:val="000000"/>
                <w:spacing w:val="0"/>
                <w:w w:val="100"/>
                <w:position w:val="0"/>
              </w:rPr>
              <w:t>新的承诺履 行完毕或相 应补救措施 实施完毕：</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）在股东 大会及中国 证监会指定 的披露媒体 上公开说明 未履行的原 因、具体情况 和相关约束 性措施并向 股东和社会 公众投资者 道歉；（</w:t>
            </w:r>
            <w:r>
              <w:rPr>
                <w:rFonts w:ascii="Times New Roman" w:eastAsia="Times New Roman" w:hAnsi="Times New Roman" w:cs="Times New Roman"/>
                <w:color w:val="000000"/>
                <w:spacing w:val="0"/>
                <w:w w:val="100"/>
                <w:position w:val="0"/>
              </w:rPr>
              <w:t>2</w:t>
            </w:r>
            <w:r>
              <w:rPr>
                <w:color w:val="000000"/>
                <w:spacing w:val="0"/>
                <w:w w:val="100"/>
                <w:position w:val="0"/>
              </w:rPr>
              <w:t>） 尽快研究将 投资者利益 损失降低到 最小的处理 方案，尽可能 地保护本公 司投资者利 益。（三）独 立董事顾嘉 勇、何敏、张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力如未能履 行、确已无法 履行或无法 按期履行其 在招股说明 书中所作出 的相关承诺， 其将采取如 下措施：</w:t>
            </w:r>
            <w:r>
              <w:rPr>
                <w:rFonts w:ascii="Times New Roman" w:eastAsia="Times New Roman" w:hAnsi="Times New Roman" w:cs="Times New Roman"/>
                <w:color w:val="000000"/>
                <w:spacing w:val="0"/>
                <w:w w:val="100"/>
                <w:position w:val="0"/>
              </w:rPr>
              <w:t>1</w:t>
            </w:r>
            <w:r>
              <w:rPr>
                <w:color w:val="000000"/>
                <w:spacing w:val="0"/>
                <w:w w:val="100"/>
                <w:position w:val="0"/>
              </w:rPr>
              <w:t>、 如本人非因 不可抗力原 因导致未能 履行公开承 诺事项的，需 提出新的承 诺并接受如 下约束措施， 直至新的承 诺履行完毕 或相应补救 措施实施完 毕：（</w:t>
            </w:r>
            <w:r>
              <w:rPr>
                <w:rFonts w:ascii="Times New Roman" w:eastAsia="Times New Roman" w:hAnsi="Times New Roman" w:cs="Times New Roman"/>
                <w:color w:val="000000"/>
                <w:spacing w:val="0"/>
                <w:w w:val="100"/>
                <w:position w:val="0"/>
              </w:rPr>
              <w:t>1</w:t>
            </w:r>
            <w:r>
              <w:rPr>
                <w:color w:val="000000"/>
                <w:spacing w:val="0"/>
                <w:w w:val="100"/>
                <w:position w:val="0"/>
              </w:rPr>
              <w:t>）在 股东大会及 中国证监会 指定的披露 媒体上公开 说明未履行 的原因、具体 情况和相关 约束性措施 并向股东和 社会公众投 资者道歉；</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）可以职 务变更但不 得主动要求 离职；（</w:t>
            </w:r>
            <w:r>
              <w:rPr>
                <w:rFonts w:ascii="Times New Roman" w:eastAsia="Times New Roman" w:hAnsi="Times New Roman" w:cs="Times New Roman"/>
                <w:color w:val="000000"/>
                <w:spacing w:val="0"/>
                <w:w w:val="100"/>
                <w:position w:val="0"/>
              </w:rPr>
              <w:t>3</w:t>
            </w:r>
            <w:r>
              <w:rPr>
                <w:color w:val="000000"/>
                <w:spacing w:val="0"/>
                <w:w w:val="100"/>
                <w:position w:val="0"/>
              </w:rPr>
              <w:t>） 主动申请调 减或停发薪 酬或津贴；</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）如果因 未履行相关 承诺事项而 获得收益的，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所获收益归 公司所有，并 在获得收益 的五个工作 日内将所获 收益支付给 公司指定账 户；⑸本 人未履行上 述承诺及招 股说明书的 其他承诺事 项，给投资者 造成损失的， 依法赔偿投 资者损失；</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)公司未 履行上述承 诺及招股说 明书的其他 承诺事项，给 投资者造成 损失的，本人 依法承担连 带赔偿责任。</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、如本人因 不可抗力原 因导致未能 履行公开承 诺事项的，需 提出新的承 诺并接受如 下约束措施， 直至新的承 诺履行完毕 或相应补救 措施实施完 毕：(</w:t>
            </w:r>
            <w:r>
              <w:rPr>
                <w:rFonts w:ascii="Times New Roman" w:eastAsia="Times New Roman" w:hAnsi="Times New Roman" w:cs="Times New Roman"/>
                <w:color w:val="000000"/>
                <w:spacing w:val="0"/>
                <w:w w:val="100"/>
                <w:position w:val="0"/>
              </w:rPr>
              <w:t>1</w:t>
            </w:r>
            <w:r>
              <w:rPr>
                <w:color w:val="000000"/>
                <w:spacing w:val="0"/>
                <w:w w:val="100"/>
                <w:position w:val="0"/>
              </w:rPr>
              <w:t>)在 股东大会及 中国证监会 指定的披露 媒体上公开 说明未履行 的原因、具体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情况和相关 约束性措施 并向股东和 社会公众投 资者道歉；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)尽快研 究将投资者 利益损失降 低到最小的 处理方案，尽 可能地保护 本公司投资 者利益。(四) 公司发行前 持股</w:t>
            </w:r>
            <w:r>
              <w:rPr>
                <w:rFonts w:ascii="Times New Roman" w:eastAsia="Times New Roman" w:hAnsi="Times New Roman" w:cs="Times New Roman"/>
                <w:color w:val="000000"/>
                <w:spacing w:val="0"/>
                <w:w w:val="100"/>
                <w:position w:val="0"/>
              </w:rPr>
              <w:t>5%</w:t>
            </w:r>
            <w:r>
              <w:rPr>
                <w:color w:val="000000"/>
                <w:spacing w:val="0"/>
                <w:w w:val="100"/>
                <w:position w:val="0"/>
              </w:rPr>
              <w:t>以上 股东如未能 履行、确已无 法履行或无 法按期履行 其所作出的 减持意向承 诺，其将采取 如下措施：</w:t>
            </w:r>
            <w:r>
              <w:rPr>
                <w:rFonts w:ascii="Times New Roman" w:eastAsia="Times New Roman" w:hAnsi="Times New Roman" w:cs="Times New Roman"/>
                <w:color w:val="000000"/>
                <w:spacing w:val="0"/>
                <w:w w:val="100"/>
                <w:position w:val="0"/>
              </w:rPr>
              <w:t>1</w:t>
            </w:r>
            <w:r>
              <w:rPr>
                <w:color w:val="000000"/>
                <w:spacing w:val="0"/>
                <w:w w:val="100"/>
                <w:position w:val="0"/>
              </w:rPr>
              <w:t>、 在股东大会 及中国证监 会指定的披 露媒体上公 开说明未履 行承诺的原 因、具体情况 和相关约束 性措施并向 公司股东和 社会公众投 资者道歉；</w:t>
            </w:r>
            <w:r>
              <w:rPr>
                <w:rFonts w:ascii="Times New Roman" w:eastAsia="Times New Roman" w:hAnsi="Times New Roman" w:cs="Times New Roman"/>
                <w:color w:val="000000"/>
                <w:spacing w:val="0"/>
                <w:w w:val="100"/>
                <w:position w:val="0"/>
              </w:rPr>
              <w:t>2</w:t>
            </w:r>
            <w:r>
              <w:rPr>
                <w:color w:val="000000"/>
                <w:spacing w:val="0"/>
                <w:w w:val="100"/>
                <w:position w:val="0"/>
              </w:rPr>
              <w:t>、 转让相关股 份所取得的 收益归公司 所有；</w:t>
            </w:r>
            <w:r>
              <w:rPr>
                <w:rFonts w:ascii="Times New Roman" w:eastAsia="Times New Roman" w:hAnsi="Times New Roman" w:cs="Times New Roman"/>
                <w:color w:val="000000"/>
                <w:spacing w:val="0"/>
                <w:w w:val="100"/>
                <w:position w:val="0"/>
              </w:rPr>
              <w:t>3</w:t>
            </w:r>
            <w:r>
              <w:rPr>
                <w:color w:val="000000"/>
                <w:spacing w:val="0"/>
                <w:w w:val="100"/>
                <w:position w:val="0"/>
              </w:rPr>
              <w:t>、如 未履行减持 意向，其持有 的公司股份 自其未履行 上述减持意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1123"/>
        <w:gridCol w:w="1128"/>
        <w:gridCol w:w="1128"/>
        <w:gridCol w:w="1123"/>
        <w:gridCol w:w="1123"/>
        <w:gridCol w:w="1109"/>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向之日起</w:t>
            </w:r>
            <w:r>
              <w:rPr>
                <w:rFonts w:ascii="Times New Roman" w:eastAsia="Times New Roman" w:hAnsi="Times New Roman" w:cs="Times New Roman"/>
                <w:color w:val="000000"/>
                <w:spacing w:val="0"/>
                <w:w w:val="100"/>
                <w:position w:val="0"/>
              </w:rPr>
              <w:t>6</w:t>
            </w:r>
            <w:r>
              <w:rPr>
                <w:color w:val="000000"/>
                <w:spacing w:val="0"/>
                <w:w w:val="100"/>
                <w:position w:val="0"/>
              </w:rPr>
              <w:t>个 月内不得减 持。</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5"/>
        <w:keepNext/>
        <w:keepLines/>
        <w:widowControl w:val="0"/>
        <w:shd w:val="clear" w:color="auto" w:fill="auto"/>
        <w:bidi w:val="0"/>
        <w:spacing w:before="0" w:line="317" w:lineRule="exact"/>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2</w:t>
      </w:r>
      <w:bookmarkEnd w:id="253"/>
      <w:r>
        <w:rPr>
          <w:color w:val="000000"/>
          <w:spacing w:val="0"/>
          <w:w w:val="100"/>
          <w:position w:val="0"/>
        </w:rPr>
        <w:t>、公司资产或项目存在盈利预测，且报告期仍处在盈利预测期间，公司就资产或项目达到原盈利预测及 其原因做出说明</w:t>
      </w:r>
      <w:bookmarkEnd w:id="251"/>
      <w:bookmarkEnd w:id="252"/>
      <w:bookmarkEnd w:id="254"/>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4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三</w:t>
      </w:r>
      <w:bookmarkEnd w:id="257"/>
      <w:r>
        <w:rPr>
          <w:color w:val="000000"/>
          <w:spacing w:val="0"/>
          <w:w w:val="100"/>
          <w:position w:val="0"/>
          <w:sz w:val="24"/>
          <w:szCs w:val="24"/>
        </w:rPr>
        <w:t>、</w:t>
        <w:tab/>
        <w:t>控股股东及其关联方对上市公司的非经营性占用资金情况</w:t>
      </w:r>
      <w:bookmarkEnd w:id="255"/>
      <w:bookmarkEnd w:id="256"/>
      <w:bookmarkEnd w:id="258"/>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4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四</w:t>
      </w:r>
      <w:bookmarkEnd w:id="26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59"/>
      <w:bookmarkEnd w:id="260"/>
      <w:bookmarkEnd w:id="262"/>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五</w:t>
      </w:r>
      <w:bookmarkEnd w:id="265"/>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3"/>
      <w:bookmarkEnd w:id="264"/>
      <w:bookmarkEnd w:id="266"/>
    </w:p>
    <w:p>
      <w:pPr>
        <w:pStyle w:val="Style30"/>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2" w:val="left"/>
        </w:tabs>
        <w:bidi w:val="0"/>
        <w:spacing w:before="0" w:after="34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六</w:t>
      </w:r>
      <w:bookmarkEnd w:id="269"/>
      <w:r>
        <w:rPr>
          <w:color w:val="000000"/>
          <w:spacing w:val="0"/>
          <w:w w:val="100"/>
          <w:position w:val="0"/>
          <w:sz w:val="24"/>
          <w:szCs w:val="24"/>
        </w:rPr>
        <w:t>、</w:t>
        <w:tab/>
        <w:t>董事会关于报告期会计政策、会计估计变更或重大会计差错更正的说明</w:t>
      </w:r>
      <w:bookmarkEnd w:id="267"/>
      <w:bookmarkEnd w:id="268"/>
      <w:bookmarkEnd w:id="270"/>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8" w:lineRule="exact"/>
        <w:ind w:left="0" w:right="0" w:firstLine="6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日，财政部修订发布了《企业会计准则</w:t>
      </w:r>
      <w:r>
        <w:rPr>
          <w:rFonts w:ascii="Times New Roman" w:eastAsia="Times New Roman" w:hAnsi="Times New Roman" w:cs="Times New Roman"/>
          <w:color w:val="000000"/>
          <w:spacing w:val="0"/>
          <w:w w:val="100"/>
          <w:position w:val="0"/>
        </w:rPr>
        <w:t>21</w:t>
      </w:r>
      <w:r>
        <w:rPr>
          <w:color w:val="000000"/>
          <w:spacing w:val="0"/>
          <w:w w:val="100"/>
          <w:position w:val="0"/>
        </w:rPr>
        <w:t>号——租赁》（财会（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 要求在境内外同时上市的企业以及在境外上市并采用国际财务报告准则或企业会计准则编制财务报表的企业，自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日起施行。因此，公司将按上述要求对会计政策进行相应调整。</w:t>
      </w:r>
    </w:p>
    <w:p>
      <w:pPr>
        <w:pStyle w:val="Style30"/>
        <w:keepNext w:val="0"/>
        <w:keepLines w:val="0"/>
        <w:widowControl w:val="0"/>
        <w:shd w:val="clear" w:color="auto" w:fill="auto"/>
        <w:bidi w:val="0"/>
        <w:spacing w:before="0" w:after="340" w:line="318" w:lineRule="exact"/>
        <w:ind w:left="0" w:right="0" w:firstLine="600"/>
        <w:jc w:val="left"/>
      </w:pPr>
      <w:r>
        <w:rPr>
          <w:color w:val="000000"/>
          <w:spacing w:val="0"/>
          <w:w w:val="100"/>
          <w:position w:val="0"/>
        </w:rPr>
        <w:t>公司将执行财政部于</w:t>
      </w:r>
      <w:r>
        <w:rPr>
          <w:rFonts w:ascii="Times New Roman" w:eastAsia="Times New Roman" w:hAnsi="Times New Roman" w:cs="Times New Roman"/>
          <w:color w:val="000000"/>
          <w:spacing w:val="0"/>
          <w:w w:val="100"/>
          <w:position w:val="0"/>
        </w:rPr>
        <w:t>2018</w:t>
      </w:r>
      <w:r>
        <w:rPr>
          <w:color w:val="000000"/>
          <w:spacing w:val="0"/>
          <w:w w:val="100"/>
          <w:position w:val="0"/>
        </w:rPr>
        <w:t>年修订并发布的《企业会计准则第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号——租赁》。其他未变更部分，仍按照财政部前期 颁布的《企业会计准则</w:t>
      </w:r>
      <w:r>
        <w:rPr>
          <w:color w:val="000000"/>
          <w:spacing w:val="0"/>
          <w:w w:val="100"/>
          <w:position w:val="0"/>
        </w:rPr>
        <w:t>一</w:t>
      </w:r>
      <w:r>
        <w:rPr>
          <w:color w:val="000000"/>
          <w:spacing w:val="0"/>
          <w:w w:val="100"/>
          <w:position w:val="0"/>
        </w:rPr>
        <w:t>基本准则》和各项具体会计准则、企业会计准则应用指南、企业会计准则解释公告以及其他相关规 定执行。</w:t>
      </w:r>
    </w:p>
    <w:p>
      <w:pPr>
        <w:pStyle w:val="Style28"/>
        <w:keepNext/>
        <w:keepLines/>
        <w:widowControl w:val="0"/>
        <w:shd w:val="clear" w:color="auto" w:fill="auto"/>
        <w:tabs>
          <w:tab w:pos="517" w:val="left"/>
        </w:tabs>
        <w:bidi w:val="0"/>
        <w:spacing w:before="0" w:after="34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七</w:t>
      </w:r>
      <w:bookmarkEnd w:id="273"/>
      <w:r>
        <w:rPr>
          <w:color w:val="000000"/>
          <w:spacing w:val="0"/>
          <w:w w:val="100"/>
          <w:position w:val="0"/>
          <w:sz w:val="24"/>
          <w:szCs w:val="24"/>
        </w:rPr>
        <w:t>、</w:t>
        <w:tab/>
        <w:t>与上年度财务报告相比，合并报表范围发生变化的情况说明</w:t>
      </w:r>
      <w:bookmarkEnd w:id="271"/>
      <w:bookmarkEnd w:id="272"/>
      <w:bookmarkEnd w:id="274"/>
    </w:p>
    <w:p>
      <w:pPr>
        <w:pStyle w:val="Style30"/>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4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八</w:t>
      </w:r>
      <w:bookmarkEnd w:id="277"/>
      <w:r>
        <w:rPr>
          <w:color w:val="000000"/>
          <w:spacing w:val="0"/>
          <w:w w:val="100"/>
          <w:position w:val="0"/>
          <w:sz w:val="24"/>
          <w:szCs w:val="24"/>
        </w:rPr>
        <w:t>、</w:t>
        <w:tab/>
        <w:t>聘任、解聘会计师事务所情况</w:t>
      </w:r>
      <w:bookmarkEnd w:id="275"/>
      <w:bookmarkEnd w:id="276"/>
      <w:bookmarkEnd w:id="27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俞健业、梁倩倩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是否改聘会计师事务所</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是否在审计期间改聘会计师事务所</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聘任、解聘会计师事务所情况说明</w:t>
      </w:r>
    </w:p>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九</w:t>
      </w:r>
      <w:bookmarkEnd w:id="281"/>
      <w:r>
        <w:rPr>
          <w:color w:val="000000"/>
          <w:spacing w:val="0"/>
          <w:w w:val="100"/>
          <w:position w:val="0"/>
          <w:sz w:val="24"/>
          <w:szCs w:val="24"/>
        </w:rPr>
        <w:t>、年度报告披露后面临退市情况</w:t>
      </w:r>
      <w:bookmarkEnd w:id="279"/>
      <w:bookmarkEnd w:id="280"/>
      <w:bookmarkEnd w:id="282"/>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83" w:name="bookmark283"/>
      <w:bookmarkStart w:id="284" w:name="bookmark284"/>
      <w:bookmarkStart w:id="285" w:name="bookmark285"/>
      <w:r>
        <w:rPr>
          <w:color w:val="000000"/>
          <w:spacing w:val="0"/>
          <w:w w:val="100"/>
          <w:position w:val="0"/>
          <w:sz w:val="24"/>
          <w:szCs w:val="24"/>
        </w:rPr>
        <w:t>十、破产重整相关事项</w:t>
      </w:r>
      <w:bookmarkEnd w:id="283"/>
      <w:bookmarkEnd w:id="284"/>
      <w:bookmarkEnd w:id="285"/>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86" w:name="bookmark286"/>
      <w:bookmarkStart w:id="287" w:name="bookmark287"/>
      <w:bookmarkStart w:id="288" w:name="bookmark288"/>
      <w:r>
        <w:rPr>
          <w:color w:val="000000"/>
          <w:spacing w:val="0"/>
          <w:w w:val="100"/>
          <w:position w:val="0"/>
          <w:sz w:val="24"/>
          <w:szCs w:val="24"/>
        </w:rPr>
        <w:t>十一、重大诉讼、仲裁事项</w:t>
      </w:r>
      <w:bookmarkEnd w:id="286"/>
      <w:bookmarkEnd w:id="287"/>
      <w:bookmarkEnd w:id="288"/>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89" w:name="bookmark289"/>
      <w:bookmarkStart w:id="290" w:name="bookmark290"/>
      <w:bookmarkStart w:id="291" w:name="bookmark291"/>
      <w:r>
        <w:rPr>
          <w:color w:val="000000"/>
          <w:spacing w:val="0"/>
          <w:w w:val="100"/>
          <w:position w:val="0"/>
          <w:sz w:val="24"/>
          <w:szCs w:val="24"/>
        </w:rPr>
        <w:t>十二、处罚及整改情况</w:t>
      </w:r>
      <w:bookmarkEnd w:id="289"/>
      <w:bookmarkEnd w:id="290"/>
      <w:bookmarkEnd w:id="291"/>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92" w:name="bookmark292"/>
      <w:bookmarkStart w:id="293" w:name="bookmark293"/>
      <w:bookmarkStart w:id="294" w:name="bookmark294"/>
      <w:r>
        <w:rPr>
          <w:color w:val="000000"/>
          <w:spacing w:val="0"/>
          <w:w w:val="100"/>
          <w:position w:val="0"/>
          <w:sz w:val="24"/>
          <w:szCs w:val="24"/>
        </w:rPr>
        <w:t>十三、公司及其控股股东、实际控制人的诚信状况</w:t>
      </w:r>
      <w:bookmarkEnd w:id="292"/>
      <w:bookmarkEnd w:id="293"/>
      <w:bookmarkEnd w:id="294"/>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95" w:name="bookmark295"/>
      <w:bookmarkStart w:id="296" w:name="bookmark296"/>
      <w:bookmarkStart w:id="297" w:name="bookmark297"/>
      <w:r>
        <w:rPr>
          <w:color w:val="000000"/>
          <w:spacing w:val="0"/>
          <w:w w:val="100"/>
          <w:position w:val="0"/>
          <w:sz w:val="24"/>
          <w:szCs w:val="24"/>
        </w:rPr>
        <w:t>十四、公司股权激励计划、员工持股计划或其他员工激励措施的实施情况</w:t>
      </w:r>
      <w:bookmarkEnd w:id="295"/>
      <w:bookmarkEnd w:id="296"/>
      <w:bookmarkEnd w:id="297"/>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4" w:lineRule="exact"/>
        <w:ind w:left="0" w:right="0" w:firstLine="0"/>
        <w:jc w:val="both"/>
      </w:pPr>
      <w:bookmarkStart w:id="298" w:name="bookmark298"/>
      <w:r>
        <w:rPr>
          <w:rFonts w:ascii="Times New Roman" w:eastAsia="Times New Roman" w:hAnsi="Times New Roman" w:cs="Times New Roman"/>
          <w:color w:val="000000"/>
          <w:spacing w:val="0"/>
          <w:w w:val="100"/>
          <w:position w:val="0"/>
        </w:rPr>
        <w:t>1</w:t>
      </w:r>
      <w:bookmarkEnd w:id="29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日，公司召开第三届董事会第十六次会议和第三届监事会第十一次会议，审议通过了《关于回购注销部分已 授予限制性股票的议案》，根据《深圳四方精创资讯股份有限公司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年限制性股票激励计划（草案）》，公司向离职员工 回购注销其已获授但未解锁的全部限制性股票</w:t>
      </w:r>
      <w:r>
        <w:rPr>
          <w:rFonts w:ascii="Times New Roman" w:eastAsia="Times New Roman" w:hAnsi="Times New Roman" w:cs="Times New Roman"/>
          <w:color w:val="000000"/>
          <w:spacing w:val="0"/>
          <w:w w:val="100"/>
          <w:position w:val="0"/>
        </w:rPr>
        <w:t>41,915</w:t>
      </w:r>
      <w:r>
        <w:rPr>
          <w:color w:val="000000"/>
          <w:spacing w:val="0"/>
          <w:w w:val="100"/>
          <w:position w:val="0"/>
        </w:rPr>
        <w:t>股，回购价格为人民币</w:t>
      </w:r>
      <w:r>
        <w:rPr>
          <w:rFonts w:ascii="Times New Roman" w:eastAsia="Times New Roman" w:hAnsi="Times New Roman" w:cs="Times New Roman"/>
          <w:color w:val="000000"/>
          <w:spacing w:val="0"/>
          <w:w w:val="100"/>
          <w:position w:val="0"/>
        </w:rPr>
        <w:t>16.0510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股；根据《深圳四方精创资讯股份有 限公司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年限制性股票激励计划（草案）》，公司向离职员工回购注销其已获授但未解锁的全部限制性股票</w:t>
      </w:r>
      <w:r>
        <w:rPr>
          <w:rFonts w:ascii="Times New Roman" w:eastAsia="Times New Roman" w:hAnsi="Times New Roman" w:cs="Times New Roman"/>
          <w:color w:val="000000"/>
          <w:spacing w:val="0"/>
          <w:w w:val="100"/>
          <w:position w:val="0"/>
        </w:rPr>
        <w:t>111,414</w:t>
      </w:r>
      <w:r>
        <w:rPr>
          <w:color w:val="000000"/>
          <w:spacing w:val="0"/>
          <w:w w:val="100"/>
          <w:position w:val="0"/>
        </w:rPr>
        <w:t>股， 回购价格为人民币</w:t>
      </w:r>
      <w:r>
        <w:rPr>
          <w:rFonts w:ascii="Times New Roman" w:eastAsia="Times New Roman" w:hAnsi="Times New Roman" w:cs="Times New Roman"/>
          <w:color w:val="000000"/>
          <w:spacing w:val="0"/>
          <w:w w:val="100"/>
          <w:position w:val="0"/>
        </w:rPr>
        <w:t>11.8077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年限制性股票激励计划首次授予部分第三个解锁期解锁条件成就的 议案》，解锁涉及的激励对象为</w:t>
      </w:r>
      <w:r>
        <w:rPr>
          <w:rFonts w:ascii="Times New Roman" w:eastAsia="Times New Roman" w:hAnsi="Times New Roman" w:cs="Times New Roman"/>
          <w:color w:val="000000"/>
          <w:spacing w:val="0"/>
          <w:w w:val="100"/>
          <w:position w:val="0"/>
        </w:rPr>
        <w:t>104</w:t>
      </w:r>
      <w:r>
        <w:rPr>
          <w:color w:val="000000"/>
          <w:spacing w:val="0"/>
          <w:w w:val="100"/>
          <w:position w:val="0"/>
        </w:rPr>
        <w:t>名，解锁的限制性股票数量为</w:t>
      </w:r>
      <w:r>
        <w:rPr>
          <w:rFonts w:ascii="Times New Roman" w:eastAsia="Times New Roman" w:hAnsi="Times New Roman" w:cs="Times New Roman"/>
          <w:color w:val="000000"/>
          <w:spacing w:val="0"/>
          <w:w w:val="100"/>
          <w:position w:val="0"/>
        </w:rPr>
        <w:t>559,378</w:t>
      </w:r>
      <w:r>
        <w:rPr>
          <w:color w:val="000000"/>
          <w:spacing w:val="0"/>
          <w:w w:val="100"/>
          <w:position w:val="0"/>
        </w:rPr>
        <w:t>股。审议通过了《关于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 预留授予部分第二个解锁期解锁条件成就的议案》，解锁涉及的激励对象为</w:t>
      </w:r>
      <w:r>
        <w:rPr>
          <w:rFonts w:ascii="Times New Roman" w:eastAsia="Times New Roman" w:hAnsi="Times New Roman" w:cs="Times New Roman"/>
          <w:color w:val="000000"/>
          <w:spacing w:val="0"/>
          <w:w w:val="100"/>
          <w:position w:val="0"/>
        </w:rPr>
        <w:t>2</w:t>
      </w:r>
      <w:r>
        <w:rPr>
          <w:color w:val="000000"/>
          <w:spacing w:val="0"/>
          <w:w w:val="100"/>
          <w:position w:val="0"/>
        </w:rPr>
        <w:t>名，解锁的限制性股票数量为</w:t>
      </w:r>
      <w:r>
        <w:rPr>
          <w:rFonts w:ascii="Times New Roman" w:eastAsia="Times New Roman" w:hAnsi="Times New Roman" w:cs="Times New Roman"/>
          <w:color w:val="000000"/>
          <w:spacing w:val="0"/>
          <w:w w:val="100"/>
          <w:position w:val="0"/>
        </w:rPr>
        <w:t>248,470</w:t>
      </w:r>
      <w:r>
        <w:rPr>
          <w:color w:val="000000"/>
          <w:spacing w:val="0"/>
          <w:w w:val="100"/>
          <w:position w:val="0"/>
        </w:rPr>
        <w:t>股。监事 会对不符合激励条件的激励对象名单及回购注销的限制性股票数量进行了审核，独立董事对此发表了同意的独立意见。</w:t>
      </w:r>
    </w:p>
    <w:p>
      <w:pPr>
        <w:pStyle w:val="Style30"/>
        <w:keepNext w:val="0"/>
        <w:keepLines w:val="0"/>
        <w:widowControl w:val="0"/>
        <w:shd w:val="clear" w:color="auto" w:fill="auto"/>
        <w:tabs>
          <w:tab w:pos="354" w:val="left"/>
        </w:tabs>
        <w:bidi w:val="0"/>
        <w:spacing w:before="0" w:after="240" w:line="314" w:lineRule="exact"/>
        <w:ind w:left="0" w:right="0" w:firstLine="0"/>
        <w:jc w:val="both"/>
      </w:pPr>
      <w:bookmarkStart w:id="299" w:name="bookmark299"/>
      <w:r>
        <w:rPr>
          <w:rFonts w:ascii="Times New Roman" w:eastAsia="Times New Roman" w:hAnsi="Times New Roman" w:cs="Times New Roman"/>
          <w:color w:val="000000"/>
          <w:spacing w:val="0"/>
          <w:w w:val="100"/>
          <w:position w:val="0"/>
        </w:rPr>
        <w:t>2</w:t>
      </w:r>
      <w:bookmarkEnd w:id="29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日，完成了关于回购注销部分已授予但尚未解锁的限制性股票工作，并于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日在巨潮资讯网发布了 《关于部分限制性股票回购注销完成的公告》，回购注销的限制性股票数量为</w:t>
      </w:r>
      <w:r>
        <w:rPr>
          <w:rFonts w:ascii="Times New Roman" w:eastAsia="Times New Roman" w:hAnsi="Times New Roman" w:cs="Times New Roman"/>
          <w:color w:val="000000"/>
          <w:spacing w:val="0"/>
          <w:w w:val="100"/>
          <w:position w:val="0"/>
        </w:rPr>
        <w:t>153,330</w:t>
      </w:r>
      <w:r>
        <w:rPr>
          <w:color w:val="000000"/>
          <w:spacing w:val="0"/>
          <w:w w:val="100"/>
          <w:position w:val="0"/>
        </w:rPr>
        <w:t>股</w:t>
      </w:r>
      <w:r>
        <w:rPr>
          <w:color w:val="000000"/>
          <w:spacing w:val="0"/>
          <w:w w:val="100"/>
          <w:position w:val="0"/>
        </w:rPr>
        <w:t>，</w:t>
      </w:r>
      <w:r>
        <w:rPr>
          <w:color w:val="000000"/>
          <w:spacing w:val="0"/>
          <w:w w:val="100"/>
          <w:position w:val="0"/>
        </w:rPr>
        <w:t>占回购前公司总股本的</w:t>
      </w:r>
      <w:r>
        <w:rPr>
          <w:rFonts w:ascii="Times New Roman" w:eastAsia="Times New Roman" w:hAnsi="Times New Roman" w:cs="Times New Roman"/>
          <w:color w:val="000000"/>
          <w:spacing w:val="0"/>
          <w:w w:val="100"/>
          <w:position w:val="0"/>
        </w:rPr>
        <w:t>0.08%</w:t>
      </w:r>
      <w:r>
        <w:rPr>
          <w:color w:val="000000"/>
          <w:spacing w:val="0"/>
          <w:w w:val="100"/>
          <w:position w:val="0"/>
        </w:rPr>
        <w:t>。</w:t>
      </w:r>
      <w:r>
        <w:br w:type="page"/>
      </w:r>
    </w:p>
    <w:p>
      <w:pPr>
        <w:pStyle w:val="Style33"/>
        <w:keepNext w:val="0"/>
        <w:keepLines w:val="0"/>
        <w:widowControl w:val="0"/>
        <w:shd w:val="clear" w:color="auto" w:fill="auto"/>
        <w:bidi w:val="0"/>
        <w:spacing w:before="0" w:after="0" w:line="314" w:lineRule="exact"/>
        <w:ind w:left="0" w:right="0" w:firstLine="0"/>
        <w:jc w:val="distribute"/>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日，公司召开第三届董事会第二十一次会议和第三届监事会第十五次会议，审议通过了《关于回购注销部分 已授予限制性股票的议案》，根据《深圳四方精创资讯股份有限公司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年限制性股票激励计划（草案）》，公司向离职员 工回购注销其已获授但未解锁的全部限制性股票</w:t>
      </w:r>
      <w:r>
        <w:rPr>
          <w:rFonts w:ascii="Times New Roman" w:eastAsia="Times New Roman" w:hAnsi="Times New Roman" w:cs="Times New Roman"/>
          <w:color w:val="000000"/>
          <w:spacing w:val="0"/>
          <w:w w:val="100"/>
          <w:position w:val="0"/>
        </w:rPr>
        <w:t>7,997</w:t>
      </w:r>
      <w:r>
        <w:rPr>
          <w:color w:val="000000"/>
          <w:spacing w:val="0"/>
          <w:w w:val="100"/>
          <w:position w:val="0"/>
        </w:rPr>
        <w:t>股。审议通过了《关于</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年限制性股票激励计划首次授予部分第三 个解锁期解锁条件成就的议案》，解锁涉及的激励对象为</w:t>
      </w:r>
      <w:r>
        <w:rPr>
          <w:rFonts w:ascii="Times New Roman" w:eastAsia="Times New Roman" w:hAnsi="Times New Roman" w:cs="Times New Roman"/>
          <w:color w:val="000000"/>
          <w:spacing w:val="0"/>
          <w:w w:val="100"/>
          <w:position w:val="0"/>
        </w:rPr>
        <w:t>132</w:t>
      </w:r>
      <w:r>
        <w:rPr>
          <w:color w:val="000000"/>
          <w:spacing w:val="0"/>
          <w:w w:val="100"/>
          <w:position w:val="0"/>
        </w:rPr>
        <w:t>名，解锁的限制性股票数量为</w:t>
      </w:r>
      <w:r>
        <w:rPr>
          <w:rFonts w:ascii="Times New Roman" w:eastAsia="Times New Roman" w:hAnsi="Times New Roman" w:cs="Times New Roman"/>
          <w:color w:val="000000"/>
          <w:spacing w:val="0"/>
          <w:w w:val="100"/>
          <w:position w:val="0"/>
        </w:rPr>
        <w:t>2,306,002</w:t>
      </w:r>
      <w:r>
        <w:rPr>
          <w:color w:val="000000"/>
          <w:spacing w:val="0"/>
          <w:w w:val="100"/>
          <w:position w:val="0"/>
        </w:rPr>
        <w:t>股。监事会对不符合激 励条件的激励对象名单及回购注销的限制性股票数量进行了审核，独立董事对此发表了同意的独立意见。</w:t>
      </w:r>
    </w:p>
    <w:tbl>
      <w:tblPr>
        <w:tblOverlap w:val="never"/>
        <w:jc w:val="center"/>
        <w:tblLayout w:type="fixed"/>
      </w:tblPr>
      <w:tblGrid>
        <w:gridCol w:w="5213"/>
        <w:gridCol w:w="1805"/>
        <w:gridCol w:w="238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第三届董事会第十六次会议决议公告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6D6D6D"/>
                <w:spacing w:val="0"/>
                <w:w w:val="100"/>
                <w:position w:val="0"/>
                <w:u w:val="single"/>
              </w:rPr>
              <w:t xml:space="preserve">http: //www. </w:t>
            </w:r>
            <w:r>
              <w:rPr>
                <w:rFonts w:ascii="Times New Roman" w:eastAsia="Times New Roman" w:hAnsi="Times New Roman" w:cs="Times New Roman"/>
                <w:color w:val="6D6D6D"/>
                <w:spacing w:val="0"/>
                <w:w w:val="100"/>
                <w:position w:val="0"/>
                <w:u w:val="single"/>
              </w:rPr>
              <w:t>cninfb.com</w:t>
            </w:r>
            <w:r>
              <w:rPr>
                <w:rFonts w:ascii="Times New Roman" w:eastAsia="Times New Roman" w:hAnsi="Times New Roman" w:cs="Times New Roman"/>
                <w:color w:val="6D6D6D"/>
                <w:spacing w:val="0"/>
                <w:w w:val="100"/>
                <w:position w:val="0"/>
                <w:u w:val="single"/>
              </w:rPr>
              <w:t>.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第三届监事会第十一次会议决议公告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6D6D6D"/>
                <w:spacing w:val="0"/>
                <w:w w:val="100"/>
                <w:position w:val="0"/>
                <w:u w:val="single"/>
              </w:rPr>
              <w:t xml:space="preserve">http: //www. </w:t>
            </w:r>
            <w:r>
              <w:rPr>
                <w:rFonts w:ascii="Times New Roman" w:eastAsia="Times New Roman" w:hAnsi="Times New Roman" w:cs="Times New Roman"/>
                <w:color w:val="6D6D6D"/>
                <w:spacing w:val="0"/>
                <w:w w:val="100"/>
                <w:position w:val="0"/>
                <w:u w:val="single"/>
              </w:rPr>
              <w:t>cninfb.com</w:t>
            </w:r>
            <w:r>
              <w:rPr>
                <w:rFonts w:ascii="Times New Roman" w:eastAsia="Times New Roman" w:hAnsi="Times New Roman" w:cs="Times New Roman"/>
                <w:color w:val="6D6D6D"/>
                <w:spacing w:val="0"/>
                <w:w w:val="100"/>
                <w:position w:val="0"/>
                <w:u w:val="single"/>
              </w:rPr>
              <w:t>.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独立董事关于第三届董事会第十六次会议有关事项的独立意见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6D6D6D"/>
                <w:spacing w:val="0"/>
                <w:w w:val="100"/>
                <w:position w:val="0"/>
                <w:u w:val="single"/>
              </w:rPr>
              <w:t xml:space="preserve">http: //www. </w:t>
            </w:r>
            <w:r>
              <w:rPr>
                <w:rFonts w:ascii="Times New Roman" w:eastAsia="Times New Roman" w:hAnsi="Times New Roman" w:cs="Times New Roman"/>
                <w:color w:val="6D6D6D"/>
                <w:spacing w:val="0"/>
                <w:w w:val="100"/>
                <w:position w:val="0"/>
                <w:u w:val="single"/>
              </w:rPr>
              <w:t>cninfb.com</w:t>
            </w:r>
            <w:r>
              <w:rPr>
                <w:rFonts w:ascii="Times New Roman" w:eastAsia="Times New Roman" w:hAnsi="Times New Roman" w:cs="Times New Roman"/>
                <w:color w:val="6D6D6D"/>
                <w:spacing w:val="0"/>
                <w:w w:val="100"/>
                <w:position w:val="0"/>
                <w:u w:val="single"/>
              </w:rPr>
              <w:t>.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color w:val="000000"/>
                <w:spacing w:val="0"/>
                <w:w w:val="100"/>
                <w:position w:val="0"/>
              </w:rPr>
              <w:t>2016</w:t>
            </w:r>
            <w:r>
              <w:rPr>
                <w:color w:val="000000"/>
                <w:spacing w:val="0"/>
                <w:w w:val="100"/>
                <w:position w:val="0"/>
              </w:rPr>
              <w:t>年限制性股票激励计划首次授予部分第三个解锁期解锁 条件成就的公告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6D6D6D"/>
                <w:spacing w:val="0"/>
                <w:w w:val="100"/>
                <w:position w:val="0"/>
                <w:u w:val="single"/>
              </w:rPr>
              <w:t xml:space="preserve">http: //www. </w:t>
            </w:r>
            <w:r>
              <w:rPr>
                <w:rFonts w:ascii="Times New Roman" w:eastAsia="Times New Roman" w:hAnsi="Times New Roman" w:cs="Times New Roman"/>
                <w:color w:val="6D6D6D"/>
                <w:spacing w:val="0"/>
                <w:w w:val="100"/>
                <w:position w:val="0"/>
                <w:u w:val="single"/>
              </w:rPr>
              <w:t>cninfb.com</w:t>
            </w:r>
            <w:r>
              <w:rPr>
                <w:rFonts w:ascii="Times New Roman" w:eastAsia="Times New Roman" w:hAnsi="Times New Roman" w:cs="Times New Roman"/>
                <w:color w:val="6D6D6D"/>
                <w:spacing w:val="0"/>
                <w:w w:val="100"/>
                <w:position w:val="0"/>
                <w:u w:val="single"/>
              </w:rPr>
              <w:t>.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color w:val="000000"/>
                <w:spacing w:val="0"/>
                <w:w w:val="100"/>
                <w:position w:val="0"/>
              </w:rPr>
              <w:t>2016</w:t>
            </w:r>
            <w:r>
              <w:rPr>
                <w:color w:val="000000"/>
                <w:spacing w:val="0"/>
                <w:w w:val="100"/>
                <w:position w:val="0"/>
              </w:rPr>
              <w:t>年限制性股票激励计划预留授予部分第二个解锁期解锁 条件成就的公告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关于回购注销部分已授予但尚未解锁的限制性股票的公告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关于回购注销部分限制性股票的减资公告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北京市金杜（深圳）律师事务所关于公司</w:t>
            </w:r>
            <w:r>
              <w:rPr>
                <w:color w:val="000000"/>
                <w:spacing w:val="0"/>
                <w:w w:val="100"/>
                <w:position w:val="0"/>
              </w:rPr>
              <w:t>2016</w:t>
            </w:r>
            <w:r>
              <w:rPr>
                <w:color w:val="000000"/>
                <w:spacing w:val="0"/>
                <w:w w:val="100"/>
                <w:position w:val="0"/>
              </w:rPr>
              <w:t>年限制性股票激励 计划首次授予部分第三个解锁期解锁、预留授予部分第二个解锁期 解锁及回购注销部分已授予限制性股票事项的法律意见书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color w:val="000000"/>
                <w:spacing w:val="0"/>
                <w:w w:val="100"/>
                <w:position w:val="0"/>
              </w:rPr>
              <w:t>2016</w:t>
            </w:r>
            <w:r>
              <w:rPr>
                <w:color w:val="000000"/>
                <w:spacing w:val="0"/>
                <w:w w:val="100"/>
                <w:position w:val="0"/>
              </w:rPr>
              <w:t>年限制性股票激励计划首次授予部分第三个解锁期解锁、 预留授予部分第二个解锁期解锁股份上市流通的提示性公告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关于部分限制性股票回购注销完成的公告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4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第三届董事会第二十一次会议决议公告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第三届监事会第十五次会议会议公告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独立董事关于第三届董事会第二十一次会议有关事项的独立意见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北京市金杜律师事务所关于公司回购注销部分已授予限制性股 票事项的法律意见书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关于回购注销部分限制性股票的减资公告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fldChar w:fldCharType="begin"/>
            </w:r>
            <w:r>
              <w:rPr/>
              <w:instrText> HYPERLINK "http://www.cninfo.com.cn/" </w:instrText>
            </w:r>
            <w:r>
              <w:fldChar w:fldCharType="separate"/>
            </w:r>
            <w:r>
              <w:rPr>
                <w:rFonts w:ascii="Times New Roman" w:eastAsia="Times New Roman" w:hAnsi="Times New Roman" w:cs="Times New Roman"/>
                <w:color w:val="6D6D6D"/>
                <w:spacing w:val="0"/>
                <w:w w:val="100"/>
                <w:position w:val="0"/>
              </w:rPr>
              <w:t>http://www.cninfo.com.cn</w:t>
            </w:r>
            <w:r>
              <w:fldChar w:fldCharType="end"/>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十五、重大关联交易</w:t>
      </w:r>
      <w:bookmarkEnd w:id="300"/>
      <w:bookmarkEnd w:id="301"/>
      <w:bookmarkEnd w:id="302"/>
    </w:p>
    <w:p>
      <w:pPr>
        <w:pStyle w:val="Style35"/>
        <w:keepNext/>
        <w:keepLines/>
        <w:widowControl w:val="0"/>
        <w:shd w:val="clear" w:color="auto" w:fill="auto"/>
        <w:tabs>
          <w:tab w:pos="368"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w:t>
        <w:tab/>
        <w:t>与日常经营相关的关联交易</w:t>
      </w:r>
      <w:bookmarkEnd w:id="303"/>
      <w:bookmarkEnd w:id="304"/>
      <w:bookmarkEnd w:id="30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资产或股权收购、出售发生的关联交易</w:t>
      </w:r>
      <w:bookmarkEnd w:id="307"/>
      <w:bookmarkEnd w:id="308"/>
      <w:bookmarkEnd w:id="31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3</w:t>
      </w:r>
      <w:bookmarkEnd w:id="313"/>
      <w:r>
        <w:rPr>
          <w:color w:val="000000"/>
          <w:spacing w:val="0"/>
          <w:w w:val="100"/>
          <w:position w:val="0"/>
        </w:rPr>
        <w:t>、</w:t>
        <w:tab/>
        <w:t>共同对外投资的关联交易</w:t>
      </w:r>
      <w:bookmarkEnd w:id="311"/>
      <w:bookmarkEnd w:id="312"/>
      <w:bookmarkEnd w:id="31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4</w:t>
      </w:r>
      <w:bookmarkEnd w:id="317"/>
      <w:r>
        <w:rPr>
          <w:color w:val="000000"/>
          <w:spacing w:val="0"/>
          <w:w w:val="100"/>
          <w:position w:val="0"/>
        </w:rPr>
        <w:t>、</w:t>
        <w:tab/>
        <w:t>关联债权债务往来</w:t>
      </w:r>
      <w:bookmarkEnd w:id="315"/>
      <w:bookmarkEnd w:id="316"/>
      <w:bookmarkEnd w:id="31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5</w:t>
      </w:r>
      <w:bookmarkEnd w:id="321"/>
      <w:r>
        <w:rPr>
          <w:color w:val="000000"/>
          <w:spacing w:val="0"/>
          <w:w w:val="100"/>
          <w:position w:val="0"/>
        </w:rPr>
        <w:t>、</w:t>
        <w:tab/>
        <w:t>其他重大关联交易</w:t>
      </w:r>
      <w:bookmarkEnd w:id="319"/>
      <w:bookmarkEnd w:id="320"/>
      <w:bookmarkEnd w:id="32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十六、重大合同及其履行情况</w:t>
      </w:r>
      <w:bookmarkEnd w:id="323"/>
      <w:bookmarkEnd w:id="324"/>
      <w:bookmarkEnd w:id="325"/>
    </w:p>
    <w:p>
      <w:pPr>
        <w:pStyle w:val="Style35"/>
        <w:keepNext/>
        <w:keepLines/>
        <w:widowControl w:val="0"/>
        <w:shd w:val="clear" w:color="auto" w:fill="auto"/>
        <w:tabs>
          <w:tab w:pos="368" w:val="left"/>
        </w:tabs>
        <w:bidi w:val="0"/>
        <w:spacing w:before="0" w:after="36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托管、承包、租赁事项情况</w:t>
      </w:r>
      <w:bookmarkEnd w:id="326"/>
      <w:bookmarkEnd w:id="327"/>
      <w:bookmarkEnd w:id="329"/>
    </w:p>
    <w:p>
      <w:pPr>
        <w:pStyle w:val="Style40"/>
        <w:keepNext/>
        <w:keepLines/>
        <w:widowControl w:val="0"/>
        <w:shd w:val="clear" w:color="auto" w:fill="auto"/>
        <w:tabs>
          <w:tab w:pos="493" w:val="left"/>
        </w:tabs>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w:t>
      </w:r>
      <w:bookmarkEnd w:id="3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0"/>
      <w:bookmarkEnd w:id="331"/>
      <w:bookmarkEnd w:id="33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4"/>
      <w:bookmarkEnd w:id="335"/>
      <w:bookmarkEnd w:id="33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8"/>
      <w:bookmarkEnd w:id="339"/>
      <w:bookmarkEnd w:id="34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重大担保</w:t>
      </w:r>
      <w:bookmarkEnd w:id="342"/>
      <w:bookmarkEnd w:id="343"/>
      <w:bookmarkEnd w:id="34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5"/>
        <w:keepNext/>
        <w:keepLines/>
        <w:widowControl w:val="0"/>
        <w:shd w:val="clear" w:color="auto" w:fill="auto"/>
        <w:tabs>
          <w:tab w:pos="378"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日常经营重大合同</w:t>
      </w:r>
      <w:bookmarkEnd w:id="346"/>
      <w:bookmarkEnd w:id="347"/>
      <w:bookmarkEnd w:id="34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公司报告期不存在日常经营重大合同。</w:t>
      </w:r>
    </w:p>
    <w:p>
      <w:pPr>
        <w:pStyle w:val="Style35"/>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委托他人进行现金资产管理情况</w:t>
      </w:r>
      <w:bookmarkEnd w:id="350"/>
      <w:bookmarkEnd w:id="351"/>
      <w:bookmarkEnd w:id="353"/>
    </w:p>
    <w:p>
      <w:pPr>
        <w:pStyle w:val="Style40"/>
        <w:keepNext/>
        <w:keepLines/>
        <w:widowControl w:val="0"/>
        <w:numPr>
          <w:ilvl w:val="0"/>
          <w:numId w:val="3"/>
        </w:numPr>
        <w:shd w:val="clear" w:color="auto" w:fill="auto"/>
        <w:tabs>
          <w:tab w:pos="493" w:val="left"/>
        </w:tabs>
        <w:bidi w:val="0"/>
        <w:spacing w:before="0" w:after="260" w:line="240" w:lineRule="auto"/>
        <w:ind w:left="0" w:right="0" w:firstLine="0"/>
        <w:jc w:val="left"/>
      </w:pPr>
      <w:bookmarkStart w:id="354" w:name="bookmark354"/>
      <w:bookmarkStart w:id="355" w:name="bookmark355"/>
      <w:bookmarkStart w:id="356" w:name="bookmark356"/>
      <w:bookmarkStart w:id="357" w:name="bookmark357"/>
      <w:bookmarkEnd w:id="356"/>
      <w:r>
        <w:rPr>
          <w:color w:val="000000"/>
          <w:spacing w:val="0"/>
          <w:w w:val="100"/>
          <w:position w:val="0"/>
        </w:rPr>
        <w:t>委托理财情况</w:t>
      </w:r>
      <w:bookmarkEnd w:id="354"/>
      <w:bookmarkEnd w:id="355"/>
      <w:bookmarkEnd w:id="357"/>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公司报告期不存在委托理财。</w:t>
      </w:r>
    </w:p>
    <w:p>
      <w:pPr>
        <w:pStyle w:val="Style40"/>
        <w:keepNext/>
        <w:keepLines/>
        <w:widowControl w:val="0"/>
        <w:numPr>
          <w:ilvl w:val="0"/>
          <w:numId w:val="3"/>
        </w:numPr>
        <w:shd w:val="clear" w:color="auto" w:fill="auto"/>
        <w:tabs>
          <w:tab w:pos="493" w:val="left"/>
        </w:tabs>
        <w:bidi w:val="0"/>
        <w:spacing w:before="0" w:after="260" w:line="240" w:lineRule="auto"/>
        <w:ind w:left="0" w:right="0" w:firstLine="0"/>
        <w:jc w:val="left"/>
      </w:pPr>
      <w:bookmarkStart w:id="358" w:name="bookmark358"/>
      <w:bookmarkStart w:id="359" w:name="bookmark359"/>
      <w:bookmarkStart w:id="360" w:name="bookmark360"/>
      <w:bookmarkStart w:id="361" w:name="bookmark361"/>
      <w:bookmarkEnd w:id="360"/>
      <w:r>
        <w:rPr>
          <w:color w:val="000000"/>
          <w:spacing w:val="0"/>
          <w:w w:val="100"/>
          <w:position w:val="0"/>
        </w:rPr>
        <w:t>委托贷款情况</w:t>
      </w:r>
      <w:bookmarkEnd w:id="358"/>
      <w:bookmarkEnd w:id="359"/>
      <w:bookmarkEnd w:id="361"/>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公司报告期不存在委托贷款。</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5</w:t>
      </w:r>
      <w:bookmarkEnd w:id="364"/>
      <w:r>
        <w:rPr>
          <w:color w:val="000000"/>
          <w:spacing w:val="0"/>
          <w:w w:val="100"/>
          <w:position w:val="0"/>
        </w:rPr>
        <w:t>、</w:t>
        <w:tab/>
        <w:t>其他重大合同</w:t>
      </w:r>
      <w:bookmarkEnd w:id="362"/>
      <w:bookmarkEnd w:id="363"/>
      <w:bookmarkEnd w:id="365"/>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4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十七、社会责任情况</w:t>
      </w:r>
      <w:bookmarkEnd w:id="366"/>
      <w:bookmarkEnd w:id="367"/>
      <w:bookmarkEnd w:id="368"/>
    </w:p>
    <w:p>
      <w:pPr>
        <w:pStyle w:val="Style35"/>
        <w:keepNext/>
        <w:keepLines/>
        <w:widowControl w:val="0"/>
        <w:shd w:val="clear" w:color="auto" w:fill="auto"/>
        <w:tabs>
          <w:tab w:pos="368" w:val="left"/>
        </w:tabs>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w:t>
        <w:tab/>
        <w:t>履行社会责任情况</w:t>
      </w:r>
      <w:bookmarkEnd w:id="369"/>
      <w:bookmarkEnd w:id="370"/>
      <w:bookmarkEnd w:id="372"/>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公司严格按《公司法》、《深圳证券交易所创业板股票上市规则》、《上市公司信息披露管理办法》等相关法律法规规 范要求，及时、准确、真实、完整的原则进行信息披露工作；通过实地调研、电话、电子邮箱、公司网站和投资者关系互动 平台等多种方式与投资者进行沟通交流，提高了公司的透明度和诚信度</w:t>
      </w:r>
      <w:r>
        <w:rPr>
          <w:rFonts w:ascii="Times New Roman" w:eastAsia="Times New Roman" w:hAnsi="Times New Roman" w:cs="Times New Roman"/>
          <w:color w:val="000000"/>
          <w:spacing w:val="0"/>
          <w:w w:val="100"/>
          <w:position w:val="0"/>
        </w:rPr>
        <w:t>;</w:t>
      </w:r>
      <w:r>
        <w:rPr>
          <w:color w:val="000000"/>
          <w:spacing w:val="0"/>
          <w:w w:val="100"/>
          <w:position w:val="0"/>
        </w:rPr>
        <w:t>公司十分重视对投资者的合理回报，上市后严格按 照相关承诺及《公司章程》等相关法律法规的要求实施利润分配，每年均以派发现金股利的方式回馈股东。</w:t>
      </w:r>
    </w:p>
    <w:p>
      <w:pPr>
        <w:pStyle w:val="Style30"/>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公司始终将依法经营作为公司运行的基本原则，注重企业经济效益与社会效益的共同发展。公司严格遵守国家法律、法 规、政策的规定，始终依法经营，积极纳税，支持国家与地方的经济发展。</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履行精准扶贫社会责任情况</w:t>
      </w:r>
      <w:bookmarkEnd w:id="373"/>
      <w:bookmarkEnd w:id="374"/>
      <w:bookmarkEnd w:id="376"/>
    </w:p>
    <w:p>
      <w:pPr>
        <w:pStyle w:val="Style30"/>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环境保护相关的情况</w:t>
      </w:r>
      <w:bookmarkEnd w:id="377"/>
      <w:bookmarkEnd w:id="378"/>
      <w:bookmarkEnd w:id="380"/>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十八、其他重大事项的说明</w:t>
      </w:r>
      <w:bookmarkEnd w:id="381"/>
      <w:bookmarkEnd w:id="382"/>
      <w:bookmarkEnd w:id="383"/>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60" w:line="314"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日公司第三届董事会第十九次会议、第三届监事会第十三次会议审议通过《关于公司符合</w:t>
      </w:r>
      <w:r>
        <w:rPr>
          <w:color w:val="000000"/>
          <w:spacing w:val="0"/>
          <w:w w:val="100"/>
          <w:position w:val="0"/>
        </w:rPr>
        <w:t>2020</w:t>
      </w:r>
      <w:r>
        <w:rPr>
          <w:color w:val="000000"/>
          <w:spacing w:val="0"/>
          <w:w w:val="100"/>
          <w:position w:val="0"/>
        </w:rPr>
        <w:t>年度向特定对象 发行股票条件的议案》、《关于公司</w:t>
      </w:r>
      <w:r>
        <w:rPr>
          <w:color w:val="000000"/>
          <w:spacing w:val="0"/>
          <w:w w:val="100"/>
          <w:position w:val="0"/>
        </w:rPr>
        <w:t>2020</w:t>
      </w:r>
      <w:r>
        <w:rPr>
          <w:color w:val="000000"/>
          <w:spacing w:val="0"/>
          <w:w w:val="100"/>
          <w:position w:val="0"/>
        </w:rPr>
        <w:t>年度向特定对象发行股票方案的议案》、《关于公司</w:t>
      </w:r>
      <w:r>
        <w:rPr>
          <w:color w:val="000000"/>
          <w:spacing w:val="0"/>
          <w:w w:val="100"/>
          <w:position w:val="0"/>
        </w:rPr>
        <w:t>2020</w:t>
      </w:r>
      <w:r>
        <w:rPr>
          <w:color w:val="000000"/>
          <w:spacing w:val="0"/>
          <w:w w:val="100"/>
          <w:position w:val="0"/>
        </w:rPr>
        <w:t>年度向特定对象发行股票 预案的议案》等相关议案，并于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日经公司</w:t>
      </w:r>
      <w:r>
        <w:rPr>
          <w:color w:val="000000"/>
          <w:spacing w:val="0"/>
          <w:w w:val="100"/>
          <w:position w:val="0"/>
        </w:rPr>
        <w:t>2020</w:t>
      </w:r>
      <w:r>
        <w:rPr>
          <w:color w:val="000000"/>
          <w:spacing w:val="0"/>
          <w:w w:val="100"/>
          <w:position w:val="0"/>
        </w:rPr>
        <w:t>年第二次临时股东大会审议通过。</w:t>
      </w:r>
    </w:p>
    <w:p>
      <w:pPr>
        <w:pStyle w:val="Style28"/>
        <w:keepNext/>
        <w:keepLines/>
        <w:widowControl w:val="0"/>
        <w:shd w:val="clear" w:color="auto" w:fill="auto"/>
        <w:bidi w:val="0"/>
        <w:spacing w:before="0" w:after="34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十九、公司子公司重大事项</w:t>
      </w:r>
      <w:bookmarkEnd w:id="384"/>
      <w:bookmarkEnd w:id="385"/>
      <w:bookmarkEnd w:id="386"/>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45" w:right="1082" w:bottom="1465" w:left="103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820" w:line="240" w:lineRule="auto"/>
        <w:ind w:left="0" w:right="0" w:firstLine="0"/>
        <w:jc w:val="center"/>
      </w:pPr>
      <w:bookmarkStart w:id="387" w:name="bookmark387"/>
      <w:bookmarkStart w:id="388" w:name="bookmark388"/>
      <w:bookmarkStart w:id="389" w:name="bookmark389"/>
      <w:bookmarkStart w:id="390" w:name="bookmark390"/>
      <w:r>
        <w:rPr>
          <w:color w:val="000000"/>
          <w:spacing w:val="0"/>
          <w:w w:val="100"/>
          <w:position w:val="0"/>
        </w:rPr>
        <w:t>第六节股份变动及股东情况</w:t>
      </w:r>
      <w:bookmarkEnd w:id="388"/>
      <w:bookmarkEnd w:id="389"/>
      <w:bookmarkEnd w:id="390"/>
      <w:bookmarkEnd w:id="387"/>
    </w:p>
    <w:p>
      <w:pPr>
        <w:pStyle w:val="Style28"/>
        <w:keepNext/>
        <w:keepLines/>
        <w:widowControl w:val="0"/>
        <w:shd w:val="clear" w:color="auto" w:fill="auto"/>
        <w:bidi w:val="0"/>
        <w:spacing w:before="0" w:after="34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sz w:val="24"/>
          <w:szCs w:val="24"/>
        </w:rPr>
        <w:t>一</w:t>
      </w:r>
      <w:bookmarkEnd w:id="393"/>
      <w:r>
        <w:rPr>
          <w:color w:val="000000"/>
          <w:spacing w:val="0"/>
          <w:w w:val="100"/>
          <w:position w:val="0"/>
          <w:sz w:val="24"/>
          <w:szCs w:val="24"/>
        </w:rPr>
        <w:t>、股份变动情况</w:t>
      </w:r>
      <w:bookmarkEnd w:id="391"/>
      <w:bookmarkEnd w:id="392"/>
      <w:bookmarkEnd w:id="394"/>
    </w:p>
    <w:p>
      <w:pPr>
        <w:pStyle w:val="Style35"/>
        <w:keepNext/>
        <w:keepLines/>
        <w:widowControl w:val="0"/>
        <w:shd w:val="clear" w:color="auto" w:fill="auto"/>
        <w:bidi w:val="0"/>
        <w:spacing w:before="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、股份变动情况</w:t>
      </w:r>
      <w:bookmarkEnd w:id="395"/>
      <w:bookmarkEnd w:id="396"/>
      <w:bookmarkEnd w:id="3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624"/>
        <w:gridCol w:w="557"/>
        <w:gridCol w:w="883"/>
        <w:gridCol w:w="1080"/>
        <w:gridCol w:w="970"/>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-3,178,931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413,106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-2,835,060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-2,835,060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186,283,0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93,577,264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282,885,9</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186,283,0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93,577,264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96,602,865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282,885,9</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188,968,2</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94,484,124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94,330,794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283,299,0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1" w:lineRule="exact"/>
        <w:ind w:left="0" w:right="0" w:firstLine="0"/>
        <w:jc w:val="left"/>
      </w:pPr>
      <w:bookmarkStart w:id="399" w:name="bookmark399"/>
      <w:r>
        <w:rPr>
          <w:rFonts w:ascii="Times New Roman" w:eastAsia="Times New Roman" w:hAnsi="Times New Roman" w:cs="Times New Roman"/>
          <w:color w:val="000000"/>
          <w:spacing w:val="0"/>
          <w:w w:val="100"/>
          <w:position w:val="0"/>
          <w:shd w:val="clear" w:color="auto" w:fill="FFFFFF"/>
        </w:rPr>
        <w:t>1</w:t>
      </w:r>
      <w:bookmarkEnd w:id="399"/>
      <w:r>
        <w:rPr>
          <w:color w:val="000000"/>
          <w:spacing w:val="0"/>
          <w:w w:val="100"/>
          <w:position w:val="0"/>
          <w:shd w:val="clear" w:color="auto" w:fill="FFFFFF"/>
        </w:rPr>
        <w:t>、</w:t>
        <w:tab/>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30</w:t>
      </w:r>
      <w:r>
        <w:rPr>
          <w:color w:val="000000"/>
          <w:spacing w:val="0"/>
          <w:w w:val="100"/>
          <w:position w:val="0"/>
          <w:shd w:val="clear" w:color="auto" w:fill="FFFFFF"/>
        </w:rPr>
        <w:t>日，公司召开第三届董事会第十六次会议和第三届监事会第十一次会议，审议通过了《关于回购注销部分已 授予限制性股票的议案》，监事会对不符合激励条件的激励对象名单及回购注销的限制性股票数量进行了审核，独立董事对 此发表了同意的独立意见。并于</w:t>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日完成了关于回购注销部分已授予但尚未解锁的限制性股票工作，其中：</w:t>
      </w:r>
      <w:r>
        <w:rPr>
          <w:rFonts w:ascii="Times New Roman" w:eastAsia="Times New Roman" w:hAnsi="Times New Roman" w:cs="Times New Roman"/>
          <w:color w:val="000000"/>
          <w:spacing w:val="0"/>
          <w:w w:val="100"/>
          <w:position w:val="0"/>
          <w:shd w:val="clear" w:color="auto" w:fill="FFFFFF"/>
        </w:rPr>
        <w:t xml:space="preserve">2016 </w:t>
      </w:r>
      <w:r>
        <w:rPr>
          <w:color w:val="000000"/>
          <w:spacing w:val="0"/>
          <w:w w:val="100"/>
          <w:position w:val="0"/>
          <w:shd w:val="clear" w:color="auto" w:fill="FFFFFF"/>
        </w:rPr>
        <w:t>年限制性股票激励计划回购注销数量</w:t>
      </w:r>
      <w:r>
        <w:rPr>
          <w:rFonts w:ascii="Times New Roman" w:eastAsia="Times New Roman" w:hAnsi="Times New Roman" w:cs="Times New Roman"/>
          <w:color w:val="000000"/>
          <w:spacing w:val="0"/>
          <w:w w:val="100"/>
          <w:position w:val="0"/>
          <w:shd w:val="clear" w:color="auto" w:fill="FFFFFF"/>
        </w:rPr>
        <w:t>41,916</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16.0510</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w:t>
      </w:r>
      <w:r>
        <w:rPr>
          <w:rFonts w:ascii="Times New Roman" w:eastAsia="Times New Roman" w:hAnsi="Times New Roman" w:cs="Times New Roman"/>
          <w:color w:val="000000"/>
          <w:spacing w:val="0"/>
          <w:w w:val="100"/>
          <w:position w:val="0"/>
          <w:shd w:val="clear" w:color="auto" w:fill="FFFFFF"/>
        </w:rPr>
        <w:t>2017</w:t>
      </w:r>
      <w:r>
        <w:rPr>
          <w:color w:val="000000"/>
          <w:spacing w:val="0"/>
          <w:w w:val="100"/>
          <w:position w:val="0"/>
          <w:shd w:val="clear" w:color="auto" w:fill="FFFFFF"/>
        </w:rPr>
        <w:t xml:space="preserve">年限制性股票激励计划回购注销数量 </w:t>
      </w:r>
      <w:r>
        <w:rPr>
          <w:rFonts w:ascii="Times New Roman" w:eastAsia="Times New Roman" w:hAnsi="Times New Roman" w:cs="Times New Roman"/>
          <w:color w:val="000000"/>
          <w:spacing w:val="0"/>
          <w:w w:val="100"/>
          <w:position w:val="0"/>
          <w:shd w:val="clear" w:color="auto" w:fill="FFFFFF"/>
        </w:rPr>
        <w:t>111,414</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11.8077</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股；回购注销的股份数量为</w:t>
      </w:r>
      <w:r>
        <w:rPr>
          <w:rFonts w:ascii="Times New Roman" w:eastAsia="Times New Roman" w:hAnsi="Times New Roman" w:cs="Times New Roman"/>
          <w:color w:val="000000"/>
          <w:spacing w:val="0"/>
          <w:w w:val="100"/>
          <w:position w:val="0"/>
          <w:shd w:val="clear" w:color="auto" w:fill="FFFFFF"/>
        </w:rPr>
        <w:t>153,330</w:t>
      </w:r>
      <w:r>
        <w:rPr>
          <w:color w:val="000000"/>
          <w:spacing w:val="0"/>
          <w:w w:val="100"/>
          <w:position w:val="0"/>
          <w:shd w:val="clear" w:color="auto" w:fill="FFFFFF"/>
        </w:rPr>
        <w:t>股，本次回购注销完成后，公司总股本变更为由</w:t>
      </w:r>
    </w:p>
    <w:p>
      <w:pPr>
        <w:pStyle w:val="Style55"/>
        <w:keepNext w:val="0"/>
        <w:keepLines w:val="0"/>
        <w:widowControl w:val="0"/>
        <w:numPr>
          <w:ilvl w:val="0"/>
          <w:numId w:val="5"/>
        </w:numPr>
        <w:shd w:val="clear" w:color="auto" w:fill="auto"/>
        <w:tabs>
          <w:tab w:pos="240" w:val="left"/>
          <w:tab w:pos="1059" w:val="left"/>
        </w:tabs>
        <w:bidi w:val="0"/>
        <w:spacing w:before="0" w:after="0" w:line="311" w:lineRule="exact"/>
        <w:ind w:left="0" w:right="0" w:firstLine="0"/>
        <w:jc w:val="left"/>
      </w:pPr>
      <w:bookmarkStart w:id="400" w:name="bookmark400"/>
      <w:bookmarkEnd w:id="400"/>
      <w:r>
        <w:rPr>
          <w:rFonts w:ascii="SimSun" w:eastAsia="SimSun" w:hAnsi="SimSun" w:cs="SimSun"/>
          <w:color w:val="000000"/>
          <w:spacing w:val="0"/>
          <w:w w:val="100"/>
          <w:position w:val="0"/>
        </w:rPr>
        <w:t xml:space="preserve">股变更为 </w:t>
      </w:r>
      <w:r>
        <w:rPr>
          <w:color w:val="000000"/>
          <w:spacing w:val="0"/>
          <w:w w:val="100"/>
          <w:position w:val="0"/>
        </w:rPr>
        <w:t xml:space="preserve">188,814,931 </w:t>
      </w:r>
      <w:r>
        <w:rPr>
          <w:rFonts w:ascii="SimSun" w:eastAsia="SimSun" w:hAnsi="SimSun" w:cs="SimSun"/>
          <w:color w:val="000000"/>
          <w:spacing w:val="0"/>
          <w:w w:val="100"/>
          <w:position w:val="0"/>
        </w:rPr>
        <w:t>股。</w:t>
      </w:r>
    </w:p>
    <w:p>
      <w:pPr>
        <w:pStyle w:val="Style30"/>
        <w:keepNext w:val="0"/>
        <w:keepLines w:val="0"/>
        <w:widowControl w:val="0"/>
        <w:shd w:val="clear" w:color="auto" w:fill="auto"/>
        <w:tabs>
          <w:tab w:pos="354" w:val="left"/>
        </w:tabs>
        <w:bidi w:val="0"/>
        <w:spacing w:before="0" w:after="0" w:line="311" w:lineRule="exact"/>
        <w:ind w:left="0" w:right="0" w:firstLine="0"/>
        <w:jc w:val="left"/>
      </w:pPr>
      <w:bookmarkStart w:id="401" w:name="bookmark401"/>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年度权益分派方案》，分红前本公司总股本为</w:t>
      </w:r>
      <w:r>
        <w:rPr>
          <w:rFonts w:ascii="Times New Roman" w:eastAsia="Times New Roman" w:hAnsi="Times New Roman" w:cs="Times New Roman"/>
          <w:color w:val="000000"/>
          <w:spacing w:val="0"/>
          <w:w w:val="100"/>
          <w:position w:val="0"/>
        </w:rPr>
        <w:t xml:space="preserve">188,814,931 </w:t>
      </w:r>
      <w:r>
        <w:rPr>
          <w:color w:val="000000"/>
          <w:spacing w:val="0"/>
          <w:w w:val="100"/>
          <w:position w:val="0"/>
        </w:rPr>
        <w:t>股，同意以股本溢价形成的资本公积金向全体股东每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94,484,124</w:t>
      </w:r>
      <w:r>
        <w:rPr>
          <w:color w:val="000000"/>
          <w:spacing w:val="0"/>
          <w:w w:val="100"/>
          <w:position w:val="0"/>
        </w:rPr>
        <w:t xml:space="preserve">万股，分红后总股本增至 </w:t>
      </w:r>
      <w:r>
        <w:rPr>
          <w:rFonts w:ascii="Times New Roman" w:eastAsia="Times New Roman" w:hAnsi="Times New Roman" w:cs="Times New Roman"/>
          <w:color w:val="000000"/>
          <w:spacing w:val="0"/>
          <w:w w:val="100"/>
          <w:position w:val="0"/>
        </w:rPr>
        <w:t>283,299,055</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402" w:name="bookmark402"/>
      <w:r>
        <w:rPr>
          <w:rFonts w:ascii="Times New Roman" w:eastAsia="Times New Roman" w:hAnsi="Times New Roman" w:cs="Times New Roman"/>
          <w:color w:val="000000"/>
          <w:spacing w:val="0"/>
          <w:w w:val="100"/>
          <w:position w:val="0"/>
          <w:shd w:val="clear" w:color="auto" w:fill="FFFFFF"/>
        </w:rPr>
        <w:t>1</w:t>
      </w:r>
      <w:bookmarkEnd w:id="402"/>
      <w:r>
        <w:rPr>
          <w:color w:val="000000"/>
          <w:spacing w:val="0"/>
          <w:w w:val="100"/>
          <w:position w:val="0"/>
          <w:shd w:val="clear" w:color="auto" w:fill="FFFFFF"/>
        </w:rPr>
        <w:t>、</w:t>
        <w:tab/>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30</w:t>
      </w:r>
      <w:r>
        <w:rPr>
          <w:color w:val="000000"/>
          <w:spacing w:val="0"/>
          <w:w w:val="100"/>
          <w:position w:val="0"/>
          <w:shd w:val="clear" w:color="auto" w:fill="FFFFFF"/>
        </w:rPr>
        <w:t>日，公司召开第三届董事会第十六次会议和第三届监事会第十一次会议，审议通过了《关于回购注销部分已 授予限制性股票的议案》，监事会对不符合激励条件的激励对象名单及回购注销的限制性股票数量进行了审核，独立董事对 此发表了同意的独立意见。并于</w:t>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日完成了关于回购注销部分已授予但尚未解锁的限制性股票工作，其中：</w:t>
      </w:r>
      <w:r>
        <w:rPr>
          <w:rFonts w:ascii="Times New Roman" w:eastAsia="Times New Roman" w:hAnsi="Times New Roman" w:cs="Times New Roman"/>
          <w:color w:val="000000"/>
          <w:spacing w:val="0"/>
          <w:w w:val="100"/>
          <w:position w:val="0"/>
          <w:shd w:val="clear" w:color="auto" w:fill="FFFFFF"/>
        </w:rPr>
        <w:t xml:space="preserve">2016 </w:t>
      </w:r>
      <w:r>
        <w:rPr>
          <w:color w:val="000000"/>
          <w:spacing w:val="0"/>
          <w:w w:val="100"/>
          <w:position w:val="0"/>
          <w:shd w:val="clear" w:color="auto" w:fill="FFFFFF"/>
        </w:rPr>
        <w:t>年限制性股票激励计划回购注销数量</w:t>
      </w:r>
      <w:r>
        <w:rPr>
          <w:rFonts w:ascii="Times New Roman" w:eastAsia="Times New Roman" w:hAnsi="Times New Roman" w:cs="Times New Roman"/>
          <w:color w:val="000000"/>
          <w:spacing w:val="0"/>
          <w:w w:val="100"/>
          <w:position w:val="0"/>
          <w:shd w:val="clear" w:color="auto" w:fill="FFFFFF"/>
        </w:rPr>
        <w:t>41,916</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16.0510</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w:t>
      </w:r>
      <w:r>
        <w:rPr>
          <w:rFonts w:ascii="Times New Roman" w:eastAsia="Times New Roman" w:hAnsi="Times New Roman" w:cs="Times New Roman"/>
          <w:color w:val="000000"/>
          <w:spacing w:val="0"/>
          <w:w w:val="100"/>
          <w:position w:val="0"/>
          <w:shd w:val="clear" w:color="auto" w:fill="FFFFFF"/>
        </w:rPr>
        <w:t>2017</w:t>
      </w:r>
      <w:r>
        <w:rPr>
          <w:color w:val="000000"/>
          <w:spacing w:val="0"/>
          <w:w w:val="100"/>
          <w:position w:val="0"/>
          <w:shd w:val="clear" w:color="auto" w:fill="FFFFFF"/>
        </w:rPr>
        <w:t xml:space="preserve">年限制性股票激励计划回购注销数量 </w:t>
      </w:r>
      <w:r>
        <w:rPr>
          <w:rFonts w:ascii="Times New Roman" w:eastAsia="Times New Roman" w:hAnsi="Times New Roman" w:cs="Times New Roman"/>
          <w:color w:val="000000"/>
          <w:spacing w:val="0"/>
          <w:w w:val="100"/>
          <w:position w:val="0"/>
          <w:shd w:val="clear" w:color="auto" w:fill="FFFFFF"/>
        </w:rPr>
        <w:t>111,414</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11.8077</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股；回购注销的股份数量为</w:t>
      </w:r>
      <w:r>
        <w:rPr>
          <w:rFonts w:ascii="Times New Roman" w:eastAsia="Times New Roman" w:hAnsi="Times New Roman" w:cs="Times New Roman"/>
          <w:color w:val="000000"/>
          <w:spacing w:val="0"/>
          <w:w w:val="100"/>
          <w:position w:val="0"/>
          <w:shd w:val="clear" w:color="auto" w:fill="FFFFFF"/>
        </w:rPr>
        <w:t>153,330</w:t>
      </w:r>
      <w:r>
        <w:rPr>
          <w:color w:val="000000"/>
          <w:spacing w:val="0"/>
          <w:w w:val="100"/>
          <w:position w:val="0"/>
          <w:shd w:val="clear" w:color="auto" w:fill="FFFFFF"/>
        </w:rPr>
        <w:t>股，本次回购注销完成后，公司总股本变更为由</w:t>
      </w:r>
    </w:p>
    <w:p>
      <w:pPr>
        <w:pStyle w:val="Style55"/>
        <w:keepNext w:val="0"/>
        <w:keepLines w:val="0"/>
        <w:widowControl w:val="0"/>
        <w:numPr>
          <w:ilvl w:val="0"/>
          <w:numId w:val="7"/>
        </w:numPr>
        <w:shd w:val="clear" w:color="auto" w:fill="auto"/>
        <w:tabs>
          <w:tab w:pos="240" w:val="left"/>
          <w:tab w:pos="1059" w:val="left"/>
        </w:tabs>
        <w:bidi w:val="0"/>
        <w:spacing w:before="0" w:after="0"/>
        <w:ind w:left="0" w:right="0" w:firstLine="0"/>
        <w:jc w:val="left"/>
      </w:pPr>
      <w:bookmarkStart w:id="403" w:name="bookmark403"/>
      <w:bookmarkEnd w:id="403"/>
      <w:r>
        <w:rPr>
          <w:rFonts w:ascii="SimSun" w:eastAsia="SimSun" w:hAnsi="SimSun" w:cs="SimSun"/>
          <w:color w:val="000000"/>
          <w:spacing w:val="0"/>
          <w:w w:val="100"/>
          <w:position w:val="0"/>
        </w:rPr>
        <w:t xml:space="preserve">股变更为 </w:t>
      </w:r>
      <w:r>
        <w:rPr>
          <w:color w:val="000000"/>
          <w:spacing w:val="0"/>
          <w:w w:val="100"/>
          <w:position w:val="0"/>
        </w:rPr>
        <w:t xml:space="preserve">188,814,931 </w:t>
      </w:r>
      <w:r>
        <w:rPr>
          <w:rFonts w:ascii="SimSun" w:eastAsia="SimSun" w:hAnsi="SimSun" w:cs="SimSun"/>
          <w:color w:val="000000"/>
          <w:spacing w:val="0"/>
          <w:w w:val="100"/>
          <w:position w:val="0"/>
        </w:rPr>
        <w:t>股。</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404" w:name="bookmark404"/>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年度权益分派方案》，分红前本公司总股本为</w:t>
      </w:r>
      <w:r>
        <w:rPr>
          <w:rFonts w:ascii="Times New Roman" w:eastAsia="Times New Roman" w:hAnsi="Times New Roman" w:cs="Times New Roman"/>
          <w:color w:val="000000"/>
          <w:spacing w:val="0"/>
          <w:w w:val="100"/>
          <w:position w:val="0"/>
        </w:rPr>
        <w:t xml:space="preserve">188,814,931 </w:t>
      </w:r>
      <w:r>
        <w:rPr>
          <w:color w:val="000000"/>
          <w:spacing w:val="0"/>
          <w:w w:val="100"/>
          <w:position w:val="0"/>
        </w:rPr>
        <w:t>股，同意以股本溢价形成的资本公积金向全体股东每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94,484,124</w:t>
      </w:r>
      <w:r>
        <w:rPr>
          <w:color w:val="000000"/>
          <w:spacing w:val="0"/>
          <w:w w:val="100"/>
          <w:position w:val="0"/>
        </w:rPr>
        <w:t xml:space="preserve">万股，分红后总股本增至 </w:t>
      </w:r>
      <w:r>
        <w:rPr>
          <w:rFonts w:ascii="Times New Roman" w:eastAsia="Times New Roman" w:hAnsi="Times New Roman" w:cs="Times New Roman"/>
          <w:color w:val="000000"/>
          <w:spacing w:val="0"/>
          <w:w w:val="100"/>
          <w:position w:val="0"/>
        </w:rPr>
        <w:t>283,299,055</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405" w:name="bookmark405"/>
      <w:r>
        <w:rPr>
          <w:rFonts w:ascii="Times New Roman" w:eastAsia="Times New Roman" w:hAnsi="Times New Roman" w:cs="Times New Roman"/>
          <w:color w:val="000000"/>
          <w:spacing w:val="0"/>
          <w:w w:val="100"/>
          <w:position w:val="0"/>
          <w:shd w:val="clear" w:color="auto" w:fill="FFFFFF"/>
        </w:rPr>
        <w:t>1</w:t>
      </w:r>
      <w:bookmarkEnd w:id="405"/>
      <w:r>
        <w:rPr>
          <w:color w:val="000000"/>
          <w:spacing w:val="0"/>
          <w:w w:val="100"/>
          <w:position w:val="0"/>
          <w:shd w:val="clear" w:color="auto" w:fill="FFFFFF"/>
        </w:rPr>
        <w:t>、</w:t>
        <w:tab/>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30</w:t>
      </w:r>
      <w:r>
        <w:rPr>
          <w:color w:val="000000"/>
          <w:spacing w:val="0"/>
          <w:w w:val="100"/>
          <w:position w:val="0"/>
          <w:shd w:val="clear" w:color="auto" w:fill="FFFFFF"/>
        </w:rPr>
        <w:t>日，公司召开第三届董事会第十六次会议和第三届监事会第十一次会议，审议通过了《关于回购注销部分已 授予限制性股票的议案》，监事会对不符合激励条件的激励对象名单及回购注销的限制性股票数量进行了审核，独立董事对 此发表了同意的独立意见。并于</w:t>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日完成了关于回购注销部分已授予但尚未解锁的限制性股票工作，其中：</w:t>
      </w:r>
      <w:r>
        <w:rPr>
          <w:rFonts w:ascii="Times New Roman" w:eastAsia="Times New Roman" w:hAnsi="Times New Roman" w:cs="Times New Roman"/>
          <w:color w:val="000000"/>
          <w:spacing w:val="0"/>
          <w:w w:val="100"/>
          <w:position w:val="0"/>
          <w:shd w:val="clear" w:color="auto" w:fill="FFFFFF"/>
        </w:rPr>
        <w:t xml:space="preserve">2016 </w:t>
      </w:r>
      <w:r>
        <w:rPr>
          <w:color w:val="000000"/>
          <w:spacing w:val="0"/>
          <w:w w:val="100"/>
          <w:position w:val="0"/>
          <w:shd w:val="clear" w:color="auto" w:fill="FFFFFF"/>
        </w:rPr>
        <w:t>年限制性股票激励计划回购注销数量</w:t>
      </w:r>
      <w:r>
        <w:rPr>
          <w:rFonts w:ascii="Times New Roman" w:eastAsia="Times New Roman" w:hAnsi="Times New Roman" w:cs="Times New Roman"/>
          <w:color w:val="000000"/>
          <w:spacing w:val="0"/>
          <w:w w:val="100"/>
          <w:position w:val="0"/>
          <w:shd w:val="clear" w:color="auto" w:fill="FFFFFF"/>
        </w:rPr>
        <w:t>41,916</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16.0510</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w:t>
      </w:r>
      <w:r>
        <w:rPr>
          <w:rFonts w:ascii="Times New Roman" w:eastAsia="Times New Roman" w:hAnsi="Times New Roman" w:cs="Times New Roman"/>
          <w:color w:val="000000"/>
          <w:spacing w:val="0"/>
          <w:w w:val="100"/>
          <w:position w:val="0"/>
          <w:shd w:val="clear" w:color="auto" w:fill="FFFFFF"/>
        </w:rPr>
        <w:t>2017</w:t>
      </w:r>
      <w:r>
        <w:rPr>
          <w:color w:val="000000"/>
          <w:spacing w:val="0"/>
          <w:w w:val="100"/>
          <w:position w:val="0"/>
          <w:shd w:val="clear" w:color="auto" w:fill="FFFFFF"/>
        </w:rPr>
        <w:t xml:space="preserve">年限制性股票激励计划回购注销数量 </w:t>
      </w:r>
      <w:r>
        <w:rPr>
          <w:rFonts w:ascii="Times New Roman" w:eastAsia="Times New Roman" w:hAnsi="Times New Roman" w:cs="Times New Roman"/>
          <w:color w:val="000000"/>
          <w:spacing w:val="0"/>
          <w:w w:val="100"/>
          <w:position w:val="0"/>
          <w:shd w:val="clear" w:color="auto" w:fill="FFFFFF"/>
        </w:rPr>
        <w:t>111,414</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11.8077</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股；回购注销的股份数量为</w:t>
      </w:r>
      <w:r>
        <w:rPr>
          <w:rFonts w:ascii="Times New Roman" w:eastAsia="Times New Roman" w:hAnsi="Times New Roman" w:cs="Times New Roman"/>
          <w:color w:val="000000"/>
          <w:spacing w:val="0"/>
          <w:w w:val="100"/>
          <w:position w:val="0"/>
          <w:shd w:val="clear" w:color="auto" w:fill="FFFFFF"/>
        </w:rPr>
        <w:t>153,330</w:t>
      </w:r>
      <w:r>
        <w:rPr>
          <w:color w:val="000000"/>
          <w:spacing w:val="0"/>
          <w:w w:val="100"/>
          <w:position w:val="0"/>
          <w:shd w:val="clear" w:color="auto" w:fill="FFFFFF"/>
        </w:rPr>
        <w:t>股，本次回购注销完成后，公司总股本变更为由</w:t>
      </w:r>
    </w:p>
    <w:p>
      <w:pPr>
        <w:pStyle w:val="Style55"/>
        <w:keepNext w:val="0"/>
        <w:keepLines w:val="0"/>
        <w:widowControl w:val="0"/>
        <w:numPr>
          <w:ilvl w:val="0"/>
          <w:numId w:val="9"/>
        </w:numPr>
        <w:shd w:val="clear" w:color="auto" w:fill="auto"/>
        <w:tabs>
          <w:tab w:pos="240" w:val="left"/>
          <w:tab w:pos="1059" w:val="left"/>
        </w:tabs>
        <w:bidi w:val="0"/>
        <w:spacing w:before="0" w:after="0"/>
        <w:ind w:left="0" w:right="0" w:firstLine="0"/>
        <w:jc w:val="left"/>
      </w:pPr>
      <w:bookmarkStart w:id="406" w:name="bookmark406"/>
      <w:bookmarkEnd w:id="406"/>
      <w:r>
        <w:rPr>
          <w:rFonts w:ascii="SimSun" w:eastAsia="SimSun" w:hAnsi="SimSun" w:cs="SimSun"/>
          <w:color w:val="000000"/>
          <w:spacing w:val="0"/>
          <w:w w:val="100"/>
          <w:position w:val="0"/>
        </w:rPr>
        <w:t xml:space="preserve">股变更为 </w:t>
      </w:r>
      <w:r>
        <w:rPr>
          <w:color w:val="000000"/>
          <w:spacing w:val="0"/>
          <w:w w:val="100"/>
          <w:position w:val="0"/>
        </w:rPr>
        <w:t xml:space="preserve">188,814,931 </w:t>
      </w:r>
      <w:r>
        <w:rPr>
          <w:rFonts w:ascii="SimSun" w:eastAsia="SimSun" w:hAnsi="SimSun" w:cs="SimSun"/>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公司回购注销部分已授予但尚未解锁的限制性股票已经过董事会、股东大会批准，并在中国证券登记结算有限责任公司深圳 分公司完成了股权登记手续，同时工商变更登记手续已完成。详细信息参照公司在巨潮资讯网上的相关公告。</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按新股本</w:t>
      </w:r>
      <w:r>
        <w:rPr>
          <w:rFonts w:ascii="Times New Roman" w:eastAsia="Times New Roman" w:hAnsi="Times New Roman" w:cs="Times New Roman"/>
          <w:color w:val="000000"/>
          <w:spacing w:val="0"/>
          <w:w w:val="100"/>
          <w:position w:val="0"/>
        </w:rPr>
        <w:t>283,299,055</w:t>
      </w:r>
      <w:r>
        <w:rPr>
          <w:color w:val="000000"/>
          <w:spacing w:val="0"/>
          <w:w w:val="100"/>
          <w:position w:val="0"/>
        </w:rPr>
        <w:t>股摊薄计算，</w:t>
      </w:r>
      <w:r>
        <w:rPr>
          <w:rFonts w:ascii="Times New Roman" w:eastAsia="Times New Roman" w:hAnsi="Times New Roman" w:cs="Times New Roman"/>
          <w:color w:val="000000"/>
          <w:spacing w:val="0"/>
          <w:w w:val="100"/>
          <w:position w:val="0"/>
        </w:rPr>
        <w:t>2020</w:t>
      </w:r>
      <w:r>
        <w:rPr>
          <w:color w:val="000000"/>
          <w:spacing w:val="0"/>
          <w:w w:val="100"/>
          <w:position w:val="0"/>
        </w:rPr>
        <w:t>年度基本每股收益为</w:t>
      </w:r>
      <w:r>
        <w:rPr>
          <w:rFonts w:ascii="Times New Roman" w:eastAsia="Times New Roman" w:hAnsi="Times New Roman" w:cs="Times New Roman"/>
          <w:color w:val="000000"/>
          <w:spacing w:val="0"/>
          <w:w w:val="100"/>
          <w:position w:val="0"/>
        </w:rPr>
        <w:t>0.26</w:t>
      </w:r>
      <w:r>
        <w:rPr>
          <w:color w:val="000000"/>
          <w:spacing w:val="0"/>
          <w:w w:val="100"/>
          <w:position w:val="0"/>
        </w:rPr>
        <w:t>元，稀释每股收益为</w:t>
      </w:r>
      <w:r>
        <w:rPr>
          <w:rFonts w:ascii="Times New Roman" w:eastAsia="Times New Roman" w:hAnsi="Times New Roman" w:cs="Times New Roman"/>
          <w:color w:val="000000"/>
          <w:spacing w:val="0"/>
          <w:w w:val="100"/>
          <w:position w:val="0"/>
        </w:rPr>
        <w:t>0.26</w:t>
      </w:r>
      <w:r>
        <w:rPr>
          <w:color w:val="000000"/>
          <w:spacing w:val="0"/>
          <w:w w:val="100"/>
          <w:position w:val="0"/>
        </w:rPr>
        <w:t>元，同比减少</w:t>
      </w:r>
      <w:r>
        <w:rPr>
          <w:rFonts w:ascii="Times New Roman" w:eastAsia="Times New Roman" w:hAnsi="Times New Roman" w:cs="Times New Roman"/>
          <w:color w:val="000000"/>
          <w:spacing w:val="0"/>
          <w:w w:val="100"/>
          <w:position w:val="0"/>
        </w:rPr>
        <w:t>23.53%</w:t>
      </w:r>
      <w:r>
        <w:rPr>
          <w:color w:val="000000"/>
          <w:spacing w:val="0"/>
          <w:w w:val="100"/>
          <w:position w:val="0"/>
        </w:rPr>
        <w:t>。</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限售股份变动情况</w:t>
      </w:r>
      <w:bookmarkEnd w:id="407"/>
      <w:bookmarkEnd w:id="408"/>
      <w:bookmarkEnd w:id="410"/>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本期增加限售股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本期解除限售股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年首期限 制性股票激励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601,294.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559, </w:t>
            </w:r>
            <w:r>
              <w:rPr>
                <w:color w:val="000000"/>
                <w:spacing w:val="0"/>
                <w:w w:val="100"/>
                <w:position w:val="0"/>
              </w:rPr>
              <w:t xml:space="preserve">378.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股权激励限售 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已完结</w:t>
            </w:r>
          </w:p>
        </w:tc>
      </w:tr>
    </w:tbl>
    <w:tbl>
      <w:tblPr>
        <w:tblOverlap w:val="never"/>
        <w:jc w:val="center"/>
        <w:tblLayout w:type="fixed"/>
      </w:tblPr>
      <w:tblGrid>
        <w:gridCol w:w="1214"/>
        <w:gridCol w:w="1488"/>
        <w:gridCol w:w="1488"/>
        <w:gridCol w:w="1488"/>
        <w:gridCol w:w="1488"/>
        <w:gridCol w:w="1200"/>
        <w:gridCol w:w="121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对象</w:t>
            </w:r>
            <w:r>
              <w:rPr>
                <w:rFonts w:ascii="Times New Roman" w:eastAsia="Times New Roman" w:hAnsi="Times New Roman" w:cs="Times New Roman"/>
                <w:color w:val="000000"/>
                <w:spacing w:val="0"/>
                <w:w w:val="100"/>
                <w:position w:val="0"/>
              </w:rPr>
              <w:t>120</w:t>
            </w:r>
            <w:r>
              <w:rPr>
                <w:color w:val="000000"/>
                <w:spacing w:val="0"/>
                <w:w w:val="100"/>
                <w:position w:val="0"/>
              </w:rPr>
              <w:t>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w:t>
            </w:r>
            <w:r>
              <w:rPr>
                <w:color w:val="000000"/>
                <w:spacing w:val="0"/>
                <w:w w:val="100"/>
                <w:position w:val="0"/>
              </w:rPr>
              <w:t>年预留限 制性股票激励 对象</w:t>
            </w:r>
            <w:r>
              <w:rPr>
                <w:color w:val="000000"/>
                <w:spacing w:val="0"/>
                <w:w w:val="100"/>
                <w:position w:val="0"/>
              </w:rPr>
              <w:t>2</w:t>
            </w:r>
            <w:r>
              <w:rPr>
                <w:color w:val="000000"/>
                <w:spacing w:val="0"/>
                <w:w w:val="100"/>
                <w:position w:val="0"/>
              </w:rPr>
              <w:t>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248, </w:t>
            </w:r>
            <w:r>
              <w:rPr>
                <w:color w:val="000000"/>
                <w:spacing w:val="0"/>
                <w:w w:val="100"/>
                <w:position w:val="0"/>
              </w:rPr>
              <w:t xml:space="preserve">470.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股权激励限售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已完结</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2017</w:t>
            </w:r>
            <w:r>
              <w:rPr>
                <w:color w:val="000000"/>
                <w:spacing w:val="0"/>
                <w:w w:val="100"/>
                <w:position w:val="0"/>
              </w:rPr>
              <w:t>年首期限 制性股票激励 对象</w:t>
            </w:r>
            <w:r>
              <w:rPr>
                <w:color w:val="000000"/>
                <w:spacing w:val="0"/>
                <w:w w:val="100"/>
                <w:position w:val="0"/>
              </w:rPr>
              <w:t>160</w:t>
            </w:r>
            <w:r>
              <w:rPr>
                <w:color w:val="000000"/>
                <w:spacing w:val="0"/>
                <w:w w:val="100"/>
                <w:position w:val="0"/>
              </w:rPr>
              <w:t>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1,653, </w:t>
            </w:r>
            <w:r>
              <w:rPr>
                <w:color w:val="000000"/>
                <w:spacing w:val="0"/>
                <w:w w:val="100"/>
                <w:position w:val="0"/>
              </w:rPr>
              <w:t xml:space="preserve">665.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2,306,002.00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期满后的一年 内</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2, 503, </w:t>
            </w:r>
            <w:r>
              <w:rPr>
                <w:color w:val="000000"/>
                <w:spacing w:val="0"/>
                <w:w w:val="100"/>
                <w:position w:val="0"/>
              </w:rPr>
              <w:t xml:space="preserve">429.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3, 113, </w:t>
            </w:r>
            <w:r>
              <w:rPr>
                <w:color w:val="000000"/>
                <w:spacing w:val="0"/>
                <w:w w:val="100"/>
                <w:position w:val="0"/>
              </w:rPr>
              <w:t xml:space="preserve">850.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997. </w:t>
            </w: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sz w:val="24"/>
          <w:szCs w:val="24"/>
        </w:rPr>
        <w:t>二</w:t>
      </w:r>
      <w:bookmarkEnd w:id="413"/>
      <w:r>
        <w:rPr>
          <w:color w:val="000000"/>
          <w:spacing w:val="0"/>
          <w:w w:val="100"/>
          <w:position w:val="0"/>
          <w:sz w:val="24"/>
          <w:szCs w:val="24"/>
        </w:rPr>
        <w:t>、证券发行与上市情况</w:t>
      </w:r>
      <w:bookmarkEnd w:id="411"/>
      <w:bookmarkEnd w:id="412"/>
      <w:bookmarkEnd w:id="414"/>
    </w:p>
    <w:p>
      <w:pPr>
        <w:pStyle w:val="Style35"/>
        <w:keepNext/>
        <w:keepLines/>
        <w:widowControl w:val="0"/>
        <w:shd w:val="clear" w:color="auto" w:fill="auto"/>
        <w:tabs>
          <w:tab w:pos="368" w:val="left"/>
        </w:tabs>
        <w:bidi w:val="0"/>
        <w:spacing w:before="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w:t>
        <w:tab/>
        <w:t>报告期内证券发行（不含优先股）情况</w:t>
      </w:r>
      <w:bookmarkEnd w:id="415"/>
      <w:bookmarkEnd w:id="416"/>
      <w:bookmarkEnd w:id="418"/>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公司股份总数及股东结构的变动、公司资产和负债结构的变动情况说明</w:t>
      </w:r>
      <w:bookmarkEnd w:id="419"/>
      <w:bookmarkEnd w:id="420"/>
      <w:bookmarkEnd w:id="422"/>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423" w:name="bookmark423"/>
      <w:r>
        <w:rPr>
          <w:rFonts w:ascii="Times New Roman" w:eastAsia="Times New Roman" w:hAnsi="Times New Roman" w:cs="Times New Roman"/>
          <w:color w:val="000000"/>
          <w:spacing w:val="0"/>
          <w:w w:val="100"/>
          <w:position w:val="0"/>
          <w:shd w:val="clear" w:color="auto" w:fill="FFFFFF"/>
        </w:rPr>
        <w:t>1</w:t>
      </w:r>
      <w:bookmarkEnd w:id="423"/>
      <w:r>
        <w:rPr>
          <w:color w:val="000000"/>
          <w:spacing w:val="0"/>
          <w:w w:val="100"/>
          <w:position w:val="0"/>
          <w:shd w:val="clear" w:color="auto" w:fill="FFFFFF"/>
        </w:rPr>
        <w:t>、</w:t>
        <w:tab/>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30</w:t>
      </w:r>
      <w:r>
        <w:rPr>
          <w:color w:val="000000"/>
          <w:spacing w:val="0"/>
          <w:w w:val="100"/>
          <w:position w:val="0"/>
          <w:shd w:val="clear" w:color="auto" w:fill="FFFFFF"/>
        </w:rPr>
        <w:t>日，公司召开第三届董事会第十六次会议和第三届监事会第十一次会议，审议通过了《关于回购注销部分已 授予限制性股票的议案》，监事会对不符合激励条件的激励对象名单及回购注销的限制性股票数量进行了审核，独立董事对 此发表了同意的独立意见。并于</w:t>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6</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日完成了关于回购注销部分已授予但尚未解锁的限制性股票工作，其中：</w:t>
      </w:r>
      <w:r>
        <w:rPr>
          <w:rFonts w:ascii="Times New Roman" w:eastAsia="Times New Roman" w:hAnsi="Times New Roman" w:cs="Times New Roman"/>
          <w:color w:val="000000"/>
          <w:spacing w:val="0"/>
          <w:w w:val="100"/>
          <w:position w:val="0"/>
          <w:shd w:val="clear" w:color="auto" w:fill="FFFFFF"/>
        </w:rPr>
        <w:t xml:space="preserve">2016 </w:t>
      </w:r>
      <w:r>
        <w:rPr>
          <w:color w:val="000000"/>
          <w:spacing w:val="0"/>
          <w:w w:val="100"/>
          <w:position w:val="0"/>
          <w:shd w:val="clear" w:color="auto" w:fill="FFFFFF"/>
        </w:rPr>
        <w:t>年限制性股票激励计划回购注销数量</w:t>
      </w:r>
      <w:r>
        <w:rPr>
          <w:rFonts w:ascii="Times New Roman" w:eastAsia="Times New Roman" w:hAnsi="Times New Roman" w:cs="Times New Roman"/>
          <w:color w:val="000000"/>
          <w:spacing w:val="0"/>
          <w:w w:val="100"/>
          <w:position w:val="0"/>
          <w:shd w:val="clear" w:color="auto" w:fill="FFFFFF"/>
        </w:rPr>
        <w:t>41,916</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16.0510</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w:t>
      </w:r>
      <w:r>
        <w:rPr>
          <w:rFonts w:ascii="Times New Roman" w:eastAsia="Times New Roman" w:hAnsi="Times New Roman" w:cs="Times New Roman"/>
          <w:color w:val="000000"/>
          <w:spacing w:val="0"/>
          <w:w w:val="100"/>
          <w:position w:val="0"/>
          <w:shd w:val="clear" w:color="auto" w:fill="FFFFFF"/>
        </w:rPr>
        <w:t>2017</w:t>
      </w:r>
      <w:r>
        <w:rPr>
          <w:color w:val="000000"/>
          <w:spacing w:val="0"/>
          <w:w w:val="100"/>
          <w:position w:val="0"/>
          <w:shd w:val="clear" w:color="auto" w:fill="FFFFFF"/>
        </w:rPr>
        <w:t xml:space="preserve">年限制性股票激励计划回购注销数量 </w:t>
      </w:r>
      <w:r>
        <w:rPr>
          <w:rFonts w:ascii="Times New Roman" w:eastAsia="Times New Roman" w:hAnsi="Times New Roman" w:cs="Times New Roman"/>
          <w:color w:val="000000"/>
          <w:spacing w:val="0"/>
          <w:w w:val="100"/>
          <w:position w:val="0"/>
          <w:shd w:val="clear" w:color="auto" w:fill="FFFFFF"/>
        </w:rPr>
        <w:t>111,414</w:t>
      </w:r>
      <w:r>
        <w:rPr>
          <w:color w:val="000000"/>
          <w:spacing w:val="0"/>
          <w:w w:val="100"/>
          <w:position w:val="0"/>
          <w:shd w:val="clear" w:color="auto" w:fill="FFFFFF"/>
        </w:rPr>
        <w:t>股，回购价格为人民币</w:t>
      </w:r>
      <w:r>
        <w:rPr>
          <w:rFonts w:ascii="Times New Roman" w:eastAsia="Times New Roman" w:hAnsi="Times New Roman" w:cs="Times New Roman"/>
          <w:color w:val="000000"/>
          <w:spacing w:val="0"/>
          <w:w w:val="100"/>
          <w:position w:val="0"/>
          <w:shd w:val="clear" w:color="auto" w:fill="FFFFFF"/>
        </w:rPr>
        <w:t>11.8077</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股；回购注销的股份数量为</w:t>
      </w:r>
      <w:r>
        <w:rPr>
          <w:rFonts w:ascii="Times New Roman" w:eastAsia="Times New Roman" w:hAnsi="Times New Roman" w:cs="Times New Roman"/>
          <w:color w:val="000000"/>
          <w:spacing w:val="0"/>
          <w:w w:val="100"/>
          <w:position w:val="0"/>
          <w:shd w:val="clear" w:color="auto" w:fill="FFFFFF"/>
        </w:rPr>
        <w:t>153,330</w:t>
      </w:r>
      <w:r>
        <w:rPr>
          <w:color w:val="000000"/>
          <w:spacing w:val="0"/>
          <w:w w:val="100"/>
          <w:position w:val="0"/>
          <w:shd w:val="clear" w:color="auto" w:fill="FFFFFF"/>
        </w:rPr>
        <w:t>股，本次回购注销完成后，公司总股本变更为由</w:t>
      </w:r>
    </w:p>
    <w:p>
      <w:pPr>
        <w:pStyle w:val="Style55"/>
        <w:keepNext w:val="0"/>
        <w:keepLines w:val="0"/>
        <w:widowControl w:val="0"/>
        <w:numPr>
          <w:ilvl w:val="0"/>
          <w:numId w:val="11"/>
        </w:numPr>
        <w:shd w:val="clear" w:color="auto" w:fill="auto"/>
        <w:tabs>
          <w:tab w:pos="240" w:val="left"/>
          <w:tab w:pos="1059" w:val="left"/>
        </w:tabs>
        <w:bidi w:val="0"/>
        <w:spacing w:before="0" w:after="0"/>
        <w:ind w:left="0" w:right="0" w:firstLine="0"/>
        <w:jc w:val="left"/>
      </w:pPr>
      <w:bookmarkStart w:id="424" w:name="bookmark424"/>
      <w:bookmarkEnd w:id="424"/>
      <w:r>
        <w:rPr>
          <w:rFonts w:ascii="SimSun" w:eastAsia="SimSun" w:hAnsi="SimSun" w:cs="SimSun"/>
          <w:color w:val="000000"/>
          <w:spacing w:val="0"/>
          <w:w w:val="100"/>
          <w:position w:val="0"/>
        </w:rPr>
        <w:t xml:space="preserve">股变更为 </w:t>
      </w:r>
      <w:r>
        <w:rPr>
          <w:color w:val="000000"/>
          <w:spacing w:val="0"/>
          <w:w w:val="100"/>
          <w:position w:val="0"/>
        </w:rPr>
        <w:t xml:space="preserve">188,814,931 </w:t>
      </w:r>
      <w:r>
        <w:rPr>
          <w:rFonts w:ascii="SimSun" w:eastAsia="SimSun" w:hAnsi="SimSun" w:cs="SimSun"/>
          <w:color w:val="000000"/>
          <w:spacing w:val="0"/>
          <w:w w:val="100"/>
          <w:position w:val="0"/>
        </w:rPr>
        <w:t>股。</w:t>
      </w:r>
    </w:p>
    <w:p>
      <w:pPr>
        <w:pStyle w:val="Style30"/>
        <w:keepNext w:val="0"/>
        <w:keepLines w:val="0"/>
        <w:widowControl w:val="0"/>
        <w:shd w:val="clear" w:color="auto" w:fill="auto"/>
        <w:tabs>
          <w:tab w:pos="354" w:val="left"/>
        </w:tabs>
        <w:bidi w:val="0"/>
        <w:spacing w:before="0" w:after="340" w:line="312" w:lineRule="exact"/>
        <w:ind w:left="0" w:right="0" w:firstLine="0"/>
        <w:jc w:val="left"/>
      </w:pPr>
      <w:bookmarkStart w:id="425" w:name="bookmark425"/>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年度权益分派方案》，分红前本公司总股本为</w:t>
      </w:r>
      <w:r>
        <w:rPr>
          <w:rFonts w:ascii="Times New Roman" w:eastAsia="Times New Roman" w:hAnsi="Times New Roman" w:cs="Times New Roman"/>
          <w:color w:val="000000"/>
          <w:spacing w:val="0"/>
          <w:w w:val="100"/>
          <w:position w:val="0"/>
        </w:rPr>
        <w:t xml:space="preserve">188,814,931 </w:t>
      </w:r>
      <w:r>
        <w:rPr>
          <w:color w:val="000000"/>
          <w:spacing w:val="0"/>
          <w:w w:val="100"/>
          <w:position w:val="0"/>
        </w:rPr>
        <w:t>股，同意以股本溢价形成的资本公积金向全体股东每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94,484,124</w:t>
      </w:r>
      <w:r>
        <w:rPr>
          <w:color w:val="000000"/>
          <w:spacing w:val="0"/>
          <w:w w:val="100"/>
          <w:position w:val="0"/>
        </w:rPr>
        <w:t xml:space="preserve">万股，分红后总股本增至 </w:t>
      </w:r>
      <w:r>
        <w:rPr>
          <w:rFonts w:ascii="Times New Roman" w:eastAsia="Times New Roman" w:hAnsi="Times New Roman" w:cs="Times New Roman"/>
          <w:color w:val="000000"/>
          <w:spacing w:val="0"/>
          <w:w w:val="100"/>
          <w:position w:val="0"/>
        </w:rPr>
        <w:t>283,299,055</w:t>
      </w:r>
      <w:r>
        <w:rPr>
          <w:color w:val="000000"/>
          <w:spacing w:val="0"/>
          <w:w w:val="100"/>
          <w:position w:val="0"/>
        </w:rPr>
        <w:t>股。</w:t>
      </w:r>
    </w:p>
    <w:p>
      <w:pPr>
        <w:pStyle w:val="Style35"/>
        <w:keepNext/>
        <w:keepLines/>
        <w:widowControl w:val="0"/>
        <w:shd w:val="clear" w:color="auto" w:fill="auto"/>
        <w:tabs>
          <w:tab w:pos="378" w:val="left"/>
        </w:tabs>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现存的内部职工股情况</w:t>
      </w:r>
      <w:bookmarkEnd w:id="426"/>
      <w:bookmarkEnd w:id="427"/>
      <w:bookmarkEnd w:id="429"/>
    </w:p>
    <w:p>
      <w:pPr>
        <w:pStyle w:val="Style30"/>
        <w:keepNext w:val="0"/>
        <w:keepLines w:val="0"/>
        <w:widowControl w:val="0"/>
        <w:shd w:val="clear" w:color="auto" w:fill="auto"/>
        <w:bidi w:val="0"/>
        <w:spacing w:before="0" w:after="8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三</w:t>
      </w:r>
      <w:bookmarkEnd w:id="432"/>
      <w:r>
        <w:rPr>
          <w:color w:val="000000"/>
          <w:spacing w:val="0"/>
          <w:w w:val="100"/>
          <w:position w:val="0"/>
          <w:sz w:val="24"/>
          <w:szCs w:val="24"/>
        </w:rPr>
        <w:t>、股东和实际控制人情况</w:t>
      </w:r>
      <w:bookmarkEnd w:id="430"/>
      <w:bookmarkEnd w:id="431"/>
      <w:bookmarkEnd w:id="433"/>
    </w:p>
    <w:p>
      <w:pPr>
        <w:pStyle w:val="Style35"/>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、公司股东数量及持股情况</w:t>
      </w:r>
      <w:bookmarkEnd w:id="434"/>
      <w:bookmarkEnd w:id="435"/>
      <w:bookmarkEnd w:id="437"/>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0"/>
        <w:gridCol w:w="926"/>
        <w:gridCol w:w="1066"/>
        <w:gridCol w:w="1061"/>
        <w:gridCol w:w="1066"/>
        <w:gridCol w:w="1992"/>
        <w:gridCol w:w="1066"/>
      </w:tblGrid>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 披露日前 上一月末 普通股股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05"/>
        <w:gridCol w:w="1200"/>
        <w:gridCol w:w="926"/>
        <w:gridCol w:w="1066"/>
        <w:gridCol w:w="1061"/>
        <w:gridCol w:w="1066"/>
        <w:gridCol w:w="926"/>
        <w:gridCol w:w="1066"/>
        <w:gridCol w:w="10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益群集团控股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69,280,501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21219498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69,280,501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益志集团控股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18,611,351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6207141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18,611,351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益威集团控股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10,478,765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1606723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10,478,765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SYSTEX</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SOLUTIONS</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HK</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2,581,330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-6691211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中央汇金资产 管理有限责任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深圳俊图精科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张泽珍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邱元平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公司实际控制人为周志群先生，周志群先生持有公司控股股东益群集团控股有限公司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69,280,501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69,280,501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18,611,351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18,611,351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10,478,765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10,478,765</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杨小萍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3,183,100</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SYSTEX SOLUTIONS </w:t>
            </w:r>
            <w:r>
              <w:rPr>
                <w:color w:val="000000"/>
                <w:spacing w:val="0"/>
                <w:w w:val="100"/>
                <w:position w:val="0"/>
              </w:rPr>
              <w:t>(</w:t>
            </w:r>
            <w:r>
              <w:rPr>
                <w:rFonts w:ascii="Times New Roman" w:eastAsia="Times New Roman" w:hAnsi="Times New Roman" w:cs="Times New Roman"/>
                <w:color w:val="000000"/>
                <w:spacing w:val="0"/>
                <w:w w:val="100"/>
                <w:position w:val="0"/>
              </w:rPr>
              <w:t>HK</w:t>
            </w:r>
            <w:r>
              <w:rPr>
                <w:color w:val="000000"/>
                <w:spacing w:val="0"/>
                <w:w w:val="100"/>
                <w:position w:val="0"/>
              </w:rPr>
              <w:t>)</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2,581,330</w:t>
            </w:r>
          </w:p>
        </w:tc>
      </w:tr>
    </w:tbl>
    <w:p>
      <w:pPr>
        <w:spacing w:lineRule="exact" w:line="1"/>
        <w:rPr>
          <w:sz w:val="2"/>
          <w:szCs w:val="2"/>
        </w:rPr>
      </w:pPr>
      <w:r>
        <w:br w:type="page"/>
      </w:r>
    </w:p>
    <w:tbl>
      <w:tblPr>
        <w:tblOverlap w:val="never"/>
        <w:jc w:val="center"/>
        <w:tblLayout w:type="fixed"/>
      </w:tblPr>
      <w:tblGrid>
        <w:gridCol w:w="2405"/>
        <w:gridCol w:w="5045"/>
        <w:gridCol w:w="1066"/>
        <w:gridCol w:w="106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中央汇金资产管理有限责任公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1,765,697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深圳俊图精科投资有限公司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张泽珍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911,800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邱元平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806,648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806,648</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公司实际控制人为周志群先生，周志群先生持有公司控股股东益群集团控股有限公司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w:t>
            </w:r>
          </w:p>
        </w:tc>
      </w:tr>
    </w:tbl>
    <w:p>
      <w:pPr>
        <w:pStyle w:val="Style30"/>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、公司控股股东情况</w:t>
      </w:r>
      <w:bookmarkEnd w:id="438"/>
      <w:bookmarkEnd w:id="439"/>
      <w:bookmarkEnd w:id="44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控股股东性质：外商控股</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5"/>
        <w:gridCol w:w="1594"/>
        <w:gridCol w:w="1752"/>
        <w:gridCol w:w="223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除投资本公司外，无其他经 营业务</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3</w:t>
      </w:r>
      <w:bookmarkEnd w:id="444"/>
      <w:r>
        <w:rPr>
          <w:color w:val="000000"/>
          <w:spacing w:val="0"/>
          <w:w w:val="100"/>
          <w:position w:val="0"/>
        </w:rPr>
        <w:t>、公司实际控制人及其一致行动人</w:t>
      </w:r>
      <w:bookmarkEnd w:id="442"/>
      <w:bookmarkEnd w:id="443"/>
      <w:bookmarkEnd w:id="44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实际控制人性质：境外自然人</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周志群先生持有公司控股股东益群控股</w:t>
            </w:r>
            <w:r>
              <w:rPr>
                <w:rFonts w:ascii="Times New Roman" w:eastAsia="Times New Roman" w:hAnsi="Times New Roman" w:cs="Times New Roman"/>
                <w:color w:val="000000"/>
                <w:spacing w:val="0"/>
                <w:w w:val="100"/>
                <w:position w:val="0"/>
              </w:rPr>
              <w:t>100%</w:t>
            </w:r>
            <w:r>
              <w:rPr>
                <w:color w:val="000000"/>
                <w:spacing w:val="0"/>
                <w:w w:val="100"/>
                <w:position w:val="0"/>
              </w:rPr>
              <w:t>股权，周志群先生现任本公司董事长。</w:t>
            </w:r>
          </w:p>
        </w:tc>
      </w:tr>
    </w:tbl>
    <w:p>
      <w:pPr>
        <w:spacing w:lineRule="exact" w:line="1"/>
        <w:rPr>
          <w:sz w:val="2"/>
          <w:szCs w:val="2"/>
        </w:rPr>
      </w:pPr>
      <w:r>
        <w:br w:type="page"/>
      </w:r>
    </w:p>
    <w:tbl>
      <w:tblPr>
        <w:tblOverlap w:val="never"/>
        <w:jc w:val="center"/>
        <w:tblLayout w:type="fixed"/>
      </w:tblPr>
      <w:tblGrid>
        <w:gridCol w:w="2400"/>
        <w:gridCol w:w="724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060065" cy="219456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060065" cy="2194560"/>
                    </a:xfrm>
                    <a:prstGeom prst="rect"/>
                  </pic:spPr>
                </pic:pic>
              </a:graphicData>
            </a:graphic>
          </wp:inline>
        </w:drawing>
      </w:r>
    </w:p>
    <w:p>
      <w:pPr>
        <w:widowControl w:val="0"/>
        <w:spacing w:after="35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4</w:t>
      </w:r>
      <w:bookmarkEnd w:id="44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6"/>
      <w:bookmarkEnd w:id="447"/>
      <w:bookmarkEnd w:id="44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5</w:t>
      </w:r>
      <w:bookmarkEnd w:id="452"/>
      <w:r>
        <w:rPr>
          <w:color w:val="000000"/>
          <w:spacing w:val="0"/>
          <w:w w:val="100"/>
          <w:position w:val="0"/>
        </w:rPr>
        <w:t>、</w:t>
        <w:tab/>
        <w:t>控股股东、实际控制人、重组方及其他承诺主体股份限制减持情况</w:t>
      </w:r>
      <w:bookmarkEnd w:id="450"/>
      <w:bookmarkEnd w:id="451"/>
      <w:bookmarkEnd w:id="453"/>
    </w:p>
    <w:p>
      <w:pPr>
        <w:pStyle w:val="Style30"/>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144" w:right="1123" w:bottom="1396" w:left="109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7" name="Shape 7"/>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454" w:name="bookmark454"/>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bookmarkEnd w:id="454"/>
                          </w:p>
                        </w:txbxContent>
                      </wps:txbx>
                      <wps:bodyPr wrap="none" lIns="0" tIns="0" rIns="0" bIns="0">
                        <a:noAutoFit/>
                      </wps:bodyPr>
                    </wps:wsp>
                  </a:graphicData>
                </a:graphic>
              </wp:anchor>
            </w:drawing>
          </mc:Choice>
          <mc:Fallback>
            <w:pict>
              <v:shape id="_x0000_s1033" type="#_x0000_t202" style="position:absolute;margin-left:212.30000000000001pt;margin-top:0;width:170.40000000000001pt;height:19.199999999999999pt;z-index:-125829375;mso-wrap-distance-left:0;mso-wrap-distance-right:0;mso-wrap-distance-bottom:2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454" w:name="bookmark454"/>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bookmarkEnd w:id="454"/>
                    </w:p>
                  </w:txbxContent>
                </v:textbox>
                <w10:wrap type="topAndBottom" anchorx="page"/>
              </v:shape>
            </w:pict>
          </mc:Fallback>
        </mc:AlternateConten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26" w:bottom="1935" w:left="1107" w:header="0" w:footer="3" w:gutter="0"/>
          <w:cols w:space="720"/>
          <w:noEndnote/>
          <w:rtlGutter w:val="0"/>
          <w:docGrid w:linePitch="360"/>
        </w:sectPr>
      </w:pPr>
      <w:r>
        <w:rPr>
          <w:color w:val="000000"/>
          <w:spacing w:val="0"/>
          <w:w w:val="100"/>
          <w:position w:val="0"/>
        </w:rPr>
        <w:t>报告期公司不存在优先股。</w:t>
      </w:r>
    </w:p>
    <w:p>
      <w:pPr>
        <w:pStyle w:val="Style20"/>
        <w:keepNext/>
        <w:keepLines/>
        <w:widowControl w:val="0"/>
        <w:shd w:val="clear" w:color="auto" w:fill="auto"/>
        <w:bidi w:val="0"/>
        <w:spacing w:before="580" w:line="240" w:lineRule="auto"/>
        <w:ind w:left="0" w:right="0" w:firstLine="0"/>
        <w:jc w:val="center"/>
      </w:pPr>
      <w:bookmarkStart w:id="458" w:name="bookmark458"/>
      <w:bookmarkStart w:id="459" w:name="bookmark459"/>
      <w:bookmarkStart w:id="460" w:name="bookmark460"/>
      <w:bookmarkStart w:id="461" w:name="bookmark461"/>
      <w:r>
        <w:rPr>
          <w:color w:val="000000"/>
          <w:spacing w:val="0"/>
          <w:w w:val="100"/>
          <w:position w:val="0"/>
        </w:rPr>
        <w:t>第八节可转换公司债券相关情况</w:t>
      </w:r>
      <w:bookmarkEnd w:id="459"/>
      <w:bookmarkEnd w:id="460"/>
      <w:bookmarkEnd w:id="461"/>
      <w:bookmarkEnd w:id="45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20"/>
        <w:keepNext/>
        <w:keepLines/>
        <w:widowControl w:val="0"/>
        <w:shd w:val="clear" w:color="auto" w:fill="auto"/>
        <w:bidi w:val="0"/>
        <w:spacing w:before="0" w:after="520" w:line="240" w:lineRule="auto"/>
        <w:ind w:left="0" w:right="0" w:firstLine="0"/>
        <w:jc w:val="center"/>
      </w:pPr>
      <w:bookmarkStart w:id="462" w:name="bookmark462"/>
      <w:bookmarkStart w:id="463" w:name="bookmark463"/>
      <w:bookmarkStart w:id="464" w:name="bookmark464"/>
      <w:bookmarkStart w:id="465" w:name="bookmark465"/>
      <w:r>
        <w:rPr>
          <w:color w:val="000000"/>
          <w:spacing w:val="0"/>
          <w:w w:val="100"/>
          <w:position w:val="0"/>
        </w:rPr>
        <w:t>第九节董事、监事、高级管理人员和员工情况</w:t>
      </w:r>
      <w:bookmarkEnd w:id="463"/>
      <w:bookmarkEnd w:id="464"/>
      <w:bookmarkEnd w:id="465"/>
      <w:bookmarkEnd w:id="462"/>
    </w:p>
    <w:p>
      <w:pPr>
        <w:pStyle w:val="Style28"/>
        <w:keepNext/>
        <w:keepLines/>
        <w:widowControl w:val="0"/>
        <w:shd w:val="clear" w:color="auto" w:fill="auto"/>
        <w:bidi w:val="0"/>
        <w:spacing w:before="0" w:after="32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、董事、监事和高级管理人员持股变动</w:t>
      </w:r>
      <w:bookmarkEnd w:id="466"/>
      <w:bookmarkEnd w:id="467"/>
      <w:bookmarkEnd w:id="469"/>
    </w:p>
    <w:tbl>
      <w:tblPr>
        <w:tblOverlap w:val="never"/>
        <w:jc w:val="center"/>
        <w:tblLayout w:type="fixed"/>
      </w:tblPr>
      <w:tblGrid>
        <w:gridCol w:w="806"/>
        <w:gridCol w:w="941"/>
        <w:gridCol w:w="763"/>
        <w:gridCol w:w="821"/>
        <w:gridCol w:w="490"/>
        <w:gridCol w:w="970"/>
        <w:gridCol w:w="797"/>
        <w:gridCol w:w="797"/>
        <w:gridCol w:w="802"/>
        <w:gridCol w:w="797"/>
        <w:gridCol w:w="797"/>
        <w:gridCol w:w="80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80" w:right="0" w:hanging="380"/>
              <w:jc w:val="both"/>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董事、总经 理、董事会 秘书、财务 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180,146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633,357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633,357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苏哲锋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麦荣昌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黄开炳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赵海洋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邓玉桂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朱梓昕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陈淑玲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06"/>
        <w:gridCol w:w="941"/>
        <w:gridCol w:w="763"/>
        <w:gridCol w:w="821"/>
        <w:gridCol w:w="490"/>
        <w:gridCol w:w="970"/>
        <w:gridCol w:w="797"/>
        <w:gridCol w:w="797"/>
        <w:gridCol w:w="802"/>
        <w:gridCol w:w="797"/>
        <w:gridCol w:w="797"/>
        <w:gridCol w:w="8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朱天伟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1,210,320</w:t>
            </w:r>
          </w:p>
        </w:tc>
      </w:tr>
    </w:tbl>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both"/>
      </w:pPr>
      <w:bookmarkStart w:id="470" w:name="bookmark470"/>
      <w:bookmarkStart w:id="471" w:name="bookmark471"/>
      <w:bookmarkStart w:id="472" w:name="bookmark472"/>
      <w:bookmarkStart w:id="473" w:name="bookmark473"/>
      <w:r>
        <w:rPr>
          <w:color w:val="000000"/>
          <w:spacing w:val="0"/>
          <w:w w:val="100"/>
          <w:position w:val="0"/>
          <w:sz w:val="24"/>
          <w:szCs w:val="24"/>
        </w:rPr>
        <w:t>二</w:t>
      </w:r>
      <w:bookmarkEnd w:id="472"/>
      <w:r>
        <w:rPr>
          <w:color w:val="000000"/>
          <w:spacing w:val="0"/>
          <w:w w:val="100"/>
          <w:position w:val="0"/>
          <w:sz w:val="24"/>
          <w:szCs w:val="24"/>
        </w:rPr>
        <w:t>、公司董事、监事、高级管理人员变动情况</w:t>
      </w:r>
      <w:bookmarkEnd w:id="470"/>
      <w:bookmarkEnd w:id="471"/>
      <w:bookmarkEnd w:id="473"/>
    </w:p>
    <w:p>
      <w:pPr>
        <w:pStyle w:val="Style30"/>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sz w:val="24"/>
          <w:szCs w:val="24"/>
        </w:rPr>
        <w:t>三</w:t>
      </w:r>
      <w:bookmarkEnd w:id="476"/>
      <w:r>
        <w:rPr>
          <w:color w:val="000000"/>
          <w:spacing w:val="0"/>
          <w:w w:val="100"/>
          <w:position w:val="0"/>
          <w:sz w:val="24"/>
          <w:szCs w:val="24"/>
        </w:rPr>
        <w:t>、任职情况</w:t>
      </w:r>
      <w:bookmarkEnd w:id="474"/>
      <w:bookmarkEnd w:id="475"/>
      <w:bookmarkEnd w:id="477"/>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40" w:line="313" w:lineRule="exact"/>
        <w:ind w:left="0" w:right="0" w:firstLine="0"/>
        <w:jc w:val="both"/>
      </w:pPr>
      <w:bookmarkStart w:id="478" w:name="bookmark478"/>
      <w:r>
        <w:rPr>
          <w:color w:val="000000"/>
          <w:spacing w:val="0"/>
          <w:w w:val="100"/>
          <w:position w:val="0"/>
        </w:rPr>
        <w:t>（</w:t>
      </w:r>
      <w:bookmarkEnd w:id="478"/>
      <w:r>
        <w:rPr>
          <w:color w:val="000000"/>
          <w:spacing w:val="0"/>
          <w:w w:val="100"/>
          <w:position w:val="0"/>
        </w:rPr>
        <w:t>一）董事会成员</w:t>
      </w:r>
    </w:p>
    <w:p>
      <w:pPr>
        <w:pStyle w:val="Style30"/>
        <w:keepNext w:val="0"/>
        <w:keepLines w:val="0"/>
        <w:widowControl w:val="0"/>
        <w:shd w:val="clear" w:color="auto" w:fill="auto"/>
        <w:tabs>
          <w:tab w:pos="299" w:val="left"/>
        </w:tabs>
        <w:bidi w:val="0"/>
        <w:spacing w:before="0" w:after="40" w:line="310" w:lineRule="exact"/>
        <w:ind w:left="0" w:right="0" w:firstLine="0"/>
        <w:jc w:val="both"/>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周志群，男，</w:t>
      </w:r>
      <w:r>
        <w:rPr>
          <w:color w:val="000000"/>
          <w:spacing w:val="0"/>
          <w:w w:val="100"/>
          <w:position w:val="0"/>
        </w:rPr>
        <w:t>1971</w:t>
      </w:r>
      <w:r>
        <w:rPr>
          <w:color w:val="000000"/>
          <w:spacing w:val="0"/>
          <w:w w:val="100"/>
          <w:position w:val="0"/>
        </w:rPr>
        <w:t>年出生，中国国籍，香港永久居民。毕业于香港中文大学，社会科学学士。</w:t>
      </w:r>
      <w:r>
        <w:rPr>
          <w:color w:val="000000"/>
          <w:spacing w:val="0"/>
          <w:w w:val="100"/>
          <w:position w:val="0"/>
        </w:rPr>
        <w:t>1995</w:t>
      </w:r>
      <w:r>
        <w:rPr>
          <w:color w:val="000000"/>
          <w:spacing w:val="0"/>
          <w:w w:val="100"/>
          <w:position w:val="0"/>
        </w:rPr>
        <w:t>年至</w:t>
      </w:r>
      <w:r>
        <w:rPr>
          <w:color w:val="000000"/>
          <w:spacing w:val="0"/>
          <w:w w:val="100"/>
          <w:position w:val="0"/>
        </w:rPr>
        <w:t>2001</w:t>
      </w:r>
      <w:r>
        <w:rPr>
          <w:color w:val="000000"/>
          <w:spacing w:val="0"/>
          <w:w w:val="100"/>
          <w:position w:val="0"/>
        </w:rPr>
        <w:t>年就职 于永丰余精业科技电子（北京）有限公司，任华南区区域经理；</w:t>
      </w:r>
      <w:r>
        <w:rPr>
          <w:color w:val="000000"/>
          <w:spacing w:val="0"/>
          <w:w w:val="100"/>
          <w:position w:val="0"/>
        </w:rPr>
        <w:t>2001</w:t>
      </w:r>
      <w:r>
        <w:rPr>
          <w:color w:val="000000"/>
          <w:spacing w:val="0"/>
          <w:w w:val="100"/>
          <w:position w:val="0"/>
        </w:rPr>
        <w:t>年至</w:t>
      </w:r>
      <w:r>
        <w:rPr>
          <w:color w:val="000000"/>
          <w:spacing w:val="0"/>
          <w:w w:val="100"/>
          <w:position w:val="0"/>
        </w:rPr>
        <w:t>2003</w:t>
      </w:r>
      <w:r>
        <w:rPr>
          <w:color w:val="000000"/>
          <w:spacing w:val="0"/>
          <w:w w:val="100"/>
          <w:position w:val="0"/>
        </w:rPr>
        <w:t>年就职于深圳联合新创科技有限公司，任总经 理。</w:t>
      </w:r>
      <w:r>
        <w:rPr>
          <w:color w:val="000000"/>
          <w:spacing w:val="0"/>
          <w:w w:val="100"/>
          <w:position w:val="0"/>
        </w:rPr>
        <w:t>2003</w:t>
      </w:r>
      <w:r>
        <w:rPr>
          <w:color w:val="000000"/>
          <w:spacing w:val="0"/>
          <w:w w:val="100"/>
          <w:position w:val="0"/>
        </w:rPr>
        <w:t>年至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月任四方精创董事长、总经理，四方香港总经理。</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月至今任四方精创董事长。</w:t>
      </w:r>
    </w:p>
    <w:p>
      <w:pPr>
        <w:pStyle w:val="Style30"/>
        <w:keepNext w:val="0"/>
        <w:keepLines w:val="0"/>
        <w:widowControl w:val="0"/>
        <w:shd w:val="clear" w:color="auto" w:fill="auto"/>
        <w:tabs>
          <w:tab w:pos="309" w:val="left"/>
        </w:tabs>
        <w:bidi w:val="0"/>
        <w:spacing w:before="0" w:after="40" w:line="314" w:lineRule="exact"/>
        <w:ind w:left="0" w:right="0" w:firstLine="0"/>
        <w:jc w:val="both"/>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邓修生，男，</w:t>
      </w:r>
      <w:r>
        <w:rPr>
          <w:rFonts w:ascii="Times New Roman" w:eastAsia="Times New Roman" w:hAnsi="Times New Roman" w:cs="Times New Roman"/>
          <w:color w:val="000000"/>
          <w:spacing w:val="0"/>
          <w:w w:val="100"/>
          <w:position w:val="0"/>
        </w:rPr>
        <w:t>1967</w:t>
      </w:r>
      <w:r>
        <w:rPr>
          <w:color w:val="000000"/>
          <w:spacing w:val="0"/>
          <w:w w:val="100"/>
          <w:position w:val="0"/>
        </w:rPr>
        <w:t>年生，中国台湾居民。毕业于台湾逢甲大学，资讯工程学学士。</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年就职于永丰余精业科 技电子（北京）有限公司任技术部经理，</w:t>
      </w:r>
      <w:r>
        <w:rPr>
          <w:rFonts w:ascii="Times New Roman" w:eastAsia="Times New Roman" w:hAnsi="Times New Roman" w:cs="Times New Roman"/>
          <w:color w:val="000000"/>
          <w:spacing w:val="0"/>
          <w:w w:val="100"/>
          <w:position w:val="0"/>
        </w:rPr>
        <w:t>2001</w:t>
      </w:r>
      <w:r>
        <w:rPr>
          <w:color w:val="000000"/>
          <w:spacing w:val="0"/>
          <w:w w:val="100"/>
          <w:position w:val="0"/>
        </w:rPr>
        <w:t>年入职宏仁华乙信息技术有限公司任技术部经理，</w:t>
      </w:r>
      <w:r>
        <w:rPr>
          <w:rFonts w:ascii="Times New Roman" w:eastAsia="Times New Roman" w:hAnsi="Times New Roman" w:cs="Times New Roman"/>
          <w:color w:val="000000"/>
          <w:spacing w:val="0"/>
          <w:w w:val="100"/>
          <w:position w:val="0"/>
        </w:rPr>
        <w:t>2002</w:t>
      </w:r>
      <w:r>
        <w:rPr>
          <w:color w:val="000000"/>
          <w:spacing w:val="0"/>
          <w:w w:val="100"/>
          <w:position w:val="0"/>
        </w:rPr>
        <w:t>年入职深圳联合新创科 技有限公司任技术总监。</w:t>
      </w:r>
      <w:r>
        <w:rPr>
          <w:rFonts w:ascii="Times New Roman" w:eastAsia="Times New Roman" w:hAnsi="Times New Roman" w:cs="Times New Roman"/>
          <w:color w:val="000000"/>
          <w:spacing w:val="0"/>
          <w:w w:val="100"/>
          <w:position w:val="0"/>
        </w:rPr>
        <w:t>2003</w:t>
      </w:r>
      <w:r>
        <w:rPr>
          <w:color w:val="000000"/>
          <w:spacing w:val="0"/>
          <w:w w:val="100"/>
          <w:position w:val="0"/>
        </w:rPr>
        <w:t>年和周志群共同创立四方深圳担任技术总监。现任四方精创董事、四方香港副总经理。</w:t>
      </w:r>
    </w:p>
    <w:p>
      <w:pPr>
        <w:pStyle w:val="Style30"/>
        <w:keepNext w:val="0"/>
        <w:keepLines w:val="0"/>
        <w:widowControl w:val="0"/>
        <w:shd w:val="clear" w:color="auto" w:fill="auto"/>
        <w:tabs>
          <w:tab w:pos="313" w:val="left"/>
        </w:tabs>
        <w:bidi w:val="0"/>
        <w:spacing w:before="0" w:after="40" w:line="312" w:lineRule="exact"/>
        <w:ind w:left="0" w:right="0" w:firstLine="0"/>
        <w:jc w:val="both"/>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李琳，女，</w:t>
      </w:r>
      <w:r>
        <w:rPr>
          <w:color w:val="000000"/>
          <w:spacing w:val="0"/>
          <w:w w:val="100"/>
          <w:position w:val="0"/>
        </w:rPr>
        <w:t>1966</w:t>
      </w:r>
      <w:r>
        <w:rPr>
          <w:color w:val="000000"/>
          <w:spacing w:val="0"/>
          <w:w w:val="100"/>
          <w:position w:val="0"/>
        </w:rPr>
        <w:t>年出生，中国国籍，香港永久居民。毕业于英国</w:t>
      </w:r>
      <w:r>
        <w:rPr>
          <w:color w:val="000000"/>
          <w:spacing w:val="0"/>
          <w:w w:val="100"/>
          <w:position w:val="0"/>
        </w:rPr>
        <w:t>Edinburgh Napier</w:t>
      </w:r>
      <w:r>
        <w:rPr>
          <w:color w:val="000000"/>
          <w:spacing w:val="0"/>
          <w:w w:val="100"/>
          <w:position w:val="0"/>
        </w:rPr>
        <w:t>大学，工商管理硕士。</w:t>
      </w:r>
      <w:r>
        <w:rPr>
          <w:color w:val="000000"/>
          <w:spacing w:val="0"/>
          <w:w w:val="100"/>
          <w:position w:val="0"/>
        </w:rPr>
        <w:t>1989</w:t>
      </w:r>
      <w:r>
        <w:rPr>
          <w:color w:val="000000"/>
          <w:spacing w:val="0"/>
          <w:w w:val="100"/>
          <w:position w:val="0"/>
        </w:rPr>
        <w:t>年至</w:t>
      </w:r>
      <w:r>
        <w:rPr>
          <w:color w:val="000000"/>
          <w:spacing w:val="0"/>
          <w:w w:val="100"/>
          <w:position w:val="0"/>
        </w:rPr>
        <w:t xml:space="preserve">2006 </w:t>
      </w:r>
      <w:r>
        <w:rPr>
          <w:color w:val="000000"/>
          <w:spacing w:val="0"/>
          <w:w w:val="100"/>
          <w:position w:val="0"/>
        </w:rPr>
        <w:t>年先后就职于成都国营</w:t>
      </w:r>
      <w:r>
        <w:rPr>
          <w:color w:val="000000"/>
          <w:spacing w:val="0"/>
          <w:w w:val="100"/>
          <w:position w:val="0"/>
        </w:rPr>
        <w:t>906</w:t>
      </w:r>
      <w:r>
        <w:rPr>
          <w:color w:val="000000"/>
          <w:spacing w:val="0"/>
          <w:w w:val="100"/>
          <w:position w:val="0"/>
        </w:rPr>
        <w:t>厂、美商卫达国际股份有限公司驻广州办事处及深圳企业联合会、企业家协会等单位。</w:t>
      </w:r>
      <w:r>
        <w:rPr>
          <w:color w:val="000000"/>
          <w:spacing w:val="0"/>
          <w:w w:val="100"/>
          <w:position w:val="0"/>
        </w:rPr>
        <w:t>2008</w:t>
      </w:r>
      <w:r>
        <w:rPr>
          <w:color w:val="000000"/>
          <w:spacing w:val="0"/>
          <w:w w:val="100"/>
          <w:position w:val="0"/>
        </w:rPr>
        <w:t>年 任联合资讯董事。</w:t>
      </w:r>
      <w:r>
        <w:rPr>
          <w:color w:val="000000"/>
          <w:spacing w:val="0"/>
          <w:w w:val="100"/>
          <w:position w:val="0"/>
        </w:rPr>
        <w:t>2009</w:t>
      </w:r>
      <w:r>
        <w:rPr>
          <w:color w:val="000000"/>
          <w:spacing w:val="0"/>
          <w:w w:val="100"/>
          <w:position w:val="0"/>
        </w:rPr>
        <w:t>年至</w:t>
      </w:r>
      <w:r>
        <w:rPr>
          <w:color w:val="000000"/>
          <w:spacing w:val="0"/>
          <w:w w:val="100"/>
          <w:position w:val="0"/>
        </w:rPr>
        <w:t>2012</w:t>
      </w:r>
      <w:r>
        <w:rPr>
          <w:color w:val="000000"/>
          <w:spacing w:val="0"/>
          <w:w w:val="100"/>
          <w:position w:val="0"/>
        </w:rPr>
        <w:t>年任四方精创发展部总监并兼任四方香港副总经理。</w:t>
      </w:r>
      <w:r>
        <w:rPr>
          <w:color w:val="000000"/>
          <w:spacing w:val="0"/>
          <w:w w:val="100"/>
          <w:position w:val="0"/>
        </w:rPr>
        <w:t>2012</w:t>
      </w:r>
      <w:r>
        <w:rPr>
          <w:color w:val="000000"/>
          <w:spacing w:val="0"/>
          <w:w w:val="100"/>
          <w:position w:val="0"/>
        </w:rPr>
        <w:t>年至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月任四方精创董事、 副总经理兼董事会秘书、财务负责人，四方香港副总经理。</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月任四方精创董事、常务副总经理兼董事会 秘书、财务负责人，四方香港副总经理。</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月任四方精创董事、总经理兼董事会秘书、财务负责人、四方 香港总经理。</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月至今任四方精创董事、总经理兼董事会秘书、四方香港总经理。</w:t>
      </w:r>
    </w:p>
    <w:p>
      <w:pPr>
        <w:pStyle w:val="Style30"/>
        <w:keepNext w:val="0"/>
        <w:keepLines w:val="0"/>
        <w:widowControl w:val="0"/>
        <w:shd w:val="clear" w:color="auto" w:fill="auto"/>
        <w:tabs>
          <w:tab w:pos="309" w:val="left"/>
        </w:tabs>
        <w:bidi w:val="0"/>
        <w:spacing w:before="0" w:after="40" w:line="317" w:lineRule="exact"/>
        <w:ind w:left="0" w:right="0" w:firstLine="0"/>
        <w:jc w:val="both"/>
      </w:pPr>
      <w:bookmarkStart w:id="482" w:name="bookmark482"/>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陈荣发，男，</w:t>
      </w:r>
      <w:r>
        <w:rPr>
          <w:color w:val="000000"/>
          <w:spacing w:val="0"/>
          <w:w w:val="100"/>
          <w:position w:val="0"/>
        </w:rPr>
        <w:t>1973</w:t>
      </w:r>
      <w:r>
        <w:rPr>
          <w:color w:val="000000"/>
          <w:spacing w:val="0"/>
          <w:w w:val="100"/>
          <w:position w:val="0"/>
        </w:rPr>
        <w:t>年出生，中国香港居民。毕业于香港中文大学，社会科学学士。</w:t>
      </w:r>
      <w:r>
        <w:rPr>
          <w:color w:val="000000"/>
          <w:spacing w:val="0"/>
          <w:w w:val="100"/>
          <w:position w:val="0"/>
        </w:rPr>
        <w:t>1996</w:t>
      </w:r>
      <w:r>
        <w:rPr>
          <w:color w:val="000000"/>
          <w:spacing w:val="0"/>
          <w:w w:val="100"/>
          <w:position w:val="0"/>
        </w:rPr>
        <w:t>年至</w:t>
      </w:r>
      <w:r>
        <w:rPr>
          <w:color w:val="000000"/>
          <w:spacing w:val="0"/>
          <w:w w:val="100"/>
          <w:position w:val="0"/>
        </w:rPr>
        <w:t>2017</w:t>
      </w:r>
      <w:r>
        <w:rPr>
          <w:color w:val="000000"/>
          <w:spacing w:val="0"/>
          <w:w w:val="100"/>
          <w:position w:val="0"/>
        </w:rPr>
        <w:t>年期间任职至</w:t>
      </w:r>
      <w:r>
        <w:rPr>
          <w:color w:val="000000"/>
          <w:spacing w:val="0"/>
          <w:w w:val="100"/>
          <w:position w:val="0"/>
        </w:rPr>
        <w:t>IBM</w:t>
      </w:r>
      <w:r>
        <w:rPr>
          <w:color w:val="000000"/>
          <w:spacing w:val="0"/>
          <w:w w:val="100"/>
          <w:position w:val="0"/>
        </w:rPr>
        <w:t>中 国</w:t>
      </w:r>
      <w:r>
        <w:rPr>
          <w:color w:val="000000"/>
          <w:spacing w:val="0"/>
          <w:w w:val="100"/>
          <w:position w:val="0"/>
        </w:rPr>
        <w:t>/</w:t>
      </w:r>
      <w:r>
        <w:rPr>
          <w:color w:val="000000"/>
          <w:spacing w:val="0"/>
          <w:w w:val="100"/>
          <w:position w:val="0"/>
        </w:rPr>
        <w:t>香港有限公司银行业总经理。</w:t>
      </w:r>
      <w:r>
        <w:rPr>
          <w:color w:val="000000"/>
          <w:spacing w:val="0"/>
          <w:w w:val="100"/>
          <w:position w:val="0"/>
        </w:rPr>
        <w:t>2017</w:t>
      </w:r>
      <w:r>
        <w:rPr>
          <w:color w:val="000000"/>
          <w:spacing w:val="0"/>
          <w:w w:val="100"/>
          <w:position w:val="0"/>
        </w:rPr>
        <w:t>年至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月任四方香港行政总裁，</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月至今任四方精创副总经理、四方香港 行政总裁。</w:t>
      </w:r>
    </w:p>
    <w:p>
      <w:pPr>
        <w:pStyle w:val="Style30"/>
        <w:keepNext w:val="0"/>
        <w:keepLines w:val="0"/>
        <w:widowControl w:val="0"/>
        <w:shd w:val="clear" w:color="auto" w:fill="auto"/>
        <w:tabs>
          <w:tab w:pos="309" w:val="left"/>
        </w:tabs>
        <w:bidi w:val="0"/>
        <w:spacing w:before="0" w:after="40" w:line="313" w:lineRule="exact"/>
        <w:ind w:left="0" w:right="0" w:firstLine="0"/>
        <w:jc w:val="both"/>
      </w:pPr>
      <w:bookmarkStart w:id="483" w:name="bookmark483"/>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杨时飞，男，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年出生，中国国籍，香港永久居民。毕业于香港中文大学，工商管理学系学士，专修专业会计科。</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年任职德勤会计师行，</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年出任瑞致达</w:t>
      </w:r>
      <w:r>
        <w:rPr>
          <w:rFonts w:ascii="Times New Roman" w:eastAsia="Times New Roman" w:hAnsi="Times New Roman" w:cs="Times New Roman"/>
          <w:color w:val="000000"/>
          <w:spacing w:val="0"/>
          <w:w w:val="100"/>
          <w:position w:val="0"/>
        </w:rPr>
        <w:t>（</w:t>
      </w:r>
      <w:r>
        <w:rPr>
          <w:color w:val="000000"/>
          <w:spacing w:val="0"/>
          <w:w w:val="100"/>
          <w:position w:val="0"/>
        </w:rPr>
        <w:t>前为</w:t>
      </w:r>
      <w:r>
        <w:rPr>
          <w:rFonts w:ascii="Times New Roman" w:eastAsia="Times New Roman" w:hAnsi="Times New Roman" w:cs="Times New Roman"/>
          <w:color w:val="000000"/>
          <w:spacing w:val="0"/>
          <w:w w:val="100"/>
          <w:position w:val="0"/>
        </w:rPr>
        <w:t>Acceptor Trust Group</w:t>
      </w:r>
      <w:r>
        <w:rPr>
          <w:rFonts w:ascii="Times New Roman" w:eastAsia="Times New Roman" w:hAnsi="Times New Roman" w:cs="Times New Roman"/>
          <w:color w:val="000000"/>
          <w:spacing w:val="0"/>
          <w:w w:val="100"/>
          <w:position w:val="0"/>
        </w:rPr>
        <w:t>）</w:t>
      </w:r>
      <w:r>
        <w:rPr>
          <w:color w:val="000000"/>
          <w:spacing w:val="0"/>
          <w:w w:val="100"/>
          <w:position w:val="0"/>
        </w:rPr>
        <w:t>企业解决方案及管理高级经理，之后 从事高端客户私人信托规划至今超过十年，曾出任恒生银行于巴哈马海外业务代表，花旗私人银行财富管理信托业务助理副 总裁，交通银行信托及财富管理业务高级经理，华泰金融控股</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有限公司财富策划处私人财富管理副总裁。拥有香港会 计师公会注册会计师</w:t>
      </w:r>
      <w:r>
        <w:rPr>
          <w:rFonts w:ascii="Times New Roman" w:eastAsia="Times New Roman" w:hAnsi="Times New Roman" w:cs="Times New Roman"/>
          <w:color w:val="000000"/>
          <w:spacing w:val="0"/>
          <w:w w:val="100"/>
          <w:position w:val="0"/>
        </w:rPr>
        <w:t>（CPA</w:t>
      </w:r>
      <w:r>
        <w:rPr>
          <w:rFonts w:ascii="Times New Roman" w:eastAsia="Times New Roman" w:hAnsi="Times New Roman" w:cs="Times New Roman"/>
          <w:color w:val="000000"/>
          <w:spacing w:val="0"/>
          <w:w w:val="100"/>
          <w:position w:val="0"/>
        </w:rPr>
        <w:t>）</w:t>
      </w:r>
      <w:r>
        <w:rPr>
          <w:color w:val="000000"/>
          <w:spacing w:val="0"/>
          <w:w w:val="100"/>
          <w:position w:val="0"/>
        </w:rPr>
        <w:t>及信托和遗产从业者协会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TEP）</w:t>
      </w:r>
      <w:r>
        <w:rPr>
          <w:color w:val="000000"/>
          <w:spacing w:val="0"/>
          <w:w w:val="100"/>
          <w:position w:val="0"/>
        </w:rPr>
        <w:t>专业资格，</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月起至今任四方精创独立董事。</w:t>
      </w:r>
    </w:p>
    <w:p>
      <w:pPr>
        <w:pStyle w:val="Style30"/>
        <w:keepNext w:val="0"/>
        <w:keepLines w:val="0"/>
        <w:widowControl w:val="0"/>
        <w:shd w:val="clear" w:color="auto" w:fill="auto"/>
        <w:tabs>
          <w:tab w:pos="309" w:val="left"/>
        </w:tabs>
        <w:bidi w:val="0"/>
        <w:spacing w:before="0" w:after="40" w:line="310" w:lineRule="exact"/>
        <w:ind w:left="0" w:right="0" w:firstLine="0"/>
        <w:jc w:val="both"/>
      </w:pPr>
      <w:bookmarkStart w:id="484" w:name="bookmark484"/>
      <w:r>
        <w:rPr>
          <w:rFonts w:ascii="Times New Roman" w:eastAsia="Times New Roman" w:hAnsi="Times New Roman" w:cs="Times New Roman"/>
          <w:color w:val="000000"/>
          <w:spacing w:val="0"/>
          <w:w w:val="100"/>
          <w:position w:val="0"/>
        </w:rPr>
        <w:t>6</w:t>
      </w:r>
      <w:bookmarkEnd w:id="484"/>
      <w:r>
        <w:rPr>
          <w:color w:val="000000"/>
          <w:spacing w:val="0"/>
          <w:w w:val="100"/>
          <w:position w:val="0"/>
        </w:rPr>
        <w:t>、</w:t>
        <w:tab/>
        <w:t>麦荣昌，男，</w:t>
      </w:r>
      <w:r>
        <w:rPr>
          <w:rFonts w:ascii="Times New Roman" w:eastAsia="Times New Roman" w:hAnsi="Times New Roman" w:cs="Times New Roman"/>
          <w:color w:val="000000"/>
          <w:spacing w:val="0"/>
          <w:w w:val="100"/>
          <w:position w:val="0"/>
        </w:rPr>
        <w:t>1961</w:t>
      </w:r>
      <w:r>
        <w:rPr>
          <w:color w:val="000000"/>
          <w:spacing w:val="0"/>
          <w:w w:val="100"/>
          <w:position w:val="0"/>
        </w:rPr>
        <w:t>年出生，中国国籍，香港永久居民，加拿大居留权，毕业于加拿大滑铁卢大学，数学和电脑学士。</w:t>
      </w:r>
      <w:r>
        <w:rPr>
          <w:rFonts w:ascii="Times New Roman" w:eastAsia="Times New Roman" w:hAnsi="Times New Roman" w:cs="Times New Roman"/>
          <w:color w:val="000000"/>
          <w:spacing w:val="0"/>
          <w:w w:val="100"/>
          <w:position w:val="0"/>
        </w:rPr>
        <w:t xml:space="preserve">1985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月期间任职</w:t>
      </w:r>
      <w:r>
        <w:rPr>
          <w:rFonts w:ascii="Times New Roman" w:eastAsia="Times New Roman" w:hAnsi="Times New Roman" w:cs="Times New Roman"/>
          <w:color w:val="000000"/>
          <w:spacing w:val="0"/>
          <w:w w:val="100"/>
          <w:position w:val="0"/>
        </w:rPr>
        <w:t>IBM China/HongKong Limited</w:t>
      </w:r>
      <w:r>
        <w:rPr>
          <w:color w:val="000000"/>
          <w:spacing w:val="0"/>
          <w:w w:val="100"/>
          <w:position w:val="0"/>
        </w:rPr>
        <w:t>营业经理，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月期间任职</w:t>
      </w:r>
      <w:r>
        <w:rPr>
          <w:rFonts w:ascii="Times New Roman" w:eastAsia="Times New Roman" w:hAnsi="Times New Roman" w:cs="Times New Roman"/>
          <w:color w:val="000000"/>
          <w:spacing w:val="0"/>
          <w:w w:val="100"/>
          <w:position w:val="0"/>
        </w:rPr>
        <w:t>Delano Technology Corp.</w:t>
      </w:r>
      <w:r>
        <w:rPr>
          <w:color w:val="000000"/>
          <w:spacing w:val="0"/>
          <w:w w:val="100"/>
          <w:position w:val="0"/>
        </w:rPr>
        <w:t>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月至今任职马己仙国际（亚洲）有限公司行政总裁，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月起至今任四方精创独立董事。</w:t>
      </w:r>
    </w:p>
    <w:p>
      <w:pPr>
        <w:pStyle w:val="Style30"/>
        <w:keepNext w:val="0"/>
        <w:keepLines w:val="0"/>
        <w:widowControl w:val="0"/>
        <w:shd w:val="clear" w:color="auto" w:fill="auto"/>
        <w:tabs>
          <w:tab w:pos="309" w:val="left"/>
        </w:tabs>
        <w:bidi w:val="0"/>
        <w:spacing w:before="0" w:after="0" w:line="313" w:lineRule="exact"/>
        <w:ind w:left="0" w:right="0" w:firstLine="0"/>
        <w:jc w:val="both"/>
      </w:pPr>
      <w:bookmarkStart w:id="485" w:name="bookmark485"/>
      <w:r>
        <w:rPr>
          <w:rFonts w:ascii="Times New Roman" w:eastAsia="Times New Roman" w:hAnsi="Times New Roman" w:cs="Times New Roman"/>
          <w:color w:val="000000"/>
          <w:spacing w:val="0"/>
          <w:w w:val="100"/>
          <w:position w:val="0"/>
        </w:rPr>
        <w:t>7</w:t>
      </w:r>
      <w:bookmarkEnd w:id="485"/>
      <w:r>
        <w:rPr>
          <w:color w:val="000000"/>
          <w:spacing w:val="0"/>
          <w:w w:val="100"/>
          <w:position w:val="0"/>
        </w:rPr>
        <w:t>、</w:t>
        <w:tab/>
        <w:t>苏哲锋，男，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年出生，中国国籍，香港永久居民，毕业于香港科技大学，电子电机工程学士。</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月期间任职香港加贺电子有限公司销售总监；</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月至今任职德龙微电子技术有限公司总经理，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月起至今任四方 精创独立董事。</w:t>
      </w:r>
    </w:p>
    <w:p>
      <w:pPr>
        <w:pStyle w:val="Style30"/>
        <w:keepNext w:val="0"/>
        <w:keepLines w:val="0"/>
        <w:widowControl w:val="0"/>
        <w:shd w:val="clear" w:color="auto" w:fill="auto"/>
        <w:tabs>
          <w:tab w:pos="506" w:val="left"/>
        </w:tabs>
        <w:bidi w:val="0"/>
        <w:spacing w:before="0" w:after="0" w:line="314" w:lineRule="exact"/>
        <w:ind w:left="0" w:right="0" w:firstLine="0"/>
        <w:jc w:val="both"/>
      </w:pPr>
      <w:bookmarkStart w:id="486" w:name="bookmark486"/>
      <w:r>
        <w:rPr>
          <w:color w:val="000000"/>
          <w:spacing w:val="0"/>
          <w:w w:val="100"/>
          <w:position w:val="0"/>
        </w:rPr>
        <w:t>（</w:t>
      </w:r>
      <w:bookmarkEnd w:id="486"/>
      <w:r>
        <w:rPr>
          <w:color w:val="000000"/>
          <w:spacing w:val="0"/>
          <w:w w:val="100"/>
          <w:position w:val="0"/>
        </w:rPr>
        <w:t>二）</w:t>
        <w:tab/>
        <w:t>监事会成员</w:t>
      </w:r>
    </w:p>
    <w:p>
      <w:pPr>
        <w:pStyle w:val="Style30"/>
        <w:keepNext w:val="0"/>
        <w:keepLines w:val="0"/>
        <w:widowControl w:val="0"/>
        <w:shd w:val="clear" w:color="auto" w:fill="auto"/>
        <w:tabs>
          <w:tab w:pos="319" w:val="left"/>
        </w:tabs>
        <w:bidi w:val="0"/>
        <w:spacing w:before="0" w:after="0" w:line="312" w:lineRule="exact"/>
        <w:ind w:left="0" w:right="0" w:firstLine="0"/>
        <w:jc w:val="both"/>
      </w:pPr>
      <w:bookmarkStart w:id="487" w:name="bookmark487"/>
      <w:r>
        <w:rPr>
          <w:color w:val="000000"/>
          <w:spacing w:val="0"/>
          <w:w w:val="100"/>
          <w:position w:val="0"/>
        </w:rPr>
        <w:t>1</w:t>
      </w:r>
      <w:bookmarkEnd w:id="487"/>
      <w:r>
        <w:rPr>
          <w:color w:val="000000"/>
          <w:spacing w:val="0"/>
          <w:w w:val="100"/>
          <w:position w:val="0"/>
        </w:rPr>
        <w:t>、</w:t>
        <w:tab/>
        <w:t>黄开炳，男，</w:t>
      </w:r>
      <w:r>
        <w:rPr>
          <w:color w:val="000000"/>
          <w:spacing w:val="0"/>
          <w:w w:val="100"/>
          <w:position w:val="0"/>
        </w:rPr>
        <w:t>1981</w:t>
      </w:r>
      <w:r>
        <w:rPr>
          <w:color w:val="000000"/>
          <w:spacing w:val="0"/>
          <w:w w:val="100"/>
          <w:position w:val="0"/>
        </w:rPr>
        <w:t>年出生，中国国籍，无境外永久居留权。毕业于华中科技大学办公自动化专业，大专学历。</w:t>
      </w:r>
      <w:r>
        <w:rPr>
          <w:color w:val="000000"/>
          <w:spacing w:val="0"/>
          <w:w w:val="100"/>
          <w:position w:val="0"/>
        </w:rPr>
        <w:t>2003</w:t>
      </w:r>
      <w:r>
        <w:rPr>
          <w:color w:val="000000"/>
          <w:spacing w:val="0"/>
          <w:w w:val="100"/>
          <w:position w:val="0"/>
        </w:rPr>
        <w:t>年 至</w:t>
      </w:r>
      <w:r>
        <w:rPr>
          <w:color w:val="000000"/>
          <w:spacing w:val="0"/>
          <w:w w:val="100"/>
          <w:position w:val="0"/>
        </w:rPr>
        <w:t>2005</w:t>
      </w:r>
      <w:r>
        <w:rPr>
          <w:color w:val="000000"/>
          <w:spacing w:val="0"/>
          <w:w w:val="100"/>
          <w:position w:val="0"/>
        </w:rPr>
        <w:t>年任深圳市联合新创科技有限公司软件工程师。</w:t>
      </w:r>
      <w:r>
        <w:rPr>
          <w:color w:val="000000"/>
          <w:spacing w:val="0"/>
          <w:w w:val="100"/>
          <w:position w:val="0"/>
        </w:rPr>
        <w:t>2005</w:t>
      </w:r>
      <w:r>
        <w:rPr>
          <w:color w:val="000000"/>
          <w:spacing w:val="0"/>
          <w:w w:val="100"/>
          <w:position w:val="0"/>
        </w:rPr>
        <w:t>至今任四方精创系统分析师、项目经理、部门总监，四方精 创北京分公司副总经理，</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月起至今任四方精创监事会主席。</w:t>
      </w:r>
    </w:p>
    <w:p>
      <w:pPr>
        <w:pStyle w:val="Style30"/>
        <w:keepNext w:val="0"/>
        <w:keepLines w:val="0"/>
        <w:widowControl w:val="0"/>
        <w:shd w:val="clear" w:color="auto" w:fill="auto"/>
        <w:tabs>
          <w:tab w:pos="328" w:val="left"/>
        </w:tabs>
        <w:bidi w:val="0"/>
        <w:spacing w:before="0" w:after="0" w:line="314" w:lineRule="exact"/>
        <w:ind w:left="0" w:right="0" w:firstLine="0"/>
        <w:jc w:val="both"/>
      </w:pPr>
      <w:bookmarkStart w:id="488" w:name="bookmark488"/>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邓玉桂，男，</w:t>
      </w:r>
      <w:r>
        <w:rPr>
          <w:color w:val="000000"/>
          <w:spacing w:val="0"/>
          <w:w w:val="100"/>
          <w:position w:val="0"/>
        </w:rPr>
        <w:t>1983</w:t>
      </w:r>
      <w:r>
        <w:rPr>
          <w:color w:val="000000"/>
          <w:spacing w:val="0"/>
          <w:w w:val="100"/>
          <w:position w:val="0"/>
        </w:rPr>
        <w:t>年出生，中国国籍，无境外永久居留权。毕业于湖南工学院计算机科学专业，大专学历。</w:t>
      </w:r>
      <w:r>
        <w:rPr>
          <w:color w:val="000000"/>
          <w:spacing w:val="0"/>
          <w:w w:val="100"/>
          <w:position w:val="0"/>
        </w:rPr>
        <w:t>2003</w:t>
      </w:r>
      <w:r>
        <w:rPr>
          <w:color w:val="000000"/>
          <w:spacing w:val="0"/>
          <w:w w:val="100"/>
          <w:position w:val="0"/>
        </w:rPr>
        <w:t>年至</w:t>
      </w:r>
      <w:r>
        <w:rPr>
          <w:color w:val="000000"/>
          <w:spacing w:val="0"/>
          <w:w w:val="100"/>
          <w:position w:val="0"/>
        </w:rPr>
        <w:t xml:space="preserve">2004 </w:t>
      </w:r>
      <w:r>
        <w:rPr>
          <w:color w:val="000000"/>
          <w:spacing w:val="0"/>
          <w:w w:val="100"/>
          <w:position w:val="0"/>
        </w:rPr>
        <w:t>年任深圳朗思科技公司软件工程师。</w:t>
      </w:r>
      <w:r>
        <w:rPr>
          <w:color w:val="000000"/>
          <w:spacing w:val="0"/>
          <w:w w:val="100"/>
          <w:position w:val="0"/>
        </w:rPr>
        <w:t>2004</w:t>
      </w:r>
      <w:r>
        <w:rPr>
          <w:color w:val="000000"/>
          <w:spacing w:val="0"/>
          <w:w w:val="100"/>
          <w:position w:val="0"/>
        </w:rPr>
        <w:t>年至</w:t>
      </w:r>
      <w:r>
        <w:rPr>
          <w:color w:val="000000"/>
          <w:spacing w:val="0"/>
          <w:w w:val="100"/>
          <w:position w:val="0"/>
        </w:rPr>
        <w:t>2005</w:t>
      </w:r>
      <w:r>
        <w:rPr>
          <w:color w:val="000000"/>
          <w:spacing w:val="0"/>
          <w:w w:val="100"/>
          <w:position w:val="0"/>
        </w:rPr>
        <w:t>年任深圳高正软件公司软件工程师。</w:t>
      </w:r>
      <w:r>
        <w:rPr>
          <w:color w:val="000000"/>
          <w:spacing w:val="0"/>
          <w:w w:val="100"/>
          <w:position w:val="0"/>
        </w:rPr>
        <w:t>2005</w:t>
      </w:r>
      <w:r>
        <w:rPr>
          <w:color w:val="000000"/>
          <w:spacing w:val="0"/>
          <w:w w:val="100"/>
          <w:position w:val="0"/>
        </w:rPr>
        <w:t>年至今任四方精创软件工程 师、系统分析师、项目经理、部门副总监，</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月起至今任四方精创监事。</w:t>
      </w:r>
    </w:p>
    <w:p>
      <w:pPr>
        <w:pStyle w:val="Style30"/>
        <w:keepNext w:val="0"/>
        <w:keepLines w:val="0"/>
        <w:widowControl w:val="0"/>
        <w:shd w:val="clear" w:color="auto" w:fill="auto"/>
        <w:bidi w:val="0"/>
        <w:spacing w:before="0" w:after="0" w:line="312" w:lineRule="exact"/>
        <w:ind w:left="0" w:right="0" w:firstLine="0"/>
        <w:jc w:val="both"/>
      </w:pPr>
      <w:bookmarkStart w:id="489" w:name="bookmark489"/>
      <w:r>
        <w:rPr>
          <w:rFonts w:ascii="Times New Roman" w:eastAsia="Times New Roman" w:hAnsi="Times New Roman" w:cs="Times New Roman"/>
          <w:color w:val="000000"/>
          <w:spacing w:val="0"/>
          <w:w w:val="100"/>
          <w:position w:val="0"/>
        </w:rPr>
        <w:t>3</w:t>
      </w:r>
      <w:bookmarkEnd w:id="489"/>
      <w:r>
        <w:rPr>
          <w:color w:val="000000"/>
          <w:spacing w:val="0"/>
          <w:w w:val="100"/>
          <w:position w:val="0"/>
        </w:rPr>
        <w:t>、 赵海洋，男，</w:t>
      </w:r>
      <w:r>
        <w:rPr>
          <w:color w:val="000000"/>
          <w:spacing w:val="0"/>
          <w:w w:val="100"/>
          <w:position w:val="0"/>
        </w:rPr>
        <w:t>1979</w:t>
      </w:r>
      <w:r>
        <w:rPr>
          <w:color w:val="000000"/>
          <w:spacing w:val="0"/>
          <w:w w:val="100"/>
          <w:position w:val="0"/>
        </w:rPr>
        <w:t>年出生，中国国籍，无境外永久居留权。毕业于青岛科技大学材料物理专业，本科学历。</w:t>
      </w:r>
      <w:r>
        <w:rPr>
          <w:color w:val="000000"/>
          <w:spacing w:val="0"/>
          <w:w w:val="100"/>
          <w:position w:val="0"/>
        </w:rPr>
        <w:t>2005</w:t>
      </w:r>
      <w:r>
        <w:rPr>
          <w:color w:val="000000"/>
          <w:spacing w:val="0"/>
          <w:w w:val="100"/>
          <w:position w:val="0"/>
        </w:rPr>
        <w:t>年至 今任四方精创软件工程师、系统分析师、项目经理、部门主管，</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月起至今任四方精创监事。</w:t>
      </w:r>
    </w:p>
    <w:p>
      <w:pPr>
        <w:pStyle w:val="Style30"/>
        <w:keepNext w:val="0"/>
        <w:keepLines w:val="0"/>
        <w:widowControl w:val="0"/>
        <w:shd w:val="clear" w:color="auto" w:fill="auto"/>
        <w:tabs>
          <w:tab w:pos="506" w:val="left"/>
        </w:tabs>
        <w:bidi w:val="0"/>
        <w:spacing w:before="0" w:after="0" w:line="314" w:lineRule="exact"/>
        <w:ind w:left="0" w:right="0" w:firstLine="0"/>
        <w:jc w:val="both"/>
      </w:pPr>
      <w:bookmarkStart w:id="490" w:name="bookmark490"/>
      <w:r>
        <w:rPr>
          <w:color w:val="000000"/>
          <w:spacing w:val="0"/>
          <w:w w:val="100"/>
          <w:position w:val="0"/>
        </w:rPr>
        <w:t>（</w:t>
      </w:r>
      <w:bookmarkEnd w:id="490"/>
      <w:r>
        <w:rPr>
          <w:color w:val="000000"/>
          <w:spacing w:val="0"/>
          <w:w w:val="100"/>
          <w:position w:val="0"/>
        </w:rPr>
        <w:t>三）</w:t>
        <w:tab/>
        <w:t>高级管理人员</w:t>
      </w:r>
    </w:p>
    <w:p>
      <w:pPr>
        <w:pStyle w:val="Style30"/>
        <w:keepNext w:val="0"/>
        <w:keepLines w:val="0"/>
        <w:widowControl w:val="0"/>
        <w:shd w:val="clear" w:color="auto" w:fill="auto"/>
        <w:tabs>
          <w:tab w:pos="309" w:val="left"/>
        </w:tabs>
        <w:bidi w:val="0"/>
        <w:spacing w:before="0" w:after="0" w:line="314" w:lineRule="exact"/>
        <w:ind w:left="0" w:right="0" w:firstLine="0"/>
        <w:jc w:val="both"/>
      </w:pPr>
      <w:bookmarkStart w:id="491" w:name="bookmark491"/>
      <w:r>
        <w:rPr>
          <w:color w:val="000000"/>
          <w:spacing w:val="0"/>
          <w:w w:val="100"/>
          <w:position w:val="0"/>
        </w:rPr>
        <w:t>1</w:t>
      </w:r>
      <w:bookmarkEnd w:id="491"/>
      <w:r>
        <w:rPr>
          <w:color w:val="000000"/>
          <w:spacing w:val="0"/>
          <w:w w:val="100"/>
          <w:position w:val="0"/>
        </w:rPr>
        <w:t>、</w:t>
        <w:tab/>
        <w:t>李琳，总经理，董事会秘书，参见本节（一）董事会成员”。</w:t>
      </w:r>
    </w:p>
    <w:p>
      <w:pPr>
        <w:pStyle w:val="Style30"/>
        <w:keepNext w:val="0"/>
        <w:keepLines w:val="0"/>
        <w:widowControl w:val="0"/>
        <w:shd w:val="clear" w:color="auto" w:fill="auto"/>
        <w:tabs>
          <w:tab w:pos="319" w:val="left"/>
        </w:tabs>
        <w:bidi w:val="0"/>
        <w:spacing w:before="0" w:after="0" w:line="314" w:lineRule="exact"/>
        <w:ind w:left="0" w:right="0" w:firstLine="0"/>
        <w:jc w:val="both"/>
      </w:pPr>
      <w:bookmarkStart w:id="492" w:name="bookmark492"/>
      <w:r>
        <w:rPr>
          <w:color w:val="000000"/>
          <w:spacing w:val="0"/>
          <w:w w:val="100"/>
          <w:position w:val="0"/>
        </w:rPr>
        <w:t>2</w:t>
      </w:r>
      <w:bookmarkEnd w:id="492"/>
      <w:r>
        <w:rPr>
          <w:color w:val="000000"/>
          <w:spacing w:val="0"/>
          <w:w w:val="100"/>
          <w:position w:val="0"/>
        </w:rPr>
        <w:t>、</w:t>
        <w:tab/>
        <w:t>陈荣发，副总经理，参见本节（一）董事会成员”。</w:t>
      </w:r>
    </w:p>
    <w:p>
      <w:pPr>
        <w:pStyle w:val="Style30"/>
        <w:keepNext w:val="0"/>
        <w:keepLines w:val="0"/>
        <w:widowControl w:val="0"/>
        <w:shd w:val="clear" w:color="auto" w:fill="auto"/>
        <w:tabs>
          <w:tab w:pos="319" w:val="left"/>
        </w:tabs>
        <w:bidi w:val="0"/>
        <w:spacing w:before="0" w:after="0" w:line="317" w:lineRule="exact"/>
        <w:ind w:left="0" w:right="0" w:firstLine="0"/>
        <w:jc w:val="both"/>
      </w:pPr>
      <w:bookmarkStart w:id="493" w:name="bookmark493"/>
      <w:r>
        <w:rPr>
          <w:color w:val="000000"/>
          <w:spacing w:val="0"/>
          <w:w w:val="100"/>
          <w:position w:val="0"/>
        </w:rPr>
        <w:t>3</w:t>
      </w:r>
      <w:bookmarkEnd w:id="493"/>
      <w:r>
        <w:rPr>
          <w:color w:val="000000"/>
          <w:spacing w:val="0"/>
          <w:w w:val="100"/>
          <w:position w:val="0"/>
        </w:rPr>
        <w:t>、</w:t>
        <w:tab/>
        <w:t>刘童，男，</w:t>
      </w:r>
      <w:r>
        <w:rPr>
          <w:color w:val="000000"/>
          <w:spacing w:val="0"/>
          <w:w w:val="100"/>
          <w:position w:val="0"/>
        </w:rPr>
        <w:t>1982</w:t>
      </w:r>
      <w:r>
        <w:rPr>
          <w:color w:val="000000"/>
          <w:spacing w:val="0"/>
          <w:w w:val="100"/>
          <w:position w:val="0"/>
        </w:rPr>
        <w:t>年出生，中国国籍，无境外永久居留权。毕业于哈尔滨理工大学计算机科学与技术专业，本科学历，工 学学士。</w:t>
      </w:r>
      <w:r>
        <w:rPr>
          <w:color w:val="000000"/>
          <w:spacing w:val="0"/>
          <w:w w:val="100"/>
          <w:position w:val="0"/>
        </w:rPr>
        <w:t>2004</w:t>
      </w:r>
      <w:r>
        <w:rPr>
          <w:color w:val="000000"/>
          <w:spacing w:val="0"/>
          <w:w w:val="100"/>
          <w:position w:val="0"/>
        </w:rPr>
        <w:t>年至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月任四方精创系统分析师、项目经理、事业群总经理、首席开发总监。现任四方精创副总经理兼 首席开发总监、事业群总经理。</w:t>
      </w:r>
    </w:p>
    <w:p>
      <w:pPr>
        <w:pStyle w:val="Style30"/>
        <w:keepNext w:val="0"/>
        <w:keepLines w:val="0"/>
        <w:widowControl w:val="0"/>
        <w:shd w:val="clear" w:color="auto" w:fill="auto"/>
        <w:tabs>
          <w:tab w:pos="323" w:val="left"/>
        </w:tabs>
        <w:bidi w:val="0"/>
        <w:spacing w:before="0" w:after="0" w:line="312" w:lineRule="exact"/>
        <w:ind w:left="0" w:right="0" w:firstLine="0"/>
        <w:jc w:val="both"/>
      </w:pPr>
      <w:bookmarkStart w:id="494" w:name="bookmark494"/>
      <w:r>
        <w:rPr>
          <w:color w:val="000000"/>
          <w:spacing w:val="0"/>
          <w:w w:val="100"/>
          <w:position w:val="0"/>
        </w:rPr>
        <w:t>4</w:t>
      </w:r>
      <w:bookmarkEnd w:id="494"/>
      <w:r>
        <w:rPr>
          <w:color w:val="000000"/>
          <w:spacing w:val="0"/>
          <w:w w:val="100"/>
          <w:position w:val="0"/>
        </w:rPr>
        <w:t>、</w:t>
        <w:tab/>
        <w:t>朱梓昕，女，</w:t>
      </w:r>
      <w:r>
        <w:rPr>
          <w:color w:val="000000"/>
          <w:spacing w:val="0"/>
          <w:w w:val="100"/>
          <w:position w:val="0"/>
        </w:rPr>
        <w:t>1987</w:t>
      </w:r>
      <w:r>
        <w:rPr>
          <w:color w:val="000000"/>
          <w:spacing w:val="0"/>
          <w:w w:val="100"/>
          <w:position w:val="0"/>
        </w:rPr>
        <w:t>年出生，中国国籍，无境外永久居留权。毕业于河北经贸大学人力资源管理专业，本科学历，管理学 学士。曾任职唐山镍金实业有限公司，汉能薄膜太阳能有限公司。</w:t>
      </w:r>
      <w:r>
        <w:rPr>
          <w:color w:val="000000"/>
          <w:spacing w:val="0"/>
          <w:w w:val="100"/>
          <w:position w:val="0"/>
        </w:rPr>
        <w:t>2019</w:t>
      </w:r>
      <w:r>
        <w:rPr>
          <w:color w:val="000000"/>
          <w:spacing w:val="0"/>
          <w:w w:val="100"/>
          <w:position w:val="0"/>
        </w:rPr>
        <w:t>年至</w:t>
      </w:r>
      <w:r>
        <w:rPr>
          <w:color w:val="000000"/>
          <w:spacing w:val="0"/>
          <w:w w:val="100"/>
          <w:position w:val="0"/>
        </w:rPr>
        <w:t>2020</w:t>
      </w:r>
      <w:r>
        <w:rPr>
          <w:color w:val="000000"/>
          <w:spacing w:val="0"/>
          <w:w w:val="100"/>
          <w:position w:val="0"/>
        </w:rPr>
        <w:t>年任深圳海韵网络科技服务有限公司人力资 源经理。</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月任四方精创人力资源经理，现任四方精创副总经理兼人力资源经理。</w:t>
      </w:r>
    </w:p>
    <w:p>
      <w:pPr>
        <w:pStyle w:val="Style30"/>
        <w:keepNext w:val="0"/>
        <w:keepLines w:val="0"/>
        <w:widowControl w:val="0"/>
        <w:shd w:val="clear" w:color="auto" w:fill="auto"/>
        <w:tabs>
          <w:tab w:pos="323" w:val="left"/>
        </w:tabs>
        <w:bidi w:val="0"/>
        <w:spacing w:before="0" w:after="0" w:line="319" w:lineRule="exact"/>
        <w:ind w:left="0" w:right="0" w:firstLine="0"/>
        <w:jc w:val="both"/>
      </w:pPr>
      <w:bookmarkStart w:id="495" w:name="bookmark495"/>
      <w:r>
        <w:rPr>
          <w:color w:val="000000"/>
          <w:spacing w:val="0"/>
          <w:w w:val="100"/>
          <w:position w:val="0"/>
        </w:rPr>
        <w:t>5</w:t>
      </w:r>
      <w:bookmarkEnd w:id="495"/>
      <w:r>
        <w:rPr>
          <w:color w:val="000000"/>
          <w:spacing w:val="0"/>
          <w:w w:val="100"/>
          <w:position w:val="0"/>
        </w:rPr>
        <w:t>、</w:t>
        <w:tab/>
        <w:t>陈淑玲，女，</w:t>
      </w:r>
      <w:r>
        <w:rPr>
          <w:color w:val="000000"/>
          <w:spacing w:val="0"/>
          <w:w w:val="100"/>
          <w:position w:val="0"/>
        </w:rPr>
        <w:t>1986</w:t>
      </w:r>
      <w:r>
        <w:rPr>
          <w:color w:val="000000"/>
          <w:spacing w:val="0"/>
          <w:w w:val="100"/>
          <w:position w:val="0"/>
        </w:rPr>
        <w:t>年出生，中国国籍，无境外永久居留权。毕业于英国伦敦大学会计学专业，理学硕士学位。特许公认 会计师</w:t>
      </w:r>
      <w:r>
        <w:rPr>
          <w:color w:val="000000"/>
          <w:spacing w:val="0"/>
          <w:w w:val="100"/>
          <w:position w:val="0"/>
        </w:rPr>
        <w:t xml:space="preserve">（ACCA） </w:t>
      </w:r>
      <w:r>
        <w:rPr>
          <w:color w:val="000000"/>
          <w:spacing w:val="0"/>
          <w:w w:val="100"/>
          <w:position w:val="0"/>
        </w:rPr>
        <w:t>„ 2016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月任新加坡</w:t>
      </w:r>
      <w:r>
        <w:rPr>
          <w:color w:val="000000"/>
          <w:spacing w:val="0"/>
          <w:w w:val="100"/>
          <w:position w:val="0"/>
        </w:rPr>
        <w:t>SC GLOBAL DEVELOPMENT</w:t>
      </w:r>
      <w:r>
        <w:rPr>
          <w:color w:val="000000"/>
          <w:spacing w:val="0"/>
          <w:w w:val="100"/>
          <w:position w:val="0"/>
        </w:rPr>
        <w:t>公司财务主管岗位。</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月任四 方精创财务经理，现任四方精创财务负责人兼财务经理。</w:t>
      </w:r>
    </w:p>
    <w:p>
      <w:pPr>
        <w:pStyle w:val="Style3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在股东单位任职情况</w:t>
      </w:r>
    </w:p>
    <w:p>
      <w:pPr>
        <w:pStyle w:val="Style3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30"/>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SYSTEX SOLUTIONS </w:t>
            </w:r>
            <w:r>
              <w:rPr>
                <w:color w:val="000000"/>
                <w:spacing w:val="0"/>
                <w:w w:val="100"/>
                <w:position w:val="0"/>
              </w:rPr>
              <w:t>(</w:t>
            </w:r>
            <w:r>
              <w:rPr>
                <w:rFonts w:ascii="Times New Roman" w:eastAsia="Times New Roman" w:hAnsi="Times New Roman" w:cs="Times New Roman"/>
                <w:color w:val="000000"/>
                <w:spacing w:val="0"/>
                <w:w w:val="100"/>
                <w:position w:val="0"/>
              </w:rPr>
              <w:t>HK</w:t>
            </w:r>
            <w:r>
              <w:rPr>
                <w:color w:val="000000"/>
                <w:spacing w:val="0"/>
                <w:w w:val="100"/>
                <w:position w:val="0"/>
              </w:rPr>
              <w:t xml:space="preserve">) </w:t>
            </w: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石河子市信方精科股权投资合伙企业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r>
        <w:br w:type="page"/>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SYSTEX SOLUTIONS </w:t>
            </w:r>
            <w:r>
              <w:rPr>
                <w:color w:val="000000"/>
                <w:spacing w:val="0"/>
                <w:w w:val="100"/>
                <w:position w:val="0"/>
              </w:rPr>
              <w:t>(</w:t>
            </w:r>
            <w:r>
              <w:rPr>
                <w:rFonts w:ascii="Times New Roman" w:eastAsia="Times New Roman" w:hAnsi="Times New Roman" w:cs="Times New Roman"/>
                <w:color w:val="000000"/>
                <w:spacing w:val="0"/>
                <w:w w:val="100"/>
                <w:position w:val="0"/>
              </w:rPr>
              <w:t>HK</w:t>
            </w:r>
            <w:r>
              <w:rPr>
                <w:color w:val="000000"/>
                <w:spacing w:val="0"/>
                <w:w w:val="100"/>
                <w:position w:val="0"/>
              </w:rPr>
              <w:t xml:space="preserve">) </w:t>
            </w: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精璞投资股份有限公司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金桥资讯股份有限公司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精聚资讯股份有限公司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精诚软体服务股份有限公司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康和资讯系统股份有限公司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精诚随想行动科技股份有限公司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精诚科技整合股份有限公司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知意图股份有限公司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台湾计算机服务股份有限公司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内秋应智能科技股份有限公司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精诚精诠信息科技有限公司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精诚恒逸软件有限公司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精诚胜龙信息系统有限公司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Kimo.com</w:t>
            </w:r>
            <w:r>
              <w:rPr>
                <w:rFonts w:ascii="Times New Roman" w:eastAsia="Times New Roman" w:hAnsi="Times New Roman" w:cs="Times New Roman"/>
                <w:color w:val="000000"/>
                <w:spacing w:val="0"/>
                <w:w w:val="100"/>
                <w:position w:val="0"/>
              </w:rPr>
              <w:t xml:space="preserve"> (BVI)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Systex Capital Group,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Sysware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精联资讯股份有限公司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精智资讯科技股份有限公司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精睿资讯科技股份有限公司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董事、幕僚长 暨资深副总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瑞宝资讯科技</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精诚精诠信息科技有限公司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精诚恒逸软件有限公司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精诚胜龙信息系统有限公司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四</w:t>
      </w:r>
      <w:bookmarkEnd w:id="498"/>
      <w:r>
        <w:rPr>
          <w:color w:val="000000"/>
          <w:spacing w:val="0"/>
          <w:w w:val="100"/>
          <w:position w:val="0"/>
          <w:sz w:val="24"/>
          <w:szCs w:val="24"/>
        </w:rPr>
        <w:t>、董事、监事、高级管理人员报酬情况</w:t>
      </w:r>
      <w:bookmarkEnd w:id="496"/>
      <w:bookmarkEnd w:id="497"/>
      <w:bookmarkEnd w:id="49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tabs>
          <w:tab w:pos="334" w:val="left"/>
        </w:tabs>
        <w:bidi w:val="0"/>
        <w:spacing w:before="0" w:line="240" w:lineRule="auto"/>
        <w:ind w:left="0" w:right="0" w:firstLine="0"/>
        <w:jc w:val="left"/>
      </w:pPr>
      <w:bookmarkStart w:id="500" w:name="bookmark500"/>
      <w:r>
        <w:rPr>
          <w:rFonts w:ascii="Times New Roman" w:eastAsia="Times New Roman" w:hAnsi="Times New Roman" w:cs="Times New Roman"/>
          <w:color w:val="000000"/>
          <w:spacing w:val="0"/>
          <w:w w:val="100"/>
          <w:position w:val="0"/>
        </w:rPr>
        <w:t>1</w:t>
      </w:r>
      <w:bookmarkEnd w:id="500"/>
      <w:r>
        <w:rPr>
          <w:color w:val="000000"/>
          <w:spacing w:val="0"/>
          <w:w w:val="100"/>
          <w:position w:val="0"/>
        </w:rPr>
        <w:t>、</w:t>
        <w:tab/>
        <w:t>董事、监事、高级管理人员报酬决策程序：</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董事、监事及高级管理人员的薪酬方案由董事会薪酬与考核委员会拟定，经董事会、监事会、股东大会审议通过后实施。</w:t>
      </w:r>
    </w:p>
    <w:p>
      <w:pPr>
        <w:pStyle w:val="Style30"/>
        <w:keepNext w:val="0"/>
        <w:keepLines w:val="0"/>
        <w:widowControl w:val="0"/>
        <w:shd w:val="clear" w:color="auto" w:fill="auto"/>
        <w:tabs>
          <w:tab w:pos="354" w:val="left"/>
        </w:tabs>
        <w:bidi w:val="0"/>
        <w:spacing w:before="0" w:line="240" w:lineRule="auto"/>
        <w:ind w:left="0" w:right="0" w:firstLine="0"/>
        <w:jc w:val="left"/>
      </w:pPr>
      <w:bookmarkStart w:id="501" w:name="bookmark501"/>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董事、监事、高级管理人员报酬确定依据：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董事、监事和高级管理人员的报酬按照公司规定，结合其经营绩效、工作能力、岗位职责等考核确定并发放。</w:t>
      </w:r>
    </w:p>
    <w:p>
      <w:pPr>
        <w:pStyle w:val="Style30"/>
        <w:keepNext w:val="0"/>
        <w:keepLines w:val="0"/>
        <w:widowControl w:val="0"/>
        <w:shd w:val="clear" w:color="auto" w:fill="auto"/>
        <w:tabs>
          <w:tab w:pos="354" w:val="left"/>
        </w:tabs>
        <w:bidi w:val="0"/>
        <w:spacing w:before="0" w:line="240" w:lineRule="auto"/>
        <w:ind w:left="0" w:right="0" w:firstLine="0"/>
        <w:jc w:val="left"/>
      </w:pPr>
      <w:bookmarkStart w:id="502" w:name="bookmark502"/>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董事、监事和高级管理人员报酬实际支付情况：</w:t>
      </w:r>
    </w:p>
    <w:p>
      <w:pPr>
        <w:pStyle w:val="Style30"/>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本报告期实际支付董事、监事和高级管理人员报酬总额为</w:t>
      </w:r>
      <w:r>
        <w:rPr>
          <w:rFonts w:ascii="Times New Roman" w:eastAsia="Times New Roman" w:hAnsi="Times New Roman" w:cs="Times New Roman"/>
          <w:color w:val="000000"/>
          <w:spacing w:val="0"/>
          <w:w w:val="100"/>
          <w:position w:val="0"/>
        </w:rPr>
        <w:t>348.40</w:t>
      </w:r>
      <w:r>
        <w:rPr>
          <w:color w:val="000000"/>
          <w:spacing w:val="0"/>
          <w:w w:val="100"/>
          <w:position w:val="0"/>
        </w:rPr>
        <w:t>万元。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董事、总经理、 董事会秘书、财 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麦荣昌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苏哲锋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朱天伟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五</w:t>
      </w:r>
      <w:bookmarkEnd w:id="505"/>
      <w:r>
        <w:rPr>
          <w:color w:val="000000"/>
          <w:spacing w:val="0"/>
          <w:w w:val="100"/>
          <w:position w:val="0"/>
          <w:sz w:val="24"/>
          <w:szCs w:val="24"/>
        </w:rPr>
        <w:t>、公司员工情况</w:t>
      </w:r>
      <w:bookmarkEnd w:id="503"/>
      <w:bookmarkEnd w:id="504"/>
      <w:bookmarkEnd w:id="506"/>
    </w:p>
    <w:p>
      <w:pPr>
        <w:pStyle w:val="Style35"/>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、员工数量、专业构成及教育程度</w:t>
      </w:r>
      <w:bookmarkEnd w:id="507"/>
      <w:bookmarkEnd w:id="508"/>
      <w:bookmarkEnd w:id="51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w:t>
            </w:r>
          </w:p>
        </w:tc>
      </w:tr>
    </w:tbl>
    <w:p>
      <w:pPr>
        <w:widowControl w:val="0"/>
        <w:spacing w:after="279" w:line="1" w:lineRule="exact"/>
      </w:pPr>
    </w:p>
    <w:p>
      <w:pPr>
        <w:pStyle w:val="Style35"/>
        <w:keepNext/>
        <w:keepLines/>
        <w:widowControl w:val="0"/>
        <w:shd w:val="clear" w:color="auto" w:fill="auto"/>
        <w:tabs>
          <w:tab w:pos="378" w:val="left"/>
        </w:tabs>
        <w:bidi w:val="0"/>
        <w:spacing w:before="0" w:after="280" w:line="240" w:lineRule="auto"/>
        <w:ind w:left="0" w:right="0" w:firstLine="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薪酬政策</w:t>
      </w:r>
      <w:bookmarkEnd w:id="511"/>
      <w:bookmarkEnd w:id="512"/>
      <w:bookmarkEnd w:id="514"/>
    </w:p>
    <w:p>
      <w:pPr>
        <w:pStyle w:val="Style30"/>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公司秉持</w:t>
      </w:r>
      <w:r>
        <w:rPr>
          <w:rFonts w:ascii="Times New Roman" w:eastAsia="Times New Roman" w:hAnsi="Times New Roman" w:cs="Times New Roman"/>
          <w:color w:val="000000"/>
          <w:spacing w:val="0"/>
          <w:w w:val="100"/>
          <w:position w:val="0"/>
        </w:rPr>
        <w:t>“</w:t>
      </w:r>
      <w:r>
        <w:rPr>
          <w:color w:val="000000"/>
          <w:spacing w:val="0"/>
          <w:w w:val="100"/>
          <w:position w:val="0"/>
        </w:rPr>
        <w:t>勿忘初衷，四方精英；创业开拓，贡献社会</w:t>
      </w:r>
      <w:r>
        <w:rPr>
          <w:rFonts w:ascii="Times New Roman" w:eastAsia="Times New Roman" w:hAnsi="Times New Roman" w:cs="Times New Roman"/>
          <w:color w:val="000000"/>
          <w:spacing w:val="0"/>
          <w:w w:val="100"/>
          <w:position w:val="0"/>
        </w:rPr>
        <w:t>”</w:t>
      </w:r>
      <w:r>
        <w:rPr>
          <w:color w:val="000000"/>
          <w:spacing w:val="0"/>
          <w:w w:val="100"/>
          <w:position w:val="0"/>
        </w:rPr>
        <w:t>的经营理念，持续定位有竞争力的薪酬政策，通过不断完善公平、 健全的薪酬绩效体系，保证员工薪酬的内部公平性与外部竞争力。员工薪酬分为基本薪酬和绩效奖金两部分，基本薪酬部分 由岗位价值、专业技术水平等因素确定；绩效奖金部分以企业年度经营目标为导向。</w:t>
      </w:r>
    </w:p>
    <w:p>
      <w:pPr>
        <w:pStyle w:val="Style30"/>
        <w:keepNext w:val="0"/>
        <w:keepLines w:val="0"/>
        <w:widowControl w:val="0"/>
        <w:shd w:val="clear" w:color="auto" w:fill="auto"/>
        <w:bidi w:val="0"/>
        <w:spacing w:before="0" w:after="360" w:line="315" w:lineRule="exact"/>
        <w:ind w:left="0" w:right="0" w:firstLine="380"/>
        <w:jc w:val="left"/>
      </w:pPr>
      <w:r>
        <w:rPr>
          <w:color w:val="000000"/>
          <w:spacing w:val="0"/>
          <w:w w:val="100"/>
          <w:position w:val="0"/>
        </w:rPr>
        <w:t>为进一步吸引和保留核心骨干人才，公司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年均推出限制性股票激励计划，在实现公司与员工共同发展的同 时，彰显了公司在激励优秀人才方面的决心。</w:t>
      </w:r>
    </w:p>
    <w:p>
      <w:pPr>
        <w:pStyle w:val="Style35"/>
        <w:keepNext/>
        <w:keepLines/>
        <w:widowControl w:val="0"/>
        <w:shd w:val="clear" w:color="auto" w:fill="auto"/>
        <w:tabs>
          <w:tab w:pos="378" w:val="left"/>
        </w:tabs>
        <w:bidi w:val="0"/>
        <w:spacing w:before="0" w:after="280" w:line="240"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培训计划</w:t>
      </w:r>
      <w:bookmarkEnd w:id="515"/>
      <w:bookmarkEnd w:id="516"/>
      <w:bookmarkEnd w:id="518"/>
    </w:p>
    <w:p>
      <w:pPr>
        <w:pStyle w:val="Style30"/>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公司根据人力资源规划制定各部门不同岗位的年度培训计划，采取内训和外训相结合的方式，对各岗位员工进行专门培训。 培训主要包括：入职培训、业务培训，技术培训，高级管理培训，帮助员工提升其职业素养、业务能力及专业技能，提升公 司员工的整体素质，为公司培养发展所需的专业化人才，从而为公司持续发展提供人力资源的保障。</w:t>
      </w:r>
    </w:p>
    <w:p>
      <w:pPr>
        <w:pStyle w:val="Style35"/>
        <w:keepNext/>
        <w:keepLines/>
        <w:widowControl w:val="0"/>
        <w:shd w:val="clear" w:color="auto" w:fill="auto"/>
        <w:tabs>
          <w:tab w:pos="378" w:val="left"/>
        </w:tabs>
        <w:bidi w:val="0"/>
        <w:spacing w:before="0" w:after="28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4</w:t>
      </w:r>
      <w:bookmarkEnd w:id="521"/>
      <w:r>
        <w:rPr>
          <w:color w:val="000000"/>
          <w:spacing w:val="0"/>
          <w:w w:val="100"/>
          <w:position w:val="0"/>
        </w:rPr>
        <w:t>、</w:t>
        <w:tab/>
        <w:t>劳务外包情况</w:t>
      </w:r>
      <w:bookmarkEnd w:id="519"/>
      <w:bookmarkEnd w:id="520"/>
      <w:bookmarkEnd w:id="522"/>
    </w:p>
    <w:p>
      <w:pPr>
        <w:pStyle w:val="Style30"/>
        <w:keepNext w:val="0"/>
        <w:keepLines w:val="0"/>
        <w:widowControl w:val="0"/>
        <w:shd w:val="clear" w:color="auto" w:fill="auto"/>
        <w:bidi w:val="0"/>
        <w:spacing w:before="0" w:after="28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bookmarkStart w:id="526" w:name="bookmark526"/>
      <w:r>
        <w:rPr>
          <w:color w:val="000000"/>
          <w:spacing w:val="0"/>
          <w:w w:val="100"/>
          <w:position w:val="0"/>
        </w:rPr>
        <w:t>第十节公司治理</w:t>
      </w:r>
      <w:bookmarkEnd w:id="524"/>
      <w:bookmarkEnd w:id="525"/>
      <w:bookmarkEnd w:id="526"/>
      <w:bookmarkEnd w:id="523"/>
    </w:p>
    <w:p>
      <w:pPr>
        <w:pStyle w:val="Style28"/>
        <w:keepNext/>
        <w:keepLines/>
        <w:widowControl w:val="0"/>
        <w:shd w:val="clear" w:color="auto" w:fill="auto"/>
        <w:bidi w:val="0"/>
        <w:spacing w:before="0" w:after="2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一</w:t>
      </w:r>
      <w:bookmarkEnd w:id="529"/>
      <w:r>
        <w:rPr>
          <w:color w:val="000000"/>
          <w:spacing w:val="0"/>
          <w:w w:val="100"/>
          <w:position w:val="0"/>
          <w:sz w:val="24"/>
          <w:szCs w:val="24"/>
        </w:rPr>
        <w:t>、公司治理的基本状况</w:t>
      </w:r>
      <w:bookmarkEnd w:id="527"/>
      <w:bookmarkEnd w:id="528"/>
      <w:bookmarkEnd w:id="530"/>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《深圳证券交易所创业板上市公司规范运作指引》等有关法律法规、规范性文件的要求，不断完善公司法人治理结构，建立 健全公司内部管理制度，完善内部控制制度，促进公司规范运作，提高公司治理水平。截至本报告期末，公司股东大会、董 事会及各专门委员会、监事会、独立董事、董事会秘书和管理层均依法运作，切实履行应尽的职责和义务，未出现违法、违 规现象，公司治理的实际状况符合中国证监会、深圳证券交易所等发布的法律法规和规范性文件的要求。</w:t>
      </w:r>
    </w:p>
    <w:p>
      <w:pPr>
        <w:pStyle w:val="Style30"/>
        <w:keepNext w:val="0"/>
        <w:keepLines w:val="0"/>
        <w:widowControl w:val="0"/>
        <w:shd w:val="clear" w:color="auto" w:fill="auto"/>
        <w:tabs>
          <w:tab w:pos="318" w:val="left"/>
        </w:tabs>
        <w:bidi w:val="0"/>
        <w:spacing w:before="0" w:after="0" w:line="314" w:lineRule="exact"/>
        <w:ind w:left="0" w:right="0" w:firstLine="0"/>
        <w:jc w:val="left"/>
      </w:pPr>
      <w:bookmarkStart w:id="531" w:name="bookmark531"/>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t>关于股东和股东大会</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公司严格按照《公司法》、《公司章程》和《股东大会议事规则》等法律、法规要求，规范股东大会召集、召开、表决 程序，确保所有股东享有平等地位、平等权利，充分行使自己的权利，并承担相应的义务。报告期内，公司共召开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 大会，均使用网络投票和现场投票相结合的形式召开，为股东参加股东大会提供便利。</w:t>
      </w:r>
    </w:p>
    <w:p>
      <w:pPr>
        <w:pStyle w:val="Style30"/>
        <w:keepNext w:val="0"/>
        <w:keepLines w:val="0"/>
        <w:widowControl w:val="0"/>
        <w:shd w:val="clear" w:color="auto" w:fill="auto"/>
        <w:tabs>
          <w:tab w:pos="323" w:val="left"/>
        </w:tabs>
        <w:bidi w:val="0"/>
        <w:spacing w:before="0" w:after="0" w:line="314" w:lineRule="exact"/>
        <w:ind w:left="0" w:right="0" w:firstLine="0"/>
        <w:jc w:val="left"/>
      </w:pPr>
      <w:bookmarkStart w:id="532" w:name="bookmark532"/>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r>
      <w:r>
        <w:rPr>
          <w:color w:val="000000"/>
          <w:spacing w:val="0"/>
          <w:w w:val="100"/>
          <w:position w:val="0"/>
        </w:rPr>
        <w:t>关于公司与控股股东</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公司拥有独立完整的业务和自主经营能力，在业务、人员、资产、机构、财务上独立于控股股东，公司董事会、监事会 和内部机构独立运作。公司控股股东严格规范自己的行为，没有超越股东大会直接或间接干预公司的决策和经营活动。报告 期内</w:t>
      </w:r>
      <w:r>
        <w:rPr>
          <w:color w:val="000000"/>
          <w:spacing w:val="0"/>
          <w:w w:val="100"/>
          <w:position w:val="0"/>
        </w:rPr>
        <w:t>，</w:t>
      </w:r>
      <w:r>
        <w:rPr>
          <w:color w:val="000000"/>
          <w:spacing w:val="0"/>
          <w:w w:val="100"/>
          <w:position w:val="0"/>
        </w:rPr>
        <w:t>公司没有为控股股东提供担保，亦不存在控股股东非经营性占用公司资金的行为。</w:t>
      </w:r>
    </w:p>
    <w:p>
      <w:pPr>
        <w:pStyle w:val="Style30"/>
        <w:keepNext w:val="0"/>
        <w:keepLines w:val="0"/>
        <w:widowControl w:val="0"/>
        <w:shd w:val="clear" w:color="auto" w:fill="auto"/>
        <w:tabs>
          <w:tab w:pos="332" w:val="left"/>
        </w:tabs>
        <w:bidi w:val="0"/>
        <w:spacing w:before="0" w:after="0" w:line="314" w:lineRule="exact"/>
        <w:ind w:left="0" w:right="0" w:firstLine="0"/>
        <w:jc w:val="left"/>
      </w:pPr>
      <w:bookmarkStart w:id="533" w:name="bookmark533"/>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关于董事和董事会</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名，下设立了审计委员会、提名委员会、薪酬与考核委员会、战略委员会。董事 会对股东大会负责，对公司经营活动中的重大事项进行审议并做出决定，或提交股东大会审议，各位董事均能勤勉尽责、诚 信自律，且对公司重大决策事项、战略规划以及内部控制等方面提出建设性意见。公司已制定《董事会议事规则》、《独立 董事制度》等制度确保董事会规范、高效运作和审慎、科学决策。董事会会议严格按照董事会议事规则召开，本报告期内共 召开董事会会议</w:t>
      </w:r>
      <w:r>
        <w:rPr>
          <w:rFonts w:ascii="Times New Roman" w:eastAsia="Times New Roman" w:hAnsi="Times New Roman" w:cs="Times New Roman"/>
          <w:color w:val="000000"/>
          <w:spacing w:val="0"/>
          <w:w w:val="100"/>
          <w:position w:val="0"/>
        </w:rPr>
        <w:t>6</w:t>
      </w:r>
      <w:r>
        <w:rPr>
          <w:color w:val="000000"/>
          <w:spacing w:val="0"/>
          <w:w w:val="100"/>
          <w:position w:val="0"/>
        </w:rPr>
        <w:t>次。</w:t>
      </w:r>
    </w:p>
    <w:p>
      <w:pPr>
        <w:pStyle w:val="Style30"/>
        <w:keepNext w:val="0"/>
        <w:keepLines w:val="0"/>
        <w:widowControl w:val="0"/>
        <w:shd w:val="clear" w:color="auto" w:fill="auto"/>
        <w:tabs>
          <w:tab w:pos="332" w:val="left"/>
        </w:tabs>
        <w:bidi w:val="0"/>
        <w:spacing w:before="0" w:after="0" w:line="314" w:lineRule="exact"/>
        <w:ind w:left="0" w:right="0" w:firstLine="0"/>
        <w:jc w:val="left"/>
      </w:pPr>
      <w:bookmarkStart w:id="534" w:name="bookmark534"/>
      <w:r>
        <w:rPr>
          <w:rFonts w:ascii="Times New Roman" w:eastAsia="Times New Roman" w:hAnsi="Times New Roman" w:cs="Times New Roman"/>
          <w:color w:val="000000"/>
          <w:spacing w:val="0"/>
          <w:w w:val="100"/>
          <w:position w:val="0"/>
        </w:rPr>
        <w:t>4</w:t>
      </w:r>
      <w:bookmarkEnd w:id="534"/>
      <w:r>
        <w:rPr>
          <w:color w:val="000000"/>
          <w:spacing w:val="0"/>
          <w:w w:val="100"/>
          <w:position w:val="0"/>
        </w:rPr>
        <w:t>、</w:t>
        <w:tab/>
      </w:r>
      <w:r>
        <w:rPr>
          <w:color w:val="000000"/>
          <w:spacing w:val="0"/>
          <w:w w:val="100"/>
          <w:position w:val="0"/>
        </w:rPr>
        <w:t>关于监事和监事会</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《公司章程》和《监事会议事规则》的有关规定认真履行职责，对公司财务状况、重大事项以及公司董事及高级管理人员履 行职责的合法合规性等进行监督，维护公司及股东的合法权益。报告期内，公司共召开</w:t>
      </w:r>
      <w:r>
        <w:rPr>
          <w:rFonts w:ascii="Times New Roman" w:eastAsia="Times New Roman" w:hAnsi="Times New Roman" w:cs="Times New Roman"/>
          <w:color w:val="000000"/>
          <w:spacing w:val="0"/>
          <w:w w:val="100"/>
          <w:position w:val="0"/>
        </w:rPr>
        <w:t>5</w:t>
      </w:r>
      <w:r>
        <w:rPr>
          <w:color w:val="000000"/>
          <w:spacing w:val="0"/>
          <w:w w:val="100"/>
          <w:position w:val="0"/>
        </w:rPr>
        <w:t>次监事会，会议均由监事会主席召 集、召开。</w:t>
      </w:r>
    </w:p>
    <w:p>
      <w:pPr>
        <w:pStyle w:val="Style30"/>
        <w:keepNext w:val="0"/>
        <w:keepLines w:val="0"/>
        <w:widowControl w:val="0"/>
        <w:shd w:val="clear" w:color="auto" w:fill="auto"/>
        <w:tabs>
          <w:tab w:pos="332" w:val="left"/>
        </w:tabs>
        <w:bidi w:val="0"/>
        <w:spacing w:before="0" w:after="0" w:line="314" w:lineRule="exact"/>
        <w:ind w:left="0" w:right="0" w:firstLine="0"/>
        <w:jc w:val="left"/>
      </w:pPr>
      <w:bookmarkStart w:id="535" w:name="bookmark535"/>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t>关于绩效评价与激励约束机制</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开、透明，符合法律、法规的规定。公司董事会设立了薪酬与考核委员会，负责薪酬政策及方案的制定与审定。公司高级管 理人员均认真履行工作职责，较好地完成了董事会制定的经营管理任务。</w:t>
      </w:r>
    </w:p>
    <w:p>
      <w:pPr>
        <w:pStyle w:val="Style30"/>
        <w:keepNext w:val="0"/>
        <w:keepLines w:val="0"/>
        <w:widowControl w:val="0"/>
        <w:shd w:val="clear" w:color="auto" w:fill="auto"/>
        <w:tabs>
          <w:tab w:pos="332" w:val="left"/>
        </w:tabs>
        <w:bidi w:val="0"/>
        <w:spacing w:before="0" w:after="0" w:line="314" w:lineRule="exact"/>
        <w:ind w:left="0" w:right="0" w:firstLine="0"/>
        <w:jc w:val="left"/>
      </w:pPr>
      <w:bookmarkStart w:id="536" w:name="bookmark536"/>
      <w:r>
        <w:rPr>
          <w:rFonts w:ascii="Times New Roman" w:eastAsia="Times New Roman" w:hAnsi="Times New Roman" w:cs="Times New Roman"/>
          <w:color w:val="000000"/>
          <w:spacing w:val="0"/>
          <w:w w:val="100"/>
          <w:position w:val="0"/>
        </w:rPr>
        <w:t>6</w:t>
      </w:r>
      <w:bookmarkEnd w:id="536"/>
      <w:r>
        <w:rPr>
          <w:color w:val="000000"/>
          <w:spacing w:val="0"/>
          <w:w w:val="100"/>
          <w:position w:val="0"/>
        </w:rPr>
        <w:t>、</w:t>
        <w:tab/>
        <w:t>关于相关利益者</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公司能够充分尊重和维护相关利益者的合法权益，积极与相关利益者沟通和交流，努力实现社会、股东、公司、员工等 各方利益的协调平衡，共同推动公司持续、稳定、健康发展。</w:t>
      </w:r>
    </w:p>
    <w:p>
      <w:pPr>
        <w:pStyle w:val="Style30"/>
        <w:keepNext w:val="0"/>
        <w:keepLines w:val="0"/>
        <w:widowControl w:val="0"/>
        <w:shd w:val="clear" w:color="auto" w:fill="auto"/>
        <w:tabs>
          <w:tab w:pos="332" w:val="left"/>
        </w:tabs>
        <w:bidi w:val="0"/>
        <w:spacing w:before="0" w:after="0" w:line="314" w:lineRule="exact"/>
        <w:ind w:left="0" w:right="0" w:firstLine="0"/>
        <w:jc w:val="left"/>
      </w:pPr>
      <w:bookmarkStart w:id="537" w:name="bookmark537"/>
      <w:r>
        <w:rPr>
          <w:rFonts w:ascii="Times New Roman" w:eastAsia="Times New Roman" w:hAnsi="Times New Roman" w:cs="Times New Roman"/>
          <w:color w:val="000000"/>
          <w:spacing w:val="0"/>
          <w:w w:val="100"/>
          <w:position w:val="0"/>
        </w:rPr>
        <w:t>7</w:t>
      </w:r>
      <w:bookmarkEnd w:id="537"/>
      <w:r>
        <w:rPr>
          <w:color w:val="000000"/>
          <w:spacing w:val="0"/>
          <w:w w:val="100"/>
          <w:position w:val="0"/>
        </w:rPr>
        <w:t>、</w:t>
        <w:tab/>
        <w:t>关于信息披露与透明度</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公司严格按照有关法律法规和公司《信息披露管理办法》的规定，加强信息披露事务管理，履行信息披露义务，并指定 《证券时报》、《上海证券报》和中国证监会创业板指定信息披露网站（巨潮资讯网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 报纸和网站，真实、准确、及时、完整的披露信息，确保所有投资者公平获取公司信息。</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注：公司应当披露公司治理的基本状况。</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360" w:line="35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公司治理的实际状况与中国证监会发布的有关上市公司治理的规范性文件不存在重大差异。</w:t>
      </w:r>
    </w:p>
    <w:p>
      <w:pPr>
        <w:pStyle w:val="Style28"/>
        <w:keepNext/>
        <w:keepLines/>
        <w:widowControl w:val="0"/>
        <w:shd w:val="clear" w:color="auto" w:fill="auto"/>
        <w:tabs>
          <w:tab w:pos="512" w:val="left"/>
        </w:tabs>
        <w:bidi w:val="0"/>
        <w:spacing w:before="0" w:after="300" w:line="240" w:lineRule="auto"/>
        <w:ind w:left="0" w:right="0" w:firstLine="0"/>
        <w:jc w:val="both"/>
      </w:pPr>
      <w:bookmarkStart w:id="538" w:name="bookmark538"/>
      <w:bookmarkStart w:id="539" w:name="bookmark539"/>
      <w:bookmarkStart w:id="540" w:name="bookmark540"/>
      <w:bookmarkStart w:id="541" w:name="bookmark541"/>
      <w:r>
        <w:rPr>
          <w:color w:val="000000"/>
          <w:spacing w:val="0"/>
          <w:w w:val="100"/>
          <w:position w:val="0"/>
          <w:sz w:val="24"/>
          <w:szCs w:val="24"/>
        </w:rPr>
        <w:t>二</w:t>
      </w:r>
      <w:bookmarkEnd w:id="540"/>
      <w:r>
        <w:rPr>
          <w:color w:val="000000"/>
          <w:spacing w:val="0"/>
          <w:w w:val="100"/>
          <w:position w:val="0"/>
          <w:sz w:val="24"/>
          <w:szCs w:val="24"/>
        </w:rPr>
        <w:t>、</w:t>
        <w:tab/>
        <w:t>公司相对于控股股东在业务、人员、资产、机构、财务等方面的独立情况</w:t>
      </w:r>
      <w:bookmarkEnd w:id="538"/>
      <w:bookmarkEnd w:id="539"/>
      <w:bookmarkEnd w:id="541"/>
    </w:p>
    <w:p>
      <w:pPr>
        <w:pStyle w:val="Style30"/>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公司控股股东严格按照《公司法》、《证券法》、《深圳证券交易所创业板股票上市规则》、《深圳证券交易所创业板 上市公司规范运作指引》、《公司章程》等规定和要求，不存在超越公司股东大会直接或间接干预公司的决策和经营活动的 行为，未损害公司及其他股东的利益，不存在控股股东占用公司资金的现象，公司亦无为控股股东提供担保的情形。公司拥 有独立完整的业务和自主经营能力，在业务、人员、资产、机构、财务上独立于控股股东，公司董事会、监事会和内部机构 独立运作。</w:t>
      </w:r>
    </w:p>
    <w:p>
      <w:pPr>
        <w:pStyle w:val="Style28"/>
        <w:keepNext/>
        <w:keepLines/>
        <w:widowControl w:val="0"/>
        <w:shd w:val="clear" w:color="auto" w:fill="auto"/>
        <w:tabs>
          <w:tab w:pos="517" w:val="left"/>
        </w:tabs>
        <w:bidi w:val="0"/>
        <w:spacing w:before="0" w:after="300" w:line="240" w:lineRule="auto"/>
        <w:ind w:left="0" w:right="0" w:firstLine="0"/>
        <w:jc w:val="both"/>
      </w:pPr>
      <w:bookmarkStart w:id="542" w:name="bookmark542"/>
      <w:bookmarkStart w:id="543" w:name="bookmark543"/>
      <w:bookmarkStart w:id="544" w:name="bookmark544"/>
      <w:bookmarkStart w:id="545" w:name="bookmark545"/>
      <w:r>
        <w:rPr>
          <w:color w:val="000000"/>
          <w:spacing w:val="0"/>
          <w:w w:val="100"/>
          <w:position w:val="0"/>
          <w:sz w:val="24"/>
          <w:szCs w:val="24"/>
        </w:rPr>
        <w:t>三</w:t>
      </w:r>
      <w:bookmarkEnd w:id="544"/>
      <w:r>
        <w:rPr>
          <w:color w:val="000000"/>
          <w:spacing w:val="0"/>
          <w:w w:val="100"/>
          <w:position w:val="0"/>
          <w:sz w:val="24"/>
          <w:szCs w:val="24"/>
        </w:rPr>
        <w:t>、</w:t>
        <w:tab/>
        <w:t>同业竞争情况</w:t>
      </w:r>
      <w:bookmarkEnd w:id="542"/>
      <w:bookmarkEnd w:id="543"/>
      <w:bookmarkEnd w:id="545"/>
    </w:p>
    <w:p>
      <w:pPr>
        <w:pStyle w:val="Style30"/>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0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sz w:val="24"/>
          <w:szCs w:val="24"/>
        </w:rPr>
        <w:t>四</w:t>
      </w:r>
      <w:bookmarkEnd w:id="548"/>
      <w:r>
        <w:rPr>
          <w:color w:val="000000"/>
          <w:spacing w:val="0"/>
          <w:w w:val="100"/>
          <w:position w:val="0"/>
          <w:sz w:val="24"/>
          <w:szCs w:val="24"/>
        </w:rPr>
        <w:t>、</w:t>
        <w:tab/>
        <w:t>报告期内召开的年度股东大会和临时股东大会的有关情况</w:t>
      </w:r>
      <w:bookmarkEnd w:id="546"/>
      <w:bookmarkEnd w:id="547"/>
      <w:bookmarkEnd w:id="549"/>
    </w:p>
    <w:p>
      <w:pPr>
        <w:pStyle w:val="Style35"/>
        <w:keepNext/>
        <w:keepLines/>
        <w:widowControl w:val="0"/>
        <w:shd w:val="clear" w:color="auto" w:fill="auto"/>
        <w:bidi w:val="0"/>
        <w:spacing w:before="0" w:after="30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、本报告期股东大会情况</w:t>
      </w:r>
      <w:bookmarkEnd w:id="550"/>
      <w:bookmarkEnd w:id="551"/>
      <w:bookmarkEnd w:id="553"/>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股东大会决议公告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2020-001</w:t>
            </w:r>
            <w:r>
              <w:rPr>
                <w:color w:val="000000"/>
                <w:spacing w:val="0"/>
                <w:w w:val="100"/>
                <w:position w:val="0"/>
              </w:rPr>
              <w:t>）</w:t>
            </w:r>
          </w:p>
          <w:p>
            <w:pPr>
              <w:pStyle w:val="Style2"/>
              <w:keepNext w:val="0"/>
              <w:keepLines w:val="0"/>
              <w:widowControl w:val="0"/>
              <w:shd w:val="clear" w:color="auto" w:fill="auto"/>
              <w:bidi w:val="0"/>
              <w:spacing w:before="0" w:after="80" w:line="389"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 决议公告（公告编 号：</w:t>
            </w:r>
            <w:r>
              <w:rPr>
                <w:rFonts w:ascii="Times New Roman" w:eastAsia="Times New Roman" w:hAnsi="Times New Roman" w:cs="Times New Roman"/>
                <w:color w:val="000000"/>
                <w:spacing w:val="0"/>
                <w:w w:val="100"/>
                <w:position w:val="0"/>
              </w:rPr>
              <w:t>2020-023</w:t>
            </w:r>
            <w:r>
              <w:rPr>
                <w:color w:val="000000"/>
                <w:spacing w:val="0"/>
                <w:w w:val="100"/>
                <w:position w:val="0"/>
              </w:rPr>
              <w:t xml:space="preserve">）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股东大会决议公告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2020-046</w:t>
            </w:r>
            <w:r>
              <w:rPr>
                <w:color w:val="000000"/>
                <w:spacing w:val="0"/>
                <w:w w:val="100"/>
                <w:position w:val="0"/>
              </w:rPr>
              <w:t>）</w:t>
            </w:r>
          </w:p>
          <w:p>
            <w:pPr>
              <w:pStyle w:val="Style2"/>
              <w:keepNext w:val="0"/>
              <w:keepLines w:val="0"/>
              <w:widowControl w:val="0"/>
              <w:shd w:val="clear" w:color="auto" w:fill="auto"/>
              <w:bidi w:val="0"/>
              <w:spacing w:before="0" w:after="80" w:line="389"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、表决权恢复的优先股股东请求召开临时股东大会</w:t>
      </w:r>
      <w:bookmarkEnd w:id="554"/>
      <w:bookmarkEnd w:id="555"/>
      <w:bookmarkEnd w:id="557"/>
    </w:p>
    <w:p>
      <w:pPr>
        <w:pStyle w:val="Style30"/>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sz w:val="24"/>
          <w:szCs w:val="24"/>
        </w:rPr>
        <w:t>五</w:t>
      </w:r>
      <w:bookmarkEnd w:id="560"/>
      <w:r>
        <w:rPr>
          <w:color w:val="000000"/>
          <w:spacing w:val="0"/>
          <w:w w:val="100"/>
          <w:position w:val="0"/>
          <w:sz w:val="24"/>
          <w:szCs w:val="24"/>
        </w:rPr>
        <w:t>、报告期内独立董事履行职责的情况</w:t>
      </w:r>
      <w:bookmarkEnd w:id="558"/>
      <w:bookmarkEnd w:id="559"/>
      <w:bookmarkEnd w:id="561"/>
    </w:p>
    <w:p>
      <w:pPr>
        <w:pStyle w:val="Style35"/>
        <w:keepNext/>
        <w:keepLines/>
        <w:widowControl w:val="0"/>
        <w:shd w:val="clear" w:color="auto" w:fill="auto"/>
        <w:bidi w:val="0"/>
        <w:spacing w:before="0" w:after="32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、独立董事出席董事会及股东大会的情况</w:t>
      </w:r>
      <w:bookmarkEnd w:id="562"/>
      <w:bookmarkEnd w:id="563"/>
      <w:bookmarkEnd w:id="565"/>
    </w:p>
    <w:tbl>
      <w:tblPr>
        <w:tblOverlap w:val="never"/>
        <w:jc w:val="center"/>
        <w:tblLayout w:type="fixed"/>
      </w:tblPr>
      <w:tblGrid>
        <w:gridCol w:w="1435"/>
        <w:gridCol w:w="1162"/>
        <w:gridCol w:w="1166"/>
        <w:gridCol w:w="1162"/>
        <w:gridCol w:w="1162"/>
        <w:gridCol w:w="1162"/>
        <w:gridCol w:w="1166"/>
        <w:gridCol w:w="116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麦荣昌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杨时飞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苏哲锋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5"/>
        <w:keepNext/>
        <w:keepLines/>
        <w:widowControl w:val="0"/>
        <w:shd w:val="clear" w:color="auto" w:fill="auto"/>
        <w:tabs>
          <w:tab w:pos="400" w:val="left"/>
        </w:tabs>
        <w:bidi w:val="0"/>
        <w:spacing w:before="0" w:after="26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独立董事对公司有关事项提出异议的情况</w:t>
      </w:r>
      <w:bookmarkEnd w:id="566"/>
      <w:bookmarkEnd w:id="567"/>
      <w:bookmarkEnd w:id="569"/>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报告期内独立董事对公司有关事项未提出异议。</w:t>
      </w:r>
    </w:p>
    <w:p>
      <w:pPr>
        <w:pStyle w:val="Style35"/>
        <w:keepNext/>
        <w:keepLines/>
        <w:widowControl w:val="0"/>
        <w:shd w:val="clear" w:color="auto" w:fill="auto"/>
        <w:tabs>
          <w:tab w:pos="400" w:val="left"/>
        </w:tabs>
        <w:bidi w:val="0"/>
        <w:spacing w:before="0" w:after="26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独立董事履行职责的其他说明</w:t>
      </w:r>
      <w:bookmarkEnd w:id="570"/>
      <w:bookmarkEnd w:id="571"/>
      <w:bookmarkEnd w:id="573"/>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公司独立董事勤勉尽责，严格按照中国证监会的相关规定及《公司章程》、《董事会议事规则》和《独立董事工作制度》开 展工作，关注公司运作，独立履行职责，对公司内部控制建设、管理体系建设、人才梯队建设和重大决策等方面提出了很多 宝贵的专业性建议，对公司财务及生产经营活动进行了有效监督，提高了公司决策的科学性，为完善公司监督机制，维护公 司和全体股东的合法权益发挥了应有的作用。</w:t>
      </w:r>
    </w:p>
    <w:p>
      <w:pPr>
        <w:pStyle w:val="Style28"/>
        <w:keepNext/>
        <w:keepLines/>
        <w:widowControl w:val="0"/>
        <w:shd w:val="clear" w:color="auto" w:fill="auto"/>
        <w:tabs>
          <w:tab w:pos="512" w:val="left"/>
        </w:tabs>
        <w:bidi w:val="0"/>
        <w:spacing w:before="0" w:after="26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sz w:val="24"/>
          <w:szCs w:val="24"/>
        </w:rPr>
        <w:t>六</w:t>
      </w:r>
      <w:bookmarkEnd w:id="576"/>
      <w:r>
        <w:rPr>
          <w:color w:val="000000"/>
          <w:spacing w:val="0"/>
          <w:w w:val="100"/>
          <w:position w:val="0"/>
          <w:sz w:val="24"/>
          <w:szCs w:val="24"/>
        </w:rPr>
        <w:t>、</w:t>
        <w:tab/>
        <w:t>董事会下设专门委员会在报告期内履行职责情况</w:t>
      </w:r>
      <w:bookmarkEnd w:id="574"/>
      <w:bookmarkEnd w:id="575"/>
      <w:bookmarkEnd w:id="577"/>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公司董事会下设立了审计委员会、提名委员会、薪酬与考核委员会、战略委员会等四个专门委员会。分别制定了《战略委员 会议事规则》、《提名委员会议事规则》、《审计委员会议事规则》以及《薪酬与考核委员会议事规则》，</w:t>
      </w:r>
      <w:r>
        <w:rPr>
          <w:rFonts w:ascii="Times New Roman" w:eastAsia="Times New Roman" w:hAnsi="Times New Roman" w:cs="Times New Roman"/>
          <w:color w:val="000000"/>
          <w:spacing w:val="0"/>
          <w:w w:val="100"/>
          <w:position w:val="0"/>
        </w:rPr>
        <w:t>2019</w:t>
      </w:r>
      <w:r>
        <w:rPr>
          <w:color w:val="000000"/>
          <w:spacing w:val="0"/>
          <w:w w:val="100"/>
          <w:position w:val="0"/>
        </w:rPr>
        <w:t>年度，各专 门委员会本着勤勉尽责的原则，按照有关法律、法规、规范性文件及公司各专门委员会议事规则的规定开展工作。对促进公 司内部控制建设和完善工作起到了积极的作用，维护了公司及全体股东的利益。</w:t>
      </w: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注：公司应当披露董事会下设专门委员会在报告期内提出的重要意见和建议。存在异议事项的，应当披露具体情况。</w:t>
      </w:r>
    </w:p>
    <w:p>
      <w:pPr>
        <w:pStyle w:val="Style28"/>
        <w:keepNext/>
        <w:keepLines/>
        <w:widowControl w:val="0"/>
        <w:shd w:val="clear" w:color="auto" w:fill="auto"/>
        <w:tabs>
          <w:tab w:pos="517" w:val="left"/>
        </w:tabs>
        <w:bidi w:val="0"/>
        <w:spacing w:before="0" w:after="26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sz w:val="24"/>
          <w:szCs w:val="24"/>
        </w:rPr>
        <w:t>七</w:t>
      </w:r>
      <w:bookmarkEnd w:id="580"/>
      <w:r>
        <w:rPr>
          <w:color w:val="000000"/>
          <w:spacing w:val="0"/>
          <w:w w:val="100"/>
          <w:position w:val="0"/>
          <w:sz w:val="24"/>
          <w:szCs w:val="24"/>
        </w:rPr>
        <w:t>、</w:t>
        <w:tab/>
        <w:t>监事会工作情况</w:t>
      </w:r>
      <w:bookmarkEnd w:id="578"/>
      <w:bookmarkEnd w:id="579"/>
      <w:bookmarkEnd w:id="581"/>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260" w:line="313" w:lineRule="exact"/>
        <w:ind w:left="0" w:right="0" w:firstLine="0"/>
        <w:jc w:val="both"/>
      </w:pPr>
      <w:r>
        <w:rPr>
          <w:color w:val="000000"/>
          <w:spacing w:val="0"/>
          <w:w w:val="100"/>
          <w:position w:val="0"/>
        </w:rPr>
        <w:t>公司监事会对报告期内的监督事项无异议。</w:t>
      </w:r>
    </w:p>
    <w:p>
      <w:pPr>
        <w:pStyle w:val="Style28"/>
        <w:keepNext/>
        <w:keepLines/>
        <w:widowControl w:val="0"/>
        <w:shd w:val="clear" w:color="auto" w:fill="auto"/>
        <w:tabs>
          <w:tab w:pos="512" w:val="left"/>
        </w:tabs>
        <w:bidi w:val="0"/>
        <w:spacing w:before="0" w:after="240" w:line="240" w:lineRule="auto"/>
        <w:ind w:left="0" w:right="0" w:firstLine="0"/>
        <w:jc w:val="both"/>
      </w:pPr>
      <w:bookmarkStart w:id="582" w:name="bookmark582"/>
      <w:bookmarkStart w:id="583" w:name="bookmark583"/>
      <w:bookmarkStart w:id="584" w:name="bookmark584"/>
      <w:bookmarkStart w:id="585" w:name="bookmark585"/>
      <w:r>
        <w:rPr>
          <w:color w:val="000000"/>
          <w:spacing w:val="0"/>
          <w:w w:val="100"/>
          <w:position w:val="0"/>
          <w:sz w:val="24"/>
          <w:szCs w:val="24"/>
        </w:rPr>
        <w:t>八</w:t>
      </w:r>
      <w:bookmarkEnd w:id="584"/>
      <w:r>
        <w:rPr>
          <w:color w:val="000000"/>
          <w:spacing w:val="0"/>
          <w:w w:val="100"/>
          <w:position w:val="0"/>
          <w:sz w:val="24"/>
          <w:szCs w:val="24"/>
        </w:rPr>
        <w:t>、</w:t>
        <w:tab/>
        <w:t>高级管理人员的考评及激励情况</w:t>
      </w:r>
      <w:bookmarkEnd w:id="582"/>
      <w:bookmarkEnd w:id="583"/>
      <w:bookmarkEnd w:id="585"/>
    </w:p>
    <w:p>
      <w:pPr>
        <w:pStyle w:val="Style30"/>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公司建立了较为完善的高级管理人员绩效考评体系、奖惩激励机制和薪酬制度。公司高级管理人员严格按照相关法律法规的 规定和要求进行聘任，确保公开、透明、公正。董事会下设的薪酬与考核委员会负责制定高级管理人员的薪酬方案并报董事 会审批。报告期内，公司高级管理人员薪酬方案严格执行了公司薪酬管理制度。</w:t>
      </w:r>
    </w:p>
    <w:p>
      <w:pPr>
        <w:pStyle w:val="Style28"/>
        <w:keepNext/>
        <w:keepLines/>
        <w:widowControl w:val="0"/>
        <w:shd w:val="clear" w:color="auto" w:fill="auto"/>
        <w:tabs>
          <w:tab w:pos="512" w:val="left"/>
        </w:tabs>
        <w:bidi w:val="0"/>
        <w:spacing w:before="0" w:after="340" w:line="240" w:lineRule="auto"/>
        <w:ind w:left="0" w:right="0" w:firstLine="0"/>
        <w:jc w:val="both"/>
      </w:pPr>
      <w:bookmarkStart w:id="586" w:name="bookmark586"/>
      <w:bookmarkStart w:id="587" w:name="bookmark587"/>
      <w:bookmarkStart w:id="588" w:name="bookmark588"/>
      <w:bookmarkStart w:id="589" w:name="bookmark589"/>
      <w:r>
        <w:rPr>
          <w:color w:val="000000"/>
          <w:spacing w:val="0"/>
          <w:w w:val="100"/>
          <w:position w:val="0"/>
          <w:sz w:val="24"/>
          <w:szCs w:val="24"/>
        </w:rPr>
        <w:t>九</w:t>
      </w:r>
      <w:bookmarkEnd w:id="588"/>
      <w:r>
        <w:rPr>
          <w:color w:val="000000"/>
          <w:spacing w:val="0"/>
          <w:w w:val="100"/>
          <w:position w:val="0"/>
          <w:sz w:val="24"/>
          <w:szCs w:val="24"/>
        </w:rPr>
        <w:t>、</w:t>
        <w:tab/>
        <w:t>内部控制评价报告</w:t>
      </w:r>
      <w:bookmarkEnd w:id="586"/>
      <w:bookmarkEnd w:id="587"/>
      <w:bookmarkEnd w:id="589"/>
    </w:p>
    <w:p>
      <w:pPr>
        <w:pStyle w:val="Style35"/>
        <w:keepNext/>
        <w:keepLines/>
        <w:widowControl w:val="0"/>
        <w:shd w:val="clear" w:color="auto" w:fill="auto"/>
        <w:bidi w:val="0"/>
        <w:spacing w:before="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、报告期内发现的内部控制重大缺陷的具体情况</w:t>
      </w:r>
      <w:bookmarkEnd w:id="590"/>
      <w:bookmarkEnd w:id="591"/>
      <w:bookmarkEnd w:id="593"/>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both"/>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、内控自我评价报告</w:t>
      </w:r>
      <w:bookmarkEnd w:id="594"/>
      <w:bookmarkEnd w:id="595"/>
      <w:bookmarkEnd w:id="597"/>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www. cninfo. com.cn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、公司董事、监事和高级管理人员的舞弊 行为；</w:t>
            </w:r>
            <w:r>
              <w:rPr>
                <w:rFonts w:ascii="Times New Roman" w:eastAsia="Times New Roman" w:hAnsi="Times New Roman" w:cs="Times New Roman"/>
                <w:color w:val="000000"/>
                <w:spacing w:val="0"/>
                <w:w w:val="100"/>
                <w:position w:val="0"/>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rPr>
              <w:t>3</w:t>
            </w:r>
            <w:r>
              <w:rPr>
                <w:color w:val="000000"/>
                <w:spacing w:val="0"/>
                <w:w w:val="100"/>
                <w:position w:val="0"/>
              </w:rPr>
              <w:t>、 注册会计师发现的却未被公司内部控制识 别的当期财务报告中的重大错报；</w:t>
            </w:r>
            <w:r>
              <w:rPr>
                <w:rFonts w:ascii="Times New Roman" w:eastAsia="Times New Roman" w:hAnsi="Times New Roman" w:cs="Times New Roman"/>
                <w:color w:val="000000"/>
                <w:spacing w:val="0"/>
                <w:w w:val="100"/>
                <w:position w:val="0"/>
              </w:rPr>
              <w:t>4</w:t>
            </w:r>
            <w:r>
              <w:rPr>
                <w:color w:val="000000"/>
                <w:spacing w:val="0"/>
                <w:w w:val="100"/>
                <w:position w:val="0"/>
              </w:rPr>
              <w:t>、审计 部门对公司的对外财务报告和财务报告内 部控制监督无效。财务报告重要缺陷的迹 象包括：未按照公认的会计准则选择和应 用会计政策；未建立反舞弊程序和控制措 施；对于非常规或特殊交易的账务处理没 有建立相应的控制机制；对期末财务报告 过程的控制存在缺陷不能合理保证财务报 表达到真实、完整的目标。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主要以缺陷对业务流程有效性的影响 程度、发生的可能性作判断。如果缺陷 发生的可能性较小，会降低工作效率或 效果、或加大效果的不确定性、或使之 偏离预期目标为一般缺陷；如果缺陷发 生的可能性较高，会显著降低工作效率 或效果，或显著加大效果的不确定性、 或使之显著偏离预期目标为重要缺陷； 如果缺陷发生的可能性高，会严重降低 工作效率或效果、或严重加大效果的不 确定性、或使之严重偏离预期目标为重 大缺陷</w:t>
            </w:r>
          </w:p>
        </w:tc>
      </w:tr>
      <w:tr>
        <w:trPr>
          <w:trHeight w:val="25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定量标准以营业收入、资产总额作为衡量 指标。内部控制缺陷可能导致或导致的损 失与利润相关的，以营业收入指标衡量。 如果该缺陷单独或连同其他缺陷可能导致 财务报告错报金额小于营业收入</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 认定为一般缺陷，如果超过营业收入</w:t>
            </w:r>
            <w:r>
              <w:rPr>
                <w:rFonts w:ascii="Times New Roman" w:eastAsia="Times New Roman" w:hAnsi="Times New Roman" w:cs="Times New Roman"/>
                <w:color w:val="000000"/>
                <w:spacing w:val="0"/>
                <w:w w:val="100"/>
                <w:position w:val="0"/>
              </w:rPr>
              <w:t xml:space="preserve">0.5% </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,则认定为重要缺陷，如果超过 营业收入</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,则认定为重大缺陷；内部控</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定量标准以营业收入、资产总额作为衡 量指标。内部控制缺陷可能导致或导致 的损失与利润相关的，以营业收入指标 衡量。如果该缺陷单独或连同其他缺陷 可能导致财务报告错报金额小于营业 收入</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则认定为一般缺陷，如果超 过营业收入</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,则认定为 重要缺陷，如果超过营业收入</w:t>
            </w:r>
            <w:r>
              <w:rPr>
                <w:rFonts w:ascii="Times New Roman" w:eastAsia="Times New Roman" w:hAnsi="Times New Roman" w:cs="Times New Roman"/>
                <w:color w:val="000000"/>
                <w:spacing w:val="0"/>
                <w:w w:val="100"/>
                <w:position w:val="0"/>
              </w:rPr>
              <w:t>1%</w:t>
            </w:r>
            <w:r>
              <w:rPr>
                <w:color w:val="000000"/>
                <w:spacing w:val="0"/>
                <w:w w:val="100"/>
                <w:position w:val="0"/>
              </w:rPr>
              <w:t>，则</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制缺陷可能导致或导致的损失与资产管理 相关的，以资产总额指标衡量，如果该缺 陷单独或连同其他缺陷可能导致的财务报 告错误金额小于资产总额</w:t>
            </w:r>
            <w:r>
              <w:rPr>
                <w:rFonts w:ascii="Times New Roman" w:eastAsia="Times New Roman" w:hAnsi="Times New Roman" w:cs="Times New Roman"/>
                <w:color w:val="000000"/>
                <w:spacing w:val="0"/>
                <w:w w:val="100"/>
                <w:position w:val="0"/>
              </w:rPr>
              <w:t>0.5%</w:t>
            </w:r>
            <w:r>
              <w:rPr>
                <w:color w:val="000000"/>
                <w:spacing w:val="0"/>
                <w:w w:val="100"/>
                <w:position w:val="0"/>
              </w:rPr>
              <w:t>，则认定为 一般缺陷，如果超过资产总额</w:t>
            </w:r>
            <w:r>
              <w:rPr>
                <w:rFonts w:ascii="Times New Roman" w:eastAsia="Times New Roman" w:hAnsi="Times New Roman" w:cs="Times New Roman"/>
                <w:color w:val="000000"/>
                <w:spacing w:val="0"/>
                <w:w w:val="100"/>
                <w:position w:val="0"/>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rPr>
              <w:t>1%</w:t>
            </w:r>
            <w:r>
              <w:rPr>
                <w:color w:val="000000"/>
                <w:spacing w:val="0"/>
                <w:w w:val="100"/>
                <w:position w:val="0"/>
              </w:rPr>
              <w:t xml:space="preserve">则认定为重要缺陷，如果超过资产总额 </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认定为重大缺陷；内部控制缺陷可能导 致或导致的损失与资产管理相关的，以 资产总额指标衡量，如果该缺陷单独或 连同其他缺陷可能导致的财务报告错 误金额小于资产总额</w:t>
            </w:r>
            <w:r>
              <w:rPr>
                <w:rFonts w:ascii="Times New Roman" w:eastAsia="Times New Roman" w:hAnsi="Times New Roman" w:cs="Times New Roman"/>
                <w:color w:val="000000"/>
                <w:spacing w:val="0"/>
                <w:w w:val="100"/>
                <w:position w:val="0"/>
              </w:rPr>
              <w:t>0.5%</w:t>
            </w:r>
            <w:r>
              <w:rPr>
                <w:color w:val="000000"/>
                <w:spacing w:val="0"/>
                <w:w w:val="100"/>
                <w:position w:val="0"/>
              </w:rPr>
              <w:t>，则认定为 一般缺陷，如果超过资产总额</w:t>
            </w:r>
            <w:r>
              <w:rPr>
                <w:rFonts w:ascii="Times New Roman" w:eastAsia="Times New Roman" w:hAnsi="Times New Roman" w:cs="Times New Roman"/>
                <w:color w:val="000000"/>
                <w:spacing w:val="0"/>
                <w:w w:val="100"/>
                <w:position w:val="0"/>
              </w:rPr>
              <w:t>0.5%</w:t>
            </w:r>
            <w:r>
              <w:rPr>
                <w:color w:val="000000"/>
                <w:spacing w:val="0"/>
                <w:w w:val="100"/>
                <w:position w:val="0"/>
              </w:rPr>
              <w:t>但 小于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则认定为重要缺陷，如果超过 资产总额</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98" w:name="bookmark598"/>
      <w:bookmarkStart w:id="599" w:name="bookmark599"/>
      <w:bookmarkStart w:id="600" w:name="bookmark600"/>
      <w:r>
        <w:rPr>
          <w:color w:val="000000"/>
          <w:spacing w:val="0"/>
          <w:w w:val="100"/>
          <w:position w:val="0"/>
          <w:sz w:val="24"/>
          <w:szCs w:val="24"/>
        </w:rPr>
        <w:t>十、内部控制审计报告或鉴证报告</w:t>
      </w:r>
      <w:bookmarkEnd w:id="598"/>
      <w:bookmarkEnd w:id="599"/>
      <w:bookmarkEnd w:id="600"/>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50" w:right="1020" w:bottom="1489" w:left="1020" w:header="0" w:footer="3" w:gutter="0"/>
          <w:cols w:space="720"/>
          <w:noEndnote/>
          <w:rtlGutter w:val="0"/>
          <w:docGrid w:linePitch="360"/>
        </w:sectPr>
      </w:pPr>
      <w:r>
        <w:rPr>
          <w:color w:val="000000"/>
          <w:spacing w:val="0"/>
          <w:w w:val="100"/>
          <w:position w:val="0"/>
        </w:rPr>
        <w:t>不适用</w:t>
      </w:r>
    </w:p>
    <w:p>
      <w:pPr>
        <w:pStyle w:val="Style20"/>
        <w:keepNext/>
        <w:keepLines/>
        <w:widowControl w:val="0"/>
        <w:shd w:val="clear" w:color="auto" w:fill="auto"/>
        <w:bidi w:val="0"/>
        <w:spacing w:before="0" w:after="440" w:line="240" w:lineRule="auto"/>
        <w:ind w:left="0" w:right="0" w:firstLine="0"/>
        <w:jc w:val="center"/>
      </w:pPr>
      <w:bookmarkStart w:id="601" w:name="bookmark601"/>
      <w:bookmarkStart w:id="602" w:name="bookmark602"/>
      <w:bookmarkStart w:id="603" w:name="bookmark603"/>
      <w:bookmarkStart w:id="604" w:name="bookmark604"/>
      <w:r>
        <w:rPr>
          <w:color w:val="000000"/>
          <w:spacing w:val="0"/>
          <w:w w:val="100"/>
          <w:position w:val="0"/>
        </w:rPr>
        <w:t>第十一节公司债券相关情况</w:t>
      </w:r>
      <w:bookmarkEnd w:id="602"/>
      <w:bookmarkEnd w:id="603"/>
      <w:bookmarkEnd w:id="604"/>
      <w:bookmarkEnd w:id="601"/>
    </w:p>
    <w:p>
      <w:pPr>
        <w:pStyle w:val="Style30"/>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20"/>
        <w:keepNext/>
        <w:keepLines/>
        <w:widowControl w:val="0"/>
        <w:shd w:val="clear" w:color="auto" w:fill="auto"/>
        <w:bidi w:val="0"/>
        <w:spacing w:before="740" w:after="560" w:line="240" w:lineRule="auto"/>
        <w:ind w:left="0" w:right="0" w:firstLine="0"/>
        <w:jc w:val="center"/>
      </w:pPr>
      <w:bookmarkStart w:id="605" w:name="bookmark605"/>
      <w:bookmarkStart w:id="606" w:name="bookmark606"/>
      <w:bookmarkStart w:id="607" w:name="bookmark607"/>
      <w:bookmarkStart w:id="608" w:name="bookmark608"/>
      <w:r>
        <w:rPr>
          <w:color w:val="000000"/>
          <w:spacing w:val="0"/>
          <w:w w:val="100"/>
          <w:position w:val="0"/>
        </w:rPr>
        <w:t>第十二节财务报告</w:t>
      </w:r>
      <w:bookmarkEnd w:id="606"/>
      <w:bookmarkEnd w:id="607"/>
      <w:bookmarkEnd w:id="608"/>
      <w:bookmarkEnd w:id="605"/>
    </w:p>
    <w:p>
      <w:pPr>
        <w:pStyle w:val="Style28"/>
        <w:keepNext/>
        <w:keepLines/>
        <w:widowControl w:val="0"/>
        <w:shd w:val="clear" w:color="auto" w:fill="auto"/>
        <w:bidi w:val="0"/>
        <w:spacing w:before="0" w:after="300" w:line="240" w:lineRule="auto"/>
        <w:ind w:left="0" w:right="0" w:firstLine="260"/>
        <w:jc w:val="left"/>
      </w:pPr>
      <w:bookmarkStart w:id="609" w:name="bookmark609"/>
      <w:bookmarkStart w:id="610" w:name="bookmark610"/>
      <w:bookmarkStart w:id="611" w:name="bookmark611"/>
      <w:r>
        <w:rPr>
          <w:color w:val="000000"/>
          <w:spacing w:val="0"/>
          <w:w w:val="100"/>
          <w:position w:val="0"/>
          <w:sz w:val="24"/>
          <w:szCs w:val="24"/>
        </w:rPr>
        <w:t>、审计报告</w:t>
      </w:r>
      <w:bookmarkEnd w:id="609"/>
      <w:bookmarkEnd w:id="610"/>
      <w:bookmarkEnd w:id="61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华兴审字</w:t>
            </w:r>
            <w:r>
              <w:rPr>
                <w:rFonts w:ascii="Times New Roman" w:eastAsia="Times New Roman" w:hAnsi="Times New Roman" w:cs="Times New Roman"/>
                <w:color w:val="000000"/>
                <w:spacing w:val="0"/>
                <w:w w:val="100"/>
                <w:position w:val="0"/>
              </w:rPr>
              <w:t xml:space="preserve">[2021]21000670019 </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俞健业、梁倩倩</w:t>
            </w:r>
          </w:p>
        </w:tc>
      </w:tr>
    </w:tbl>
    <w:p>
      <w:pPr>
        <w:pStyle w:val="Style33"/>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深圳四方精创资讯股份有限公司全体股东：</w:t>
      </w:r>
    </w:p>
    <w:p>
      <w:pPr>
        <w:pStyle w:val="Style30"/>
        <w:keepNext w:val="0"/>
        <w:keepLines w:val="0"/>
        <w:widowControl w:val="0"/>
        <w:shd w:val="clear" w:color="auto" w:fill="auto"/>
        <w:tabs>
          <w:tab w:pos="887" w:val="left"/>
        </w:tabs>
        <w:bidi w:val="0"/>
        <w:spacing w:before="0" w:after="0" w:line="240" w:lineRule="auto"/>
        <w:ind w:left="0" w:right="0" w:firstLine="380"/>
        <w:jc w:val="both"/>
      </w:pPr>
      <w:bookmarkStart w:id="612" w:name="bookmark612"/>
      <w:r>
        <w:rPr>
          <w:b/>
          <w:bCs/>
          <w:color w:val="000000"/>
          <w:spacing w:val="0"/>
          <w:w w:val="100"/>
          <w:position w:val="0"/>
        </w:rPr>
        <w:t>一</w:t>
      </w:r>
      <w:bookmarkEnd w:id="612"/>
      <w:r>
        <w:rPr>
          <w:b/>
          <w:bCs/>
          <w:color w:val="000000"/>
          <w:spacing w:val="0"/>
          <w:w w:val="100"/>
          <w:position w:val="0"/>
        </w:rPr>
        <w:t>、</w:t>
        <w:tab/>
        <w:t>审计意见</w:t>
      </w:r>
    </w:p>
    <w:p>
      <w:pPr>
        <w:pStyle w:val="Style30"/>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我们审计了深圳四方精创资讯股份有限公司（以下简称“四方精创”或“公司”</w:t>
      </w:r>
      <w:r>
        <w:rPr>
          <w:color w:val="000000"/>
          <w:spacing w:val="0"/>
          <w:w w:val="100"/>
          <w:position w:val="0"/>
        </w:rPr>
        <w:t>）</w:t>
      </w:r>
      <w:r>
        <w:rPr>
          <w:color w:val="000000"/>
          <w:spacing w:val="0"/>
          <w:w w:val="100"/>
          <w:position w:val="0"/>
        </w:rPr>
        <w:t>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的合并及母公司资产负债表，</w:t>
      </w:r>
      <w:r>
        <w:rPr>
          <w:color w:val="000000"/>
          <w:spacing w:val="0"/>
          <w:w w:val="100"/>
          <w:position w:val="0"/>
        </w:rPr>
        <w:t>2020</w:t>
      </w:r>
      <w:r>
        <w:rPr>
          <w:color w:val="000000"/>
          <w:spacing w:val="0"/>
          <w:w w:val="100"/>
          <w:position w:val="0"/>
        </w:rPr>
        <w:t>年度的合并及母公司利润表、合并及母公司现金流量表、合并及母公司股东权益变动表以 及相关财务报表附注。</w:t>
      </w:r>
    </w:p>
    <w:p>
      <w:pPr>
        <w:pStyle w:val="Style30"/>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我们认为，后附的财务报表在所有重大方面按照企业会计准则的规定编制，公允反映了四方精创</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30"/>
        <w:keepNext w:val="0"/>
        <w:keepLines w:val="0"/>
        <w:widowControl w:val="0"/>
        <w:shd w:val="clear" w:color="auto" w:fill="auto"/>
        <w:tabs>
          <w:tab w:pos="887" w:val="left"/>
        </w:tabs>
        <w:bidi w:val="0"/>
        <w:spacing w:before="0" w:after="0" w:line="240" w:lineRule="auto"/>
        <w:ind w:left="0" w:right="0" w:firstLine="380"/>
        <w:jc w:val="both"/>
      </w:pPr>
      <w:bookmarkStart w:id="613" w:name="bookmark613"/>
      <w:r>
        <w:rPr>
          <w:b/>
          <w:bCs/>
          <w:color w:val="000000"/>
          <w:spacing w:val="0"/>
          <w:w w:val="100"/>
          <w:position w:val="0"/>
        </w:rPr>
        <w:t>二</w:t>
      </w:r>
      <w:bookmarkEnd w:id="613"/>
      <w:r>
        <w:rPr>
          <w:b/>
          <w:bCs/>
          <w:color w:val="000000"/>
          <w:spacing w:val="0"/>
          <w:w w:val="100"/>
          <w:position w:val="0"/>
        </w:rPr>
        <w:t>、</w:t>
        <w:tab/>
        <w:t>形成审计意见的基础</w:t>
      </w:r>
    </w:p>
    <w:p>
      <w:pPr>
        <w:pStyle w:val="Style30"/>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我们按照中国注册会计师审计准则的规定执行了审计工作。审计报告的“注册会计师对财务报表审计的责任”部分 进一步阐述了我们在这些准则下的责任。按照中国注册会计师职业道德守则，我们独立于四方精创，并履行了职业道德方面 的其他责任。我们相信，我们获取的审计证据是充分、适当的，为发表审计意见提供了基础。</w:t>
      </w:r>
    </w:p>
    <w:p>
      <w:pPr>
        <w:pStyle w:val="Style30"/>
        <w:keepNext w:val="0"/>
        <w:keepLines w:val="0"/>
        <w:widowControl w:val="0"/>
        <w:shd w:val="clear" w:color="auto" w:fill="auto"/>
        <w:tabs>
          <w:tab w:pos="887" w:val="left"/>
        </w:tabs>
        <w:bidi w:val="0"/>
        <w:spacing w:before="0" w:after="0" w:line="240" w:lineRule="auto"/>
        <w:ind w:left="0" w:right="0" w:firstLine="380"/>
        <w:jc w:val="both"/>
      </w:pPr>
      <w:bookmarkStart w:id="614" w:name="bookmark614"/>
      <w:r>
        <w:rPr>
          <w:b/>
          <w:bCs/>
          <w:color w:val="000000"/>
          <w:spacing w:val="0"/>
          <w:w w:val="100"/>
          <w:position w:val="0"/>
        </w:rPr>
        <w:t>三</w:t>
      </w:r>
      <w:bookmarkEnd w:id="614"/>
      <w:r>
        <w:rPr>
          <w:b/>
          <w:bCs/>
          <w:color w:val="000000"/>
          <w:spacing w:val="0"/>
          <w:w w:val="100"/>
          <w:position w:val="0"/>
        </w:rPr>
        <w:t>、</w:t>
        <w:tab/>
        <w:t>关键审计事项</w:t>
      </w:r>
    </w:p>
    <w:p>
      <w:pPr>
        <w:pStyle w:val="Style30"/>
        <w:keepNext w:val="0"/>
        <w:keepLines w:val="0"/>
        <w:widowControl w:val="0"/>
        <w:shd w:val="clear" w:color="auto" w:fill="auto"/>
        <w:bidi w:val="0"/>
        <w:spacing w:before="0" w:after="0" w:line="316" w:lineRule="exact"/>
        <w:ind w:left="0" w:right="0" w:firstLine="58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p>
    <w:p>
      <w:pPr>
        <w:pStyle w:val="Style30"/>
        <w:keepNext w:val="0"/>
        <w:keepLines w:val="0"/>
        <w:widowControl w:val="0"/>
        <w:shd w:val="clear" w:color="auto" w:fill="auto"/>
        <w:tabs>
          <w:tab w:pos="1111" w:val="left"/>
        </w:tabs>
        <w:bidi w:val="0"/>
        <w:spacing w:before="0" w:after="0" w:line="316" w:lineRule="exact"/>
        <w:ind w:left="0" w:right="0" w:firstLine="580"/>
        <w:jc w:val="both"/>
      </w:pPr>
      <w:bookmarkStart w:id="615" w:name="bookmark615"/>
      <w:r>
        <w:rPr>
          <w:color w:val="000000"/>
          <w:spacing w:val="0"/>
          <w:w w:val="100"/>
          <w:position w:val="0"/>
        </w:rPr>
        <w:t>（</w:t>
      </w:r>
      <w:bookmarkEnd w:id="615"/>
      <w:r>
        <w:rPr>
          <w:color w:val="000000"/>
          <w:spacing w:val="0"/>
          <w:w w:val="100"/>
          <w:position w:val="0"/>
        </w:rPr>
        <w:t>一）</w:t>
        <w:tab/>
        <w:t>收入确认</w:t>
      </w:r>
    </w:p>
    <w:p>
      <w:pPr>
        <w:pStyle w:val="Style30"/>
        <w:keepNext w:val="0"/>
        <w:keepLines w:val="0"/>
        <w:widowControl w:val="0"/>
        <w:shd w:val="clear" w:color="auto" w:fill="auto"/>
        <w:tabs>
          <w:tab w:pos="910" w:val="left"/>
        </w:tabs>
        <w:bidi w:val="0"/>
        <w:spacing w:before="0" w:after="0" w:line="316" w:lineRule="exact"/>
        <w:ind w:left="0" w:right="0" w:firstLine="580"/>
        <w:jc w:val="left"/>
      </w:pPr>
      <w:bookmarkStart w:id="616" w:name="bookmark616"/>
      <w:r>
        <w:rPr>
          <w:color w:val="000000"/>
          <w:spacing w:val="0"/>
          <w:w w:val="100"/>
          <w:position w:val="0"/>
        </w:rPr>
        <w:t>1</w:t>
      </w:r>
      <w:bookmarkEnd w:id="616"/>
      <w:r>
        <w:rPr>
          <w:color w:val="000000"/>
          <w:spacing w:val="0"/>
          <w:w w:val="100"/>
          <w:position w:val="0"/>
        </w:rPr>
        <w:t>、</w:t>
        <w:tab/>
        <w:t>事项描述</w:t>
      </w:r>
    </w:p>
    <w:p>
      <w:pPr>
        <w:pStyle w:val="Style30"/>
        <w:keepNext w:val="0"/>
        <w:keepLines w:val="0"/>
        <w:widowControl w:val="0"/>
        <w:shd w:val="clear" w:color="auto" w:fill="auto"/>
        <w:bidi w:val="0"/>
        <w:spacing w:before="0" w:after="0" w:line="316" w:lineRule="exact"/>
        <w:ind w:left="0" w:right="0" w:firstLine="580"/>
        <w:jc w:val="both"/>
      </w:pPr>
      <w:r>
        <w:rPr>
          <w:color w:val="000000"/>
          <w:spacing w:val="0"/>
          <w:w w:val="100"/>
          <w:position w:val="0"/>
        </w:rPr>
        <w:t>请参阅财务报表附注“五、重要会计政策及会计估计</w:t>
      </w:r>
      <w:r>
        <w:rPr>
          <w:color w:val="000000"/>
          <w:spacing w:val="0"/>
          <w:w w:val="100"/>
          <w:position w:val="0"/>
        </w:rPr>
        <w:t>”26</w:t>
      </w:r>
      <w:r>
        <w:rPr>
          <w:color w:val="000000"/>
          <w:spacing w:val="0"/>
          <w:w w:val="100"/>
          <w:position w:val="0"/>
        </w:rPr>
        <w:t>所述的会计政策、“七、合并财务报表项目注释</w:t>
      </w:r>
      <w:r>
        <w:rPr>
          <w:color w:val="000000"/>
          <w:spacing w:val="0"/>
          <w:w w:val="100"/>
          <w:position w:val="0"/>
        </w:rPr>
        <w:t>”29</w:t>
      </w:r>
      <w:r>
        <w:rPr>
          <w:color w:val="000000"/>
          <w:spacing w:val="0"/>
          <w:w w:val="100"/>
          <w:position w:val="0"/>
        </w:rPr>
        <w:t xml:space="preserve">及“十 七、母公司财务报表主要项目注释” </w:t>
      </w:r>
      <w:r>
        <w:rPr>
          <w:color w:val="000000"/>
          <w:spacing w:val="0"/>
          <w:w w:val="100"/>
          <w:position w:val="0"/>
        </w:rPr>
        <w:t>4</w:t>
      </w:r>
      <w:r>
        <w:rPr>
          <w:color w:val="000000"/>
          <w:spacing w:val="0"/>
          <w:w w:val="100"/>
          <w:position w:val="0"/>
        </w:rPr>
        <w:t>。</w:t>
      </w:r>
    </w:p>
    <w:p>
      <w:pPr>
        <w:pStyle w:val="Style30"/>
        <w:keepNext w:val="0"/>
        <w:keepLines w:val="0"/>
        <w:widowControl w:val="0"/>
        <w:shd w:val="clear" w:color="auto" w:fill="auto"/>
        <w:bidi w:val="0"/>
        <w:spacing w:before="0" w:after="0" w:line="316" w:lineRule="exact"/>
        <w:ind w:left="0" w:right="0" w:firstLine="580"/>
        <w:jc w:val="both"/>
      </w:pPr>
      <w:r>
        <w:rPr>
          <w:color w:val="000000"/>
          <w:spacing w:val="0"/>
          <w:w w:val="100"/>
          <w:position w:val="0"/>
        </w:rPr>
        <w:t>四方精创主要从事大型商业银行的软件开发、应用维护及系统集成业务。由于营业收入是四方精创关键业绩指标之 一，且在收入确认方面可能存在重大错报风险，因此，我们将收入的确认作为关键审计事项。</w:t>
      </w:r>
    </w:p>
    <w:p>
      <w:pPr>
        <w:pStyle w:val="Style30"/>
        <w:keepNext w:val="0"/>
        <w:keepLines w:val="0"/>
        <w:widowControl w:val="0"/>
        <w:shd w:val="clear" w:color="auto" w:fill="auto"/>
        <w:tabs>
          <w:tab w:pos="919" w:val="left"/>
        </w:tabs>
        <w:bidi w:val="0"/>
        <w:spacing w:before="0" w:after="0" w:line="316" w:lineRule="exact"/>
        <w:ind w:left="0" w:right="0" w:firstLine="580"/>
        <w:jc w:val="both"/>
      </w:pPr>
      <w:bookmarkStart w:id="617" w:name="bookmark617"/>
      <w:r>
        <w:rPr>
          <w:color w:val="000000"/>
          <w:spacing w:val="0"/>
          <w:w w:val="100"/>
          <w:position w:val="0"/>
        </w:rPr>
        <w:t>2</w:t>
      </w:r>
      <w:bookmarkEnd w:id="617"/>
      <w:r>
        <w:rPr>
          <w:color w:val="000000"/>
          <w:spacing w:val="0"/>
          <w:w w:val="100"/>
          <w:position w:val="0"/>
        </w:rPr>
        <w:t>、</w:t>
        <w:tab/>
        <w:t>审计应对</w:t>
      </w:r>
    </w:p>
    <w:p>
      <w:pPr>
        <w:pStyle w:val="Style30"/>
        <w:keepNext w:val="0"/>
        <w:keepLines w:val="0"/>
        <w:widowControl w:val="0"/>
        <w:shd w:val="clear" w:color="auto" w:fill="auto"/>
        <w:tabs>
          <w:tab w:pos="1020" w:val="left"/>
        </w:tabs>
        <w:bidi w:val="0"/>
        <w:spacing w:before="0" w:after="0" w:line="316" w:lineRule="exact"/>
        <w:ind w:left="0" w:right="0" w:firstLine="580"/>
        <w:jc w:val="both"/>
      </w:pPr>
      <w:bookmarkStart w:id="618" w:name="bookmark618"/>
      <w:r>
        <w:rPr>
          <w:color w:val="000000"/>
          <w:spacing w:val="0"/>
          <w:w w:val="100"/>
          <w:position w:val="0"/>
        </w:rPr>
        <w:t>（</w:t>
      </w:r>
      <w:bookmarkEnd w:id="618"/>
      <w:r>
        <w:rPr>
          <w:color w:val="000000"/>
          <w:spacing w:val="0"/>
          <w:w w:val="100"/>
          <w:position w:val="0"/>
        </w:rPr>
        <w:t>1）</w:t>
        <w:tab/>
      </w:r>
      <w:r>
        <w:rPr>
          <w:color w:val="000000"/>
          <w:spacing w:val="0"/>
          <w:w w:val="100"/>
          <w:position w:val="0"/>
        </w:rPr>
        <w:t>评价和测试四方精创与收入确认相关的关键内部控制的设计和运行有效性；</w:t>
      </w:r>
    </w:p>
    <w:p>
      <w:pPr>
        <w:pStyle w:val="Style30"/>
        <w:keepNext w:val="0"/>
        <w:keepLines w:val="0"/>
        <w:widowControl w:val="0"/>
        <w:shd w:val="clear" w:color="auto" w:fill="auto"/>
        <w:tabs>
          <w:tab w:pos="1020" w:val="left"/>
        </w:tabs>
        <w:bidi w:val="0"/>
        <w:spacing w:before="0" w:after="0" w:line="316" w:lineRule="exact"/>
        <w:ind w:left="0" w:right="0" w:firstLine="580"/>
        <w:jc w:val="both"/>
      </w:pPr>
      <w:bookmarkStart w:id="619" w:name="bookmark619"/>
      <w:r>
        <w:rPr>
          <w:color w:val="000000"/>
          <w:spacing w:val="0"/>
          <w:w w:val="100"/>
          <w:position w:val="0"/>
        </w:rPr>
        <w:t>（</w:t>
      </w:r>
      <w:bookmarkEnd w:id="619"/>
      <w:r>
        <w:rPr>
          <w:color w:val="000000"/>
          <w:spacing w:val="0"/>
          <w:w w:val="100"/>
          <w:position w:val="0"/>
        </w:rPr>
        <w:t>2）</w:t>
        <w:tab/>
      </w:r>
      <w:r>
        <w:rPr>
          <w:color w:val="000000"/>
          <w:spacing w:val="0"/>
          <w:w w:val="100"/>
          <w:position w:val="0"/>
        </w:rPr>
        <w:t>检查主要客户合同相关条款，并评价收入确认是否符合会计准则的要求；</w:t>
      </w:r>
    </w:p>
    <w:p>
      <w:pPr>
        <w:pStyle w:val="Style30"/>
        <w:keepNext w:val="0"/>
        <w:keepLines w:val="0"/>
        <w:widowControl w:val="0"/>
        <w:shd w:val="clear" w:color="auto" w:fill="auto"/>
        <w:tabs>
          <w:tab w:pos="1098" w:val="left"/>
        </w:tabs>
        <w:bidi w:val="0"/>
        <w:spacing w:before="0" w:after="0" w:line="316" w:lineRule="exact"/>
        <w:ind w:left="0" w:right="0" w:firstLine="580"/>
        <w:jc w:val="both"/>
      </w:pPr>
      <w:bookmarkStart w:id="620" w:name="bookmark620"/>
      <w:r>
        <w:rPr>
          <w:color w:val="000000"/>
          <w:spacing w:val="0"/>
          <w:w w:val="100"/>
          <w:position w:val="0"/>
        </w:rPr>
        <w:t>（</w:t>
      </w:r>
      <w:bookmarkEnd w:id="620"/>
      <w:r>
        <w:rPr>
          <w:color w:val="000000"/>
          <w:spacing w:val="0"/>
          <w:w w:val="100"/>
          <w:position w:val="0"/>
        </w:rPr>
        <w:t>3）</w:t>
        <w:tab/>
      </w:r>
      <w:r>
        <w:rPr>
          <w:color w:val="000000"/>
          <w:spacing w:val="0"/>
          <w:w w:val="100"/>
          <w:position w:val="0"/>
        </w:rPr>
        <w:t>检查本年销售合同台账，对本年记录的收入交易选取样本，核对销售合同、发票、送货单、验收单（工作量确 认单）等支持性文件，并结合函证程序，评价收入确认的真实性和完整性；</w:t>
      </w:r>
    </w:p>
    <w:p>
      <w:pPr>
        <w:pStyle w:val="Style30"/>
        <w:keepNext w:val="0"/>
        <w:keepLines w:val="0"/>
        <w:widowControl w:val="0"/>
        <w:shd w:val="clear" w:color="auto" w:fill="auto"/>
        <w:tabs>
          <w:tab w:pos="1093" w:val="left"/>
        </w:tabs>
        <w:bidi w:val="0"/>
        <w:spacing w:before="0" w:after="0" w:line="316" w:lineRule="exact"/>
        <w:ind w:left="0" w:right="0" w:firstLine="580"/>
        <w:jc w:val="both"/>
      </w:pPr>
      <w:bookmarkStart w:id="621" w:name="bookmark621"/>
      <w:r>
        <w:rPr>
          <w:color w:val="000000"/>
          <w:spacing w:val="0"/>
          <w:w w:val="100"/>
          <w:position w:val="0"/>
        </w:rPr>
        <w:t>（</w:t>
      </w:r>
      <w:bookmarkEnd w:id="621"/>
      <w:r>
        <w:rPr>
          <w:color w:val="000000"/>
          <w:spacing w:val="0"/>
          <w:w w:val="100"/>
          <w:position w:val="0"/>
        </w:rPr>
        <w:t>4）</w:t>
        <w:tab/>
      </w:r>
      <w:r>
        <w:rPr>
          <w:color w:val="000000"/>
          <w:spacing w:val="0"/>
          <w:w w:val="100"/>
          <w:position w:val="0"/>
        </w:rPr>
        <w:t>对收入和成本执行分析性程序，包括：本期各月份收入、成本、毛利率波动分析，各类型服务本期收入、成本、 毛利率与上期比较分析等分析性程序，评价收入确认的准确性；</w:t>
      </w:r>
    </w:p>
    <w:p>
      <w:pPr>
        <w:pStyle w:val="Style30"/>
        <w:keepNext w:val="0"/>
        <w:keepLines w:val="0"/>
        <w:widowControl w:val="0"/>
        <w:shd w:val="clear" w:color="auto" w:fill="auto"/>
        <w:tabs>
          <w:tab w:pos="1020" w:val="left"/>
        </w:tabs>
        <w:bidi w:val="0"/>
        <w:spacing w:before="0" w:after="0" w:line="316" w:lineRule="exact"/>
        <w:ind w:left="0" w:right="0" w:firstLine="580"/>
        <w:jc w:val="left"/>
      </w:pPr>
      <w:bookmarkStart w:id="622" w:name="bookmark622"/>
      <w:r>
        <w:rPr>
          <w:color w:val="000000"/>
          <w:spacing w:val="0"/>
          <w:w w:val="100"/>
          <w:position w:val="0"/>
        </w:rPr>
        <w:t>（</w:t>
      </w:r>
      <w:bookmarkEnd w:id="622"/>
      <w:r>
        <w:rPr>
          <w:color w:val="000000"/>
          <w:spacing w:val="0"/>
          <w:w w:val="100"/>
          <w:position w:val="0"/>
        </w:rPr>
        <w:t>5）</w:t>
        <w:tab/>
      </w:r>
      <w:r>
        <w:rPr>
          <w:color w:val="000000"/>
          <w:spacing w:val="0"/>
          <w:w w:val="100"/>
          <w:position w:val="0"/>
        </w:rPr>
        <w:t>对营业收入执行截止测试，确认收入确认是否记录在正确的会计期间；</w:t>
      </w:r>
    </w:p>
    <w:p>
      <w:pPr>
        <w:pStyle w:val="Style30"/>
        <w:keepNext w:val="0"/>
        <w:keepLines w:val="0"/>
        <w:widowControl w:val="0"/>
        <w:shd w:val="clear" w:color="auto" w:fill="auto"/>
        <w:tabs>
          <w:tab w:pos="1020" w:val="left"/>
        </w:tabs>
        <w:bidi w:val="0"/>
        <w:spacing w:before="0" w:after="0" w:line="316" w:lineRule="exact"/>
        <w:ind w:left="0" w:right="0" w:firstLine="580"/>
        <w:jc w:val="left"/>
      </w:pPr>
      <w:bookmarkStart w:id="623" w:name="bookmark623"/>
      <w:r>
        <w:rPr>
          <w:color w:val="000000"/>
          <w:spacing w:val="0"/>
          <w:w w:val="100"/>
          <w:position w:val="0"/>
        </w:rPr>
        <w:t>（</w:t>
      </w:r>
      <w:bookmarkEnd w:id="623"/>
      <w:r>
        <w:rPr>
          <w:color w:val="000000"/>
          <w:spacing w:val="0"/>
          <w:w w:val="100"/>
          <w:position w:val="0"/>
        </w:rPr>
        <w:t>6）</w:t>
        <w:tab/>
      </w:r>
      <w:r>
        <w:rPr>
          <w:color w:val="000000"/>
          <w:spacing w:val="0"/>
          <w:w w:val="100"/>
          <w:position w:val="0"/>
        </w:rPr>
        <w:t>对本年新增的大客户进行背景了解，关注是否存在关联交易。</w:t>
      </w:r>
    </w:p>
    <w:p>
      <w:pPr>
        <w:pStyle w:val="Style30"/>
        <w:keepNext w:val="0"/>
        <w:keepLines w:val="0"/>
        <w:widowControl w:val="0"/>
        <w:shd w:val="clear" w:color="auto" w:fill="auto"/>
        <w:tabs>
          <w:tab w:pos="1111" w:val="left"/>
        </w:tabs>
        <w:bidi w:val="0"/>
        <w:spacing w:before="0" w:after="100" w:line="316" w:lineRule="exact"/>
        <w:ind w:left="0" w:right="0" w:firstLine="580"/>
        <w:jc w:val="left"/>
      </w:pPr>
      <w:bookmarkStart w:id="624" w:name="bookmark624"/>
      <w:r>
        <w:rPr>
          <w:color w:val="000000"/>
          <w:spacing w:val="0"/>
          <w:w w:val="100"/>
          <w:position w:val="0"/>
        </w:rPr>
        <w:t>（</w:t>
      </w:r>
      <w:bookmarkEnd w:id="624"/>
      <w:r>
        <w:rPr>
          <w:color w:val="000000"/>
          <w:spacing w:val="0"/>
          <w:w w:val="100"/>
          <w:position w:val="0"/>
        </w:rPr>
        <w:t>二）</w:t>
        <w:tab/>
        <w:t>应收账款减值准备的计提</w:t>
      </w:r>
    </w:p>
    <w:p>
      <w:pPr>
        <w:pStyle w:val="Style30"/>
        <w:keepNext w:val="0"/>
        <w:keepLines w:val="0"/>
        <w:widowControl w:val="0"/>
        <w:shd w:val="clear" w:color="auto" w:fill="auto"/>
        <w:tabs>
          <w:tab w:pos="943" w:val="left"/>
        </w:tabs>
        <w:bidi w:val="0"/>
        <w:spacing w:before="0" w:after="0" w:line="317" w:lineRule="exact"/>
        <w:ind w:left="0" w:right="0" w:firstLine="580"/>
        <w:jc w:val="both"/>
      </w:pPr>
      <w:bookmarkStart w:id="625" w:name="bookmark625"/>
      <w:r>
        <w:rPr>
          <w:color w:val="000000"/>
          <w:spacing w:val="0"/>
          <w:w w:val="100"/>
          <w:position w:val="0"/>
        </w:rPr>
        <w:t>1</w:t>
      </w:r>
      <w:bookmarkEnd w:id="625"/>
      <w:r>
        <w:rPr>
          <w:color w:val="000000"/>
          <w:spacing w:val="0"/>
          <w:w w:val="100"/>
          <w:position w:val="0"/>
        </w:rPr>
        <w:t>、</w:t>
        <w:tab/>
        <w:t>事项描述</w:t>
      </w:r>
    </w:p>
    <w:p>
      <w:pPr>
        <w:pStyle w:val="Style30"/>
        <w:keepNext w:val="0"/>
        <w:keepLines w:val="0"/>
        <w:widowControl w:val="0"/>
        <w:shd w:val="clear" w:color="auto" w:fill="auto"/>
        <w:bidi w:val="0"/>
        <w:spacing w:before="0" w:after="0" w:line="317" w:lineRule="exact"/>
        <w:ind w:left="0" w:right="0" w:firstLine="580"/>
        <w:jc w:val="both"/>
      </w:pPr>
      <w:r>
        <w:rPr>
          <w:color w:val="000000"/>
          <w:spacing w:val="0"/>
          <w:w w:val="100"/>
          <w:position w:val="0"/>
        </w:rPr>
        <w:t>请参阅财务报表附注“五、重要会计政策及会计估计</w:t>
      </w:r>
      <w:r>
        <w:rPr>
          <w:color w:val="000000"/>
          <w:spacing w:val="0"/>
          <w:w w:val="100"/>
          <w:position w:val="0"/>
        </w:rPr>
        <w:t>”10</w:t>
      </w:r>
      <w:r>
        <w:rPr>
          <w:color w:val="000000"/>
          <w:spacing w:val="0"/>
          <w:w w:val="100"/>
          <w:position w:val="0"/>
        </w:rPr>
        <w:t>所述的会计政策及“七、合并财务报表项目注释</w:t>
      </w:r>
      <w:r>
        <w:rPr>
          <w:color w:val="000000"/>
          <w:spacing w:val="0"/>
          <w:w w:val="100"/>
          <w:position w:val="0"/>
        </w:rPr>
        <w:t>”2</w:t>
      </w:r>
      <w:r>
        <w:rPr>
          <w:color w:val="000000"/>
          <w:spacing w:val="0"/>
          <w:w w:val="100"/>
          <w:position w:val="0"/>
        </w:rPr>
        <w:t>及“十 七、母公司财务报表主要项目注释</w:t>
      </w:r>
      <w:r>
        <w:rPr>
          <w:color w:val="000000"/>
          <w:spacing w:val="0"/>
          <w:w w:val="100"/>
          <w:position w:val="0"/>
        </w:rPr>
        <w:t>”1</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日，四方精创应收账款余额</w:t>
      </w:r>
      <w:r>
        <w:rPr>
          <w:color w:val="000000"/>
          <w:spacing w:val="0"/>
          <w:w w:val="100"/>
          <w:position w:val="0"/>
        </w:rPr>
        <w:t>21,705.88</w:t>
      </w:r>
      <w:r>
        <w:rPr>
          <w:color w:val="000000"/>
          <w:spacing w:val="0"/>
          <w:w w:val="100"/>
          <w:position w:val="0"/>
        </w:rPr>
        <w:t>万元，坏账准备余额</w:t>
      </w:r>
      <w:r>
        <w:rPr>
          <w:color w:val="000000"/>
          <w:spacing w:val="0"/>
          <w:w w:val="100"/>
          <w:position w:val="0"/>
        </w:rPr>
        <w:t>744.27</w:t>
      </w:r>
      <w:r>
        <w:rPr>
          <w:color w:val="000000"/>
          <w:spacing w:val="0"/>
          <w:w w:val="100"/>
          <w:position w:val="0"/>
        </w:rPr>
        <w:t>万元。应收账款坏账准备余额反 应了四方精创管理层（以下简称“管理层”）采用《企业会计准则第</w:t>
      </w:r>
      <w:r>
        <w:rPr>
          <w:color w:val="000000"/>
          <w:spacing w:val="0"/>
          <w:w w:val="100"/>
          <w:position w:val="0"/>
        </w:rPr>
        <w:t>22</w:t>
      </w:r>
      <w:r>
        <w:rPr>
          <w:color w:val="000000"/>
          <w:spacing w:val="0"/>
          <w:w w:val="100"/>
          <w:position w:val="0"/>
        </w:rPr>
        <w:t>号-金融工具确认和计量》预期信用损失模型，在报 表日对预期信用损失作出的最佳估计。管理层按照应收账款整个存续期内预期信用损失的金额计量其减值准备。由于应收账 款金额较大，且管理层在确定应收账款减值时作出了重大判断，因此我们将应收账款减值确定为关键审计事项。</w:t>
      </w:r>
    </w:p>
    <w:p>
      <w:pPr>
        <w:pStyle w:val="Style30"/>
        <w:keepNext w:val="0"/>
        <w:keepLines w:val="0"/>
        <w:widowControl w:val="0"/>
        <w:shd w:val="clear" w:color="auto" w:fill="auto"/>
        <w:tabs>
          <w:tab w:pos="943" w:val="left"/>
        </w:tabs>
        <w:bidi w:val="0"/>
        <w:spacing w:before="0" w:after="0" w:line="317" w:lineRule="exact"/>
        <w:ind w:left="0" w:right="0" w:firstLine="580"/>
        <w:jc w:val="both"/>
      </w:pPr>
      <w:bookmarkStart w:id="626" w:name="bookmark626"/>
      <w:r>
        <w:rPr>
          <w:color w:val="000000"/>
          <w:spacing w:val="0"/>
          <w:w w:val="100"/>
          <w:position w:val="0"/>
        </w:rPr>
        <w:t>2</w:t>
      </w:r>
      <w:bookmarkEnd w:id="626"/>
      <w:r>
        <w:rPr>
          <w:color w:val="000000"/>
          <w:spacing w:val="0"/>
          <w:w w:val="100"/>
          <w:position w:val="0"/>
        </w:rPr>
        <w:t>、</w:t>
        <w:tab/>
        <w:t>审计应对</w:t>
      </w:r>
    </w:p>
    <w:p>
      <w:pPr>
        <w:pStyle w:val="Style30"/>
        <w:keepNext w:val="0"/>
        <w:keepLines w:val="0"/>
        <w:widowControl w:val="0"/>
        <w:shd w:val="clear" w:color="auto" w:fill="auto"/>
        <w:tabs>
          <w:tab w:pos="1020" w:val="left"/>
        </w:tabs>
        <w:bidi w:val="0"/>
        <w:spacing w:before="0" w:after="0" w:line="317" w:lineRule="exact"/>
        <w:ind w:left="0" w:right="0" w:firstLine="580"/>
        <w:jc w:val="both"/>
      </w:pPr>
      <w:bookmarkStart w:id="627" w:name="bookmark627"/>
      <w:r>
        <w:rPr>
          <w:color w:val="000000"/>
          <w:spacing w:val="0"/>
          <w:w w:val="100"/>
          <w:position w:val="0"/>
        </w:rPr>
        <w:t>（</w:t>
      </w:r>
      <w:bookmarkEnd w:id="627"/>
      <w:r>
        <w:rPr>
          <w:color w:val="000000"/>
          <w:spacing w:val="0"/>
          <w:w w:val="100"/>
          <w:position w:val="0"/>
        </w:rPr>
        <w:t>1）</w:t>
        <w:tab/>
      </w:r>
      <w:r>
        <w:rPr>
          <w:color w:val="000000"/>
          <w:spacing w:val="0"/>
          <w:w w:val="100"/>
          <w:position w:val="0"/>
        </w:rPr>
        <w:t>测试和评价四方精创应收账款内部控制制度的设计和运行的有效性；</w:t>
      </w:r>
    </w:p>
    <w:p>
      <w:pPr>
        <w:pStyle w:val="Style30"/>
        <w:keepNext w:val="0"/>
        <w:keepLines w:val="0"/>
        <w:widowControl w:val="0"/>
        <w:shd w:val="clear" w:color="auto" w:fill="auto"/>
        <w:tabs>
          <w:tab w:pos="1020" w:val="left"/>
        </w:tabs>
        <w:bidi w:val="0"/>
        <w:spacing w:before="0" w:after="0" w:line="317" w:lineRule="exact"/>
        <w:ind w:left="0" w:right="0" w:firstLine="580"/>
        <w:jc w:val="both"/>
      </w:pPr>
      <w:bookmarkStart w:id="628" w:name="bookmark628"/>
      <w:r>
        <w:rPr>
          <w:color w:val="000000"/>
          <w:spacing w:val="0"/>
          <w:w w:val="100"/>
          <w:position w:val="0"/>
        </w:rPr>
        <w:t>（</w:t>
      </w:r>
      <w:bookmarkEnd w:id="628"/>
      <w:r>
        <w:rPr>
          <w:color w:val="000000"/>
          <w:spacing w:val="0"/>
          <w:w w:val="100"/>
          <w:position w:val="0"/>
        </w:rPr>
        <w:t>2）</w:t>
        <w:tab/>
      </w:r>
      <w:r>
        <w:rPr>
          <w:color w:val="000000"/>
          <w:spacing w:val="0"/>
          <w:w w:val="100"/>
          <w:position w:val="0"/>
        </w:rPr>
        <w:t>获取并复核管理层编制的应收账款账龄分析表的准确性；</w:t>
      </w:r>
    </w:p>
    <w:p>
      <w:pPr>
        <w:pStyle w:val="Style30"/>
        <w:keepNext w:val="0"/>
        <w:keepLines w:val="0"/>
        <w:widowControl w:val="0"/>
        <w:shd w:val="clear" w:color="auto" w:fill="auto"/>
        <w:tabs>
          <w:tab w:pos="1098" w:val="left"/>
        </w:tabs>
        <w:bidi w:val="0"/>
        <w:spacing w:before="0" w:after="0" w:line="317" w:lineRule="exact"/>
        <w:ind w:left="0" w:right="0" w:firstLine="580"/>
        <w:jc w:val="both"/>
      </w:pPr>
      <w:bookmarkStart w:id="629" w:name="bookmark629"/>
      <w:r>
        <w:rPr>
          <w:color w:val="000000"/>
          <w:spacing w:val="0"/>
          <w:w w:val="100"/>
          <w:position w:val="0"/>
        </w:rPr>
        <w:t>（</w:t>
      </w:r>
      <w:bookmarkEnd w:id="629"/>
      <w:r>
        <w:rPr>
          <w:color w:val="000000"/>
          <w:spacing w:val="0"/>
          <w:w w:val="100"/>
          <w:position w:val="0"/>
        </w:rPr>
        <w:t>3）</w:t>
        <w:tab/>
      </w:r>
      <w:r>
        <w:rPr>
          <w:color w:val="000000"/>
          <w:spacing w:val="0"/>
          <w:w w:val="100"/>
          <w:position w:val="0"/>
        </w:rPr>
        <w:t>通过考虑历史上同类应收账款组合的实际坏账发生金额及情况，结合客户回款情况及市场条件等因素，评估管 理层将应收账款划分为若干组合进行减值评估的方法和计算是否恰当；</w:t>
      </w:r>
    </w:p>
    <w:p>
      <w:pPr>
        <w:pStyle w:val="Style30"/>
        <w:keepNext w:val="0"/>
        <w:keepLines w:val="0"/>
        <w:widowControl w:val="0"/>
        <w:shd w:val="clear" w:color="auto" w:fill="auto"/>
        <w:tabs>
          <w:tab w:pos="1020" w:val="left"/>
        </w:tabs>
        <w:bidi w:val="0"/>
        <w:spacing w:before="0" w:after="0" w:line="317" w:lineRule="exact"/>
        <w:ind w:left="0" w:right="0" w:firstLine="580"/>
        <w:jc w:val="both"/>
      </w:pPr>
      <w:bookmarkStart w:id="630" w:name="bookmark630"/>
      <w:r>
        <w:rPr>
          <w:color w:val="000000"/>
          <w:spacing w:val="0"/>
          <w:w w:val="100"/>
          <w:position w:val="0"/>
        </w:rPr>
        <w:t>（</w:t>
      </w:r>
      <w:bookmarkEnd w:id="630"/>
      <w:r>
        <w:rPr>
          <w:color w:val="000000"/>
          <w:spacing w:val="0"/>
          <w:w w:val="100"/>
          <w:position w:val="0"/>
        </w:rPr>
        <w:t>4）</w:t>
        <w:tab/>
      </w:r>
      <w:r>
        <w:rPr>
          <w:color w:val="000000"/>
          <w:spacing w:val="0"/>
          <w:w w:val="100"/>
          <w:position w:val="0"/>
        </w:rPr>
        <w:t>评估管理层在预期信用损失模型中采用的前瞻性信息；</w:t>
      </w:r>
    </w:p>
    <w:p>
      <w:pPr>
        <w:pStyle w:val="Style30"/>
        <w:keepNext w:val="0"/>
        <w:keepLines w:val="0"/>
        <w:widowControl w:val="0"/>
        <w:shd w:val="clear" w:color="auto" w:fill="auto"/>
        <w:tabs>
          <w:tab w:pos="1083" w:val="left"/>
        </w:tabs>
        <w:bidi w:val="0"/>
        <w:spacing w:before="0" w:after="0" w:line="317" w:lineRule="exact"/>
        <w:ind w:left="0" w:right="0" w:firstLine="580"/>
        <w:jc w:val="both"/>
      </w:pPr>
      <w:bookmarkStart w:id="631" w:name="bookmark631"/>
      <w:r>
        <w:rPr>
          <w:color w:val="000000"/>
          <w:spacing w:val="0"/>
          <w:w w:val="100"/>
          <w:position w:val="0"/>
        </w:rPr>
        <w:t>（</w:t>
      </w:r>
      <w:bookmarkEnd w:id="631"/>
      <w:r>
        <w:rPr>
          <w:color w:val="000000"/>
          <w:spacing w:val="0"/>
          <w:w w:val="100"/>
          <w:position w:val="0"/>
        </w:rPr>
        <w:t>5）</w:t>
        <w:tab/>
      </w:r>
      <w:r>
        <w:rPr>
          <w:color w:val="000000"/>
          <w:spacing w:val="0"/>
          <w:w w:val="100"/>
          <w:position w:val="0"/>
        </w:rPr>
        <w:t>选取样本对金额重大的应收账款余额实施了函证程序，并将函证结果与公司账面记录的金额进行核对，对于未 回函的余额执行替代程序；</w:t>
      </w:r>
    </w:p>
    <w:p>
      <w:pPr>
        <w:pStyle w:val="Style30"/>
        <w:keepNext w:val="0"/>
        <w:keepLines w:val="0"/>
        <w:widowControl w:val="0"/>
        <w:shd w:val="clear" w:color="auto" w:fill="auto"/>
        <w:tabs>
          <w:tab w:pos="1098" w:val="left"/>
        </w:tabs>
        <w:bidi w:val="0"/>
        <w:spacing w:before="0" w:after="100" w:line="317" w:lineRule="exact"/>
        <w:ind w:left="0" w:right="0" w:firstLine="580"/>
        <w:jc w:val="both"/>
      </w:pPr>
      <w:bookmarkStart w:id="632" w:name="bookmark632"/>
      <w:r>
        <w:rPr>
          <w:color w:val="000000"/>
          <w:spacing w:val="0"/>
          <w:w w:val="100"/>
          <w:position w:val="0"/>
        </w:rPr>
        <w:t>（</w:t>
      </w:r>
      <w:bookmarkEnd w:id="632"/>
      <w:r>
        <w:rPr>
          <w:color w:val="000000"/>
          <w:spacing w:val="0"/>
          <w:w w:val="100"/>
          <w:position w:val="0"/>
        </w:rPr>
        <w:t>6）</w:t>
        <w:tab/>
      </w:r>
      <w:r>
        <w:rPr>
          <w:color w:val="000000"/>
          <w:spacing w:val="0"/>
          <w:w w:val="100"/>
          <w:position w:val="0"/>
        </w:rPr>
        <w:t>对应收账款余额较大及账龄时间长的客户，我们通过公开渠道查询与债务人有关的信息，必要时实施走访，以 识别是否存在影响公司应收账款坏账准备评估结果的情形。对于账龄时间长的应收账款，我们还与管理层进行了沟通，了解 账龄时间长的原因以及管理层对于其可回收性的评估。</w:t>
      </w:r>
    </w:p>
    <w:p>
      <w:pPr>
        <w:pStyle w:val="Style30"/>
        <w:keepNext w:val="0"/>
        <w:keepLines w:val="0"/>
        <w:widowControl w:val="0"/>
        <w:shd w:val="clear" w:color="auto" w:fill="auto"/>
        <w:tabs>
          <w:tab w:pos="1001" w:val="left"/>
        </w:tabs>
        <w:bidi w:val="0"/>
        <w:spacing w:before="0" w:after="0" w:line="240" w:lineRule="auto"/>
        <w:ind w:left="0" w:right="0" w:firstLine="580"/>
        <w:jc w:val="both"/>
      </w:pPr>
      <w:bookmarkStart w:id="633" w:name="bookmark633"/>
      <w:r>
        <w:rPr>
          <w:b/>
          <w:bCs/>
          <w:color w:val="000000"/>
          <w:spacing w:val="0"/>
          <w:w w:val="100"/>
          <w:position w:val="0"/>
        </w:rPr>
        <w:t>四</w:t>
      </w:r>
      <w:bookmarkEnd w:id="633"/>
      <w:r>
        <w:rPr>
          <w:b/>
          <w:bCs/>
          <w:color w:val="000000"/>
          <w:spacing w:val="0"/>
          <w:w w:val="100"/>
          <w:position w:val="0"/>
        </w:rPr>
        <w:t>、</w:t>
        <w:tab/>
        <w:t>其他信息</w:t>
      </w:r>
    </w:p>
    <w:p>
      <w:pPr>
        <w:pStyle w:val="Style30"/>
        <w:keepNext w:val="0"/>
        <w:keepLines w:val="0"/>
        <w:widowControl w:val="0"/>
        <w:shd w:val="clear" w:color="auto" w:fill="auto"/>
        <w:bidi w:val="0"/>
        <w:spacing w:before="0" w:after="0" w:line="317" w:lineRule="exact"/>
        <w:ind w:left="0" w:right="0" w:firstLine="580"/>
        <w:jc w:val="both"/>
      </w:pPr>
      <w:r>
        <w:rPr>
          <w:color w:val="000000"/>
          <w:spacing w:val="0"/>
          <w:w w:val="100"/>
          <w:position w:val="0"/>
        </w:rPr>
        <w:t>管理层对其他信息负责。其他信息包括四方精创</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年度报告中涵盖的信息，但不包括财务报表和我们的审计报告。</w:t>
      </w:r>
    </w:p>
    <w:p>
      <w:pPr>
        <w:pStyle w:val="Style30"/>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17" w:lineRule="exact"/>
        <w:ind w:left="0" w:right="0" w:firstLine="580"/>
        <w:jc w:val="both"/>
      </w:pPr>
      <w:r>
        <w:rPr>
          <w:color w:val="000000"/>
          <w:spacing w:val="0"/>
          <w:w w:val="100"/>
          <w:position w:val="0"/>
        </w:rPr>
        <w:t>结合我们对财务报表的审计，我们的责任是阅读其他信息，在此过程中，考虑其他信息是否与财务报表或我们在审 计过程中了解到的情况存在重大不一致或者似乎存在重大错报。</w:t>
      </w:r>
    </w:p>
    <w:p>
      <w:pPr>
        <w:pStyle w:val="Style30"/>
        <w:keepNext w:val="0"/>
        <w:keepLines w:val="0"/>
        <w:widowControl w:val="0"/>
        <w:shd w:val="clear" w:color="auto" w:fill="auto"/>
        <w:bidi w:val="0"/>
        <w:spacing w:before="0" w:after="100" w:line="317" w:lineRule="exact"/>
        <w:ind w:left="0" w:right="0" w:firstLine="580"/>
        <w:jc w:val="both"/>
      </w:pPr>
      <w:r>
        <w:rPr>
          <w:color w:val="000000"/>
          <w:spacing w:val="0"/>
          <w:w w:val="100"/>
          <w:position w:val="0"/>
        </w:rPr>
        <w:t>基于我们已执行的工作，如果我们确定其他信息存在重大错报，我们应当报告该事实。在这方面，我们无任何事项 需要报告。</w:t>
      </w:r>
    </w:p>
    <w:p>
      <w:pPr>
        <w:pStyle w:val="Style30"/>
        <w:keepNext w:val="0"/>
        <w:keepLines w:val="0"/>
        <w:widowControl w:val="0"/>
        <w:shd w:val="clear" w:color="auto" w:fill="auto"/>
        <w:tabs>
          <w:tab w:pos="1015" w:val="left"/>
        </w:tabs>
        <w:bidi w:val="0"/>
        <w:spacing w:before="0" w:after="0" w:line="240" w:lineRule="auto"/>
        <w:ind w:left="0" w:right="0" w:firstLine="580"/>
        <w:jc w:val="both"/>
      </w:pPr>
      <w:bookmarkStart w:id="634" w:name="bookmark634"/>
      <w:r>
        <w:rPr>
          <w:b/>
          <w:bCs/>
          <w:color w:val="000000"/>
          <w:spacing w:val="0"/>
          <w:w w:val="100"/>
          <w:position w:val="0"/>
        </w:rPr>
        <w:t>五</w:t>
      </w:r>
      <w:bookmarkEnd w:id="634"/>
      <w:r>
        <w:rPr>
          <w:b/>
          <w:bCs/>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14" w:lineRule="exact"/>
        <w:ind w:left="0" w:right="0" w:firstLine="580"/>
        <w:jc w:val="both"/>
      </w:pPr>
      <w:r>
        <w:rPr>
          <w:color w:val="000000"/>
          <w:spacing w:val="0"/>
          <w:w w:val="100"/>
          <w:position w:val="0"/>
        </w:rPr>
        <w:t>管理层负责按照企业会计准则的规定编制财务报表，使其实现公允反映，并设计、执行和维护必要的内部控制，以 使财务报表不存在由于舞弊或错误导致的重大错报。</w:t>
      </w:r>
    </w:p>
    <w:p>
      <w:pPr>
        <w:pStyle w:val="Style30"/>
        <w:keepNext w:val="0"/>
        <w:keepLines w:val="0"/>
        <w:widowControl w:val="0"/>
        <w:shd w:val="clear" w:color="auto" w:fill="auto"/>
        <w:bidi w:val="0"/>
        <w:spacing w:before="0" w:after="0" w:line="314" w:lineRule="exact"/>
        <w:ind w:left="0" w:right="0" w:firstLine="580"/>
        <w:jc w:val="both"/>
      </w:pPr>
      <w:r>
        <w:rPr>
          <w:color w:val="000000"/>
          <w:spacing w:val="0"/>
          <w:w w:val="100"/>
          <w:position w:val="0"/>
        </w:rPr>
        <w:t>在编制财务报表时，管理层负责评估四方精创的持续经营能力，披露与持续经营相关的事项（如适用），并运用持 续经营假设，除非管理层计划清算四方精创、终止运营或别无其他现实的选择。</w:t>
      </w:r>
    </w:p>
    <w:p>
      <w:pPr>
        <w:pStyle w:val="Style30"/>
        <w:keepNext w:val="0"/>
        <w:keepLines w:val="0"/>
        <w:widowControl w:val="0"/>
        <w:shd w:val="clear" w:color="auto" w:fill="auto"/>
        <w:bidi w:val="0"/>
        <w:spacing w:before="0" w:after="100" w:line="314" w:lineRule="exact"/>
        <w:ind w:left="0" w:right="0" w:firstLine="580"/>
        <w:jc w:val="both"/>
      </w:pPr>
      <w:r>
        <w:rPr>
          <w:color w:val="000000"/>
          <w:spacing w:val="0"/>
          <w:w w:val="100"/>
          <w:position w:val="0"/>
        </w:rPr>
        <w:t>治理层负责监督四方精创的财务报告过程。</w:t>
      </w:r>
    </w:p>
    <w:p>
      <w:pPr>
        <w:pStyle w:val="Style30"/>
        <w:keepNext w:val="0"/>
        <w:keepLines w:val="0"/>
        <w:widowControl w:val="0"/>
        <w:shd w:val="clear" w:color="auto" w:fill="auto"/>
        <w:tabs>
          <w:tab w:pos="1015" w:val="left"/>
        </w:tabs>
        <w:bidi w:val="0"/>
        <w:spacing w:before="0" w:after="0" w:line="240" w:lineRule="auto"/>
        <w:ind w:left="0" w:right="0" w:firstLine="580"/>
        <w:jc w:val="both"/>
      </w:pPr>
      <w:bookmarkStart w:id="635" w:name="bookmark635"/>
      <w:r>
        <w:rPr>
          <w:b/>
          <w:bCs/>
          <w:color w:val="000000"/>
          <w:spacing w:val="0"/>
          <w:w w:val="100"/>
          <w:position w:val="0"/>
        </w:rPr>
        <w:t>六</w:t>
      </w:r>
      <w:bookmarkEnd w:id="635"/>
      <w:r>
        <w:rPr>
          <w:b/>
          <w:bCs/>
          <w:color w:val="000000"/>
          <w:spacing w:val="0"/>
          <w:w w:val="100"/>
          <w:position w:val="0"/>
        </w:rPr>
        <w:t>、</w:t>
        <w:tab/>
        <w:t>注册会计师对财务报表审计的责任</w:t>
      </w:r>
    </w:p>
    <w:p>
      <w:pPr>
        <w:pStyle w:val="Style30"/>
        <w:keepNext w:val="0"/>
        <w:keepLines w:val="0"/>
        <w:widowControl w:val="0"/>
        <w:shd w:val="clear" w:color="auto" w:fill="auto"/>
        <w:bidi w:val="0"/>
        <w:spacing w:before="0" w:after="0" w:line="314" w:lineRule="exact"/>
        <w:ind w:left="0" w:right="0" w:firstLine="580"/>
        <w:jc w:val="both"/>
      </w:pPr>
      <w:r>
        <w:rPr>
          <w:color w:val="000000"/>
          <w:spacing w:val="0"/>
          <w:w w:val="100"/>
          <w:position w:val="0"/>
        </w:rPr>
        <w:t>我们的目标是对财务报表整体是否不存在由于舞弊或错误导致的重大错报获取合理保证，并出具包含审计意见的审 计报告。合理保证是高水平的保证，但并不能保证按照审计准则执行的审计在某一重大错报存在时总能发现。错报可能由于 舞弊或错误导致，如果合理预期错报单独或汇总起来可能影响财务报表使用者依据财务报表作出的经济决策，则通常认为错 报是重大的。</w:t>
      </w:r>
    </w:p>
    <w:p>
      <w:pPr>
        <w:pStyle w:val="Style30"/>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tabs>
          <w:tab w:pos="1098" w:val="left"/>
        </w:tabs>
        <w:bidi w:val="0"/>
        <w:spacing w:before="0" w:after="0" w:line="314" w:lineRule="exact"/>
        <w:ind w:left="0" w:right="0" w:firstLine="580"/>
        <w:jc w:val="left"/>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0"/>
        <w:keepNext w:val="0"/>
        <w:keepLines w:val="0"/>
        <w:widowControl w:val="0"/>
        <w:shd w:val="clear" w:color="auto" w:fill="auto"/>
        <w:tabs>
          <w:tab w:pos="1020" w:val="left"/>
        </w:tabs>
        <w:bidi w:val="0"/>
        <w:spacing w:before="0" w:after="0" w:line="314" w:lineRule="exact"/>
        <w:ind w:left="0" w:right="0" w:firstLine="580"/>
        <w:jc w:val="left"/>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30"/>
        <w:keepNext w:val="0"/>
        <w:keepLines w:val="0"/>
        <w:widowControl w:val="0"/>
        <w:shd w:val="clear" w:color="auto" w:fill="auto"/>
        <w:tabs>
          <w:tab w:pos="1020" w:val="left"/>
        </w:tabs>
        <w:bidi w:val="0"/>
        <w:spacing w:before="0" w:after="0" w:line="314" w:lineRule="exact"/>
        <w:ind w:left="0" w:right="0" w:firstLine="580"/>
        <w:jc w:val="left"/>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0"/>
        <w:keepNext w:val="0"/>
        <w:keepLines w:val="0"/>
        <w:widowControl w:val="0"/>
        <w:shd w:val="clear" w:color="auto" w:fill="auto"/>
        <w:tabs>
          <w:tab w:pos="1093" w:val="left"/>
        </w:tabs>
        <w:bidi w:val="0"/>
        <w:spacing w:before="0" w:after="0" w:line="314" w:lineRule="exact"/>
        <w:ind w:left="0" w:right="0" w:firstLine="580"/>
        <w:jc w:val="left"/>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对管理层使用持续经营假设的恰当性得出结论。同时，根据获取的审计证据，就可能导致对四方精创持续经营 能力产生重大疑虑的事项或情况是否存在重大不确定性得出结论。如果我们得出结论认为存在重大不确定性，审计准则要求 </w:t>
      </w:r>
      <w:r>
        <w:rPr>
          <w:color w:val="000000"/>
          <w:spacing w:val="0"/>
          <w:w w:val="100"/>
          <w:position w:val="0"/>
        </w:rPr>
        <w:t>我们在审计报告中提请报表使用者注意财务报表中的相关披露；如果披露不充分，我们应当发表非无保留意见。我们的结论 基于截至审计报告日可获得的信息。然而，未来的事项或情况可能导致四方精创不能持续经营。</w:t>
      </w:r>
    </w:p>
    <w:p>
      <w:pPr>
        <w:pStyle w:val="Style30"/>
        <w:keepNext w:val="0"/>
        <w:keepLines w:val="0"/>
        <w:widowControl w:val="0"/>
        <w:numPr>
          <w:ilvl w:val="0"/>
          <w:numId w:val="13"/>
        </w:numPr>
        <w:shd w:val="clear" w:color="auto" w:fill="auto"/>
        <w:tabs>
          <w:tab w:pos="1020" w:val="left"/>
        </w:tabs>
        <w:bidi w:val="0"/>
        <w:spacing w:before="0" w:after="0" w:line="313" w:lineRule="exact"/>
        <w:ind w:left="0" w:right="0" w:firstLine="580"/>
        <w:jc w:val="both"/>
      </w:pPr>
      <w:bookmarkStart w:id="640" w:name="bookmark640"/>
      <w:bookmarkEnd w:id="640"/>
      <w:r>
        <w:rPr>
          <w:color w:val="000000"/>
          <w:spacing w:val="0"/>
          <w:w w:val="100"/>
          <w:position w:val="0"/>
        </w:rPr>
        <w:t>评价财务报表的总体列报、结构和内容，并评价财务报表是否公允反映相关交易和事项。</w:t>
      </w:r>
    </w:p>
    <w:p>
      <w:pPr>
        <w:pStyle w:val="Style30"/>
        <w:keepNext w:val="0"/>
        <w:keepLines w:val="0"/>
        <w:widowControl w:val="0"/>
        <w:numPr>
          <w:ilvl w:val="0"/>
          <w:numId w:val="13"/>
        </w:numPr>
        <w:shd w:val="clear" w:color="auto" w:fill="auto"/>
        <w:tabs>
          <w:tab w:pos="1098" w:val="left"/>
        </w:tabs>
        <w:bidi w:val="0"/>
        <w:spacing w:before="0" w:after="0" w:line="313" w:lineRule="exact"/>
        <w:ind w:left="0" w:right="0" w:firstLine="580"/>
        <w:jc w:val="both"/>
      </w:pPr>
      <w:bookmarkStart w:id="641" w:name="bookmark641"/>
      <w:bookmarkEnd w:id="641"/>
      <w:r>
        <w:rPr>
          <w:color w:val="000000"/>
          <w:spacing w:val="0"/>
          <w:w w:val="100"/>
          <w:position w:val="0"/>
        </w:rPr>
        <w:t>就四方精创中实体或业务活动的财务信息获取充分、适当的审计证据，以对财务报表发表审计意见。我们负责 指导、监督和执行集团审计，并对审计意见承担全部责任。</w:t>
      </w:r>
    </w:p>
    <w:p>
      <w:pPr>
        <w:pStyle w:val="Style30"/>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我们与治理层就计划的审计范围、时间安排和重大审计发现等事项进行沟通，包括沟通我们在审计中识别出的值得 关注的内部控制缺陷。</w:t>
      </w:r>
    </w:p>
    <w:p>
      <w:pPr>
        <w:pStyle w:val="Style30"/>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我们还就已遵守与独立性相关的职业道德要求向治理层提供声明，并与治理层沟通可能被合理认为影响我们独立性 的所有关系和其他事项，以及相关的防范措施(如适用)。</w:t>
      </w:r>
    </w:p>
    <w:p>
      <w:pPr>
        <w:pStyle w:val="Style30"/>
        <w:keepNext w:val="0"/>
        <w:keepLines w:val="0"/>
        <w:widowControl w:val="0"/>
        <w:shd w:val="clear" w:color="auto" w:fill="auto"/>
        <w:bidi w:val="0"/>
        <w:spacing w:before="0" w:after="680" w:line="313" w:lineRule="exact"/>
        <w:ind w:left="0" w:right="0" w:firstLine="580"/>
        <w:jc w:val="both"/>
      </w:pPr>
      <w:r>
        <w:rPr>
          <w:color w:val="000000"/>
          <w:spacing w:val="0"/>
          <w:w w:val="100"/>
          <w:position w:val="0"/>
        </w:rPr>
        <w:t>从与治理层沟通过的事项中，我们确定哪些事项对本期财务报表审计最为重要，因而构成关键审计事项。我们在审 计报告中描述这些事项，除非法律法规禁止公开披露这些事项，或在极少数情形下，如果合理预期在审计报告中沟通某事项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28"/>
        <w:keepNext/>
        <w:keepLines/>
        <w:widowControl w:val="0"/>
        <w:shd w:val="clear" w:color="auto" w:fill="auto"/>
        <w:bidi w:val="0"/>
        <w:spacing w:before="0" w:after="360" w:line="240" w:lineRule="auto"/>
        <w:ind w:left="0" w:right="0" w:firstLine="0"/>
        <w:jc w:val="left"/>
      </w:pPr>
      <w:bookmarkStart w:id="642" w:name="bookmark642"/>
      <w:bookmarkStart w:id="643" w:name="bookmark643"/>
      <w:bookmarkStart w:id="644" w:name="bookmark644"/>
      <w:r>
        <w:rPr>
          <w:color w:val="000000"/>
          <w:spacing w:val="0"/>
          <w:w w:val="100"/>
          <w:position w:val="0"/>
          <w:sz w:val="24"/>
          <w:szCs w:val="24"/>
        </w:rPr>
        <w:t>二、财务报表</w:t>
      </w:r>
      <w:bookmarkEnd w:id="642"/>
      <w:bookmarkEnd w:id="643"/>
      <w:bookmarkEnd w:id="64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5"/>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、合并资产负债表</w:t>
      </w:r>
      <w:bookmarkEnd w:id="645"/>
      <w:bookmarkEnd w:id="646"/>
      <w:bookmarkEnd w:id="648"/>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编制单位：深圳四方精创资讯股份有限公司</w:t>
      </w:r>
    </w:p>
    <w:p>
      <w:pPr>
        <w:pStyle w:val="Style5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485,160,678.74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526,922,052.54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209,616,066.11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175,895,620.78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2,850,494.85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4,703,880.25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10,638,484.17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3,999,241.41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58,495,239.05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5,983,550.99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9,267,307.89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2,662,686.08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5,937,258.35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778,690,956.89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723,441,604.32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46,747,663.92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48,393,395.82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47,076,310.59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54,841,508.99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316,069,007.71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302,285,456.43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12,642,155.60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19,379,842.84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30,652,476.87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31,748,992.45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2,051,373.43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2,162,947.99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14,045,970.34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12,410,712.84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3,795,555.46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2,747,480.86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473,080,513.92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473,970,338.22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1,251,771,470.81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1,197,411,942.54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1,774,878.03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2,712,654.74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61,198,660.95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55,106,909.37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10,724,806.01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3,515,328.45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5,604,343.26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33,652,798.98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817,262.64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82,015,342.99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92,617,712.36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4,312,520.17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2,358,612.83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2,358,612.83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86,327,863.16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94,976,325.19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283,299,055.00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188,968,261.00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439,688,923.31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536,524,182.26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31,647,375.64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-35,459,434.37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-26,059,111.75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73,570,768.42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68,246,921.37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404,407,229.29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366,402,740.11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1,165,443,607.65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1,102,435,617.35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1,165,443,607.65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1,102,435,617.35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1,251,771,470.81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1,197,411,942.54</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708025</wp:posOffset>
                </wp:positionH>
                <wp:positionV relativeFrom="margin">
                  <wp:posOffset>4992370</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wps:txbx>
                      <wps:bodyPr wrap="none" lIns="0" tIns="0" rIns="0" bIns="0">
                        <a:noAutoFit/>
                      </wps:bodyPr>
                    </wps:wsp>
                  </a:graphicData>
                </a:graphic>
              </wp:anchor>
            </w:drawing>
          </mc:Choice>
          <mc:Fallback>
            <w:pict>
              <v:shape id="_x0000_s1035" type="#_x0000_t202" style="position:absolute;margin-left:55.75pt;margin-top:393.10000000000002pt;width:83.049999999999997pt;height:11.75pt;z-index:-125829373;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v:textbox>
                <w10:wrap type="topAndBottom" anchorx="page" anchory="margin"/>
              </v:shape>
            </w:pict>
          </mc:Fallback>
        </mc:AlternateContent>
      </w:r>
      <w:r>
        <mc:AlternateContent>
          <mc:Choice Requires="wps">
            <w:drawing>
              <wp:anchor distT="152400" distB="3175" distL="2284730" distR="2513330" simplePos="0" relativeHeight="125829382" behindDoc="0" locked="0" layoutInCell="1" allowOverlap="1">
                <wp:simplePos x="0" y="0"/>
                <wp:positionH relativeFrom="page">
                  <wp:posOffset>2878455</wp:posOffset>
                </wp:positionH>
                <wp:positionV relativeFrom="margin">
                  <wp:posOffset>4992370</wp:posOffset>
                </wp:positionV>
                <wp:extent cx="1517650" cy="146050"/>
                <wp:wrapTopAndBottom/>
                <wp:docPr id="11" name="Shape 11"/>
                <a:graphic xmlns:a="http://schemas.openxmlformats.org/drawingml/2006/main">
                  <a:graphicData uri="http://schemas.microsoft.com/office/word/2010/wordprocessingShape">
                    <wps:wsp>
                      <wps:cNvSpPr txBox="1"/>
                      <wps:spPr>
                        <a:xfrm>
                          <a:ext cx="151765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主管会计工作负责人：陈淑玲</w:t>
                            </w:r>
                          </w:p>
                        </w:txbxContent>
                      </wps:txbx>
                      <wps:bodyPr wrap="none" lIns="0" tIns="0" rIns="0" bIns="0">
                        <a:noAutoFit/>
                      </wps:bodyPr>
                    </wps:wsp>
                  </a:graphicData>
                </a:graphic>
              </wp:anchor>
            </w:drawing>
          </mc:Choice>
          <mc:Fallback>
            <w:pict>
              <v:shape id="_x0000_s1037" type="#_x0000_t202" style="position:absolute;margin-left:226.65000000000001pt;margin-top:393.10000000000002pt;width:119.5pt;height:11.5pt;z-index:-125829371;mso-wrap-distance-left:179.90000000000001pt;mso-wrap-distance-top:12.pt;mso-wrap-distance-right:197.90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主管会计工作负责人：陈淑玲</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5508625</wp:posOffset>
                </wp:positionH>
                <wp:positionV relativeFrom="margin">
                  <wp:posOffset>4992370</wp:posOffset>
                </wp:positionV>
                <wp:extent cx="1286510" cy="149225"/>
                <wp:wrapTopAndBottom/>
                <wp:docPr id="13" name="Shape 1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会计机构负责人：陈淑玲</w:t>
                            </w:r>
                          </w:p>
                        </w:txbxContent>
                      </wps:txbx>
                      <wps:bodyPr wrap="none" lIns="0" tIns="0" rIns="0" bIns="0">
                        <a:noAutoFit/>
                      </wps:bodyPr>
                    </wps:wsp>
                  </a:graphicData>
                </a:graphic>
              </wp:anchor>
            </w:drawing>
          </mc:Choice>
          <mc:Fallback>
            <w:pict>
              <v:shape id="_x0000_s1039" type="#_x0000_t202" style="position:absolute;margin-left:433.75pt;margin-top:393.10000000000002pt;width:101.3pt;height:11.75pt;z-index:-125829369;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会计机构负责人：陈淑玲</w:t>
                      </w:r>
                    </w:p>
                  </w:txbxContent>
                </v:textbox>
                <w10:wrap type="topAndBottom" anchorx="page" anchory="margin"/>
              </v:shape>
            </w:pict>
          </mc:Fallback>
        </mc:AlternateContent>
      </w: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、母公司资产负债表</w:t>
      </w:r>
      <w:bookmarkEnd w:id="649"/>
      <w:bookmarkEnd w:id="650"/>
      <w:bookmarkEnd w:id="6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287,944,653.00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346,573,339.11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382,568,098.02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328,659,191.02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2,440,013.37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2,713,817.49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3,320,068.57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2,862,130.54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34,829,752.84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5,983,550.99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9,267,307.89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2,061,906.52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5,900,435.76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722,431,800.21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692,692,464.91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59,197,812.44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58,319,881.41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47,076,310.59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54,841,508.99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306,102,044.97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297,592,593.65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12,642,155.60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19,379,842.84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30,652,476.87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31,748,992.45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1,530,928.52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1,062,064.75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13,317,281.13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12,410,712.84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3,795,555.46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474,314,565.58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475,973,460.93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1,196,746,365.79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1,168,665,925.84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1,130,517.56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222,430.90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120,244.66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133,348.93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53,790,198.38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48,440,437.01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6,081,353.73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3,426,183.06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4,698,237.19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32,971,202.62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817,262.64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65,833,655.79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85,180,498.25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65,833,655.79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85,180,498.25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283,299,055.00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188,968,261.00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439,696,559.40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536,531,818.35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31,647,375.64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-35,277,766.27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-28,677,347.60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73,570,768.42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68,246,921.37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369,687,027.45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350,063,150.11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1,130,912,710.00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1,083,485,427.59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1,196,746,365.79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1,168,665,925.84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、合并利润表</w:t>
      </w:r>
      <w:bookmarkEnd w:id="653"/>
      <w:bookmarkEnd w:id="654"/>
      <w:bookmarkEnd w:id="656"/>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573,983,631.21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525,558,672.81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573,983,631.21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525,558,672.81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503,129,845.12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431,579,743.07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300,258,889.01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266,180,762.88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862,547.86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1,498,166.10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9,081,208.94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3,359,319.17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111,449,341.92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86,717,043.61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79,675,041.77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84,315,394.86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1,802,815.62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-10,490,943.55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5,368,831.65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8,854,527.61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1,888,002.85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6,622,552.23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1,362,601.43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549,118.73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-1,312,398.57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549,118.73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-1,596,370.05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316,243.39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113,973.51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72,621,993.83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101,487,361.02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5,858,763.71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2,566,058.63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77,757,625.90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104,023,102.33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3,202,594.45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7,784,463.77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74,555,031.45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96,238,638.56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74,555,031.45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96,238,638.56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74,555,031.45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96,238,638.56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-9,400,322.62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5,776,454.91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-9,400,322.62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5,776,454.91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-6,600,418.67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5,053,421.90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-6,600,418.67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5,053,421.90</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-2,799,903.95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723,033.01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-2,799,903.95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723,033.01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65,154,708.83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102,015,093.47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65,154,708.83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102,015,093.47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6" behindDoc="0" locked="0" layoutInCell="1" allowOverlap="1">
                <wp:simplePos x="0" y="0"/>
                <wp:positionH relativeFrom="page">
                  <wp:posOffset>708025</wp:posOffset>
                </wp:positionH>
                <wp:positionV relativeFrom="margin">
                  <wp:posOffset>6321425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wps:txbx>
                      <wps:bodyPr wrap="none" lIns="0" tIns="0" rIns="0" bIns="0">
                        <a:noAutoFit/>
                      </wps:bodyPr>
                    </wps:wsp>
                  </a:graphicData>
                </a:graphic>
              </wp:anchor>
            </w:drawing>
          </mc:Choice>
          <mc:Fallback>
            <w:pict>
              <v:shape id="_x0000_s1041" type="#_x0000_t202" style="position:absolute;margin-left:55.75pt;margin-top:497.75pt;width:83.049999999999997pt;height:11.75pt;z-index:-125829367;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v:textbox>
                <w10:wrap type="topAndBottom" anchorx="page" anchory="margin"/>
              </v:shape>
            </w:pict>
          </mc:Fallback>
        </mc:AlternateContent>
      </w:r>
      <w:r>
        <mc:AlternateContent>
          <mc:Choice Requires="wps">
            <w:drawing>
              <wp:anchor distT="152400" distB="3175" distL="2284730" distR="2513330" simplePos="0" relativeHeight="125829388" behindDoc="0" locked="0" layoutInCell="1" allowOverlap="1">
                <wp:simplePos x="0" y="0"/>
                <wp:positionH relativeFrom="page">
                  <wp:posOffset>2878455</wp:posOffset>
                </wp:positionH>
                <wp:positionV relativeFrom="margin">
                  <wp:posOffset>6321425</wp:posOffset>
                </wp:positionV>
                <wp:extent cx="1517650" cy="146050"/>
                <wp:wrapTopAndBottom/>
                <wp:docPr id="17" name="Shape 17"/>
                <a:graphic xmlns:a="http://schemas.openxmlformats.org/drawingml/2006/main">
                  <a:graphicData uri="http://schemas.microsoft.com/office/word/2010/wordprocessingShape">
                    <wps:wsp>
                      <wps:cNvSpPr txBox="1"/>
                      <wps:spPr>
                        <a:xfrm>
                          <a:ext cx="151765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主管会计工作负责人：陈淑玲</w:t>
                            </w:r>
                          </w:p>
                        </w:txbxContent>
                      </wps:txbx>
                      <wps:bodyPr wrap="none" lIns="0" tIns="0" rIns="0" bIns="0">
                        <a:noAutoFit/>
                      </wps:bodyPr>
                    </wps:wsp>
                  </a:graphicData>
                </a:graphic>
              </wp:anchor>
            </w:drawing>
          </mc:Choice>
          <mc:Fallback>
            <w:pict>
              <v:shape id="_x0000_s1043" type="#_x0000_t202" style="position:absolute;margin-left:226.65000000000001pt;margin-top:497.75pt;width:119.5pt;height:11.5pt;z-index:-125829365;mso-wrap-distance-left:179.90000000000001pt;mso-wrap-distance-top:12.pt;mso-wrap-distance-right:197.90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主管会计工作负责人：陈淑玲</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5508625</wp:posOffset>
                </wp:positionH>
                <wp:positionV relativeFrom="margin">
                  <wp:posOffset>6321425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会计机构负责人：陈淑玲</w:t>
                            </w:r>
                          </w:p>
                        </w:txbxContent>
                      </wps:txbx>
                      <wps:bodyPr wrap="none" lIns="0" tIns="0" rIns="0" bIns="0">
                        <a:noAutoFit/>
                      </wps:bodyPr>
                    </wps:wsp>
                  </a:graphicData>
                </a:graphic>
              </wp:anchor>
            </w:drawing>
          </mc:Choice>
          <mc:Fallback>
            <w:pict>
              <v:shape id="_x0000_s1045" type="#_x0000_t202" style="position:absolute;margin-left:433.75pt;margin-top:497.75pt;width:101.3pt;height:11.75pt;z-index:-125829363;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会计机构负责人：陈淑玲</w:t>
                      </w:r>
                    </w:p>
                  </w:txbxContent>
                </v:textbox>
                <w10:wrap type="topAndBottom" anchorx="page" anchory="margin"/>
              </v:shape>
            </w:pict>
          </mc:Fallback>
        </mc:AlternateContent>
      </w: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4</w:t>
      </w:r>
      <w:bookmarkEnd w:id="659"/>
      <w:r>
        <w:rPr>
          <w:color w:val="000000"/>
          <w:spacing w:val="0"/>
          <w:w w:val="100"/>
          <w:position w:val="0"/>
        </w:rPr>
        <w:t>、母公司利润表</w:t>
      </w:r>
      <w:bookmarkEnd w:id="657"/>
      <w:bookmarkEnd w:id="658"/>
      <w:bookmarkEnd w:id="6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484,842,777.76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487,863,142.01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288,269,774.49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263,545,241.71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760,224.66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1,497,234.10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3,247,756.49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3,359,319.17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58,496,280.18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50,337,793.38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79,675,041.77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84,315,394.86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9,322,244.14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-11,058,600.13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4,358,017.38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7,740,431.36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1,887,054.14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6,621,837.46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3,886,264.36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742,890.09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1,211,264.36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742,890.09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-1,008,794.11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-248,310.00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113,973.51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49,949,953.93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102,983,176.47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3,179,985.47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2,566,058.63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30,317.32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53,092,837.76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105,518,917.78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-3,081,581.85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7,151,718.61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56,174,419.61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98,367,199.17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56,174,419.61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98,367,199.17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-6,600,418.67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5,053,421.90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-6,600,418.67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5,053,421.90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-6,600,418.67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5,053,421.90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49,574,000.94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103,420,621.07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5</w:t>
      </w:r>
      <w:bookmarkEnd w:id="663"/>
      <w:r>
        <w:rPr>
          <w:color w:val="000000"/>
          <w:spacing w:val="0"/>
          <w:w w:val="100"/>
          <w:position w:val="0"/>
        </w:rPr>
        <w:t>、合并现金流量表</w:t>
      </w:r>
      <w:bookmarkEnd w:id="661"/>
      <w:bookmarkEnd w:id="662"/>
      <w:bookmarkEnd w:id="6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527,388,569.78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555,382,468.46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14,762,857.67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10,247,762.45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17,591,116.08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552,399,189.90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572,973,584.54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30,355,702.30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12,758,417.94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447,744,922.40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388,099,277.83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15,329,042.00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16,294,933.15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47,632,221.58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36,542,037.53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541,061,888.28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453,694,666.45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11,337,301.62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119,278,918.09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85,723.12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3,039,293.33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335,723.12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26,459,333.41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27,767,407.57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26,459,333.41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27,767,407.57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-23,420,040.08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-27,431,684.45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28,112,345.49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28,747,022.14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1,988,336.81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73,559,472.84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102,306,494.98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-102,306,494.98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-2,799,903.95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723,959.47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-44,983,324.71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-9,735,301.87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522,519,662.48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532,254,964.35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477,536,337.77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522,519,662.48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6</w:t>
      </w:r>
      <w:bookmarkEnd w:id="667"/>
      <w:r>
        <w:rPr>
          <w:color w:val="000000"/>
          <w:spacing w:val="0"/>
          <w:w w:val="100"/>
          <w:position w:val="0"/>
        </w:rPr>
        <w:t>、母公司现金流量表</w:t>
      </w:r>
      <w:bookmarkEnd w:id="665"/>
      <w:bookmarkEnd w:id="666"/>
      <w:bookmarkEnd w:id="6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408,032,293.57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458,982,400.07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14,762,857.67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6,558,169.94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15,819,851.53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429,353,321.18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474,802,251.60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11,497,605.71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9,945,233.84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388,930,004.78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360,879,295.79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14,415,503.68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16,133,361.23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28,058,450.43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28,191,505.75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442,901,564.60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415,149,396.61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-13,548,243.42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59,652,854.99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3,039,293.33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21,241,004.63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21,397,770.87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21,241,004.63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24,397,770.87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-18,201,711.30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-24,146,770.87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28,112,345.49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28,747,022.14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1,988,336.81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73,559,472.84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102,306,494.98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-30,100,682.30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-102,306,494.98</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-61,850,637.02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-66,800,410.86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342,170,949.05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408,971,359.91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280,320,312.03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342,170,949.05</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7</w:t>
      </w:r>
      <w:bookmarkEnd w:id="671"/>
      <w:r>
        <w:rPr>
          <w:color w:val="000000"/>
          <w:spacing w:val="0"/>
          <w:w w:val="100"/>
          <w:position w:val="0"/>
        </w:rPr>
        <w:t>、合并所有者权益变动表</w:t>
      </w:r>
      <w:bookmarkEnd w:id="669"/>
      <w:bookmarkEnd w:id="670"/>
      <w:bookmarkEnd w:id="67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435,61</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-2,935,</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949.13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949.13</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9,111.7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499,66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499,66</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 动金额（减少以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94,33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5,258.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40,646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65,943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,939.4</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59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74,555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65,154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65,154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30,411</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,808.0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,808.0</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303.55</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-1,988,</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815,70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32,400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8,188.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0,746.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0,746.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0,746.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4,124</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4,124</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831.40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439,68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8,923.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62,934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-35,45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73,570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,768.4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404,40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7,229.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443,60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443,60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1,054,2</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7,153.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04,545.</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75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-33,73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-33,730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,769.50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1,020,4</w:t>
            </w:r>
          </w:p>
        </w:tc>
      </w:tr>
      <w:tr>
        <w:trPr>
          <w:trHeight w:val="240"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73,776.</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74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-59,47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-72,39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58,734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81,961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81,961,</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841.14</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96,238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102,015</w:t>
            </w:r>
          </w:p>
        </w:tc>
      </w:tr>
      <w:tr>
        <w:trPr>
          <w:trHeight w:val="13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,638.5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,093.47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-1,079,</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694.77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694.77</w:t>
            </w:r>
          </w:p>
        </w:tc>
      </w:tr>
      <w:tr>
        <w:trPr>
          <w:trHeight w:val="283"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3,818</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-68,16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9,472.</w:t>
            </w:r>
          </w:p>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-73,479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9,778.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72,399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9,836,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3,667.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6,947.</w:t>
            </w:r>
          </w:p>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9,836,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-9,836,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（或股东）的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6,947.</w:t>
            </w:r>
          </w:p>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8,693,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8,693,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8,693,3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90.36</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68,26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536,52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4,182.</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31,647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9,111.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68,246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366,40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435,61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35,617.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8</w:t>
      </w:r>
      <w:bookmarkEnd w:id="675"/>
      <w:r>
        <w:rPr>
          <w:color w:val="000000"/>
          <w:spacing w:val="0"/>
          <w:w w:val="100"/>
          <w:position w:val="0"/>
        </w:rPr>
        <w:t>、母公司所有者权益变动表</w:t>
      </w:r>
      <w:bookmarkEnd w:id="673"/>
      <w:bookmarkEnd w:id="674"/>
      <w:bookmarkEnd w:id="67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188,96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8,261.0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31,647,3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-28,677,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68,246,9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3,150.1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1,083,485,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427.59</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-2,935,949</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354.22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188,96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8,261.0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31,647,3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-28,677,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67,953,3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347,42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0,795.8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1,080,549,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478.46</w:t>
            </w: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-96,835,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50,363,23</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49,574,00</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30,411,808</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.09</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-1,988,336</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06.81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.81</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815,703.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32,400,14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5,617,44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-33,908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-28,290,74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5,617,44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-28,290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-28,290,74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-94,484,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94,484,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-94,484,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-1,331,831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283,29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9,055.0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439,696,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62,934.0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-35,277,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73,570,7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369,68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7,027.4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1,130,912,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2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2,079.</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596,002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1,033,847,3</w:t>
            </w:r>
          </w:p>
        </w:tc>
      </w:tr>
      <w:tr>
        <w:trPr>
          <w:trHeight w:val="49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-33,730,769</w:t>
            </w:r>
          </w:p>
        </w:tc>
      </w:tr>
      <w:tr>
        <w:trPr>
          <w:trHeight w:val="3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2,079.</w:t>
            </w:r>
          </w:p>
          <w:p>
            <w:pPr>
              <w:pStyle w:val="Style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596,002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1,000,116,5</w:t>
            </w:r>
          </w:p>
        </w:tc>
      </w:tr>
      <w:tr>
        <w:trPr>
          <w:trHeight w:val="49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153.71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82.84</w:t>
            </w: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41" w:lineRule="exact"/>
              <w:ind w:left="0" w:right="0" w:firstLine="0"/>
              <w:jc w:val="both"/>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60,863,53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83,368,844.</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788.47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778.07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98,367,19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103,420,62</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-1,079,694.</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654.84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778.07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-73,479,472</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654.84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-72,399,</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72,399,778.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9,836,7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-37,503,6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-27,666,947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-27,666,947</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8,694,8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8,694,866.3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188,96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8,261.</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536,531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31,647,3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-28,677,</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68,246,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350,063,1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1,083,485,4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677" w:name="bookmark677"/>
      <w:bookmarkStart w:id="678" w:name="bookmark678"/>
      <w:bookmarkStart w:id="679" w:name="bookmark679"/>
      <w:r>
        <w:rPr>
          <w:color w:val="000000"/>
          <w:spacing w:val="0"/>
          <w:w w:val="100"/>
          <w:position w:val="0"/>
          <w:sz w:val="24"/>
          <w:szCs w:val="24"/>
        </w:rPr>
        <w:t>三、公司基本情况</w:t>
      </w:r>
      <w:bookmarkEnd w:id="677"/>
      <w:bookmarkEnd w:id="678"/>
      <w:bookmarkEnd w:id="679"/>
    </w:p>
    <w:p>
      <w:pPr>
        <w:pStyle w:val="Style60"/>
        <w:keepNext w:val="0"/>
        <w:keepLines w:val="0"/>
        <w:widowControl w:val="0"/>
        <w:shd w:val="clear" w:color="auto" w:fill="auto"/>
        <w:bidi w:val="0"/>
        <w:spacing w:before="0" w:after="180" w:line="312" w:lineRule="exact"/>
        <w:ind w:left="0" w:right="0" w:firstLine="0"/>
        <w:jc w:val="both"/>
      </w:pPr>
      <w:bookmarkStart w:id="680" w:name="bookmark680"/>
      <w:r>
        <w:rPr>
          <w:color w:val="000000"/>
          <w:spacing w:val="0"/>
          <w:w w:val="100"/>
          <w:position w:val="0"/>
        </w:rPr>
        <w:t>（</w:t>
      </w:r>
      <w:bookmarkEnd w:id="680"/>
      <w:r>
        <w:rPr>
          <w:color w:val="000000"/>
          <w:spacing w:val="0"/>
          <w:w w:val="100"/>
          <w:position w:val="0"/>
        </w:rPr>
        <w:t>一）公司概况</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、公司历史沿革</w:t>
      </w:r>
    </w:p>
    <w:p>
      <w:pPr>
        <w:pStyle w:val="Style30"/>
        <w:keepNext w:val="0"/>
        <w:keepLines w:val="0"/>
        <w:widowControl w:val="0"/>
        <w:shd w:val="clear" w:color="auto" w:fill="auto"/>
        <w:bidi w:val="0"/>
        <w:spacing w:before="0" w:after="120" w:line="302" w:lineRule="exact"/>
        <w:ind w:left="0" w:right="0" w:firstLine="500"/>
        <w:jc w:val="both"/>
      </w:pPr>
      <w:r>
        <w:rPr>
          <w:color w:val="000000"/>
          <w:spacing w:val="0"/>
          <w:w w:val="100"/>
          <w:position w:val="0"/>
        </w:rPr>
        <w:t>深圳四方精创资讯股份有限公司（以下简称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四方精创</w:t>
      </w:r>
      <w:r>
        <w:rPr>
          <w:color w:val="000000"/>
          <w:spacing w:val="0"/>
          <w:w w:val="100"/>
          <w:position w:val="0"/>
        </w:rPr>
        <w:t>''）</w:t>
      </w:r>
      <w:r>
        <w:rPr>
          <w:color w:val="000000"/>
          <w:spacing w:val="0"/>
          <w:w w:val="100"/>
          <w:position w:val="0"/>
        </w:rPr>
        <w:t>前身为四方精创资讯</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四 方有限</w:t>
      </w:r>
      <w:r>
        <w:rPr>
          <w:rFonts w:ascii="Times New Roman" w:eastAsia="Times New Roman" w:hAnsi="Times New Roman" w:cs="Times New Roman"/>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日，成立时注册资本人民币</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日四方精创领取股份公司营业执照，注 册号为</w:t>
      </w:r>
      <w:r>
        <w:rPr>
          <w:rFonts w:ascii="Times New Roman" w:eastAsia="Times New Roman" w:hAnsi="Times New Roman" w:cs="Times New Roman"/>
          <w:color w:val="000000"/>
          <w:spacing w:val="0"/>
          <w:w w:val="100"/>
          <w:position w:val="0"/>
        </w:rPr>
        <w:t>440301503230043</w:t>
      </w:r>
      <w:r>
        <w:rPr>
          <w:color w:val="000000"/>
          <w:spacing w:val="0"/>
          <w:w w:val="100"/>
          <w:position w:val="0"/>
        </w:rPr>
        <w:t>号，注册资本为人民币</w:t>
      </w:r>
      <w:r>
        <w:rPr>
          <w:rFonts w:ascii="Times New Roman" w:eastAsia="Times New Roman" w:hAnsi="Times New Roman" w:cs="Times New Roman"/>
          <w:color w:val="000000"/>
          <w:spacing w:val="0"/>
          <w:w w:val="100"/>
          <w:position w:val="0"/>
        </w:rPr>
        <w:t>75,000,000.00</w:t>
      </w:r>
      <w:r>
        <w:rPr>
          <w:color w:val="000000"/>
          <w:spacing w:val="0"/>
          <w:w w:val="100"/>
          <w:position w:val="0"/>
        </w:rPr>
        <w:t>元。</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根据四方精创</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年第一次临时股东大会决议，同时经中国证券监督管理委员会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840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 核准深圳四方精创资讯股份有限公司首次公开发行股票的批复》，公司于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日向社会公众发行人民币普通股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2,500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股票发行后，公司注册资本变更为人民币</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30"/>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年第一次临时股东大会会议审议通过的《关于审核</w:t>
      </w:r>
      <w:r>
        <w:rPr>
          <w:color w:val="000000"/>
          <w:spacing w:val="0"/>
          <w:w w:val="100"/>
          <w:position w:val="0"/>
        </w:rPr>
        <w:t>〈</w:t>
      </w:r>
      <w:r>
        <w:rPr>
          <w:color w:val="000000"/>
          <w:spacing w:val="0"/>
          <w:w w:val="100"/>
          <w:position w:val="0"/>
        </w:rPr>
        <w:t>深圳四方精创资讯股份有限公司 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及其摘要的议案》、《关于授权董事会办理公司限制性股票激励计划相关事宜的议案》， 第二届董事会第九次会议审议通过的《关于向激励对象授予限制性股票的议案》，公司向包括公司董事及高级管理人员、公 </w:t>
      </w:r>
      <w:r>
        <w:rPr>
          <w:color w:val="000000"/>
          <w:spacing w:val="0"/>
          <w:w w:val="100"/>
          <w:position w:val="0"/>
        </w:rPr>
        <w:t>司中层管理人员、公司核心技术人员及核心业务人员，以</w:t>
      </w:r>
      <w:r>
        <w:rPr>
          <w:rFonts w:ascii="Times New Roman" w:eastAsia="Times New Roman" w:hAnsi="Times New Roman" w:cs="Times New Roman"/>
          <w:color w:val="000000"/>
          <w:spacing w:val="0"/>
          <w:w w:val="100"/>
          <w:position w:val="0"/>
        </w:rPr>
        <w:t>25.59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股的价格授予限制性股票</w:t>
      </w:r>
      <w:r>
        <w:rPr>
          <w:rFonts w:ascii="Times New Roman" w:eastAsia="Times New Roman" w:hAnsi="Times New Roman" w:cs="Times New Roman"/>
          <w:color w:val="000000"/>
          <w:spacing w:val="0"/>
          <w:w w:val="100"/>
          <w:position w:val="0"/>
        </w:rPr>
        <w:t>3,921,500.00</w:t>
      </w:r>
      <w:r>
        <w:rPr>
          <w:color w:val="000000"/>
          <w:spacing w:val="0"/>
          <w:w w:val="100"/>
          <w:position w:val="0"/>
        </w:rPr>
        <w:t>股，变更后的注册资 本为人民币</w:t>
      </w:r>
      <w:r>
        <w:rPr>
          <w:rFonts w:ascii="Times New Roman" w:eastAsia="Times New Roman" w:hAnsi="Times New Roman" w:cs="Times New Roman"/>
          <w:color w:val="000000"/>
          <w:spacing w:val="0"/>
          <w:w w:val="100"/>
          <w:position w:val="0"/>
        </w:rPr>
        <w:t>103,921,500.00</w:t>
      </w:r>
      <w:r>
        <w:rPr>
          <w:color w:val="000000"/>
          <w:spacing w:val="0"/>
          <w:w w:val="100"/>
          <w:position w:val="0"/>
        </w:rPr>
        <w:t>元。</w:t>
      </w:r>
    </w:p>
    <w:p>
      <w:pPr>
        <w:pStyle w:val="Style30"/>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日，根据公司第二届董事会第十三次会议决议通过的《关于回购注销部分已授予限制性股票的议案》， 回购注销离职员工已授予的限制性股票</w:t>
      </w:r>
      <w:r>
        <w:rPr>
          <w:rFonts w:ascii="Times New Roman" w:eastAsia="Times New Roman" w:hAnsi="Times New Roman" w:cs="Times New Roman"/>
          <w:color w:val="000000"/>
          <w:spacing w:val="0"/>
          <w:w w:val="100"/>
          <w:position w:val="0"/>
        </w:rPr>
        <w:t>18,600.00</w:t>
      </w:r>
      <w:r>
        <w:rPr>
          <w:color w:val="000000"/>
          <w:spacing w:val="0"/>
          <w:w w:val="100"/>
          <w:position w:val="0"/>
        </w:rPr>
        <w:t>股，公司变更后的注册资本为</w:t>
      </w:r>
      <w:r>
        <w:rPr>
          <w:rFonts w:ascii="Times New Roman" w:eastAsia="Times New Roman" w:hAnsi="Times New Roman" w:cs="Times New Roman"/>
          <w:color w:val="000000"/>
          <w:spacing w:val="0"/>
          <w:w w:val="100"/>
          <w:position w:val="0"/>
        </w:rPr>
        <w:t>103,902,900.00</w:t>
      </w:r>
      <w:r>
        <w:rPr>
          <w:color w:val="000000"/>
          <w:spacing w:val="0"/>
          <w:w w:val="100"/>
          <w:position w:val="0"/>
        </w:rPr>
        <w:t>元。</w:t>
      </w:r>
    </w:p>
    <w:p>
      <w:pPr>
        <w:pStyle w:val="Style30"/>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年第一次临时股东大会会议审议通过的《关于审核</w:t>
      </w:r>
      <w:r>
        <w:rPr>
          <w:color w:val="000000"/>
          <w:spacing w:val="0"/>
          <w:w w:val="100"/>
          <w:position w:val="0"/>
        </w:rPr>
        <w:t>〈</w:t>
      </w:r>
      <w:r>
        <w:rPr>
          <w:color w:val="000000"/>
          <w:spacing w:val="0"/>
          <w:w w:val="100"/>
          <w:position w:val="0"/>
        </w:rPr>
        <w:t>深圳四方精创资讯 股份有限公司限制性股票激励计划（草案）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及其摘要的议案》以及第二届董事会第十五次会议决议通过的《关于向激励对 象授予预留限制性股票的议案》，公司以</w:t>
      </w:r>
      <w:r>
        <w:rPr>
          <w:rFonts w:ascii="Times New Roman" w:eastAsia="Times New Roman" w:hAnsi="Times New Roman" w:cs="Times New Roman"/>
          <w:color w:val="000000"/>
          <w:spacing w:val="0"/>
          <w:w w:val="100"/>
          <w:position w:val="0"/>
        </w:rPr>
        <w:t>28.90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股的价格向刘童授予</w:t>
      </w:r>
      <w:r>
        <w:rPr>
          <w:rFonts w:ascii="Times New Roman" w:eastAsia="Times New Roman" w:hAnsi="Times New Roman" w:cs="Times New Roman"/>
          <w:color w:val="000000"/>
          <w:spacing w:val="0"/>
          <w:w w:val="100"/>
          <w:position w:val="0"/>
        </w:rPr>
        <w:t>430,000.00</w:t>
      </w:r>
      <w:r>
        <w:rPr>
          <w:color w:val="000000"/>
          <w:spacing w:val="0"/>
          <w:w w:val="100"/>
          <w:position w:val="0"/>
        </w:rPr>
        <w:t xml:space="preserve">股限制性股票，变更后的股本为人民币 </w:t>
      </w:r>
      <w:r>
        <w:rPr>
          <w:rFonts w:ascii="Times New Roman" w:eastAsia="Times New Roman" w:hAnsi="Times New Roman" w:cs="Times New Roman"/>
          <w:color w:val="000000"/>
          <w:spacing w:val="0"/>
          <w:w w:val="100"/>
          <w:position w:val="0"/>
        </w:rPr>
        <w:t>104,332,900.00</w:t>
      </w:r>
      <w:r>
        <w:rPr>
          <w:color w:val="000000"/>
          <w:spacing w:val="0"/>
          <w:w w:val="100"/>
          <w:position w:val="0"/>
        </w:rPr>
        <w:t>元。</w:t>
      </w:r>
    </w:p>
    <w:p>
      <w:pPr>
        <w:pStyle w:val="Style30"/>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0，</w:t>
      </w: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年第一次临时股东大会会议审议通过的《关于审核</w:t>
      </w:r>
      <w:r>
        <w:rPr>
          <w:color w:val="000000"/>
          <w:spacing w:val="0"/>
          <w:w w:val="100"/>
          <w:position w:val="0"/>
        </w:rPr>
        <w:t>〈</w:t>
      </w:r>
      <w:r>
        <w:rPr>
          <w:color w:val="000000"/>
          <w:spacing w:val="0"/>
          <w:w w:val="100"/>
          <w:position w:val="0"/>
        </w:rPr>
        <w:t>深圳四方精创资讯股份有限公司限 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及其摘要的议案》以及第二届董事会第十七次会议决议通过的《关于向激励对象授予限制性股 票的议案》，四方精创以</w:t>
      </w:r>
      <w:r>
        <w:rPr>
          <w:rFonts w:ascii="Times New Roman" w:eastAsia="Times New Roman" w:hAnsi="Times New Roman" w:cs="Times New Roman"/>
          <w:color w:val="000000"/>
          <w:spacing w:val="0"/>
          <w:w w:val="100"/>
          <w:position w:val="0"/>
        </w:rPr>
        <w:t>28.90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股的价格向激励对象授予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076,800.00</w:t>
      </w:r>
      <w:r>
        <w:rPr>
          <w:color w:val="000000"/>
          <w:spacing w:val="0"/>
          <w:w w:val="100"/>
          <w:position w:val="0"/>
        </w:rPr>
        <w:t>股限制性股票，变更后的股本为人民币</w:t>
      </w:r>
      <w:r>
        <w:rPr>
          <w:rFonts w:ascii="Times New Roman" w:eastAsia="Times New Roman" w:hAnsi="Times New Roman" w:cs="Times New Roman"/>
          <w:color w:val="000000"/>
          <w:spacing w:val="0"/>
          <w:w w:val="100"/>
          <w:position w:val="0"/>
        </w:rPr>
        <w:t xml:space="preserve">105,409,700.00 </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30"/>
        <w:keepNext w:val="0"/>
        <w:keepLines w:val="0"/>
        <w:widowControl w:val="0"/>
        <w:shd w:val="clear" w:color="auto" w:fill="auto"/>
        <w:bidi w:val="0"/>
        <w:spacing w:before="0" w:after="120" w:line="310" w:lineRule="exact"/>
        <w:ind w:left="0" w:right="0" w:firstLine="5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日，根据四方精创第二届董事会第二十三次会议决议通过的《关于回购注销部分已授予限制性股票的议 案》，四方精创回购注销部分已授予限制性股票，向邱玉龙、李林毅、黄兰雪及王小帅回购</w:t>
      </w:r>
      <w:r>
        <w:rPr>
          <w:rFonts w:ascii="Times New Roman" w:eastAsia="Times New Roman" w:hAnsi="Times New Roman" w:cs="Times New Roman"/>
          <w:color w:val="000000"/>
          <w:spacing w:val="0"/>
          <w:w w:val="100"/>
          <w:position w:val="0"/>
        </w:rPr>
        <w:t>37,550</w:t>
      </w:r>
      <w:r>
        <w:rPr>
          <w:color w:val="000000"/>
          <w:spacing w:val="0"/>
          <w:w w:val="100"/>
          <w:position w:val="0"/>
        </w:rPr>
        <w:t xml:space="preserve">股，申请减少注册资本 </w:t>
      </w:r>
      <w:r>
        <w:rPr>
          <w:rFonts w:ascii="Times New Roman" w:eastAsia="Times New Roman" w:hAnsi="Times New Roman" w:cs="Times New Roman"/>
          <w:color w:val="000000"/>
          <w:spacing w:val="0"/>
          <w:w w:val="100"/>
          <w:position w:val="0"/>
        </w:rPr>
        <w:t>37,550.00</w:t>
      </w:r>
      <w:r>
        <w:rPr>
          <w:color w:val="000000"/>
          <w:spacing w:val="0"/>
          <w:w w:val="100"/>
          <w:position w:val="0"/>
        </w:rPr>
        <w:t>元</w:t>
      </w:r>
      <w:r>
        <w:rPr>
          <w:color w:val="000000"/>
          <w:spacing w:val="0"/>
          <w:w w:val="100"/>
          <w:position w:val="0"/>
        </w:rPr>
        <w:t>，</w:t>
      </w:r>
      <w:r>
        <w:rPr>
          <w:color w:val="000000"/>
          <w:spacing w:val="0"/>
          <w:w w:val="100"/>
          <w:position w:val="0"/>
        </w:rPr>
        <w:t>变更后的注册资本为</w:t>
      </w:r>
      <w:r>
        <w:rPr>
          <w:rFonts w:ascii="Times New Roman" w:eastAsia="Times New Roman" w:hAnsi="Times New Roman" w:cs="Times New Roman"/>
          <w:color w:val="000000"/>
          <w:spacing w:val="0"/>
          <w:w w:val="100"/>
          <w:position w:val="0"/>
        </w:rPr>
        <w:t>105,372,150.00</w:t>
      </w:r>
      <w:r>
        <w:rPr>
          <w:color w:val="000000"/>
          <w:spacing w:val="0"/>
          <w:w w:val="100"/>
          <w:position w:val="0"/>
        </w:rPr>
        <w:t>元。</w:t>
      </w:r>
    </w:p>
    <w:p>
      <w:pPr>
        <w:pStyle w:val="Style30"/>
        <w:keepNext w:val="0"/>
        <w:keepLines w:val="0"/>
        <w:widowControl w:val="0"/>
        <w:shd w:val="clear" w:color="auto" w:fill="auto"/>
        <w:bidi w:val="0"/>
        <w:spacing w:before="0" w:after="120" w:line="311" w:lineRule="exact"/>
        <w:ind w:left="0" w:right="0" w:firstLine="5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0，</w:t>
      </w: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年第二次临时股东大会会议审议通过的《关于审核</w:t>
      </w:r>
      <w:r>
        <w:rPr>
          <w:color w:val="000000"/>
          <w:spacing w:val="0"/>
          <w:w w:val="100"/>
          <w:position w:val="0"/>
        </w:rPr>
        <w:t>〈</w:t>
      </w:r>
      <w:r>
        <w:rPr>
          <w:color w:val="000000"/>
          <w:spacing w:val="0"/>
          <w:w w:val="100"/>
          <w:position w:val="0"/>
        </w:rPr>
        <w:t xml:space="preserve">深圳四方精创资讯股份有限公司 </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及其摘要的议案》及第二届董事会第二十六次会议审议通过的《关于向激励对象授予 限制性股票的议案》，公司向员工以</w:t>
      </w:r>
      <w:r>
        <w:rPr>
          <w:rFonts w:ascii="Times New Roman" w:eastAsia="Times New Roman" w:hAnsi="Times New Roman" w:cs="Times New Roman"/>
          <w:color w:val="000000"/>
          <w:spacing w:val="0"/>
          <w:w w:val="100"/>
          <w:position w:val="0"/>
        </w:rPr>
        <w:t>21.26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股的价格授予限制性股票</w:t>
      </w:r>
      <w:r>
        <w:rPr>
          <w:rFonts w:ascii="Times New Roman" w:eastAsia="Times New Roman" w:hAnsi="Times New Roman" w:cs="Times New Roman"/>
          <w:color w:val="000000"/>
          <w:spacing w:val="0"/>
          <w:w w:val="100"/>
          <w:position w:val="0"/>
        </w:rPr>
        <w:t>3,166,300</w:t>
      </w:r>
      <w:r>
        <w:rPr>
          <w:color w:val="000000"/>
          <w:spacing w:val="0"/>
          <w:w w:val="100"/>
          <w:position w:val="0"/>
        </w:rPr>
        <w:t>股，分两期执行，第一期向</w:t>
      </w:r>
      <w:r>
        <w:rPr>
          <w:rFonts w:ascii="Times New Roman" w:eastAsia="Times New Roman" w:hAnsi="Times New Roman" w:cs="Times New Roman"/>
          <w:color w:val="000000"/>
          <w:spacing w:val="0"/>
          <w:w w:val="100"/>
          <w:position w:val="0"/>
        </w:rPr>
        <w:t>174</w:t>
      </w:r>
      <w:r>
        <w:rPr>
          <w:color w:val="000000"/>
          <w:spacing w:val="0"/>
          <w:w w:val="100"/>
          <w:position w:val="0"/>
        </w:rPr>
        <w:t>名激励对象授 予</w:t>
      </w:r>
      <w:r>
        <w:rPr>
          <w:rFonts w:ascii="Times New Roman" w:eastAsia="Times New Roman" w:hAnsi="Times New Roman" w:cs="Times New Roman"/>
          <w:color w:val="000000"/>
          <w:spacing w:val="0"/>
          <w:w w:val="100"/>
          <w:position w:val="0"/>
        </w:rPr>
        <w:t>2,533,100</w:t>
      </w:r>
      <w:r>
        <w:rPr>
          <w:color w:val="000000"/>
          <w:spacing w:val="0"/>
          <w:w w:val="100"/>
          <w:position w:val="0"/>
        </w:rPr>
        <w:t>股，第二期</w:t>
      </w:r>
      <w:r>
        <w:rPr>
          <w:rFonts w:ascii="Times New Roman" w:eastAsia="Times New Roman" w:hAnsi="Times New Roman" w:cs="Times New Roman"/>
          <w:color w:val="000000"/>
          <w:spacing w:val="0"/>
          <w:w w:val="100"/>
          <w:position w:val="0"/>
        </w:rPr>
        <w:t>633,200</w:t>
      </w:r>
      <w:r>
        <w:rPr>
          <w:color w:val="000000"/>
          <w:spacing w:val="0"/>
          <w:w w:val="100"/>
          <w:position w:val="0"/>
        </w:rPr>
        <w:t>股预留后期授予。由于部分激励对象自愿放弃获得限制性股票的权利，公司本次增加股本人 民币</w:t>
      </w:r>
      <w:r>
        <w:rPr>
          <w:rFonts w:ascii="Times New Roman" w:eastAsia="Times New Roman" w:hAnsi="Times New Roman" w:cs="Times New Roman"/>
          <w:color w:val="000000"/>
          <w:spacing w:val="0"/>
          <w:w w:val="100"/>
          <w:position w:val="0"/>
        </w:rPr>
        <w:t>2,513,400.00</w:t>
      </w:r>
      <w:r>
        <w:rPr>
          <w:color w:val="000000"/>
          <w:spacing w:val="0"/>
          <w:w w:val="100"/>
          <w:position w:val="0"/>
        </w:rPr>
        <w:t>元，变更后的股本为人民币</w:t>
      </w:r>
      <w:r>
        <w:rPr>
          <w:rFonts w:ascii="Times New Roman" w:eastAsia="Times New Roman" w:hAnsi="Times New Roman" w:cs="Times New Roman"/>
          <w:color w:val="000000"/>
          <w:spacing w:val="0"/>
          <w:w w:val="100"/>
          <w:position w:val="0"/>
        </w:rPr>
        <w:t>107,885,550.00</w:t>
      </w:r>
      <w:r>
        <w:rPr>
          <w:color w:val="000000"/>
          <w:spacing w:val="0"/>
          <w:w w:val="100"/>
          <w:position w:val="0"/>
        </w:rPr>
        <w:t>元。</w:t>
      </w:r>
    </w:p>
    <w:p>
      <w:pPr>
        <w:pStyle w:val="Style30"/>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0</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年第一次临时股东大会审议并通过了《关于审核</w:t>
      </w:r>
      <w:r>
        <w:rPr>
          <w:color w:val="000000"/>
          <w:spacing w:val="0"/>
          <w:w w:val="100"/>
          <w:position w:val="0"/>
        </w:rPr>
        <w:t>〈</w:t>
      </w:r>
      <w:r>
        <w:rPr>
          <w:color w:val="000000"/>
          <w:spacing w:val="0"/>
          <w:w w:val="100"/>
          <w:position w:val="0"/>
        </w:rPr>
        <w:t>深圳四方精创资讯股 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及其摘要的议案》及第二届董事会第二十八次会议审议通过的《关于向激 励对象授予预留限制性股票的议案》，公司以</w:t>
      </w:r>
      <w:r>
        <w:rPr>
          <w:rFonts w:ascii="Times New Roman" w:eastAsia="Times New Roman" w:hAnsi="Times New Roman" w:cs="Times New Roman"/>
          <w:color w:val="000000"/>
          <w:spacing w:val="0"/>
          <w:w w:val="100"/>
          <w:position w:val="0"/>
        </w:rPr>
        <w:t>23.82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股的价格向王超、胡晓宇授予限制性股票</w:t>
      </w:r>
      <w:r>
        <w:rPr>
          <w:rFonts w:ascii="Times New Roman" w:eastAsia="Times New Roman" w:hAnsi="Times New Roman" w:cs="Times New Roman"/>
          <w:color w:val="000000"/>
          <w:spacing w:val="0"/>
          <w:w w:val="100"/>
          <w:position w:val="0"/>
        </w:rPr>
        <w:t>276,000</w:t>
      </w:r>
      <w:r>
        <w:rPr>
          <w:color w:val="000000"/>
          <w:spacing w:val="0"/>
          <w:w w:val="100"/>
          <w:position w:val="0"/>
        </w:rPr>
        <w:t xml:space="preserve">股，变更后的股本为 人民币 </w:t>
      </w:r>
      <w:r>
        <w:rPr>
          <w:rFonts w:ascii="Times New Roman" w:eastAsia="Times New Roman" w:hAnsi="Times New Roman" w:cs="Times New Roman"/>
          <w:color w:val="000000"/>
          <w:spacing w:val="0"/>
          <w:w w:val="100"/>
          <w:position w:val="0"/>
        </w:rPr>
        <w:t>108,161,550.00</w:t>
      </w:r>
      <w:r>
        <w:rPr>
          <w:color w:val="000000"/>
          <w:spacing w:val="0"/>
          <w:w w:val="100"/>
          <w:position w:val="0"/>
        </w:rPr>
        <w:t>元。</w:t>
      </w:r>
    </w:p>
    <w:p>
      <w:pPr>
        <w:pStyle w:val="Style30"/>
        <w:keepNext w:val="0"/>
        <w:keepLines w:val="0"/>
        <w:widowControl w:val="0"/>
        <w:shd w:val="clear" w:color="auto" w:fill="auto"/>
        <w:bidi w:val="0"/>
        <w:spacing w:before="0" w:after="120" w:line="310"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日，根据公司第三届董事会第二次会议审议通过的《关于回购注销部分已授予限制性股票的议案》，公 司回购注销部分已授予限制性股票，向董玲玲、孙舰、朱炳飞、谭伟明、王海燕、刘海生、梅世城、谭新安及李海锋回购</w:t>
      </w:r>
      <w:r>
        <w:rPr>
          <w:rFonts w:ascii="Times New Roman" w:eastAsia="Times New Roman" w:hAnsi="Times New Roman" w:cs="Times New Roman"/>
          <w:color w:val="000000"/>
          <w:spacing w:val="0"/>
          <w:w w:val="100"/>
          <w:position w:val="0"/>
        </w:rPr>
        <w:t xml:space="preserve">68,720 </w:t>
      </w:r>
      <w:r>
        <w:rPr>
          <w:color w:val="000000"/>
          <w:spacing w:val="0"/>
          <w:w w:val="100"/>
          <w:position w:val="0"/>
        </w:rPr>
        <w:t>股，申请减少注册资本</w:t>
      </w:r>
      <w:r>
        <w:rPr>
          <w:rFonts w:ascii="Times New Roman" w:eastAsia="Times New Roman" w:hAnsi="Times New Roman" w:cs="Times New Roman"/>
          <w:color w:val="000000"/>
          <w:spacing w:val="0"/>
          <w:w w:val="100"/>
          <w:position w:val="0"/>
        </w:rPr>
        <w:t>68,720.00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变更后的股本为</w:t>
      </w:r>
      <w:r>
        <w:rPr>
          <w:rFonts w:ascii="Times New Roman" w:eastAsia="Times New Roman" w:hAnsi="Times New Roman" w:cs="Times New Roman"/>
          <w:color w:val="000000"/>
          <w:spacing w:val="0"/>
          <w:w w:val="100"/>
          <w:position w:val="0"/>
        </w:rPr>
        <w:t>108,092,830.00</w:t>
      </w:r>
      <w:r>
        <w:rPr>
          <w:color w:val="000000"/>
          <w:spacing w:val="0"/>
          <w:w w:val="100"/>
          <w:position w:val="0"/>
        </w:rPr>
        <w:t>元。</w:t>
      </w:r>
    </w:p>
    <w:p>
      <w:pPr>
        <w:pStyle w:val="Style30"/>
        <w:keepNext w:val="0"/>
        <w:keepLines w:val="0"/>
        <w:widowControl w:val="0"/>
        <w:shd w:val="clear" w:color="auto" w:fill="auto"/>
        <w:bidi w:val="0"/>
        <w:spacing w:before="0" w:after="120" w:line="322"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日，根据</w:t>
      </w:r>
      <w:r>
        <w:rPr>
          <w:rFonts w:ascii="Times New Roman" w:eastAsia="Times New Roman" w:hAnsi="Times New Roman" w:cs="Times New Roman"/>
          <w:color w:val="000000"/>
          <w:spacing w:val="0"/>
          <w:w w:val="100"/>
          <w:position w:val="0"/>
        </w:rPr>
        <w:t>2017</w:t>
      </w:r>
      <w:r>
        <w:rPr>
          <w:color w:val="000000"/>
          <w:spacing w:val="0"/>
          <w:w w:val="100"/>
          <w:position w:val="0"/>
        </w:rPr>
        <w:t>年股东大会会议审议通过的《关于审议</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年度利润分配及资本公积金转增股本预案的议 案》，以公司现有总股本</w:t>
      </w:r>
      <w:r>
        <w:rPr>
          <w:rFonts w:ascii="Times New Roman" w:eastAsia="Times New Roman" w:hAnsi="Times New Roman" w:cs="Times New Roman"/>
          <w:color w:val="000000"/>
          <w:spacing w:val="0"/>
          <w:w w:val="100"/>
          <w:position w:val="0"/>
        </w:rPr>
        <w:t>108,092,830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8.005086</w:t>
      </w:r>
      <w:r>
        <w:rPr>
          <w:color w:val="000000"/>
          <w:spacing w:val="0"/>
          <w:w w:val="100"/>
          <w:position w:val="0"/>
        </w:rPr>
        <w:t>股，变更后股本为</w:t>
      </w:r>
      <w:r>
        <w:rPr>
          <w:rFonts w:ascii="Times New Roman" w:eastAsia="Times New Roman" w:hAnsi="Times New Roman" w:cs="Times New Roman"/>
          <w:color w:val="000000"/>
          <w:spacing w:val="0"/>
          <w:w w:val="100"/>
          <w:position w:val="0"/>
        </w:rPr>
        <w:t xml:space="preserve">194,622,070.00 </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30"/>
        <w:keepNext w:val="0"/>
        <w:keepLines w:val="0"/>
        <w:widowControl w:val="0"/>
        <w:shd w:val="clear" w:color="auto" w:fill="auto"/>
        <w:bidi w:val="0"/>
        <w:spacing w:before="0" w:after="120" w:line="307"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日，根据公司第三届董事会第七次会议审议通过的《关于回购注销部分已授予限制性股票的议案》，公 司回购注销</w:t>
      </w:r>
      <w:r>
        <w:rPr>
          <w:rFonts w:ascii="Times New Roman" w:eastAsia="Times New Roman" w:hAnsi="Times New Roman" w:cs="Times New Roman"/>
          <w:color w:val="000000"/>
          <w:spacing w:val="0"/>
          <w:w w:val="100"/>
          <w:position w:val="0"/>
        </w:rPr>
        <w:t>32</w:t>
      </w:r>
      <w:r>
        <w:rPr>
          <w:color w:val="000000"/>
          <w:spacing w:val="0"/>
          <w:w w:val="100"/>
          <w:position w:val="0"/>
        </w:rPr>
        <w:t>名激励对象已获授但尚未解锁的限制性股票共</w:t>
      </w:r>
      <w:r>
        <w:rPr>
          <w:rFonts w:ascii="Times New Roman" w:eastAsia="Times New Roman" w:hAnsi="Times New Roman" w:cs="Times New Roman"/>
          <w:color w:val="000000"/>
          <w:spacing w:val="0"/>
          <w:w w:val="100"/>
          <w:position w:val="0"/>
        </w:rPr>
        <w:t>339,991</w:t>
      </w:r>
      <w:r>
        <w:rPr>
          <w:color w:val="000000"/>
          <w:spacing w:val="0"/>
          <w:w w:val="100"/>
          <w:position w:val="0"/>
        </w:rPr>
        <w:t>股，变更后股本为</w:t>
      </w:r>
      <w:r>
        <w:rPr>
          <w:rFonts w:ascii="Times New Roman" w:eastAsia="Times New Roman" w:hAnsi="Times New Roman" w:cs="Times New Roman"/>
          <w:color w:val="000000"/>
          <w:spacing w:val="0"/>
          <w:w w:val="100"/>
          <w:position w:val="0"/>
        </w:rPr>
        <w:t>194,282,079</w:t>
      </w:r>
      <w:r>
        <w:rPr>
          <w:color w:val="000000"/>
          <w:spacing w:val="0"/>
          <w:w w:val="100"/>
          <w:position w:val="0"/>
        </w:rPr>
        <w:t>股。</w:t>
      </w:r>
    </w:p>
    <w:p>
      <w:pPr>
        <w:pStyle w:val="Style30"/>
        <w:keepNext w:val="0"/>
        <w:keepLines w:val="0"/>
        <w:widowControl w:val="0"/>
        <w:shd w:val="clear" w:color="auto" w:fill="auto"/>
        <w:bidi w:val="0"/>
        <w:spacing w:before="0" w:after="120" w:line="307" w:lineRule="exact"/>
        <w:ind w:left="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日，根据公司第三届董事会第九次会议审议通过的《关于回购注销部分已授予限制性股票的议案》，公 司回购注销</w:t>
      </w:r>
      <w:r>
        <w:rPr>
          <w:rFonts w:ascii="Times New Roman" w:eastAsia="Times New Roman" w:hAnsi="Times New Roman" w:cs="Times New Roman"/>
          <w:color w:val="000000"/>
          <w:spacing w:val="0"/>
          <w:w w:val="100"/>
          <w:position w:val="0"/>
        </w:rPr>
        <w:t>2</w:t>
      </w:r>
      <w:r>
        <w:rPr>
          <w:color w:val="000000"/>
          <w:spacing w:val="0"/>
          <w:w w:val="100"/>
          <w:position w:val="0"/>
        </w:rPr>
        <w:t>名激励对象已获授但尚未解锁的限制性股票共</w:t>
      </w:r>
      <w:r>
        <w:rPr>
          <w:rFonts w:ascii="Times New Roman" w:eastAsia="Times New Roman" w:hAnsi="Times New Roman" w:cs="Times New Roman"/>
          <w:color w:val="000000"/>
          <w:spacing w:val="0"/>
          <w:w w:val="100"/>
          <w:position w:val="0"/>
        </w:rPr>
        <w:t>61,217</w:t>
      </w:r>
      <w:r>
        <w:rPr>
          <w:color w:val="000000"/>
          <w:spacing w:val="0"/>
          <w:w w:val="100"/>
          <w:position w:val="0"/>
        </w:rPr>
        <w:t>股，变更后股本为</w:t>
      </w:r>
      <w:r>
        <w:rPr>
          <w:rFonts w:ascii="Times New Roman" w:eastAsia="Times New Roman" w:hAnsi="Times New Roman" w:cs="Times New Roman"/>
          <w:color w:val="000000"/>
          <w:spacing w:val="0"/>
          <w:w w:val="100"/>
          <w:position w:val="0"/>
        </w:rPr>
        <w:t>194,220,862</w:t>
      </w:r>
      <w:r>
        <w:rPr>
          <w:color w:val="000000"/>
          <w:spacing w:val="0"/>
          <w:w w:val="100"/>
          <w:position w:val="0"/>
        </w:rPr>
        <w:t>股。</w:t>
      </w:r>
    </w:p>
    <w:p>
      <w:pPr>
        <w:pStyle w:val="Style30"/>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0</w:t>
      </w:r>
      <w:r>
        <w:rPr>
          <w:color w:val="000000"/>
          <w:spacing w:val="0"/>
          <w:w w:val="100"/>
          <w:position w:val="0"/>
        </w:rPr>
        <w:t>，根据公司第三届董事会第十二次会议决议通过的《关于回购注销</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年限制性股票激励计划部分限 制性股票的议案》，《关于回购注销</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年限制性股票激励计划部分限制性股票的议案》及《关于回购注销</w:t>
      </w:r>
      <w:r>
        <w:rPr>
          <w:rFonts w:ascii="Times New Roman" w:eastAsia="Times New Roman" w:hAnsi="Times New Roman" w:cs="Times New Roman"/>
          <w:color w:val="000000"/>
          <w:spacing w:val="0"/>
          <w:w w:val="100"/>
          <w:position w:val="0"/>
        </w:rPr>
        <w:t>2017</w:t>
      </w:r>
      <w:r>
        <w:rPr>
          <w:color w:val="000000"/>
          <w:spacing w:val="0"/>
          <w:w w:val="100"/>
          <w:position w:val="0"/>
        </w:rPr>
        <w:t>年限制性股 票激励计划部分限制性股票的议案》，鉴于公司部分激励对象已经离职，且</w:t>
      </w:r>
      <w:r>
        <w:rPr>
          <w:rFonts w:ascii="Times New Roman" w:eastAsia="Times New Roman" w:hAnsi="Times New Roman" w:cs="Times New Roman"/>
          <w:color w:val="000000"/>
          <w:spacing w:val="0"/>
          <w:w w:val="100"/>
          <w:position w:val="0"/>
        </w:rPr>
        <w:t>2018</w:t>
      </w:r>
      <w:r>
        <w:rPr>
          <w:color w:val="000000"/>
          <w:spacing w:val="0"/>
          <w:w w:val="100"/>
          <w:position w:val="0"/>
        </w:rPr>
        <w:t>年未达到股权激励计划的业绩要求，根据公 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年限制性股票激励计划（草案）》及《</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年限制性股票激励计划（草 案）》，公司回购注销激励对象获授的共计</w:t>
      </w:r>
      <w:r>
        <w:rPr>
          <w:rFonts w:ascii="Times New Roman" w:eastAsia="Times New Roman" w:hAnsi="Times New Roman" w:cs="Times New Roman"/>
          <w:color w:val="000000"/>
          <w:spacing w:val="0"/>
          <w:w w:val="100"/>
          <w:position w:val="0"/>
        </w:rPr>
        <w:t>5,252,601.00</w:t>
      </w:r>
      <w:r>
        <w:rPr>
          <w:color w:val="000000"/>
          <w:spacing w:val="0"/>
          <w:w w:val="100"/>
          <w:position w:val="0"/>
        </w:rPr>
        <w:t>股，变更后的注册资本为</w:t>
      </w:r>
      <w:r>
        <w:rPr>
          <w:rFonts w:ascii="Times New Roman" w:eastAsia="Times New Roman" w:hAnsi="Times New Roman" w:cs="Times New Roman"/>
          <w:color w:val="000000"/>
          <w:spacing w:val="0"/>
          <w:w w:val="100"/>
          <w:position w:val="0"/>
        </w:rPr>
        <w:t>188,968,261.00</w:t>
      </w:r>
      <w:r>
        <w:rPr>
          <w:color w:val="000000"/>
          <w:spacing w:val="0"/>
          <w:w w:val="100"/>
          <w:position w:val="0"/>
        </w:rPr>
        <w:t>元。</w:t>
      </w:r>
    </w:p>
    <w:p>
      <w:pPr>
        <w:pStyle w:val="Style30"/>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 xml:space="preserve">根据公司第三届董事会第十六次会议决议通过的《关于回购注销部分已授予限制性股票的议案》，鉴 </w:t>
      </w:r>
      <w:r>
        <w:rPr>
          <w:color w:val="000000"/>
          <w:spacing w:val="0"/>
          <w:w w:val="100"/>
          <w:position w:val="0"/>
        </w:rPr>
        <w:t>于公司部分激励对象已经离职，公司回购注销激励对象获授的共计</w:t>
      </w:r>
      <w:r>
        <w:rPr>
          <w:rFonts w:ascii="Times New Roman" w:eastAsia="Times New Roman" w:hAnsi="Times New Roman" w:cs="Times New Roman"/>
          <w:color w:val="000000"/>
          <w:spacing w:val="0"/>
          <w:w w:val="100"/>
          <w:position w:val="0"/>
        </w:rPr>
        <w:t>153,330.00</w:t>
      </w:r>
      <w:r>
        <w:rPr>
          <w:color w:val="000000"/>
          <w:spacing w:val="0"/>
          <w:w w:val="100"/>
          <w:position w:val="0"/>
        </w:rPr>
        <w:t>股，变更后的注册资本为</w:t>
      </w:r>
      <w:r>
        <w:rPr>
          <w:rFonts w:ascii="Times New Roman" w:eastAsia="Times New Roman" w:hAnsi="Times New Roman" w:cs="Times New Roman"/>
          <w:color w:val="000000"/>
          <w:spacing w:val="0"/>
          <w:w w:val="100"/>
          <w:position w:val="0"/>
        </w:rPr>
        <w:t>188,814,931.00</w:t>
      </w:r>
      <w:r>
        <w:rPr>
          <w:color w:val="000000"/>
          <w:spacing w:val="0"/>
          <w:w w:val="100"/>
          <w:position w:val="0"/>
        </w:rPr>
        <w:t>元。</w:t>
      </w:r>
    </w:p>
    <w:p>
      <w:pPr>
        <w:pStyle w:val="Style30"/>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根据公司第三届董事会第十六次会议及</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年度股东大会决议通过的《关于审议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年度利润分配及资本公积金转 增股本预案的议案》，公司以资本公积金向全体股东每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94,484,124</w:t>
      </w:r>
      <w:r>
        <w:rPr>
          <w:color w:val="000000"/>
          <w:spacing w:val="0"/>
          <w:w w:val="100"/>
          <w:position w:val="0"/>
        </w:rPr>
        <w:t xml:space="preserve">股，转增后公司的注册资本变更为 </w:t>
      </w:r>
      <w:r>
        <w:rPr>
          <w:rFonts w:ascii="Times New Roman" w:eastAsia="Times New Roman" w:hAnsi="Times New Roman" w:cs="Times New Roman"/>
          <w:color w:val="000000"/>
          <w:spacing w:val="0"/>
          <w:w w:val="100"/>
          <w:position w:val="0"/>
        </w:rPr>
        <w:t>283,299,055.00</w:t>
      </w:r>
      <w:r>
        <w:rPr>
          <w:color w:val="000000"/>
          <w:spacing w:val="0"/>
          <w:w w:val="100"/>
          <w:position w:val="0"/>
        </w:rPr>
        <w:t>元。</w:t>
      </w:r>
    </w:p>
    <w:p>
      <w:pPr>
        <w:pStyle w:val="Style30"/>
        <w:keepNext w:val="0"/>
        <w:keepLines w:val="0"/>
        <w:widowControl w:val="0"/>
        <w:shd w:val="clear" w:color="auto" w:fill="auto"/>
        <w:tabs>
          <w:tab w:pos="354" w:val="left"/>
        </w:tabs>
        <w:bidi w:val="0"/>
        <w:spacing w:before="0" w:after="100" w:line="240" w:lineRule="auto"/>
        <w:ind w:left="0" w:right="0" w:firstLine="0"/>
        <w:jc w:val="both"/>
      </w:pPr>
      <w:bookmarkStart w:id="681" w:name="bookmark681"/>
      <w:r>
        <w:rPr>
          <w:rFonts w:ascii="Times New Roman" w:eastAsia="Times New Roman" w:hAnsi="Times New Roman" w:cs="Times New Roman"/>
          <w:b/>
          <w:bCs/>
          <w:color w:val="000000"/>
          <w:spacing w:val="0"/>
          <w:w w:val="100"/>
          <w:position w:val="0"/>
        </w:rPr>
        <w:t>2</w:t>
      </w:r>
      <w:bookmarkEnd w:id="681"/>
      <w:r>
        <w:rPr>
          <w:b/>
          <w:bCs/>
          <w:color w:val="000000"/>
          <w:spacing w:val="0"/>
          <w:w w:val="100"/>
          <w:position w:val="0"/>
        </w:rPr>
        <w:t>、</w:t>
        <w:tab/>
        <w:t>公司行业性质</w:t>
      </w:r>
    </w:p>
    <w:p>
      <w:pPr>
        <w:pStyle w:val="Style3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软件和信息技术服务业。</w:t>
      </w:r>
    </w:p>
    <w:p>
      <w:pPr>
        <w:pStyle w:val="Style30"/>
        <w:keepNext w:val="0"/>
        <w:keepLines w:val="0"/>
        <w:widowControl w:val="0"/>
        <w:shd w:val="clear" w:color="auto" w:fill="auto"/>
        <w:tabs>
          <w:tab w:pos="354" w:val="left"/>
        </w:tabs>
        <w:bidi w:val="0"/>
        <w:spacing w:before="0" w:after="100" w:line="240" w:lineRule="auto"/>
        <w:ind w:left="0" w:right="0" w:firstLine="0"/>
        <w:jc w:val="left"/>
      </w:pPr>
      <w:bookmarkStart w:id="682" w:name="bookmark682"/>
      <w:r>
        <w:rPr>
          <w:rFonts w:ascii="Times New Roman" w:eastAsia="Times New Roman" w:hAnsi="Times New Roman" w:cs="Times New Roman"/>
          <w:b/>
          <w:bCs/>
          <w:color w:val="000000"/>
          <w:spacing w:val="0"/>
          <w:w w:val="100"/>
          <w:position w:val="0"/>
        </w:rPr>
        <w:t>3</w:t>
      </w:r>
      <w:bookmarkEnd w:id="682"/>
      <w:r>
        <w:rPr>
          <w:b/>
          <w:bCs/>
          <w:color w:val="000000"/>
          <w:spacing w:val="0"/>
          <w:w w:val="100"/>
          <w:position w:val="0"/>
        </w:rPr>
        <w:t>、</w:t>
        <w:tab/>
        <w:t>公司业务性质及主要经营活动</w:t>
      </w:r>
    </w:p>
    <w:p>
      <w:pPr>
        <w:pStyle w:val="Style30"/>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从事计算机软、硬件的技术开发，销售自行开发软件。数据库的设计、开发和维护；计算机系统集成及其相关的技术 咨询、维护。计算机软、硬件的批发、佣金代理（不含拍卖）、进出口及相关配套业务（不涉及国营贸易管理商品，涉及配 额、许可证管理及其他专项规定管理的商品，按国家有关规定办理申请）；技术进出口（不含分销）。</w:t>
      </w:r>
    </w:p>
    <w:p>
      <w:pPr>
        <w:pStyle w:val="Style30"/>
        <w:keepNext w:val="0"/>
        <w:keepLines w:val="0"/>
        <w:widowControl w:val="0"/>
        <w:shd w:val="clear" w:color="auto" w:fill="auto"/>
        <w:tabs>
          <w:tab w:pos="354" w:val="left"/>
        </w:tabs>
        <w:bidi w:val="0"/>
        <w:spacing w:before="0" w:after="100" w:line="240" w:lineRule="auto"/>
        <w:ind w:left="0" w:right="0" w:firstLine="0"/>
        <w:jc w:val="both"/>
      </w:pPr>
      <w:bookmarkStart w:id="683" w:name="bookmark683"/>
      <w:r>
        <w:rPr>
          <w:rFonts w:ascii="Times New Roman" w:eastAsia="Times New Roman" w:hAnsi="Times New Roman" w:cs="Times New Roman"/>
          <w:b/>
          <w:bCs/>
          <w:color w:val="000000"/>
          <w:spacing w:val="0"/>
          <w:w w:val="100"/>
          <w:position w:val="0"/>
        </w:rPr>
        <w:t>4</w:t>
      </w:r>
      <w:bookmarkEnd w:id="683"/>
      <w:r>
        <w:rPr>
          <w:b/>
          <w:bCs/>
          <w:color w:val="000000"/>
          <w:spacing w:val="0"/>
          <w:w w:val="100"/>
          <w:position w:val="0"/>
        </w:rPr>
        <w:t>、</w:t>
        <w:tab/>
        <w:t>公司法定地址</w:t>
      </w:r>
    </w:p>
    <w:p>
      <w:pPr>
        <w:pStyle w:val="Style3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r>
        <w:rPr>
          <w:rFonts w:ascii="Times New Roman" w:eastAsia="Times New Roman" w:hAnsi="Times New Roman" w:cs="Times New Roman"/>
          <w:color w:val="000000"/>
          <w:spacing w:val="0"/>
          <w:w w:val="100"/>
          <w:position w:val="0"/>
        </w:rPr>
        <w:t>3</w:t>
      </w:r>
      <w:r>
        <w:rPr>
          <w:color w:val="000000"/>
          <w:spacing w:val="0"/>
          <w:w w:val="100"/>
          <w:position w:val="0"/>
        </w:rPr>
        <w:t>层。</w:t>
      </w:r>
    </w:p>
    <w:p>
      <w:pPr>
        <w:pStyle w:val="Style30"/>
        <w:keepNext w:val="0"/>
        <w:keepLines w:val="0"/>
        <w:widowControl w:val="0"/>
        <w:shd w:val="clear" w:color="auto" w:fill="auto"/>
        <w:tabs>
          <w:tab w:pos="354" w:val="left"/>
        </w:tabs>
        <w:bidi w:val="0"/>
        <w:spacing w:before="0" w:after="100" w:line="240" w:lineRule="auto"/>
        <w:ind w:left="0" w:right="0" w:firstLine="0"/>
        <w:jc w:val="both"/>
      </w:pPr>
      <w:bookmarkStart w:id="684" w:name="bookmark684"/>
      <w:r>
        <w:rPr>
          <w:rFonts w:ascii="Times New Roman" w:eastAsia="Times New Roman" w:hAnsi="Times New Roman" w:cs="Times New Roman"/>
          <w:b/>
          <w:bCs/>
          <w:color w:val="000000"/>
          <w:spacing w:val="0"/>
          <w:w w:val="100"/>
          <w:position w:val="0"/>
        </w:rPr>
        <w:t>5</w:t>
      </w:r>
      <w:bookmarkEnd w:id="684"/>
      <w:r>
        <w:rPr>
          <w:b/>
          <w:bCs/>
          <w:color w:val="000000"/>
          <w:spacing w:val="0"/>
          <w:w w:val="100"/>
          <w:position w:val="0"/>
        </w:rPr>
        <w:t>、</w:t>
        <w:tab/>
        <w:t>公司总部地址</w:t>
      </w:r>
    </w:p>
    <w:p>
      <w:pPr>
        <w:pStyle w:val="Style30"/>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深圳市南山区粤海街道高新区社区高新南七道</w:t>
      </w:r>
      <w:r>
        <w:rPr>
          <w:rFonts w:ascii="Times New Roman" w:eastAsia="Times New Roman" w:hAnsi="Times New Roman" w:cs="Times New Roman"/>
          <w:color w:val="000000"/>
          <w:spacing w:val="0"/>
          <w:w w:val="100"/>
          <w:position w:val="0"/>
        </w:rPr>
        <w:t>8</w:t>
      </w:r>
      <w:r>
        <w:rPr>
          <w:color w:val="000000"/>
          <w:spacing w:val="0"/>
          <w:w w:val="100"/>
          <w:position w:val="0"/>
        </w:rPr>
        <w:t>号四方精创资讯大厦。</w:t>
      </w:r>
    </w:p>
    <w:p>
      <w:pPr>
        <w:pStyle w:val="Style30"/>
        <w:keepNext w:val="0"/>
        <w:keepLines w:val="0"/>
        <w:widowControl w:val="0"/>
        <w:shd w:val="clear" w:color="auto" w:fill="auto"/>
        <w:tabs>
          <w:tab w:pos="354" w:val="left"/>
        </w:tabs>
        <w:bidi w:val="0"/>
        <w:spacing w:before="0" w:after="100" w:line="240" w:lineRule="auto"/>
        <w:ind w:left="0" w:right="0" w:firstLine="0"/>
        <w:jc w:val="left"/>
      </w:pPr>
      <w:bookmarkStart w:id="685" w:name="bookmark685"/>
      <w:r>
        <w:rPr>
          <w:rFonts w:ascii="Times New Roman" w:eastAsia="Times New Roman" w:hAnsi="Times New Roman" w:cs="Times New Roman"/>
          <w:b/>
          <w:bCs/>
          <w:color w:val="000000"/>
          <w:spacing w:val="0"/>
          <w:w w:val="100"/>
          <w:position w:val="0"/>
        </w:rPr>
        <w:t>6</w:t>
      </w:r>
      <w:bookmarkEnd w:id="685"/>
      <w:r>
        <w:rPr>
          <w:b/>
          <w:bCs/>
          <w:color w:val="000000"/>
          <w:spacing w:val="0"/>
          <w:w w:val="100"/>
          <w:position w:val="0"/>
        </w:rPr>
        <w:t>、</w:t>
        <w:tab/>
        <w:t>财务报告批准报出日</w:t>
      </w:r>
    </w:p>
    <w:p>
      <w:pPr>
        <w:pStyle w:val="Style30"/>
        <w:keepNext w:val="0"/>
        <w:keepLines w:val="0"/>
        <w:widowControl w:val="0"/>
        <w:shd w:val="clear" w:color="auto" w:fill="auto"/>
        <w:bidi w:val="0"/>
        <w:spacing w:before="0" w:after="560" w:line="314" w:lineRule="exact"/>
        <w:ind w:left="0" w:right="0" w:firstLine="440"/>
        <w:jc w:val="both"/>
      </w:pPr>
      <w:r>
        <w:rPr>
          <w:color w:val="000000"/>
          <w:spacing w:val="0"/>
          <w:w w:val="100"/>
          <w:position w:val="0"/>
        </w:rPr>
        <w:t>本财务报表及附注经公司董事会于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日决议批准对外报出。</w:t>
      </w:r>
    </w:p>
    <w:p>
      <w:pPr>
        <w:pStyle w:val="Style60"/>
        <w:keepNext w:val="0"/>
        <w:keepLines w:val="0"/>
        <w:widowControl w:val="0"/>
        <w:shd w:val="clear" w:color="auto" w:fill="auto"/>
        <w:bidi w:val="0"/>
        <w:spacing w:before="0" w:after="200" w:line="314" w:lineRule="exact"/>
        <w:ind w:left="0" w:right="0" w:firstLine="0"/>
        <w:jc w:val="left"/>
      </w:pPr>
      <w:bookmarkStart w:id="686" w:name="bookmark686"/>
      <w:r>
        <w:rPr>
          <w:color w:val="000000"/>
          <w:spacing w:val="0"/>
          <w:w w:val="100"/>
          <w:position w:val="0"/>
        </w:rPr>
        <w:t>（</w:t>
      </w:r>
      <w:bookmarkEnd w:id="686"/>
      <w:r>
        <w:rPr>
          <w:color w:val="000000"/>
          <w:spacing w:val="0"/>
          <w:w w:val="100"/>
          <w:position w:val="0"/>
        </w:rPr>
        <w:t>二）合并财务报表范围</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日，公司合并财务报表范围内子公司如下:</w:t>
      </w:r>
    </w:p>
    <w:tbl>
      <w:tblPr>
        <w:tblOverlap w:val="never"/>
        <w:jc w:val="center"/>
        <w:tblLayout w:type="fixed"/>
      </w:tblPr>
      <w:tblGrid>
        <w:gridCol w:w="3110"/>
        <w:gridCol w:w="3096"/>
        <w:gridCol w:w="31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四方资讯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深圳前海乐寻坊区块链科技有限公司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乐寻坊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r>
              <w:rPr>
                <w:rFonts w:ascii="Times New Roman" w:eastAsia="Times New Roman" w:hAnsi="Times New Roman" w:cs="Times New Roman"/>
                <w:color w:val="000000"/>
                <w:spacing w:val="0"/>
                <w:w w:val="100"/>
                <w:position w:val="0"/>
              </w:rPr>
              <w:t>（</w:t>
            </w:r>
            <w:r>
              <w:rPr>
                <w:color w:val="000000"/>
                <w:spacing w:val="0"/>
                <w:w w:val="100"/>
                <w:position w:val="0"/>
              </w:rPr>
              <w:t>泰国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四方泰国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报告期合并财务报表范围及其变化具体情况详见本财务报表附注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p>
    <w:p>
      <w:pPr>
        <w:widowControl w:val="0"/>
        <w:spacing w:after="659" w:line="1" w:lineRule="exact"/>
      </w:pPr>
    </w:p>
    <w:p>
      <w:pPr>
        <w:pStyle w:val="Style28"/>
        <w:keepNext/>
        <w:keepLines/>
        <w:widowControl w:val="0"/>
        <w:shd w:val="clear" w:color="auto" w:fill="auto"/>
        <w:bidi w:val="0"/>
        <w:spacing w:before="0" w:after="340" w:line="240" w:lineRule="auto"/>
        <w:ind w:left="0" w:right="0" w:firstLine="0"/>
        <w:jc w:val="left"/>
        <w:rPr>
          <w:sz w:val="20"/>
          <w:szCs w:val="20"/>
        </w:rPr>
      </w:pPr>
      <w:bookmarkStart w:id="687" w:name="bookmark687"/>
      <w:bookmarkStart w:id="688" w:name="bookmark688"/>
      <w:bookmarkStart w:id="689" w:name="bookmark689"/>
      <w:bookmarkStart w:id="690" w:name="bookmark690"/>
      <w:r>
        <w:rPr>
          <w:color w:val="000000"/>
          <w:spacing w:val="0"/>
          <w:w w:val="100"/>
          <w:position w:val="0"/>
          <w:sz w:val="20"/>
          <w:szCs w:val="20"/>
        </w:rPr>
        <w:t>四</w:t>
      </w:r>
      <w:bookmarkEnd w:id="689"/>
      <w:r>
        <w:rPr>
          <w:color w:val="000000"/>
          <w:spacing w:val="0"/>
          <w:w w:val="100"/>
          <w:position w:val="0"/>
          <w:sz w:val="20"/>
          <w:szCs w:val="20"/>
        </w:rPr>
        <w:t>、财务报表的编制基础</w:t>
      </w:r>
      <w:bookmarkEnd w:id="687"/>
      <w:bookmarkEnd w:id="688"/>
      <w:bookmarkEnd w:id="690"/>
    </w:p>
    <w:p>
      <w:pPr>
        <w:pStyle w:val="Style35"/>
        <w:keepNext/>
        <w:keepLines/>
        <w:widowControl w:val="0"/>
        <w:shd w:val="clear" w:color="auto" w:fill="auto"/>
        <w:bidi w:val="0"/>
        <w:spacing w:before="0" w:after="260" w:line="240" w:lineRule="auto"/>
        <w:ind w:left="0" w:right="0" w:firstLine="0"/>
        <w:jc w:val="left"/>
      </w:pPr>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91"/>
      <w:bookmarkEnd w:id="692"/>
      <w:bookmarkEnd w:id="693"/>
    </w:p>
    <w:p>
      <w:pPr>
        <w:pStyle w:val="Style30"/>
        <w:keepNext w:val="0"/>
        <w:keepLines w:val="0"/>
        <w:widowControl w:val="0"/>
        <w:shd w:val="clear" w:color="auto" w:fill="auto"/>
        <w:bidi w:val="0"/>
        <w:spacing w:before="0" w:after="200" w:line="312" w:lineRule="exact"/>
        <w:ind w:left="0" w:right="0" w:firstLine="500"/>
        <w:jc w:val="left"/>
      </w:pPr>
      <w:r>
        <w:rPr>
          <w:color w:val="000000"/>
          <w:spacing w:val="0"/>
          <w:w w:val="100"/>
          <w:position w:val="0"/>
        </w:rPr>
        <w:t>公司以持续经营为基础，根据实际发生的交易和事项，按照《企业会计准则一基本准则》和其他各项具体会计准则、 应用指南、准则解释及其他相关规定（以下合称企业会计准则）进行确认和计量，在此基础上结合中国证券监督管理委员会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5"/>
        <w:keepNext/>
        <w:keepLines/>
        <w:widowControl w:val="0"/>
        <w:shd w:val="clear" w:color="auto" w:fill="auto"/>
        <w:bidi w:val="0"/>
        <w:spacing w:before="0" w:after="280" w:line="314"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、持续经营</w:t>
      </w:r>
      <w:bookmarkEnd w:id="694"/>
      <w:bookmarkEnd w:id="695"/>
      <w:bookmarkEnd w:id="697"/>
    </w:p>
    <w:p>
      <w:pPr>
        <w:pStyle w:val="Style30"/>
        <w:keepNext w:val="0"/>
        <w:keepLines w:val="0"/>
        <w:widowControl w:val="0"/>
        <w:shd w:val="clear" w:color="auto" w:fill="auto"/>
        <w:bidi w:val="0"/>
        <w:spacing w:before="0" w:after="280" w:line="326" w:lineRule="exact"/>
        <w:ind w:left="0" w:right="0" w:firstLine="460"/>
        <w:jc w:val="both"/>
      </w:pPr>
      <w:r>
        <w:rPr>
          <w:color w:val="000000"/>
          <w:spacing w:val="0"/>
          <w:w w:val="100"/>
          <w:position w:val="0"/>
        </w:rPr>
        <w:t>公司自本报告期末起至少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个月内具备持续经营能力，无影响持续经营能力的重大事项。承诺自报告期末起至少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 月不存在影响公司持续经营的事项。</w:t>
      </w:r>
    </w:p>
    <w:p>
      <w:pPr>
        <w:pStyle w:val="Style28"/>
        <w:keepNext/>
        <w:keepLines/>
        <w:widowControl w:val="0"/>
        <w:shd w:val="clear" w:color="auto" w:fill="auto"/>
        <w:bidi w:val="0"/>
        <w:spacing w:before="0" w:after="280" w:line="314" w:lineRule="exact"/>
        <w:ind w:left="0" w:right="0" w:firstLine="0"/>
        <w:jc w:val="left"/>
        <w:rPr>
          <w:sz w:val="20"/>
          <w:szCs w:val="20"/>
        </w:rPr>
      </w:pPr>
      <w:bookmarkStart w:id="698" w:name="bookmark698"/>
      <w:bookmarkStart w:id="699" w:name="bookmark699"/>
      <w:bookmarkStart w:id="700" w:name="bookmark700"/>
      <w:bookmarkStart w:id="701" w:name="bookmark701"/>
      <w:r>
        <w:rPr>
          <w:color w:val="000000"/>
          <w:spacing w:val="0"/>
          <w:w w:val="100"/>
          <w:position w:val="0"/>
          <w:sz w:val="20"/>
          <w:szCs w:val="20"/>
        </w:rPr>
        <w:t>五</w:t>
      </w:r>
      <w:bookmarkEnd w:id="700"/>
      <w:r>
        <w:rPr>
          <w:color w:val="000000"/>
          <w:spacing w:val="0"/>
          <w:w w:val="100"/>
          <w:position w:val="0"/>
          <w:sz w:val="20"/>
          <w:szCs w:val="20"/>
        </w:rPr>
        <w:t>、重要会计政策及会计估计</w:t>
      </w:r>
      <w:bookmarkEnd w:id="698"/>
      <w:bookmarkEnd w:id="699"/>
      <w:bookmarkEnd w:id="701"/>
    </w:p>
    <w:p>
      <w:pPr>
        <w:pStyle w:val="Style30"/>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620" w:line="302" w:lineRule="exact"/>
        <w:ind w:left="0" w:right="0" w:firstLine="460"/>
        <w:jc w:val="both"/>
      </w:pPr>
      <w:r>
        <w:rPr>
          <w:color w:val="000000"/>
          <w:spacing w:val="0"/>
          <w:w w:val="100"/>
          <w:position w:val="0"/>
        </w:rPr>
        <w:t>以下披露内容已涵盖了公司根据实际生产经营特点制定的具体会计政策和会计估计。详见本附注</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16</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26</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280" w:line="307" w:lineRule="exact"/>
        <w:ind w:left="0" w:right="0" w:firstLine="0"/>
        <w:jc w:val="left"/>
      </w:pPr>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02"/>
      <w:bookmarkEnd w:id="703"/>
      <w:bookmarkEnd w:id="704"/>
    </w:p>
    <w:p>
      <w:pPr>
        <w:pStyle w:val="Style30"/>
        <w:keepNext w:val="0"/>
        <w:keepLines w:val="0"/>
        <w:widowControl w:val="0"/>
        <w:shd w:val="clear" w:color="auto" w:fill="auto"/>
        <w:bidi w:val="0"/>
        <w:spacing w:before="0" w:after="680" w:line="307" w:lineRule="exact"/>
        <w:ind w:left="0" w:right="0" w:firstLine="340"/>
        <w:jc w:val="both"/>
      </w:pPr>
      <w:r>
        <w:rPr>
          <w:color w:val="000000"/>
          <w:spacing w:val="0"/>
          <w:w w:val="100"/>
          <w:position w:val="0"/>
        </w:rPr>
        <w:t>公司所编制的财务报表符合企业会计准则的要求，真实、完整地反映了公司的财务状况、经营成果、所有者权益变动和 现金流量等有关信息。</w:t>
      </w:r>
    </w:p>
    <w:p>
      <w:pPr>
        <w:pStyle w:val="Style35"/>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705"/>
      <w:bookmarkEnd w:id="706"/>
      <w:bookmarkEnd w:id="707"/>
    </w:p>
    <w:p>
      <w:pPr>
        <w:pStyle w:val="Style30"/>
        <w:keepNext w:val="0"/>
        <w:keepLines w:val="0"/>
        <w:widowControl w:val="0"/>
        <w:shd w:val="clear" w:color="auto" w:fill="auto"/>
        <w:bidi w:val="0"/>
        <w:spacing w:before="0" w:after="620" w:line="240" w:lineRule="auto"/>
        <w:ind w:left="0" w:right="0" w:firstLine="320"/>
        <w:jc w:val="left"/>
      </w:pPr>
      <w:r>
        <w:rPr>
          <w:color w:val="000000"/>
          <w:spacing w:val="0"/>
          <w:w w:val="100"/>
          <w:position w:val="0"/>
        </w:rPr>
        <w:t>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5"/>
        <w:keepNext/>
        <w:keepLines/>
        <w:widowControl w:val="0"/>
        <w:shd w:val="clear" w:color="auto" w:fill="auto"/>
        <w:tabs>
          <w:tab w:pos="363" w:val="left"/>
        </w:tabs>
        <w:bidi w:val="0"/>
        <w:spacing w:before="0" w:after="280" w:line="315" w:lineRule="exact"/>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3</w:t>
      </w:r>
      <w:bookmarkEnd w:id="710"/>
      <w:r>
        <w:rPr>
          <w:color w:val="000000"/>
          <w:spacing w:val="0"/>
          <w:w w:val="100"/>
          <w:position w:val="0"/>
        </w:rPr>
        <w:t>、</w:t>
        <w:tab/>
        <w:t>营业周期</w:t>
      </w:r>
      <w:bookmarkEnd w:id="708"/>
      <w:bookmarkEnd w:id="709"/>
      <w:bookmarkEnd w:id="711"/>
    </w:p>
    <w:p>
      <w:pPr>
        <w:pStyle w:val="Style30"/>
        <w:keepNext w:val="0"/>
        <w:keepLines w:val="0"/>
        <w:widowControl w:val="0"/>
        <w:shd w:val="clear" w:color="auto" w:fill="auto"/>
        <w:bidi w:val="0"/>
        <w:spacing w:before="0" w:after="340" w:line="322" w:lineRule="exact"/>
        <w:ind w:left="0" w:right="0" w:firstLine="340"/>
        <w:jc w:val="both"/>
      </w:pPr>
      <w:r>
        <w:rPr>
          <w:color w:val="000000"/>
          <w:spacing w:val="0"/>
          <w:w w:val="100"/>
          <w:position w:val="0"/>
        </w:rPr>
        <w:t>正常营业周期是指公司从购买用于加工的资产起至实现现金或现金等价物的期间。公司以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 以其作为资产和负债的流动性划分标准。</w:t>
      </w:r>
    </w:p>
    <w:p>
      <w:pPr>
        <w:pStyle w:val="Style30"/>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注：公司对营业周期不同于</w:t>
      </w:r>
      <w:r>
        <w:rPr>
          <w:rFonts w:ascii="Times New Roman" w:eastAsia="Times New Roman" w:hAnsi="Times New Roman" w:cs="Times New Roman"/>
          <w:color w:val="000000"/>
          <w:spacing w:val="0"/>
          <w:w w:val="100"/>
          <w:position w:val="0"/>
        </w:rPr>
        <w:t>12</w:t>
      </w:r>
      <w:r>
        <w:rPr>
          <w:color w:val="000000"/>
          <w:spacing w:val="0"/>
          <w:w w:val="100"/>
          <w:position w:val="0"/>
        </w:rPr>
        <w:t>个月，并以营业周期作为资产和负债的流动性划分标准的，应说明营业周期及确定依据。</w:t>
      </w:r>
    </w:p>
    <w:p>
      <w:pPr>
        <w:pStyle w:val="Style35"/>
        <w:keepNext/>
        <w:keepLines/>
        <w:widowControl w:val="0"/>
        <w:shd w:val="clear" w:color="auto" w:fill="auto"/>
        <w:tabs>
          <w:tab w:pos="363" w:val="left"/>
        </w:tabs>
        <w:bidi w:val="0"/>
        <w:spacing w:before="0" w:after="280" w:line="315" w:lineRule="exact"/>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w:t>
      </w:r>
      <w:bookmarkEnd w:id="714"/>
      <w:r>
        <w:rPr>
          <w:color w:val="000000"/>
          <w:spacing w:val="0"/>
          <w:w w:val="100"/>
          <w:position w:val="0"/>
        </w:rPr>
        <w:t>、</w:t>
        <w:tab/>
        <w:t>记账本位币</w:t>
      </w:r>
      <w:bookmarkEnd w:id="712"/>
      <w:bookmarkEnd w:id="713"/>
      <w:bookmarkEnd w:id="715"/>
    </w:p>
    <w:p>
      <w:pPr>
        <w:pStyle w:val="Style30"/>
        <w:keepNext w:val="0"/>
        <w:keepLines w:val="0"/>
        <w:widowControl w:val="0"/>
        <w:shd w:val="clear" w:color="auto" w:fill="auto"/>
        <w:bidi w:val="0"/>
        <w:spacing w:before="0" w:after="280" w:line="315" w:lineRule="exact"/>
        <w:ind w:left="0" w:right="0" w:firstLine="320"/>
        <w:jc w:val="left"/>
      </w:pPr>
      <w:r>
        <w:rPr>
          <w:color w:val="000000"/>
          <w:spacing w:val="0"/>
          <w:w w:val="100"/>
          <w:position w:val="0"/>
        </w:rPr>
        <w:t>公司以人民币为记账本位币。</w:t>
      </w:r>
    </w:p>
    <w:p>
      <w:pPr>
        <w:pStyle w:val="Style35"/>
        <w:keepNext/>
        <w:keepLines/>
        <w:widowControl w:val="0"/>
        <w:shd w:val="clear" w:color="auto" w:fill="auto"/>
        <w:tabs>
          <w:tab w:pos="363" w:val="left"/>
        </w:tabs>
        <w:bidi w:val="0"/>
        <w:spacing w:before="0" w:after="280" w:line="315" w:lineRule="exact"/>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5</w:t>
      </w:r>
      <w:bookmarkEnd w:id="718"/>
      <w:r>
        <w:rPr>
          <w:color w:val="000000"/>
          <w:spacing w:val="0"/>
          <w:w w:val="100"/>
          <w:position w:val="0"/>
        </w:rPr>
        <w:t>、</w:t>
        <w:tab/>
        <w:t>同一控制下和非同一控制下企业合并的会计处理方法</w:t>
      </w:r>
      <w:bookmarkEnd w:id="716"/>
      <w:bookmarkEnd w:id="717"/>
      <w:bookmarkEnd w:id="719"/>
    </w:p>
    <w:p>
      <w:pPr>
        <w:pStyle w:val="Style30"/>
        <w:keepNext w:val="0"/>
        <w:keepLines w:val="0"/>
        <w:widowControl w:val="0"/>
        <w:shd w:val="clear" w:color="auto" w:fill="auto"/>
        <w:tabs>
          <w:tab w:pos="896" w:val="left"/>
        </w:tabs>
        <w:bidi w:val="0"/>
        <w:spacing w:before="0" w:after="120" w:line="314" w:lineRule="exact"/>
        <w:ind w:left="0" w:right="0" w:firstLine="34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同一控制下企业合并：公司在企业合并中取得的资产和负债，按照合并日在被合并方资产、负债（包括最终控制 方收购被合并方而形成的商誉）在最终控制方合并财务报表中的账面价值计量。在合并中取得的净资产账面价值与支付的合 并对价账面价值（或发行股份面值总额）的差额，调整资本公积中的资本溢价或股本溢价，资本公积中的资本溢价或股本溢 价不足冲减的，调整留存收益。</w:t>
      </w:r>
    </w:p>
    <w:p>
      <w:pPr>
        <w:pStyle w:val="Style30"/>
        <w:keepNext w:val="0"/>
        <w:keepLines w:val="0"/>
        <w:widowControl w:val="0"/>
        <w:shd w:val="clear" w:color="auto" w:fill="auto"/>
        <w:tabs>
          <w:tab w:pos="896" w:val="left"/>
        </w:tabs>
        <w:bidi w:val="0"/>
        <w:spacing w:before="0" w:after="120" w:line="315" w:lineRule="exact"/>
        <w:ind w:left="0" w:right="0" w:firstLine="34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非同一控制下企业合并：公司在购买日对作为企业合并对价付出的资产、发生或承担的负债按照公允价值计量， 公允价值与其账面价值的差额，计入当期损益。公司对合并成本大于合并中取得的被购买方可辨认净资产公允价值份额的差 额，确认为商誉；合并成本小于合并中取得的被购买方可辨认净资产公允价值份额的差额，对合并中取得的资产、负债的公 允价值、作为合并对价的非现金资产或发行的权益性证券等的公允价值进行复核，复核结果表明所确定的各项可辨认资产和 </w:t>
      </w:r>
      <w:r>
        <w:rPr>
          <w:color w:val="000000"/>
          <w:spacing w:val="0"/>
          <w:w w:val="100"/>
          <w:position w:val="0"/>
        </w:rPr>
        <w:t>负债的公允价值确定是恰当的，将企业合并成本低于取得的被购买方可辨认净资产公允价值份额之间的差额，计入合并当期 的营业外收入。</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通过多次交易分步实现非同一控制下的企业合并，合并成本为购买日支付的对价与购买日之前已经持有的被购买方的 股权在购买日的公允价值之和；对于购买日之前已经持有的被购买方的股权，按照购买日的公允价值进行重新计量，公允价 值与其账面价值之间的差额计入当期投资收益。购买日之前持有的被购买方的长期股权投资在权益法核算下的其他综合收 益，采用与被投资单位直接处置相关资产或负债相同的基础进行会计处理，除净损益、其他综合收益和利润分配外的其他股 东权益变动，转为购买日所属当期损益。对于购买日之前持有的被购买方的其他权益工具投资，该权益工具投资在购买日之 前累计在其他综合收益的公允价值变动转入留存损益。</w:t>
      </w:r>
    </w:p>
    <w:p>
      <w:pPr>
        <w:pStyle w:val="Style30"/>
        <w:keepNext w:val="0"/>
        <w:keepLines w:val="0"/>
        <w:widowControl w:val="0"/>
        <w:shd w:val="clear" w:color="auto" w:fill="auto"/>
        <w:bidi w:val="0"/>
        <w:spacing w:before="0" w:after="620" w:line="314" w:lineRule="exact"/>
        <w:ind w:left="0" w:right="0" w:firstLine="38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3</w:t>
      </w:r>
      <w:r>
        <w:rPr>
          <w:color w:val="000000"/>
          <w:spacing w:val="0"/>
          <w:w w:val="100"/>
          <w:position w:val="0"/>
        </w:rPr>
        <w:t>）企业合并中相关费用的处理：为企业合并发生的审计、法律服务、评估咨询等中介费用及其他相关管理费用，于 发生时计入当期损益；作为合并对价发行的权益性证券或债务性证券的交易费用，计入权益性证券或债务性证券的初始确认 金额。</w:t>
      </w:r>
    </w:p>
    <w:p>
      <w:pPr>
        <w:pStyle w:val="Style35"/>
        <w:keepNext/>
        <w:keepLines/>
        <w:widowControl w:val="0"/>
        <w:shd w:val="clear" w:color="auto" w:fill="auto"/>
        <w:bidi w:val="0"/>
        <w:spacing w:before="0" w:after="260" w:line="312" w:lineRule="exact"/>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6</w:t>
      </w:r>
      <w:bookmarkEnd w:id="725"/>
      <w:r>
        <w:rPr>
          <w:color w:val="000000"/>
          <w:spacing w:val="0"/>
          <w:w w:val="100"/>
          <w:position w:val="0"/>
        </w:rPr>
        <w:t>、合并财务报表的编制方法</w:t>
      </w:r>
      <w:bookmarkEnd w:id="723"/>
      <w:bookmarkEnd w:id="724"/>
      <w:bookmarkEnd w:id="726"/>
    </w:p>
    <w:p>
      <w:pPr>
        <w:pStyle w:val="Style30"/>
        <w:keepNext w:val="0"/>
        <w:keepLines w:val="0"/>
        <w:widowControl w:val="0"/>
        <w:shd w:val="clear" w:color="auto" w:fill="auto"/>
        <w:tabs>
          <w:tab w:pos="380" w:val="left"/>
        </w:tabs>
        <w:bidi w:val="0"/>
        <w:spacing w:before="0" w:after="120" w:line="312" w:lineRule="exact"/>
        <w:ind w:left="0" w:right="0" w:firstLine="0"/>
        <w:jc w:val="left"/>
      </w:pPr>
      <w:bookmarkStart w:id="727" w:name="bookmark727"/>
      <w:r>
        <w:rPr>
          <w:color w:val="000000"/>
          <w:spacing w:val="0"/>
          <w:w w:val="100"/>
          <w:position w:val="0"/>
        </w:rPr>
        <w:t>（</w:t>
      </w:r>
      <w:bookmarkEnd w:id="727"/>
      <w:r>
        <w:rPr>
          <w:color w:val="000000"/>
          <w:spacing w:val="0"/>
          <w:w w:val="100"/>
          <w:position w:val="0"/>
        </w:rPr>
        <w:t>1）</w:t>
        <w:tab/>
      </w:r>
      <w:r>
        <w:rPr>
          <w:color w:val="000000"/>
          <w:spacing w:val="0"/>
          <w:w w:val="100"/>
          <w:position w:val="0"/>
        </w:rPr>
        <w:t>合并报表编制范围</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合并财务报表的合并范围以控制为基础予以确定，不仅包括根据表决权（或类似权利）本身或者结合其他安排确定的 子公司，也包括基于一项或多项合同安排决定的结构化主体。控制，是指投资方拥有对被投资方的权力，通过参与被投资方 的相关活动而享有可变回报，并且有能力运用对被投资方的权力影响其回报金额。</w:t>
      </w:r>
    </w:p>
    <w:p>
      <w:pPr>
        <w:pStyle w:val="Style30"/>
        <w:keepNext w:val="0"/>
        <w:keepLines w:val="0"/>
        <w:widowControl w:val="0"/>
        <w:shd w:val="clear" w:color="auto" w:fill="auto"/>
        <w:tabs>
          <w:tab w:pos="380" w:val="left"/>
        </w:tabs>
        <w:bidi w:val="0"/>
        <w:spacing w:before="0" w:after="120" w:line="312" w:lineRule="exact"/>
        <w:ind w:left="0" w:right="0" w:firstLine="0"/>
        <w:jc w:val="both"/>
      </w:pPr>
      <w:bookmarkStart w:id="728" w:name="bookmark728"/>
      <w:r>
        <w:rPr>
          <w:color w:val="000000"/>
          <w:spacing w:val="0"/>
          <w:w w:val="100"/>
          <w:position w:val="0"/>
        </w:rPr>
        <w:t>（</w:t>
      </w:r>
      <w:bookmarkEnd w:id="728"/>
      <w:r>
        <w:rPr>
          <w:color w:val="000000"/>
          <w:spacing w:val="0"/>
          <w:w w:val="100"/>
          <w:position w:val="0"/>
        </w:rPr>
        <w:t>2）</w:t>
        <w:tab/>
      </w:r>
      <w:r>
        <w:rPr>
          <w:color w:val="000000"/>
          <w:spacing w:val="0"/>
          <w:w w:val="100"/>
          <w:position w:val="0"/>
        </w:rPr>
        <w:t>合并程序</w:t>
      </w:r>
    </w:p>
    <w:p>
      <w:pPr>
        <w:pStyle w:val="Style30"/>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合并财务报表以公司和其子公司的财务报表为基础，根据其他有关资料，编制合并财务报表。</w:t>
      </w:r>
    </w:p>
    <w:p>
      <w:pPr>
        <w:pStyle w:val="Style30"/>
        <w:keepNext w:val="0"/>
        <w:keepLines w:val="0"/>
        <w:widowControl w:val="0"/>
        <w:shd w:val="clear" w:color="auto" w:fill="auto"/>
        <w:bidi w:val="0"/>
        <w:spacing w:before="0" w:after="120" w:line="307" w:lineRule="exact"/>
        <w:ind w:left="0" w:right="0" w:firstLine="500"/>
        <w:jc w:val="left"/>
      </w:pPr>
      <w:r>
        <w:rPr>
          <w:color w:val="000000"/>
          <w:spacing w:val="0"/>
          <w:w w:val="100"/>
          <w:position w:val="0"/>
        </w:rPr>
        <w:t>公司统一子公司所采用的会计政策及会计期间，使子公司采用的会计政策、会计期间与公司保持一致。在编制合并财 务报表时，遵循重要性原则，抵销母公司与子公司、子公司与子公司之间的内部往来、内部交易及权益性投资项目。</w:t>
      </w:r>
    </w:p>
    <w:p>
      <w:pPr>
        <w:pStyle w:val="Style30"/>
        <w:keepNext w:val="0"/>
        <w:keepLines w:val="0"/>
        <w:widowControl w:val="0"/>
        <w:shd w:val="clear" w:color="auto" w:fill="auto"/>
        <w:bidi w:val="0"/>
        <w:spacing w:before="0" w:after="120" w:line="310" w:lineRule="exact"/>
        <w:ind w:left="0" w:right="0" w:firstLine="500"/>
        <w:jc w:val="left"/>
      </w:pPr>
      <w:r>
        <w:rPr>
          <w:color w:val="000000"/>
          <w:spacing w:val="0"/>
          <w:w w:val="100"/>
          <w:position w:val="0"/>
        </w:rPr>
        <w:t>子公司少数股东应占的权益和损益分别在合并资产负债表中所有者权益项目下和合并利润表中净利润项目下单独列 示。子公司少数股东分担的当期亏损超过了少数股东在该子公司期初所有者权益中所享有份额而形成的余额，冲减少数股东 权益。</w:t>
      </w:r>
    </w:p>
    <w:p>
      <w:pPr>
        <w:pStyle w:val="Style30"/>
        <w:keepNext w:val="0"/>
        <w:keepLines w:val="0"/>
        <w:widowControl w:val="0"/>
        <w:numPr>
          <w:ilvl w:val="0"/>
          <w:numId w:val="15"/>
        </w:numPr>
        <w:shd w:val="clear" w:color="auto" w:fill="auto"/>
        <w:bidi w:val="0"/>
        <w:spacing w:before="0" w:after="120" w:line="312" w:lineRule="exact"/>
        <w:ind w:left="0" w:right="0" w:firstLine="500"/>
        <w:jc w:val="both"/>
      </w:pPr>
      <w:bookmarkStart w:id="729" w:name="bookmark729"/>
      <w:bookmarkEnd w:id="729"/>
      <w:r>
        <w:rPr>
          <w:color w:val="000000"/>
          <w:spacing w:val="0"/>
          <w:w w:val="100"/>
          <w:position w:val="0"/>
        </w:rPr>
        <w:t>增加子公司以及业务</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在报告期内因同一控制下企业合并增加的子公司以及业务，编制合并资产负债表时，调整合并资产负债表的期初数； 编制利润表时，将该子公司以及业务合并当期期初至报告期末的收入、费用、利润纳入合并利润表；合并现金流量表时，将 该子公司以及业务合并当期期初至报告期末的现金流量纳入合并现金流量表；同时应当对比较报表的相关项目进行调整，视 同合并后的报告主体自最终控制方开始控制时点起一直存在。</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在报告期内因非同一控制下企业合并或其他方式增加的子公司以及业务，编制合并资产负债表时，不调整合并资产负 债表的期初数。编制利润表时，将该子公司以及业务购买日至报告期末的收入、费用、利润纳入合并利润表。编制现金流表 时，将该子公司购买日至报告期末的现金流量纳入合并现金流量表。</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公司以子公司的个别财务报表反映为在购买日公允价值基础上确定的可辨认资产、负债及或有负债在本期资产负债表 日的金额进行编制合并财务报表。对合并成本大于合并中取得的被购买方可辨认净资产公允价值份额的差额，确认为商誉。 合并成本小于合并中取得的被购买方可辨认净资产公允价值份额的差额，经复核后，计入当期损益。</w:t>
      </w:r>
    </w:p>
    <w:p>
      <w:pPr>
        <w:pStyle w:val="Style30"/>
        <w:keepNext w:val="0"/>
        <w:keepLines w:val="0"/>
        <w:widowControl w:val="0"/>
        <w:shd w:val="clear" w:color="auto" w:fill="auto"/>
        <w:bidi w:val="0"/>
        <w:spacing w:before="0" w:after="120" w:line="305" w:lineRule="exact"/>
        <w:ind w:left="0" w:right="0" w:firstLine="500"/>
        <w:jc w:val="both"/>
      </w:pPr>
      <w:r>
        <w:rPr>
          <w:color w:val="000000"/>
          <w:spacing w:val="0"/>
          <w:w w:val="100"/>
          <w:position w:val="0"/>
        </w:rPr>
        <w:t xml:space="preserve">通过多次交易分步实现非同一控制下企业合并的，在合并财务报表中，对于购买日之前持有的被购买方的股权，应当 按照该股权在购买日的公允价值进行重新计量，公允价值与其账面价值的差额计入当期投资收益。购买日之前持有的被购买 方的长期股权投资在权益法核算下的其他综合收益，采用与被投资单位直接处置相关资产或负债相同的基础进行会计处理， </w:t>
      </w:r>
      <w:r>
        <w:rPr>
          <w:color w:val="000000"/>
          <w:spacing w:val="0"/>
          <w:w w:val="100"/>
          <w:position w:val="0"/>
        </w:rPr>
        <w:t>除净损益、其他综合收益和利润分配外的其他股东权益变动，转为购买日所属当期损益。对于购买日之前持有的被购买方的 其他权益工具投资，该权益工具投资在购买日之前累计在其他综合收益的公允价值变动转入留存损益。</w:t>
      </w:r>
    </w:p>
    <w:p>
      <w:pPr>
        <w:pStyle w:val="Style30"/>
        <w:keepNext w:val="0"/>
        <w:keepLines w:val="0"/>
        <w:widowControl w:val="0"/>
        <w:numPr>
          <w:ilvl w:val="0"/>
          <w:numId w:val="15"/>
        </w:numPr>
        <w:shd w:val="clear" w:color="auto" w:fill="auto"/>
        <w:bidi w:val="0"/>
        <w:spacing w:before="0" w:after="120" w:line="312" w:lineRule="exact"/>
        <w:ind w:left="0" w:right="0" w:firstLine="380"/>
        <w:jc w:val="both"/>
      </w:pPr>
      <w:bookmarkStart w:id="730" w:name="bookmark730"/>
      <w:bookmarkEnd w:id="730"/>
      <w:r>
        <w:rPr>
          <w:color w:val="000000"/>
          <w:spacing w:val="0"/>
          <w:w w:val="100"/>
          <w:position w:val="0"/>
        </w:rPr>
        <w:t>处置子公司以及业务</w:t>
      </w:r>
    </w:p>
    <w:p>
      <w:pPr>
        <w:pStyle w:val="Style30"/>
        <w:keepNext w:val="0"/>
        <w:keepLines w:val="0"/>
        <w:widowControl w:val="0"/>
        <w:numPr>
          <w:ilvl w:val="0"/>
          <w:numId w:val="17"/>
        </w:numPr>
        <w:shd w:val="clear" w:color="auto" w:fill="auto"/>
        <w:tabs>
          <w:tab w:pos="870" w:val="left"/>
        </w:tabs>
        <w:bidi w:val="0"/>
        <w:spacing w:before="0" w:after="120" w:line="312" w:lineRule="exact"/>
        <w:ind w:left="0" w:right="0" w:firstLine="500"/>
        <w:jc w:val="both"/>
      </w:pPr>
      <w:bookmarkStart w:id="731" w:name="bookmark731"/>
      <w:bookmarkEnd w:id="731"/>
      <w:r>
        <w:rPr>
          <w:color w:val="000000"/>
          <w:spacing w:val="0"/>
          <w:w w:val="100"/>
          <w:position w:val="0"/>
        </w:rPr>
        <w:t>一般处理方法</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在报告期内，公司处置子公司以及业务，则该子公司以及业务期初至处置日的收入、费用、利润纳入合并利润表；该 子公司以及业务期初至处置日的现金流量纳入合并现金流量表。</w:t>
      </w:r>
    </w:p>
    <w:p>
      <w:pPr>
        <w:pStyle w:val="Style30"/>
        <w:keepNext w:val="0"/>
        <w:keepLines w:val="0"/>
        <w:widowControl w:val="0"/>
        <w:shd w:val="clear" w:color="auto" w:fill="auto"/>
        <w:bidi w:val="0"/>
        <w:spacing w:before="0" w:after="120" w:line="309" w:lineRule="exact"/>
        <w:ind w:left="0" w:right="0" w:firstLine="500"/>
        <w:jc w:val="both"/>
      </w:pPr>
      <w:r>
        <w:rPr>
          <w:color w:val="000000"/>
          <w:spacing w:val="0"/>
          <w:w w:val="100"/>
          <w:position w:val="0"/>
        </w:rPr>
        <w:t>公司因处置部分股权投资等原因丧失了对原有子公司控制权的，在合并财务报表中，对于剩余股权，按照其在丧失控 制权日的公允价值进行重新计量。处置股权取得的对价和剩余股权公允价值之和，减去按原持股比例计算应享有原有子公司 自购买日或合并日开始持续计算的净资产的份额之间的差额，计入丧失控制权当期的投资收益，同时冲减商誉。与原有子公 司股权投资相关的其他综合收益，在丧失控制权时采用与子公司直接处置相关资产或负债相同的基础进行会计处理，因原有 子公司相关的除净损益、其他综合收益和利润分配以外的其他股东权益变动而确认的股东权益，在丧失控制权时转为当期损 益。</w:t>
      </w:r>
    </w:p>
    <w:p>
      <w:pPr>
        <w:pStyle w:val="Style30"/>
        <w:keepNext w:val="0"/>
        <w:keepLines w:val="0"/>
        <w:widowControl w:val="0"/>
        <w:numPr>
          <w:ilvl w:val="0"/>
          <w:numId w:val="19"/>
        </w:numPr>
        <w:shd w:val="clear" w:color="auto" w:fill="auto"/>
        <w:tabs>
          <w:tab w:pos="870" w:val="left"/>
        </w:tabs>
        <w:bidi w:val="0"/>
        <w:spacing w:before="0" w:after="120" w:line="312" w:lineRule="exact"/>
        <w:ind w:left="0" w:right="0" w:firstLine="500"/>
        <w:jc w:val="both"/>
      </w:pPr>
      <w:bookmarkStart w:id="732" w:name="bookmark732"/>
      <w:bookmarkEnd w:id="732"/>
      <w:r>
        <w:rPr>
          <w:color w:val="000000"/>
          <w:spacing w:val="0"/>
          <w:w w:val="100"/>
          <w:position w:val="0"/>
        </w:rPr>
        <w:t>分步处置股权至丧失控制权</w:t>
      </w:r>
    </w:p>
    <w:p>
      <w:pPr>
        <w:pStyle w:val="Style30"/>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企业通过多次交易分步处置对子公司股权投资直至丧失控制权的，如果处置对子公司股权投资直至丧失控制权的各项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时一并转入丧失控制权当期的损益。</w:t>
      </w:r>
    </w:p>
    <w:p>
      <w:pPr>
        <w:pStyle w:val="Style30"/>
        <w:keepNext w:val="0"/>
        <w:keepLines w:val="0"/>
        <w:widowControl w:val="0"/>
        <w:shd w:val="clear" w:color="auto" w:fill="auto"/>
        <w:bidi w:val="0"/>
        <w:spacing w:before="0" w:after="120" w:line="322" w:lineRule="exact"/>
        <w:ind w:left="0" w:right="0" w:firstLine="500"/>
        <w:jc w:val="both"/>
      </w:pPr>
      <w:r>
        <w:rPr>
          <w:color w:val="000000"/>
          <w:spacing w:val="0"/>
          <w:w w:val="100"/>
          <w:position w:val="0"/>
        </w:rPr>
        <w:t>处置对子公司股权投资的各项交易的条款、条件以及经济影响符合下列一种或多种情况，通常表明应将多次交易事项 作为一揽子交易进行会计处理：</w:t>
      </w:r>
    </w:p>
    <w:p>
      <w:pPr>
        <w:pStyle w:val="Style30"/>
        <w:keepNext w:val="0"/>
        <w:keepLines w:val="0"/>
        <w:widowControl w:val="0"/>
        <w:shd w:val="clear" w:color="auto" w:fill="auto"/>
        <w:tabs>
          <w:tab w:pos="1182" w:val="left"/>
        </w:tabs>
        <w:bidi w:val="0"/>
        <w:spacing w:before="0" w:after="120" w:line="312" w:lineRule="exact"/>
        <w:ind w:left="0" w:right="0" w:firstLine="500"/>
        <w:jc w:val="both"/>
      </w:pPr>
      <w:bookmarkStart w:id="733" w:name="bookmark733"/>
      <w:r>
        <w:rPr>
          <w:color w:val="000000"/>
          <w:spacing w:val="0"/>
          <w:w w:val="100"/>
          <w:position w:val="0"/>
        </w:rPr>
        <w:t>（</w:t>
      </w:r>
      <w:bookmarkEnd w:id="733"/>
      <w:r>
        <w:rPr>
          <w:color w:val="000000"/>
          <w:spacing w:val="0"/>
          <w:w w:val="100"/>
          <w:position w:val="0"/>
        </w:rPr>
        <w:t>A）</w:t>
        <w:tab/>
      </w:r>
      <w:r>
        <w:rPr>
          <w:color w:val="000000"/>
          <w:spacing w:val="0"/>
          <w:w w:val="100"/>
          <w:position w:val="0"/>
        </w:rPr>
        <w:t>这些交易是同时或者在考虑了彼此影响的情况下订立的；</w:t>
      </w:r>
    </w:p>
    <w:p>
      <w:pPr>
        <w:pStyle w:val="Style30"/>
        <w:keepNext w:val="0"/>
        <w:keepLines w:val="0"/>
        <w:widowControl w:val="0"/>
        <w:shd w:val="clear" w:color="auto" w:fill="auto"/>
        <w:tabs>
          <w:tab w:pos="1182" w:val="left"/>
        </w:tabs>
        <w:bidi w:val="0"/>
        <w:spacing w:before="0" w:after="120" w:line="312" w:lineRule="exact"/>
        <w:ind w:left="0" w:right="0" w:firstLine="500"/>
        <w:jc w:val="both"/>
      </w:pPr>
      <w:bookmarkStart w:id="734" w:name="bookmark734"/>
      <w:r>
        <w:rPr>
          <w:color w:val="000000"/>
          <w:spacing w:val="0"/>
          <w:w w:val="100"/>
          <w:position w:val="0"/>
        </w:rPr>
        <w:t>（</w:t>
      </w:r>
      <w:bookmarkEnd w:id="734"/>
      <w:r>
        <w:rPr>
          <w:color w:val="000000"/>
          <w:spacing w:val="0"/>
          <w:w w:val="100"/>
          <w:position w:val="0"/>
        </w:rPr>
        <w:t>B）</w:t>
        <w:tab/>
      </w:r>
      <w:r>
        <w:rPr>
          <w:color w:val="000000"/>
          <w:spacing w:val="0"/>
          <w:w w:val="100"/>
          <w:position w:val="0"/>
        </w:rPr>
        <w:t>这些交易整体才能达成一项完整的商业结果；</w:t>
      </w:r>
    </w:p>
    <w:p>
      <w:pPr>
        <w:pStyle w:val="Style30"/>
        <w:keepNext w:val="0"/>
        <w:keepLines w:val="0"/>
        <w:widowControl w:val="0"/>
        <w:shd w:val="clear" w:color="auto" w:fill="auto"/>
        <w:tabs>
          <w:tab w:pos="1182" w:val="left"/>
        </w:tabs>
        <w:bidi w:val="0"/>
        <w:spacing w:before="0" w:after="120" w:line="312" w:lineRule="exact"/>
        <w:ind w:left="0" w:right="0" w:firstLine="500"/>
        <w:jc w:val="both"/>
      </w:pPr>
      <w:bookmarkStart w:id="735" w:name="bookmark735"/>
      <w:r>
        <w:rPr>
          <w:color w:val="000000"/>
          <w:spacing w:val="0"/>
          <w:w w:val="100"/>
          <w:position w:val="0"/>
        </w:rPr>
        <w:t>（</w:t>
      </w:r>
      <w:bookmarkEnd w:id="735"/>
      <w:r>
        <w:rPr>
          <w:color w:val="000000"/>
          <w:spacing w:val="0"/>
          <w:w w:val="100"/>
          <w:position w:val="0"/>
        </w:rPr>
        <w:t>C）</w:t>
        <w:tab/>
      </w:r>
      <w:r>
        <w:rPr>
          <w:color w:val="000000"/>
          <w:spacing w:val="0"/>
          <w:w w:val="100"/>
          <w:position w:val="0"/>
        </w:rPr>
        <w:t>一项交易的发生取决于其他至少一项交易的发生；</w:t>
      </w:r>
    </w:p>
    <w:p>
      <w:pPr>
        <w:pStyle w:val="Style30"/>
        <w:keepNext w:val="0"/>
        <w:keepLines w:val="0"/>
        <w:widowControl w:val="0"/>
        <w:shd w:val="clear" w:color="auto" w:fill="auto"/>
        <w:tabs>
          <w:tab w:pos="1182" w:val="left"/>
        </w:tabs>
        <w:bidi w:val="0"/>
        <w:spacing w:before="0" w:after="120" w:line="312" w:lineRule="exact"/>
        <w:ind w:left="0" w:right="0" w:firstLine="500"/>
        <w:jc w:val="both"/>
      </w:pPr>
      <w:bookmarkStart w:id="736" w:name="bookmark736"/>
      <w:r>
        <w:rPr>
          <w:color w:val="000000"/>
          <w:spacing w:val="0"/>
          <w:w w:val="100"/>
          <w:position w:val="0"/>
        </w:rPr>
        <w:t>（</w:t>
      </w:r>
      <w:bookmarkEnd w:id="736"/>
      <w:r>
        <w:rPr>
          <w:color w:val="000000"/>
          <w:spacing w:val="0"/>
          <w:w w:val="100"/>
          <w:position w:val="0"/>
        </w:rPr>
        <w:t>D）</w:t>
        <w:tab/>
      </w:r>
      <w:r>
        <w:rPr>
          <w:color w:val="000000"/>
          <w:spacing w:val="0"/>
          <w:w w:val="100"/>
          <w:position w:val="0"/>
        </w:rPr>
        <w:t>一项交易单独考虑时是不经济的，但是和其他交易一并考虑时是经济的。</w:t>
      </w:r>
    </w:p>
    <w:p>
      <w:pPr>
        <w:pStyle w:val="Style30"/>
        <w:keepNext w:val="0"/>
        <w:keepLines w:val="0"/>
        <w:widowControl w:val="0"/>
        <w:numPr>
          <w:ilvl w:val="0"/>
          <w:numId w:val="15"/>
        </w:numPr>
        <w:shd w:val="clear" w:color="auto" w:fill="auto"/>
        <w:tabs>
          <w:tab w:pos="853" w:val="left"/>
        </w:tabs>
        <w:bidi w:val="0"/>
        <w:spacing w:before="0" w:after="120" w:line="312" w:lineRule="exact"/>
        <w:ind w:left="0" w:right="0" w:firstLine="500"/>
        <w:jc w:val="both"/>
      </w:pPr>
      <w:bookmarkStart w:id="737" w:name="bookmark737"/>
      <w:bookmarkEnd w:id="737"/>
      <w:r>
        <w:rPr>
          <w:color w:val="000000"/>
          <w:spacing w:val="0"/>
          <w:w w:val="100"/>
          <w:position w:val="0"/>
        </w:rPr>
        <w:t>购买子公司少数股权</w:t>
      </w:r>
    </w:p>
    <w:p>
      <w:pPr>
        <w:pStyle w:val="Style30"/>
        <w:keepNext w:val="0"/>
        <w:keepLines w:val="0"/>
        <w:widowControl w:val="0"/>
        <w:shd w:val="clear" w:color="auto" w:fill="auto"/>
        <w:bidi w:val="0"/>
        <w:spacing w:before="0" w:after="120" w:line="295" w:lineRule="exact"/>
        <w:ind w:left="0" w:right="0" w:firstLine="500"/>
        <w:jc w:val="both"/>
      </w:pPr>
      <w:r>
        <w:rPr>
          <w:color w:val="000000"/>
          <w:spacing w:val="0"/>
          <w:w w:val="100"/>
          <w:position w:val="0"/>
        </w:rPr>
        <w:t>公司因购买少数股权新取得的长期股权投资与按照新增持股比例计算应享有子公司自购买日（或合并日）开始持续计 算的可辨认净资产份额之间的差额，调整合并资产负债表中的资本公积中的资本溢价或股本溢价，资本公积中的资本溢价或 股本溢价不足冲减的，调整留存收益。</w:t>
      </w:r>
    </w:p>
    <w:p>
      <w:pPr>
        <w:pStyle w:val="Style30"/>
        <w:keepNext w:val="0"/>
        <w:keepLines w:val="0"/>
        <w:widowControl w:val="0"/>
        <w:numPr>
          <w:ilvl w:val="0"/>
          <w:numId w:val="15"/>
        </w:numPr>
        <w:shd w:val="clear" w:color="auto" w:fill="auto"/>
        <w:tabs>
          <w:tab w:pos="853" w:val="left"/>
        </w:tabs>
        <w:bidi w:val="0"/>
        <w:spacing w:before="0" w:after="120" w:line="312" w:lineRule="exact"/>
        <w:ind w:left="0" w:right="0" w:firstLine="500"/>
        <w:jc w:val="both"/>
      </w:pPr>
      <w:bookmarkStart w:id="738" w:name="bookmark738"/>
      <w:bookmarkEnd w:id="738"/>
      <w:r>
        <w:rPr>
          <w:color w:val="000000"/>
          <w:spacing w:val="0"/>
          <w:w w:val="100"/>
          <w:position w:val="0"/>
        </w:rPr>
        <w:t>不丧失控制权的情况下部分处置对子公司的股权投资</w:t>
      </w:r>
    </w:p>
    <w:p>
      <w:pPr>
        <w:pStyle w:val="Style30"/>
        <w:keepNext w:val="0"/>
        <w:keepLines w:val="0"/>
        <w:widowControl w:val="0"/>
        <w:shd w:val="clear" w:color="auto" w:fill="auto"/>
        <w:bidi w:val="0"/>
        <w:spacing w:before="0" w:after="620" w:line="317" w:lineRule="exact"/>
        <w:ind w:left="0" w:right="0" w:firstLine="500"/>
        <w:jc w:val="both"/>
      </w:pPr>
      <w:r>
        <w:rPr>
          <w:color w:val="000000"/>
          <w:spacing w:val="0"/>
          <w:w w:val="100"/>
          <w:position w:val="0"/>
        </w:rPr>
        <w:t>在不丧失控制权的情况下因部分处置对子公司的长期股权投资而取得的处置价款与处置长期股权投资相对应享有子 公司自购买日或合并日开始持续计算的净资产份额之间的差额，调整合并资产负债表中的资本公积中的资本溢价或股本溢 价，资本公积中的资本溢价或股本溢价不足冲减的，调整留存收益。</w:t>
      </w:r>
    </w:p>
    <w:p>
      <w:pPr>
        <w:pStyle w:val="Style35"/>
        <w:keepNext/>
        <w:keepLines/>
        <w:widowControl w:val="0"/>
        <w:shd w:val="clear" w:color="auto" w:fill="auto"/>
        <w:bidi w:val="0"/>
        <w:spacing w:before="0" w:after="280" w:line="312" w:lineRule="exact"/>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7</w:t>
      </w:r>
      <w:bookmarkEnd w:id="741"/>
      <w:r>
        <w:rPr>
          <w:color w:val="000000"/>
          <w:spacing w:val="0"/>
          <w:w w:val="100"/>
          <w:position w:val="0"/>
        </w:rPr>
        <w:t>、合营安排分类及共同经营会计处理方法</w:t>
      </w:r>
      <w:bookmarkEnd w:id="739"/>
      <w:bookmarkEnd w:id="740"/>
      <w:bookmarkEnd w:id="742"/>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合营安排是指一项由两个或两个以上的参与方共同控制的安排。合营安排分为共同经营和合营企业。</w:t>
      </w:r>
    </w:p>
    <w:p>
      <w:pPr>
        <w:pStyle w:val="Style30"/>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（1）</w:t>
      </w:r>
      <w:r>
        <w:rPr>
          <w:color w:val="000000"/>
          <w:spacing w:val="0"/>
          <w:w w:val="100"/>
          <w:position w:val="0"/>
        </w:rPr>
        <w:t>共同经营是指公司享有该安排相关资产且承担该安排相关负债的合营安排。公司确认与共同经营中利益份额相 关的下列项目：</w:t>
      </w:r>
    </w:p>
    <w:p>
      <w:pPr>
        <w:pStyle w:val="Style30"/>
        <w:keepNext w:val="0"/>
        <w:keepLines w:val="0"/>
        <w:widowControl w:val="0"/>
        <w:numPr>
          <w:ilvl w:val="0"/>
          <w:numId w:val="21"/>
        </w:numPr>
        <w:shd w:val="clear" w:color="auto" w:fill="auto"/>
        <w:tabs>
          <w:tab w:pos="873" w:val="left"/>
        </w:tabs>
        <w:bidi w:val="0"/>
        <w:spacing w:before="0" w:after="100" w:line="316" w:lineRule="exact"/>
        <w:ind w:left="0" w:right="0" w:firstLine="500"/>
        <w:jc w:val="left"/>
      </w:pPr>
      <w:bookmarkStart w:id="743" w:name="bookmark743"/>
      <w:bookmarkEnd w:id="743"/>
      <w:r>
        <w:rPr>
          <w:color w:val="000000"/>
          <w:spacing w:val="0"/>
          <w:w w:val="100"/>
          <w:position w:val="0"/>
        </w:rPr>
        <w:t>确认单独所持有的资产，以及按其份额确认共同持有的资产；</w:t>
      </w:r>
    </w:p>
    <w:p>
      <w:pPr>
        <w:pStyle w:val="Style30"/>
        <w:keepNext w:val="0"/>
        <w:keepLines w:val="0"/>
        <w:widowControl w:val="0"/>
        <w:numPr>
          <w:ilvl w:val="0"/>
          <w:numId w:val="21"/>
        </w:numPr>
        <w:shd w:val="clear" w:color="auto" w:fill="auto"/>
        <w:tabs>
          <w:tab w:pos="873" w:val="left"/>
        </w:tabs>
        <w:bidi w:val="0"/>
        <w:spacing w:before="0" w:after="100" w:line="316" w:lineRule="exact"/>
        <w:ind w:left="0" w:right="0" w:firstLine="500"/>
        <w:jc w:val="left"/>
      </w:pPr>
      <w:bookmarkStart w:id="744" w:name="bookmark744"/>
      <w:bookmarkEnd w:id="744"/>
      <w:r>
        <w:rPr>
          <w:color w:val="000000"/>
          <w:spacing w:val="0"/>
          <w:w w:val="100"/>
          <w:position w:val="0"/>
        </w:rPr>
        <w:t>确认单独所承担的负债，以及按其份额确认共同承担的负债；</w:t>
      </w:r>
    </w:p>
    <w:p>
      <w:pPr>
        <w:pStyle w:val="Style30"/>
        <w:keepNext w:val="0"/>
        <w:keepLines w:val="0"/>
        <w:widowControl w:val="0"/>
        <w:numPr>
          <w:ilvl w:val="0"/>
          <w:numId w:val="21"/>
        </w:numPr>
        <w:shd w:val="clear" w:color="auto" w:fill="auto"/>
        <w:tabs>
          <w:tab w:pos="873" w:val="left"/>
        </w:tabs>
        <w:bidi w:val="0"/>
        <w:spacing w:before="0" w:after="100" w:line="316" w:lineRule="exact"/>
        <w:ind w:left="0" w:right="0" w:firstLine="500"/>
        <w:jc w:val="left"/>
      </w:pPr>
      <w:bookmarkStart w:id="745" w:name="bookmark745"/>
      <w:bookmarkEnd w:id="745"/>
      <w:r>
        <w:rPr>
          <w:color w:val="000000"/>
          <w:spacing w:val="0"/>
          <w:w w:val="100"/>
          <w:position w:val="0"/>
        </w:rPr>
        <w:t>确认出售其享有的共同经营产出份额所产生的收入；</w:t>
      </w:r>
    </w:p>
    <w:p>
      <w:pPr>
        <w:pStyle w:val="Style30"/>
        <w:keepNext w:val="0"/>
        <w:keepLines w:val="0"/>
        <w:widowControl w:val="0"/>
        <w:numPr>
          <w:ilvl w:val="0"/>
          <w:numId w:val="21"/>
        </w:numPr>
        <w:shd w:val="clear" w:color="auto" w:fill="auto"/>
        <w:tabs>
          <w:tab w:pos="873" w:val="left"/>
        </w:tabs>
        <w:bidi w:val="0"/>
        <w:spacing w:before="0" w:after="100" w:line="316" w:lineRule="exact"/>
        <w:ind w:left="0" w:right="0" w:firstLine="500"/>
        <w:jc w:val="left"/>
      </w:pPr>
      <w:bookmarkStart w:id="746" w:name="bookmark746"/>
      <w:bookmarkEnd w:id="746"/>
      <w:r>
        <w:rPr>
          <w:color w:val="000000"/>
          <w:spacing w:val="0"/>
          <w:w w:val="100"/>
          <w:position w:val="0"/>
        </w:rPr>
        <w:t>按其份额确认共同经营因出售产出所产生的收入；</w:t>
      </w:r>
    </w:p>
    <w:p>
      <w:pPr>
        <w:pStyle w:val="Style30"/>
        <w:keepNext w:val="0"/>
        <w:keepLines w:val="0"/>
        <w:widowControl w:val="0"/>
        <w:numPr>
          <w:ilvl w:val="0"/>
          <w:numId w:val="21"/>
        </w:numPr>
        <w:shd w:val="clear" w:color="auto" w:fill="auto"/>
        <w:tabs>
          <w:tab w:pos="873" w:val="left"/>
        </w:tabs>
        <w:bidi w:val="0"/>
        <w:spacing w:before="0" w:after="100" w:line="316" w:lineRule="exact"/>
        <w:ind w:left="0" w:right="0" w:firstLine="500"/>
        <w:jc w:val="left"/>
      </w:pPr>
      <w:bookmarkStart w:id="747" w:name="bookmark747"/>
      <w:bookmarkEnd w:id="747"/>
      <w:r>
        <w:rPr>
          <w:color w:val="000000"/>
          <w:spacing w:val="0"/>
          <w:w w:val="100"/>
          <w:position w:val="0"/>
        </w:rPr>
        <w:t>确认单独所发生的费用，以及按其份额确认共同经营发生的费用。</w:t>
      </w:r>
    </w:p>
    <w:p>
      <w:pPr>
        <w:pStyle w:val="Style30"/>
        <w:keepNext w:val="0"/>
        <w:keepLines w:val="0"/>
        <w:widowControl w:val="0"/>
        <w:shd w:val="clear" w:color="auto" w:fill="auto"/>
        <w:bidi w:val="0"/>
        <w:spacing w:before="0" w:after="680" w:line="322" w:lineRule="exact"/>
        <w:ind w:left="0" w:right="0" w:firstLine="500"/>
        <w:jc w:val="left"/>
      </w:pPr>
      <w:r>
        <w:rPr>
          <w:color w:val="000000"/>
          <w:spacing w:val="0"/>
          <w:w w:val="100"/>
          <w:position w:val="0"/>
        </w:rPr>
        <w:t>（2）</w:t>
      </w:r>
      <w:r>
        <w:rPr>
          <w:color w:val="000000"/>
          <w:spacing w:val="0"/>
          <w:w w:val="100"/>
          <w:position w:val="0"/>
        </w:rPr>
        <w:t>合营企业是指公司仅对该安排的净资产享有权利的合营安排。公司按照长期股权投资有关权益法核算的规定对 合营企业的投资进行会计处理。</w:t>
      </w:r>
    </w:p>
    <w:p>
      <w:pPr>
        <w:pStyle w:val="Style35"/>
        <w:keepNext/>
        <w:keepLines/>
        <w:widowControl w:val="0"/>
        <w:shd w:val="clear" w:color="auto" w:fill="auto"/>
        <w:bidi w:val="0"/>
        <w:spacing w:before="0" w:after="200" w:line="329"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8</w:t>
      </w:r>
      <w:bookmarkEnd w:id="750"/>
      <w:r>
        <w:rPr>
          <w:color w:val="000000"/>
          <w:spacing w:val="0"/>
          <w:w w:val="100"/>
          <w:position w:val="0"/>
        </w:rPr>
        <w:t>、现金及现金等价物的确定标准</w:t>
      </w:r>
      <w:bookmarkEnd w:id="748"/>
      <w:bookmarkEnd w:id="749"/>
      <w:bookmarkEnd w:id="751"/>
    </w:p>
    <w:p>
      <w:pPr>
        <w:pStyle w:val="Style30"/>
        <w:keepNext w:val="0"/>
        <w:keepLines w:val="0"/>
        <w:widowControl w:val="0"/>
        <w:shd w:val="clear" w:color="auto" w:fill="auto"/>
        <w:bidi w:val="0"/>
        <w:spacing w:before="0" w:after="740" w:line="310" w:lineRule="exact"/>
        <w:ind w:left="0" w:right="0" w:firstLine="500"/>
        <w:jc w:val="both"/>
      </w:pPr>
      <w:r>
        <w:rPr>
          <w:color w:val="000000"/>
          <w:spacing w:val="0"/>
          <w:w w:val="100"/>
          <w:position w:val="0"/>
        </w:rPr>
        <w:t>公司在编制现金流量表时，将公司库存现金以及可以随时用于支付的存款确认为现金。将同时具备期限短（一般指从 购买日起三个月内到期）、流动性强、易于转换为已知现金、价值变动风险很小的投资，确定为现金等价物。受到限制的银 行存款，不作为现金流量表中的现金及现金等价物。</w:t>
      </w:r>
    </w:p>
    <w:p>
      <w:pPr>
        <w:pStyle w:val="Style35"/>
        <w:keepNext/>
        <w:keepLines/>
        <w:widowControl w:val="0"/>
        <w:shd w:val="clear" w:color="auto" w:fill="auto"/>
        <w:tabs>
          <w:tab w:pos="363" w:val="left"/>
        </w:tabs>
        <w:bidi w:val="0"/>
        <w:spacing w:before="0" w:after="280" w:line="312" w:lineRule="exact"/>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9</w:t>
      </w:r>
      <w:bookmarkEnd w:id="754"/>
      <w:r>
        <w:rPr>
          <w:color w:val="000000"/>
          <w:spacing w:val="0"/>
          <w:w w:val="100"/>
          <w:position w:val="0"/>
        </w:rPr>
        <w:t>、</w:t>
        <w:tab/>
        <w:t>外币业务和外币报表折算</w:t>
      </w:r>
      <w:bookmarkEnd w:id="752"/>
      <w:bookmarkEnd w:id="753"/>
      <w:bookmarkEnd w:id="755"/>
    </w:p>
    <w:p>
      <w:pPr>
        <w:pStyle w:val="Style30"/>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公司日常核算外币业务按交易发生日的即期汇率将外币金额折算为记账本位币金额入账，每月末对资产负债表之货币 资金、债权债务等货币性项目的外币余额按当日国家外汇市场汇率中间价进行调整，其差额作为“财务费用一汇兑损益”计 入当期损益；属于与购建固定资产有关的借款产生的汇兑损益，按照借款费用资本化的原则进行处理。</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资产负债表中的所有资产、负债类项目均按照资产负债表日国家外汇市场汇率中间价折算为人民币金额；所有者权益 类项目除“未分配利润”项目外，均按发生时的国家外汇市场汇率中间价折算为人民币金额；“未分配利润”项目以折算后 的利润分配表中该项目的人民币金额列示。折算后资产类项目与负债类项目和所有者权益项目合计数的差额，在所有者权益 项目下“其他综合收益”项目列示。</w:t>
      </w:r>
    </w:p>
    <w:p>
      <w:pPr>
        <w:pStyle w:val="Style30"/>
        <w:keepNext w:val="0"/>
        <w:keepLines w:val="0"/>
        <w:widowControl w:val="0"/>
        <w:shd w:val="clear" w:color="auto" w:fill="auto"/>
        <w:bidi w:val="0"/>
        <w:spacing w:before="0" w:after="800" w:line="312" w:lineRule="exact"/>
        <w:ind w:left="0" w:right="0" w:firstLine="500"/>
        <w:jc w:val="both"/>
      </w:pPr>
      <w:r>
        <w:rPr>
          <w:color w:val="000000"/>
          <w:spacing w:val="0"/>
          <w:w w:val="100"/>
          <w:position w:val="0"/>
        </w:rPr>
        <w:t>利润表中所有项目和所有者权益变动表中有关反映发生数的项目采用平均汇率折算为人民币金额；所有者权益变动表 中“年初未分配利润”项目以上一年折算后的期末“未分配利润”项目的金额列示；“未分配利润”项目按折算后的所有者 权益变动表中的其他各项目的金额计算列示。</w:t>
      </w:r>
    </w:p>
    <w:p>
      <w:pPr>
        <w:pStyle w:val="Style35"/>
        <w:keepNext/>
        <w:keepLines/>
        <w:widowControl w:val="0"/>
        <w:shd w:val="clear" w:color="auto" w:fill="auto"/>
        <w:tabs>
          <w:tab w:pos="450" w:val="left"/>
        </w:tabs>
        <w:bidi w:val="0"/>
        <w:spacing w:before="0" w:after="200" w:line="326"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56"/>
      <w:bookmarkEnd w:id="757"/>
      <w:bookmarkEnd w:id="759"/>
    </w:p>
    <w:p>
      <w:pPr>
        <w:pStyle w:val="Style30"/>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金融工具，是指形成一方的金融资产并形成其他方的金融负债或权益工具的合同。</w:t>
      </w:r>
    </w:p>
    <w:p>
      <w:pPr>
        <w:pStyle w:val="Style30"/>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（1）</w:t>
      </w:r>
      <w:r>
        <w:rPr>
          <w:color w:val="000000"/>
          <w:spacing w:val="0"/>
          <w:w w:val="100"/>
          <w:position w:val="0"/>
        </w:rPr>
        <w:t>金融工具的确认和终止确认</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当公司成为金融工具合同的一方时，确认相关的金融资产或金融负债。</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金融资产满足下列条件之一的，终止确认：</w:t>
      </w:r>
    </w:p>
    <w:p>
      <w:pPr>
        <w:pStyle w:val="Style30"/>
        <w:keepNext w:val="0"/>
        <w:keepLines w:val="0"/>
        <w:widowControl w:val="0"/>
        <w:numPr>
          <w:ilvl w:val="0"/>
          <w:numId w:val="23"/>
        </w:numPr>
        <w:shd w:val="clear" w:color="auto" w:fill="auto"/>
        <w:tabs>
          <w:tab w:pos="873" w:val="left"/>
        </w:tabs>
        <w:bidi w:val="0"/>
        <w:spacing w:before="0" w:after="100" w:line="312" w:lineRule="exact"/>
        <w:ind w:left="0" w:right="0" w:firstLine="500"/>
        <w:jc w:val="both"/>
      </w:pPr>
      <w:bookmarkStart w:id="760" w:name="bookmark760"/>
      <w:bookmarkEnd w:id="760"/>
      <w:r>
        <w:rPr>
          <w:color w:val="000000"/>
          <w:spacing w:val="0"/>
          <w:w w:val="100"/>
          <w:position w:val="0"/>
        </w:rPr>
        <w:t>收取该金融资产现金流量的合同权利终止；</w:t>
      </w:r>
    </w:p>
    <w:p>
      <w:pPr>
        <w:pStyle w:val="Style30"/>
        <w:keepNext w:val="0"/>
        <w:keepLines w:val="0"/>
        <w:widowControl w:val="0"/>
        <w:numPr>
          <w:ilvl w:val="0"/>
          <w:numId w:val="23"/>
        </w:numPr>
        <w:shd w:val="clear" w:color="auto" w:fill="auto"/>
        <w:tabs>
          <w:tab w:pos="873" w:val="left"/>
        </w:tabs>
        <w:bidi w:val="0"/>
        <w:spacing w:before="0" w:after="100" w:line="312" w:lineRule="exact"/>
        <w:ind w:left="0" w:right="0" w:firstLine="500"/>
        <w:jc w:val="both"/>
      </w:pPr>
      <w:bookmarkStart w:id="761" w:name="bookmark761"/>
      <w:bookmarkEnd w:id="761"/>
      <w:r>
        <w:rPr>
          <w:color w:val="000000"/>
          <w:spacing w:val="0"/>
          <w:w w:val="100"/>
          <w:position w:val="0"/>
        </w:rPr>
        <w:t>该金融资产已转移，且符合下述金融资产转移的终止确认条件。</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金融负债（或其一部分）的现时义务已经解除的，终止确认该金融负债（或该部分金融负债）。公司（借入方）与借 </w:t>
      </w:r>
      <w:r>
        <w:rPr>
          <w:color w:val="000000"/>
          <w:spacing w:val="0"/>
          <w:w w:val="100"/>
          <w:position w:val="0"/>
        </w:rPr>
        <w:t>出方之间签订协议，以承担新金融负债方式替换原金融负债，且新金融负债与原金融负债的合同条款实质上不同的，终止确 认原金融负债，并同时确认新金融负债。公司对原金融负债（或其一部分）的合同条款作出实质性修改的，应当终止原金融 负债，同时按照修改后的条款确认一项新的金融负债。</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以常规方式买卖金融资产，按交易日进行会计确认和终止确认。常规方式买卖金融资产，是指按照合同条款规定，在 法规或市场惯例所确定的时间安排来交付金融资产。交易日，是指公司承诺买入或卖出金融资产的日期。</w:t>
      </w:r>
    </w:p>
    <w:p>
      <w:pPr>
        <w:pStyle w:val="Style30"/>
        <w:keepNext w:val="0"/>
        <w:keepLines w:val="0"/>
        <w:widowControl w:val="0"/>
        <w:shd w:val="clear" w:color="auto" w:fill="auto"/>
        <w:tabs>
          <w:tab w:pos="896" w:val="left"/>
        </w:tabs>
        <w:bidi w:val="0"/>
        <w:spacing w:before="0" w:after="100" w:line="312" w:lineRule="exact"/>
        <w:ind w:left="0" w:right="0" w:firstLine="500"/>
        <w:jc w:val="both"/>
      </w:pPr>
      <w:bookmarkStart w:id="762" w:name="bookmark762"/>
      <w:r>
        <w:rPr>
          <w:color w:val="000000"/>
          <w:spacing w:val="0"/>
          <w:w w:val="100"/>
          <w:position w:val="0"/>
        </w:rPr>
        <w:t>（</w:t>
      </w:r>
      <w:bookmarkEnd w:id="762"/>
      <w:r>
        <w:rPr>
          <w:color w:val="000000"/>
          <w:spacing w:val="0"/>
          <w:w w:val="100"/>
          <w:position w:val="0"/>
        </w:rPr>
        <w:t>2）</w:t>
        <w:tab/>
      </w:r>
      <w:r>
        <w:rPr>
          <w:color w:val="000000"/>
          <w:spacing w:val="0"/>
          <w:w w:val="100"/>
          <w:position w:val="0"/>
        </w:rPr>
        <w:t>金融资产的分类与计量</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公司在初始确认时根据管理金融资产的业务模式和金融资产的合同现金流量特征，将金融资产分类为：以摊余成本计 量的金融资产、以公允价值计量且其变动计入当期损益的金融资产、以公允价值计量且其变动计入其他综合收益的金融资产。 除非公司改变管理金融资产的业务模式，在此情形下，所有受影响的相关金融资产在业务模式发生变更后的首个报告期间的 第一天进行重分类，否则金融资产在初始确认后不得进行重分类。</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金融资产在初始确认时以公允价值计量。对于以公允价值计量且其变动计入当期损益的金融资产，相关交易费用直接 计入当期损益，其他类别的金融资产相关交易费用计入其初始确认金额。因销售商品或提供劳务而产生的、未包含或不考虑 重大融资成分的应收票据及应收账款，公司则按照收入准则定义的交易价格进行初始计量。</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金融资产的后续计量取决于其分类：</w:t>
      </w:r>
    </w:p>
    <w:p>
      <w:pPr>
        <w:pStyle w:val="Style30"/>
        <w:keepNext w:val="0"/>
        <w:keepLines w:val="0"/>
        <w:widowControl w:val="0"/>
        <w:numPr>
          <w:ilvl w:val="0"/>
          <w:numId w:val="25"/>
        </w:numPr>
        <w:shd w:val="clear" w:color="auto" w:fill="auto"/>
        <w:tabs>
          <w:tab w:pos="829" w:val="left"/>
        </w:tabs>
        <w:bidi w:val="0"/>
        <w:spacing w:before="0" w:after="100" w:line="312" w:lineRule="exact"/>
        <w:ind w:left="0" w:right="0" w:firstLine="500"/>
        <w:jc w:val="both"/>
      </w:pPr>
      <w:bookmarkStart w:id="763" w:name="bookmark763"/>
      <w:bookmarkEnd w:id="763"/>
      <w:r>
        <w:rPr>
          <w:color w:val="000000"/>
          <w:spacing w:val="0"/>
          <w:w w:val="100"/>
          <w:position w:val="0"/>
        </w:rPr>
        <w:t>以摊余成本计量的金融资产</w:t>
      </w:r>
    </w:p>
    <w:p>
      <w:pPr>
        <w:pStyle w:val="Style30"/>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金融资产同时符合下列条件的，分类为以摊余成本计量的金融资产：公司管理该金融资产的业务模式是以收取合同现 金流量为目标；该金融资产的合同条款规定，在特定日期产生的现金流量，仅为对本金和以未偿付本金金额为基础的利息的 支付。对于此类金融资产，采用实际利率法，按照摊余成本进行后续计量，其终止确认、按实际利率法摊销或减值产生的利 得或损失，均计入当期损益。</w:t>
      </w:r>
    </w:p>
    <w:p>
      <w:pPr>
        <w:pStyle w:val="Style30"/>
        <w:keepNext w:val="0"/>
        <w:keepLines w:val="0"/>
        <w:widowControl w:val="0"/>
        <w:numPr>
          <w:ilvl w:val="0"/>
          <w:numId w:val="25"/>
        </w:numPr>
        <w:shd w:val="clear" w:color="auto" w:fill="auto"/>
        <w:tabs>
          <w:tab w:pos="829" w:val="left"/>
        </w:tabs>
        <w:bidi w:val="0"/>
        <w:spacing w:before="0" w:after="100" w:line="312" w:lineRule="exact"/>
        <w:ind w:left="0" w:right="0" w:firstLine="500"/>
        <w:jc w:val="both"/>
      </w:pPr>
      <w:bookmarkStart w:id="764" w:name="bookmark764"/>
      <w:bookmarkEnd w:id="764"/>
      <w:r>
        <w:rPr>
          <w:color w:val="000000"/>
          <w:spacing w:val="0"/>
          <w:w w:val="100"/>
          <w:position w:val="0"/>
        </w:rPr>
        <w:t>以公允价值计量且其变动计入其他综合收益的金融资产</w:t>
      </w:r>
    </w:p>
    <w:p>
      <w:pPr>
        <w:pStyle w:val="Style30"/>
        <w:keepNext w:val="0"/>
        <w:keepLines w:val="0"/>
        <w:widowControl w:val="0"/>
        <w:shd w:val="clear" w:color="auto" w:fill="auto"/>
        <w:bidi w:val="0"/>
        <w:spacing w:before="0" w:after="100" w:line="316" w:lineRule="exact"/>
        <w:ind w:left="0" w:right="0" w:firstLine="500"/>
        <w:jc w:val="both"/>
      </w:pPr>
      <w:r>
        <w:rPr>
          <w:color w:val="000000"/>
          <w:spacing w:val="0"/>
          <w:w w:val="100"/>
          <w:position w:val="0"/>
        </w:rPr>
        <w:t>金融资产同时符合下列条件的，分类为以公允价值计量且其变动计入其他综合收益的金融资产：公司管理该金融资产 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30"/>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30"/>
        <w:keepNext w:val="0"/>
        <w:keepLines w:val="0"/>
        <w:widowControl w:val="0"/>
        <w:numPr>
          <w:ilvl w:val="0"/>
          <w:numId w:val="25"/>
        </w:numPr>
        <w:shd w:val="clear" w:color="auto" w:fill="auto"/>
        <w:tabs>
          <w:tab w:pos="829" w:val="left"/>
        </w:tabs>
        <w:bidi w:val="0"/>
        <w:spacing w:before="0" w:after="100" w:line="312" w:lineRule="exact"/>
        <w:ind w:left="0" w:right="0" w:firstLine="500"/>
        <w:jc w:val="both"/>
      </w:pPr>
      <w:bookmarkStart w:id="765" w:name="bookmark765"/>
      <w:bookmarkEnd w:id="765"/>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公允价值计量且其变动计入当期损益的金融资产。对于此类金融资产，采用公允价值进行后续计量，所有公允价值变动计入 当期损益。</w:t>
      </w:r>
    </w:p>
    <w:p>
      <w:pPr>
        <w:pStyle w:val="Style30"/>
        <w:keepNext w:val="0"/>
        <w:keepLines w:val="0"/>
        <w:widowControl w:val="0"/>
        <w:shd w:val="clear" w:color="auto" w:fill="auto"/>
        <w:tabs>
          <w:tab w:pos="896" w:val="left"/>
        </w:tabs>
        <w:bidi w:val="0"/>
        <w:spacing w:before="0" w:after="100" w:line="312" w:lineRule="exact"/>
        <w:ind w:left="0" w:right="0" w:firstLine="500"/>
        <w:jc w:val="both"/>
      </w:pPr>
      <w:bookmarkStart w:id="766" w:name="bookmark766"/>
      <w:r>
        <w:rPr>
          <w:color w:val="000000"/>
          <w:spacing w:val="0"/>
          <w:w w:val="100"/>
          <w:position w:val="0"/>
        </w:rPr>
        <w:t>（</w:t>
      </w:r>
      <w:bookmarkEnd w:id="766"/>
      <w:r>
        <w:rPr>
          <w:color w:val="000000"/>
          <w:spacing w:val="0"/>
          <w:w w:val="100"/>
          <w:position w:val="0"/>
        </w:rPr>
        <w:t>3）</w:t>
        <w:tab/>
      </w:r>
      <w:r>
        <w:rPr>
          <w:color w:val="000000"/>
          <w:spacing w:val="0"/>
          <w:w w:val="100"/>
          <w:position w:val="0"/>
        </w:rPr>
        <w:t>金融负债的分类与计量</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公司将金融负债分类为以公允价值计量且其变动计入当期损益的金融负债、低于市场利率贷款的贷款承诺及财务担保 合同负债及以摊余成本计量的金融负债。</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金融负债的后续计量取决于其分类：</w:t>
      </w:r>
    </w:p>
    <w:p>
      <w:pPr>
        <w:pStyle w:val="Style30"/>
        <w:keepNext w:val="0"/>
        <w:keepLines w:val="0"/>
        <w:widowControl w:val="0"/>
        <w:numPr>
          <w:ilvl w:val="0"/>
          <w:numId w:val="27"/>
        </w:numPr>
        <w:shd w:val="clear" w:color="auto" w:fill="auto"/>
        <w:bidi w:val="0"/>
        <w:spacing w:before="0" w:after="100" w:line="312" w:lineRule="exact"/>
        <w:ind w:left="0" w:right="0" w:firstLine="500"/>
        <w:jc w:val="both"/>
      </w:pPr>
      <w:bookmarkStart w:id="767" w:name="bookmark767"/>
      <w:bookmarkEnd w:id="767"/>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该类金融负债包括交易性金融负债（含属于金融负债的衍生工具）和指定为以公允价值计量且其变动计入当期损益的 </w:t>
      </w:r>
      <w:r>
        <w:rPr>
          <w:color w:val="000000"/>
          <w:spacing w:val="0"/>
          <w:w w:val="100"/>
          <w:position w:val="0"/>
        </w:rPr>
        <w:t>金融负债。初始确认后，对于该类金融负债以公允价值进行后续计量，除与套期会计有关外，产生的利得或损失（包括利息 费用）计入当期损益。但公司对指定为以公允价值计量且其变动计入当期损益的金融负债，由其自身信用风险变动引起的该 金融负债公允价值的变动金额计入其他综合收益，当该金融负债终止确认时，之前计入其他综合收益的累计利得和损失应当 从其他综合收益中转出，计入留存收益。</w:t>
      </w:r>
    </w:p>
    <w:p>
      <w:pPr>
        <w:pStyle w:val="Style30"/>
        <w:keepNext w:val="0"/>
        <w:keepLines w:val="0"/>
        <w:widowControl w:val="0"/>
        <w:numPr>
          <w:ilvl w:val="0"/>
          <w:numId w:val="27"/>
        </w:numPr>
        <w:shd w:val="clear" w:color="auto" w:fill="auto"/>
        <w:tabs>
          <w:tab w:pos="821" w:val="left"/>
        </w:tabs>
        <w:bidi w:val="0"/>
        <w:spacing w:before="0" w:after="100" w:line="312" w:lineRule="exact"/>
        <w:ind w:left="0" w:right="0" w:firstLine="500"/>
        <w:jc w:val="both"/>
      </w:pPr>
      <w:bookmarkStart w:id="768" w:name="bookmark768"/>
      <w:bookmarkEnd w:id="768"/>
      <w:r>
        <w:rPr>
          <w:color w:val="000000"/>
          <w:spacing w:val="0"/>
          <w:w w:val="100"/>
          <w:position w:val="0"/>
        </w:rPr>
        <w:t>贷款承诺及财务担保合同负债</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贷款承诺是公司向客户提供的一项在承诺期间内以既定的合同条款向客户发放贷款的承诺。贷款承诺按照预期信用损 失模型计提减值损失。</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财务担保合同指，当特定债务人到期不能按照最初或修改后的债务工具条款偿付债务时，要求公司向蒙受损失的合同 持有人赔付特定金额的合同。财务担保合同负债以按照依据金融工具的减值原则所确定的损失准备金额以及初始确认金额扣 除按收入确认原则确定的累计摊销额后的余额孰高进行后续计量。</w:t>
      </w:r>
    </w:p>
    <w:p>
      <w:pPr>
        <w:pStyle w:val="Style30"/>
        <w:keepNext w:val="0"/>
        <w:keepLines w:val="0"/>
        <w:widowControl w:val="0"/>
        <w:numPr>
          <w:ilvl w:val="0"/>
          <w:numId w:val="27"/>
        </w:numPr>
        <w:shd w:val="clear" w:color="auto" w:fill="auto"/>
        <w:tabs>
          <w:tab w:pos="821" w:val="left"/>
        </w:tabs>
        <w:bidi w:val="0"/>
        <w:spacing w:before="0" w:after="100" w:line="312" w:lineRule="exact"/>
        <w:ind w:left="0" w:right="0" w:firstLine="500"/>
        <w:jc w:val="both"/>
      </w:pPr>
      <w:bookmarkStart w:id="769" w:name="bookmark769"/>
      <w:bookmarkEnd w:id="769"/>
      <w:r>
        <w:rPr>
          <w:color w:val="000000"/>
          <w:spacing w:val="0"/>
          <w:w w:val="100"/>
          <w:position w:val="0"/>
        </w:rPr>
        <w:t>以摊余成本计量的金融负债</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初始确认后，对其他金融负债采用实际利率法以摊余成本计量。</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除特殊情况外，金融负债与权益工具按照下列原则进行区分：</w:t>
      </w:r>
    </w:p>
    <w:p>
      <w:pPr>
        <w:pStyle w:val="Style30"/>
        <w:keepNext w:val="0"/>
        <w:keepLines w:val="0"/>
        <w:widowControl w:val="0"/>
        <w:numPr>
          <w:ilvl w:val="0"/>
          <w:numId w:val="29"/>
        </w:numPr>
        <w:shd w:val="clear" w:color="auto" w:fill="auto"/>
        <w:tabs>
          <w:tab w:pos="796" w:val="left"/>
        </w:tabs>
        <w:bidi w:val="0"/>
        <w:spacing w:before="0" w:after="100" w:line="317" w:lineRule="exact"/>
        <w:ind w:left="0" w:right="0" w:firstLine="500"/>
        <w:jc w:val="both"/>
      </w:pPr>
      <w:bookmarkStart w:id="770" w:name="bookmark770"/>
      <w:bookmarkEnd w:id="770"/>
      <w:r>
        <w:rPr>
          <w:color w:val="000000"/>
          <w:spacing w:val="0"/>
          <w:w w:val="100"/>
          <w:position w:val="0"/>
        </w:rPr>
        <w:t>如果公司不能无条件地避免以交付现金或其他金融资产来履行一项合同义务，则该合同义务符合金融负债的定义。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30"/>
        <w:keepNext w:val="0"/>
        <w:keepLines w:val="0"/>
        <w:widowControl w:val="0"/>
        <w:numPr>
          <w:ilvl w:val="0"/>
          <w:numId w:val="29"/>
        </w:numPr>
        <w:shd w:val="clear" w:color="auto" w:fill="auto"/>
        <w:tabs>
          <w:tab w:pos="796" w:val="left"/>
        </w:tabs>
        <w:bidi w:val="0"/>
        <w:spacing w:before="0" w:after="100" w:line="312" w:lineRule="exact"/>
        <w:ind w:left="0" w:right="0" w:firstLine="500"/>
        <w:jc w:val="both"/>
      </w:pPr>
      <w:bookmarkStart w:id="771" w:name="bookmark771"/>
      <w:bookmarkEnd w:id="771"/>
      <w:r>
        <w:rPr>
          <w:color w:val="000000"/>
          <w:spacing w:val="0"/>
          <w:w w:val="100"/>
          <w:position w:val="0"/>
        </w:rPr>
        <w:t>如果一项金融工具须用或可用公司自身权益工具进行结算，需要考虑用于结算该工具的公司自身权益工具，是作为 现金或其他金融资产的替代品，还是为了使该工具持有方享有在发行方扣除所有负债后的资产中的剩余权益。如果是前者， 该工具是发行方的金融负债；如果是后者，该工具是发行方的权益工具。在某些情况下，一项金融工具合同规定公司须用或 可用自身权益工具结算该金融工具，其中合同权利或合同义务的金额等于可获取或需交付的自身权益工具的数量乘以其结算 时的公允价值，则无论该合同权利或合同义务的金额是固定的，还是完全或部分地基于除公司自身权益工具的市场价格以外 变量（例如利率、某种商品的价格或某项金融工具的价格）的变动而变动，该合同分类为金融负债。</w:t>
      </w:r>
    </w:p>
    <w:p>
      <w:pPr>
        <w:pStyle w:val="Style30"/>
        <w:keepNext w:val="0"/>
        <w:keepLines w:val="0"/>
        <w:widowControl w:val="0"/>
        <w:shd w:val="clear" w:color="auto" w:fill="auto"/>
        <w:tabs>
          <w:tab w:pos="888" w:val="left"/>
        </w:tabs>
        <w:bidi w:val="0"/>
        <w:spacing w:before="0" w:after="100" w:line="312" w:lineRule="exact"/>
        <w:ind w:left="0" w:right="0" w:firstLine="500"/>
        <w:jc w:val="both"/>
      </w:pPr>
      <w:bookmarkStart w:id="772" w:name="bookmark772"/>
      <w:r>
        <w:rPr>
          <w:color w:val="000000"/>
          <w:spacing w:val="0"/>
          <w:w w:val="100"/>
          <w:position w:val="0"/>
        </w:rPr>
        <w:t>（</w:t>
      </w:r>
      <w:bookmarkEnd w:id="772"/>
      <w:r>
        <w:rPr>
          <w:color w:val="000000"/>
          <w:spacing w:val="0"/>
          <w:w w:val="100"/>
          <w:position w:val="0"/>
        </w:rPr>
        <w:t>4）</w:t>
        <w:tab/>
      </w:r>
      <w:r>
        <w:rPr>
          <w:color w:val="000000"/>
          <w:spacing w:val="0"/>
          <w:w w:val="100"/>
          <w:position w:val="0"/>
        </w:rPr>
        <w:t>衍生金融工具及嵌入衍生工具</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衍生金融工具以衍生交易合同签订当日的公允价值进行初始计量，并以其公允价值进行后续计量。公允价值为正数的 衍生金融工具确认为一项资产，公允价值为负数的确认为一项负债。</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除现金流量套期中属于套期有效的部分计入其他综合收益并于被套期项目影响损益时转出计入当期损益之外，衍生工 具公允价值变动而产生的利得或损失，直接计入当期损益。</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对包含嵌入衍生工具的混合工具，如主合同为金融资产的，混合工具作为一个整体适用金融资产分类的相关规定。如 主合同并非金融资产，且该混合工具不是以公允价值计量且其变动计入当期损益进行会计处理，嵌入衍生工具与该主合同在 经济特征及风险方面不存在紧密关系，且与嵌入衍生工具条件相同、单独存在的工具符合衍生工具定义的，嵌入衍生工具从 混合工具中拆分，作为单独的衍生金融工具处理。如果该嵌入衍生工具在取得日或后续资产负债表日的公允价值无法单独计 量，则将混合工具整体指定为以公允价值计量且其变动计入当期损益的金融资产或金融负债。</w:t>
      </w:r>
    </w:p>
    <w:p>
      <w:pPr>
        <w:pStyle w:val="Style30"/>
        <w:keepNext w:val="0"/>
        <w:keepLines w:val="0"/>
        <w:widowControl w:val="0"/>
        <w:shd w:val="clear" w:color="auto" w:fill="auto"/>
        <w:tabs>
          <w:tab w:pos="888" w:val="left"/>
        </w:tabs>
        <w:bidi w:val="0"/>
        <w:spacing w:before="0" w:after="100" w:line="312" w:lineRule="exact"/>
        <w:ind w:left="0" w:right="0" w:firstLine="500"/>
        <w:jc w:val="both"/>
      </w:pPr>
      <w:bookmarkStart w:id="773" w:name="bookmark773"/>
      <w:r>
        <w:rPr>
          <w:color w:val="000000"/>
          <w:spacing w:val="0"/>
          <w:w w:val="100"/>
          <w:position w:val="0"/>
        </w:rPr>
        <w:t>（</w:t>
      </w:r>
      <w:bookmarkEnd w:id="773"/>
      <w:r>
        <w:rPr>
          <w:color w:val="000000"/>
          <w:spacing w:val="0"/>
          <w:w w:val="100"/>
          <w:position w:val="0"/>
        </w:rPr>
        <w:t>5）</w:t>
        <w:tab/>
      </w:r>
      <w:r>
        <w:rPr>
          <w:color w:val="000000"/>
          <w:spacing w:val="0"/>
          <w:w w:val="100"/>
          <w:position w:val="0"/>
        </w:rPr>
        <w:t>金融工具减值</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公司对于以摊余成本计量的金融资产、以公允价值计量且其变动计入其他综合收益的债权投资、合同资产、租赁应收 款、贷款承诺及财务担保合同等，以预期信用损失为基础确认损失准备。</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①预期信用损失的计量</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 xml:space="preserve">预期信用损失，是指以发生违约的风险为权重的金融工具信用损失的加权平均值。信用损失，是指公司按照原实际利 率折现的、根据合同应收的所有合同现金流量与预期收取的所有现金流量之间的差额，即全部现金短缺的现值。其中，对于 </w:t>
      </w:r>
      <w:r>
        <w:rPr>
          <w:color w:val="000000"/>
          <w:spacing w:val="0"/>
          <w:w w:val="100"/>
          <w:position w:val="0"/>
        </w:rPr>
        <w:t>公司购买或源生的已发生信用减值的金融资产，应按照该金融资产经信用调整的实际利率折现。</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整个存续期预期信用损失，是指因金融工具整个预计存续期内所有可能发生的违约事件而导致的预期信用损失。</w:t>
      </w:r>
    </w:p>
    <w:p>
      <w:pPr>
        <w:pStyle w:val="Style30"/>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个月内（若金融工具的预计存续期少于</w:t>
      </w:r>
      <w:r>
        <w:rPr>
          <w:color w:val="000000"/>
          <w:spacing w:val="0"/>
          <w:w w:val="100"/>
          <w:position w:val="0"/>
        </w:rPr>
        <w:t>12</w:t>
      </w:r>
      <w:r>
        <w:rPr>
          <w:color w:val="000000"/>
          <w:spacing w:val="0"/>
          <w:w w:val="100"/>
          <w:position w:val="0"/>
        </w:rPr>
        <w:t>个月，则为预计存续 期）可能发生的金融工具违约事件而导致的预期信用损失，是整个存续期预期信用损失的一部分。</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于每个资产负债表日，公司对于处于不同阶段的金融工具的预期信用损失分别进行计量。金融工具自初始确认后信用 风险未显著增加的，处于第一阶段，公司按照未来</w:t>
      </w:r>
      <w:r>
        <w:rPr>
          <w:color w:val="000000"/>
          <w:spacing w:val="0"/>
          <w:w w:val="100"/>
          <w:position w:val="0"/>
        </w:rPr>
        <w:t>12</w:t>
      </w:r>
      <w:r>
        <w:rPr>
          <w:color w:val="000000"/>
          <w:spacing w:val="0"/>
          <w:w w:val="100"/>
          <w:position w:val="0"/>
        </w:rPr>
        <w:t>个月内的预期信用损失计量损失准备；金融工具自初始确认后信用风险 已显著增加但尚未发生信用减值的，处于第二阶段，公司按照该工具整个存续期的预期信用损失计量损失准备；金融工具自 初始确认后已经发生信用减值的，处于第三阶段，公司按照该工具整个存续期的预期信用损失计量损失准备。</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对于在资产负债表日具有较低信用风险的金融工具，公司假设其信用风险自初始确认后并未显著增加，按照未来</w:t>
      </w:r>
      <w:r>
        <w:rPr>
          <w:color w:val="000000"/>
          <w:spacing w:val="0"/>
          <w:w w:val="100"/>
          <w:position w:val="0"/>
        </w:rPr>
        <w:t>12</w:t>
      </w:r>
      <w:r>
        <w:rPr>
          <w:color w:val="000000"/>
          <w:spacing w:val="0"/>
          <w:w w:val="100"/>
          <w:position w:val="0"/>
        </w:rPr>
        <w:t>个 月内的预期信用损失计量损失准备。</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对于应收票据、应收账款、应收款项融资及合同资产，无论是否存在重大融资成分，公司均按照整个存续期的预期信 用损失计量损失准备。</w:t>
      </w:r>
    </w:p>
    <w:p>
      <w:pPr>
        <w:pStyle w:val="Style30"/>
        <w:keepNext w:val="0"/>
        <w:keepLines w:val="0"/>
        <w:widowControl w:val="0"/>
        <w:numPr>
          <w:ilvl w:val="0"/>
          <w:numId w:val="31"/>
        </w:numPr>
        <w:shd w:val="clear" w:color="auto" w:fill="auto"/>
        <w:bidi w:val="0"/>
        <w:spacing w:before="0" w:after="100" w:line="312" w:lineRule="exact"/>
        <w:ind w:left="0" w:right="0" w:firstLine="500"/>
        <w:jc w:val="left"/>
      </w:pPr>
      <w:bookmarkStart w:id="774" w:name="bookmark774"/>
      <w:bookmarkEnd w:id="774"/>
      <w:r>
        <w:rPr>
          <w:color w:val="000000"/>
          <w:spacing w:val="0"/>
          <w:w w:val="100"/>
          <w:position w:val="0"/>
        </w:rPr>
        <w:t>应收款项/合同资产</w:t>
      </w:r>
    </w:p>
    <w:p>
      <w:pPr>
        <w:pStyle w:val="Style30"/>
        <w:keepNext w:val="0"/>
        <w:keepLines w:val="0"/>
        <w:widowControl w:val="0"/>
        <w:shd w:val="clear" w:color="auto" w:fill="auto"/>
        <w:bidi w:val="0"/>
        <w:spacing w:before="0" w:after="100" w:line="311" w:lineRule="exact"/>
        <w:ind w:left="0" w:right="0" w:firstLine="500"/>
        <w:jc w:val="left"/>
      </w:pPr>
      <w:r>
        <w:rPr>
          <w:color w:val="000000"/>
          <w:spacing w:val="0"/>
          <w:w w:val="100"/>
          <w:position w:val="0"/>
        </w:rPr>
        <w:t>对于存在客观证据表明存在减值，以及其他适用于单项评估的应收票据、应收账款，其他应收款、应收款项融资、合 同资产及长期应收款等单独进行减值测试，确认预期信用损失，计提单项减值准备。对于不存在减值客观证据的应收票据、 应收账款、其他应收款、应收款项融资、合同资产及长期应收款或当单项金融资产无法以合理成本评估预期信用损失的信息 时，公司依据信用风险特征将应收票据、应收账款、其他应收款、应收款项融资、合同资产及长期应收款等划分为若干组合, 在组合基础上计算预期信用损失，确定组合的依据如下：</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应收票据确定组合的依据如下：</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应收票据组合</w:t>
      </w:r>
      <w:r>
        <w:rPr>
          <w:color w:val="000000"/>
          <w:spacing w:val="0"/>
          <w:w w:val="100"/>
          <w:position w:val="0"/>
        </w:rPr>
        <w:t>1</w:t>
      </w:r>
      <w:r>
        <w:rPr>
          <w:color w:val="000000"/>
          <w:spacing w:val="0"/>
          <w:w w:val="100"/>
          <w:position w:val="0"/>
        </w:rPr>
        <w:t>银行承兑汇票</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应收票据组合</w:t>
      </w:r>
      <w:r>
        <w:rPr>
          <w:color w:val="000000"/>
          <w:spacing w:val="0"/>
          <w:w w:val="100"/>
          <w:position w:val="0"/>
        </w:rPr>
        <w:t>2</w:t>
      </w:r>
      <w:r>
        <w:rPr>
          <w:color w:val="000000"/>
          <w:spacing w:val="0"/>
          <w:w w:val="100"/>
          <w:position w:val="0"/>
        </w:rPr>
        <w:t>商业承兑汇票</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对于划分为组合的应收票据，公司参考历史信用损失经验，结合当前状况以及对未来经济状况的预测，通过违约风险 敞口和整个存续期预期信用损失率，计算预期信用损失。</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应收账款确定组合的依据如下：</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应收账款组合</w:t>
      </w:r>
      <w:r>
        <w:rPr>
          <w:color w:val="000000"/>
          <w:spacing w:val="0"/>
          <w:w w:val="100"/>
          <w:position w:val="0"/>
        </w:rPr>
        <w:t>1</w:t>
      </w:r>
      <w:r>
        <w:rPr>
          <w:color w:val="000000"/>
          <w:spacing w:val="0"/>
          <w:w w:val="100"/>
          <w:position w:val="0"/>
        </w:rPr>
        <w:t>国内客户组合</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应收账款组合</w:t>
      </w:r>
      <w:r>
        <w:rPr>
          <w:color w:val="000000"/>
          <w:spacing w:val="0"/>
          <w:w w:val="100"/>
          <w:position w:val="0"/>
        </w:rPr>
        <w:t>2</w:t>
      </w:r>
      <w:r>
        <w:rPr>
          <w:color w:val="000000"/>
          <w:spacing w:val="0"/>
          <w:w w:val="100"/>
          <w:position w:val="0"/>
        </w:rPr>
        <w:t>国外客户组合</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应收账款组合</w:t>
      </w:r>
      <w:r>
        <w:rPr>
          <w:color w:val="000000"/>
          <w:spacing w:val="0"/>
          <w:w w:val="100"/>
          <w:position w:val="0"/>
        </w:rPr>
        <w:t>3</w:t>
      </w:r>
      <w:r>
        <w:rPr>
          <w:color w:val="000000"/>
          <w:spacing w:val="0"/>
          <w:w w:val="100"/>
          <w:position w:val="0"/>
        </w:rPr>
        <w:t>内部往来组合</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对于划分为组合的应收账款，公司参考历史信用损失经验，结合当前状况以及对未来经济状况的预测，编制应收账款 账龄与整个存续期预期信用损失率对照表，计算预期信用损失。</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其他应收款确定组合的依据如下：</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其他应收款组合</w:t>
      </w:r>
      <w:r>
        <w:rPr>
          <w:color w:val="000000"/>
          <w:spacing w:val="0"/>
          <w:w w:val="100"/>
          <w:position w:val="0"/>
        </w:rPr>
        <w:t>1</w:t>
      </w:r>
      <w:r>
        <w:rPr>
          <w:color w:val="000000"/>
          <w:spacing w:val="0"/>
          <w:w w:val="100"/>
          <w:position w:val="0"/>
        </w:rPr>
        <w:t>押金、保证金及备用金</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其他应收款组合</w:t>
      </w:r>
      <w:r>
        <w:rPr>
          <w:color w:val="000000"/>
          <w:spacing w:val="0"/>
          <w:w w:val="100"/>
          <w:position w:val="0"/>
        </w:rPr>
        <w:t xml:space="preserve">2 </w:t>
      </w:r>
      <w:r>
        <w:rPr>
          <w:color w:val="000000"/>
          <w:spacing w:val="0"/>
          <w:w w:val="100"/>
          <w:position w:val="0"/>
        </w:rPr>
        <w:t>内部往来款</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对于划分为组合的其他应收款，公司参考历史信用损失经验，结合当前状况以及对未来经济状况的预测，通过违约风 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应收款项融资确定组合的依据如下：</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应收款项融资组合银行承兑汇票</w:t>
      </w:r>
    </w:p>
    <w:p>
      <w:pPr>
        <w:pStyle w:val="Style30"/>
        <w:keepNext w:val="0"/>
        <w:keepLines w:val="0"/>
        <w:widowControl w:val="0"/>
        <w:shd w:val="clear" w:color="auto" w:fill="auto"/>
        <w:bidi w:val="0"/>
        <w:spacing w:before="0" w:after="100" w:line="288" w:lineRule="exact"/>
        <w:ind w:left="0" w:right="0" w:firstLine="500"/>
        <w:jc w:val="both"/>
      </w:pPr>
      <w:r>
        <w:rPr>
          <w:color w:val="000000"/>
          <w:spacing w:val="0"/>
          <w:w w:val="100"/>
          <w:position w:val="0"/>
        </w:rPr>
        <w:t>对于划分为组合的应收款项融资，公司参考历史信用损失经验，结合当前状况以及对未来经济状况的预测，通过违约 风险敞口和整个存续期预期信用损失率，计算预期信用损失。</w:t>
      </w:r>
    </w:p>
    <w:p>
      <w:pPr>
        <w:pStyle w:val="Style30"/>
        <w:keepNext w:val="0"/>
        <w:keepLines w:val="0"/>
        <w:widowControl w:val="0"/>
        <w:shd w:val="clear" w:color="auto" w:fill="auto"/>
        <w:bidi w:val="0"/>
        <w:spacing w:before="0" w:after="100" w:line="312" w:lineRule="exact"/>
        <w:ind w:left="0" w:right="0" w:firstLine="860"/>
        <w:jc w:val="both"/>
      </w:pPr>
      <w:r>
        <w:rPr>
          <w:color w:val="000000"/>
          <w:spacing w:val="0"/>
          <w:w w:val="100"/>
          <w:position w:val="0"/>
        </w:rPr>
        <w:t>合同资产确定组合的依据如下：</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合同资产组合</w:t>
      </w:r>
      <w:r>
        <w:rPr>
          <w:color w:val="000000"/>
          <w:spacing w:val="0"/>
          <w:w w:val="100"/>
          <w:position w:val="0"/>
        </w:rPr>
        <w:t>1</w:t>
      </w:r>
      <w:r>
        <w:rPr>
          <w:color w:val="000000"/>
          <w:spacing w:val="0"/>
          <w:w w:val="100"/>
          <w:position w:val="0"/>
        </w:rPr>
        <w:t>国内客户组合</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合同资产组合</w:t>
      </w:r>
      <w:r>
        <w:rPr>
          <w:color w:val="000000"/>
          <w:spacing w:val="0"/>
          <w:w w:val="100"/>
          <w:position w:val="0"/>
        </w:rPr>
        <w:t>2</w:t>
      </w:r>
      <w:r>
        <w:rPr>
          <w:color w:val="000000"/>
          <w:spacing w:val="0"/>
          <w:w w:val="100"/>
          <w:position w:val="0"/>
        </w:rPr>
        <w:t>国外客户组合</w:t>
      </w:r>
    </w:p>
    <w:p>
      <w:pPr>
        <w:pStyle w:val="Style30"/>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对于划分为组合的合同资产，公司参考历史信用损失经验，结合当前状况以及对未来经济状况的预测，通过违约风险 敞口与整个存续期预期信用损失率，计算预期信用损失。</w:t>
      </w:r>
    </w:p>
    <w:p>
      <w:pPr>
        <w:pStyle w:val="Style30"/>
        <w:keepNext w:val="0"/>
        <w:keepLines w:val="0"/>
        <w:widowControl w:val="0"/>
        <w:numPr>
          <w:ilvl w:val="0"/>
          <w:numId w:val="33"/>
        </w:numPr>
        <w:shd w:val="clear" w:color="auto" w:fill="auto"/>
        <w:tabs>
          <w:tab w:pos="873" w:val="left"/>
        </w:tabs>
        <w:bidi w:val="0"/>
        <w:spacing w:before="0" w:after="100" w:line="312" w:lineRule="exact"/>
        <w:ind w:left="0" w:right="0" w:firstLine="500"/>
        <w:jc w:val="both"/>
      </w:pPr>
      <w:bookmarkStart w:id="775" w:name="bookmark775"/>
      <w:bookmarkEnd w:id="775"/>
      <w:r>
        <w:rPr>
          <w:color w:val="000000"/>
          <w:spacing w:val="0"/>
          <w:w w:val="100"/>
          <w:position w:val="0"/>
        </w:rPr>
        <w:t>具有较低的信用风险</w:t>
      </w:r>
    </w:p>
    <w:p>
      <w:pPr>
        <w:pStyle w:val="Style30"/>
        <w:keepNext w:val="0"/>
        <w:keepLines w:val="0"/>
        <w:widowControl w:val="0"/>
        <w:shd w:val="clear" w:color="auto" w:fill="auto"/>
        <w:bidi w:val="0"/>
        <w:spacing w:before="0" w:after="100" w:line="302" w:lineRule="exact"/>
        <w:ind w:left="0" w:right="0" w:firstLine="500"/>
        <w:jc w:val="both"/>
      </w:pPr>
      <w:r>
        <w:rPr>
          <w:color w:val="000000"/>
          <w:spacing w:val="0"/>
          <w:w w:val="100"/>
          <w:position w:val="0"/>
        </w:rPr>
        <w:t>如果金融工具的违约风险较低，借款人在短期内履行其合同现金流量义务的能力很强，并且即便较长时期内经济形势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30"/>
        <w:keepNext w:val="0"/>
        <w:keepLines w:val="0"/>
        <w:widowControl w:val="0"/>
        <w:numPr>
          <w:ilvl w:val="0"/>
          <w:numId w:val="33"/>
        </w:numPr>
        <w:shd w:val="clear" w:color="auto" w:fill="auto"/>
        <w:tabs>
          <w:tab w:pos="873" w:val="left"/>
        </w:tabs>
        <w:bidi w:val="0"/>
        <w:spacing w:before="0" w:after="100" w:line="312" w:lineRule="exact"/>
        <w:ind w:left="0" w:right="0" w:firstLine="500"/>
        <w:jc w:val="both"/>
      </w:pPr>
      <w:bookmarkStart w:id="776" w:name="bookmark776"/>
      <w:bookmarkEnd w:id="776"/>
      <w:r>
        <w:rPr>
          <w:color w:val="000000"/>
          <w:spacing w:val="0"/>
          <w:w w:val="100"/>
          <w:position w:val="0"/>
        </w:rPr>
        <w:t>信用风险显著增加</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在确定信用风险自初始确认后是否显著增加时，公司考虑无须付出不必要的额外成本或努力即可获得的合理且有依据 的信息，包括前瞻性信息。公司考虑的信息包括：</w:t>
      </w:r>
    </w:p>
    <w:p>
      <w:pPr>
        <w:pStyle w:val="Style30"/>
        <w:keepNext w:val="0"/>
        <w:keepLines w:val="0"/>
        <w:widowControl w:val="0"/>
        <w:numPr>
          <w:ilvl w:val="0"/>
          <w:numId w:val="35"/>
        </w:numPr>
        <w:shd w:val="clear" w:color="auto" w:fill="auto"/>
        <w:tabs>
          <w:tab w:pos="825" w:val="left"/>
        </w:tabs>
        <w:bidi w:val="0"/>
        <w:spacing w:before="0" w:after="100" w:line="312" w:lineRule="exact"/>
        <w:ind w:left="0" w:right="0" w:firstLine="500"/>
        <w:jc w:val="both"/>
      </w:pPr>
      <w:bookmarkStart w:id="777" w:name="bookmark777"/>
      <w:bookmarkEnd w:id="777"/>
      <w:r>
        <w:rPr>
          <w:color w:val="000000"/>
          <w:spacing w:val="0"/>
          <w:w w:val="100"/>
          <w:position w:val="0"/>
        </w:rPr>
        <w:t>信用风险变化所导致的内部价格指标是否发生显著变化；</w:t>
      </w:r>
    </w:p>
    <w:p>
      <w:pPr>
        <w:pStyle w:val="Style30"/>
        <w:keepNext w:val="0"/>
        <w:keepLines w:val="0"/>
        <w:widowControl w:val="0"/>
        <w:numPr>
          <w:ilvl w:val="0"/>
          <w:numId w:val="35"/>
        </w:numPr>
        <w:shd w:val="clear" w:color="auto" w:fill="auto"/>
        <w:tabs>
          <w:tab w:pos="825" w:val="left"/>
        </w:tabs>
        <w:bidi w:val="0"/>
        <w:spacing w:before="0" w:after="100" w:line="312" w:lineRule="exact"/>
        <w:ind w:left="0" w:right="0" w:firstLine="500"/>
        <w:jc w:val="both"/>
      </w:pPr>
      <w:bookmarkStart w:id="778" w:name="bookmark778"/>
      <w:bookmarkEnd w:id="778"/>
      <w:r>
        <w:rPr>
          <w:color w:val="000000"/>
          <w:spacing w:val="0"/>
          <w:w w:val="100"/>
          <w:position w:val="0"/>
        </w:rPr>
        <w:t>预期将导致债务人履行其偿债义务的能力是否发生显著变化的业务、财务或经济状况的不利变化；</w:t>
      </w:r>
    </w:p>
    <w:p>
      <w:pPr>
        <w:pStyle w:val="Style30"/>
        <w:keepNext w:val="0"/>
        <w:keepLines w:val="0"/>
        <w:widowControl w:val="0"/>
        <w:numPr>
          <w:ilvl w:val="0"/>
          <w:numId w:val="35"/>
        </w:numPr>
        <w:shd w:val="clear" w:color="auto" w:fill="auto"/>
        <w:tabs>
          <w:tab w:pos="825" w:val="left"/>
        </w:tabs>
        <w:bidi w:val="0"/>
        <w:spacing w:before="0" w:after="100" w:line="312" w:lineRule="exact"/>
        <w:ind w:left="0" w:right="0" w:firstLine="500"/>
        <w:jc w:val="both"/>
      </w:pPr>
      <w:bookmarkStart w:id="779" w:name="bookmark779"/>
      <w:bookmarkEnd w:id="779"/>
      <w:r>
        <w:rPr>
          <w:color w:val="000000"/>
          <w:spacing w:val="0"/>
          <w:w w:val="100"/>
          <w:position w:val="0"/>
        </w:rPr>
        <w:t>债务人经营成果实际或预期是否发生显著变化；债务人所处的监管、经济或技术环境是否发生显著不利变化；</w:t>
      </w:r>
    </w:p>
    <w:p>
      <w:pPr>
        <w:pStyle w:val="Style30"/>
        <w:keepNext w:val="0"/>
        <w:keepLines w:val="0"/>
        <w:widowControl w:val="0"/>
        <w:numPr>
          <w:ilvl w:val="0"/>
          <w:numId w:val="35"/>
        </w:numPr>
        <w:shd w:val="clear" w:color="auto" w:fill="auto"/>
        <w:tabs>
          <w:tab w:pos="800" w:val="left"/>
        </w:tabs>
        <w:bidi w:val="0"/>
        <w:spacing w:before="0" w:after="100" w:line="312" w:lineRule="exact"/>
        <w:ind w:left="0" w:right="0" w:firstLine="500"/>
        <w:jc w:val="both"/>
      </w:pPr>
      <w:bookmarkStart w:id="780" w:name="bookmark780"/>
      <w:bookmarkEnd w:id="780"/>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30"/>
        <w:keepNext w:val="0"/>
        <w:keepLines w:val="0"/>
        <w:widowControl w:val="0"/>
        <w:numPr>
          <w:ilvl w:val="0"/>
          <w:numId w:val="35"/>
        </w:numPr>
        <w:shd w:val="clear" w:color="auto" w:fill="auto"/>
        <w:tabs>
          <w:tab w:pos="825" w:val="left"/>
        </w:tabs>
        <w:bidi w:val="0"/>
        <w:spacing w:before="0" w:after="100" w:line="312" w:lineRule="exact"/>
        <w:ind w:left="0" w:right="0" w:firstLine="500"/>
        <w:jc w:val="both"/>
      </w:pPr>
      <w:bookmarkStart w:id="781" w:name="bookmark781"/>
      <w:bookmarkEnd w:id="781"/>
      <w:r>
        <w:rPr>
          <w:color w:val="000000"/>
          <w:spacing w:val="0"/>
          <w:w w:val="100"/>
          <w:position w:val="0"/>
        </w:rPr>
        <w:t>预期将降低债务人按合同约定期限还款的经济动机是否发生显著变化；</w:t>
      </w:r>
    </w:p>
    <w:p>
      <w:pPr>
        <w:pStyle w:val="Style30"/>
        <w:keepNext w:val="0"/>
        <w:keepLines w:val="0"/>
        <w:widowControl w:val="0"/>
        <w:numPr>
          <w:ilvl w:val="0"/>
          <w:numId w:val="35"/>
        </w:numPr>
        <w:shd w:val="clear" w:color="auto" w:fill="auto"/>
        <w:tabs>
          <w:tab w:pos="800" w:val="left"/>
        </w:tabs>
        <w:bidi w:val="0"/>
        <w:spacing w:before="0" w:after="100" w:line="326" w:lineRule="exact"/>
        <w:ind w:left="0" w:right="0" w:firstLine="500"/>
        <w:jc w:val="both"/>
      </w:pPr>
      <w:bookmarkStart w:id="782" w:name="bookmark782"/>
      <w:bookmarkEnd w:id="782"/>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30"/>
        <w:keepNext w:val="0"/>
        <w:keepLines w:val="0"/>
        <w:widowControl w:val="0"/>
        <w:numPr>
          <w:ilvl w:val="0"/>
          <w:numId w:val="35"/>
        </w:numPr>
        <w:shd w:val="clear" w:color="auto" w:fill="auto"/>
        <w:tabs>
          <w:tab w:pos="825" w:val="left"/>
        </w:tabs>
        <w:bidi w:val="0"/>
        <w:spacing w:before="0" w:after="100" w:line="312" w:lineRule="exact"/>
        <w:ind w:left="0" w:right="0" w:firstLine="500"/>
        <w:jc w:val="both"/>
      </w:pPr>
      <w:bookmarkStart w:id="783" w:name="bookmark783"/>
      <w:bookmarkEnd w:id="783"/>
      <w:r>
        <w:rPr>
          <w:color w:val="000000"/>
          <w:spacing w:val="0"/>
          <w:w w:val="100"/>
          <w:position w:val="0"/>
        </w:rPr>
        <w:t>债务人预期表现和还款行为是否发生显著变化；</w:t>
      </w:r>
    </w:p>
    <w:p>
      <w:pPr>
        <w:pStyle w:val="Style30"/>
        <w:keepNext w:val="0"/>
        <w:keepLines w:val="0"/>
        <w:widowControl w:val="0"/>
        <w:numPr>
          <w:ilvl w:val="0"/>
          <w:numId w:val="35"/>
        </w:numPr>
        <w:shd w:val="clear" w:color="auto" w:fill="auto"/>
        <w:tabs>
          <w:tab w:pos="825" w:val="left"/>
        </w:tabs>
        <w:bidi w:val="0"/>
        <w:spacing w:before="0" w:after="100" w:line="312" w:lineRule="exact"/>
        <w:ind w:left="0" w:right="0" w:firstLine="500"/>
        <w:jc w:val="both"/>
      </w:pPr>
      <w:bookmarkStart w:id="784" w:name="bookmark784"/>
      <w:bookmarkEnd w:id="784"/>
      <w:r>
        <w:rPr>
          <w:color w:val="000000"/>
          <w:spacing w:val="0"/>
          <w:w w:val="100"/>
          <w:position w:val="0"/>
        </w:rPr>
        <w:t>合同付款是否发生逾期超过（含）</w:t>
      </w:r>
      <w:r>
        <w:rPr>
          <w:color w:val="000000"/>
          <w:spacing w:val="0"/>
          <w:w w:val="100"/>
          <w:position w:val="0"/>
        </w:rPr>
        <w:t>30</w:t>
      </w:r>
      <w:r>
        <w:rPr>
          <w:color w:val="000000"/>
          <w:spacing w:val="0"/>
          <w:w w:val="100"/>
          <w:position w:val="0"/>
        </w:rPr>
        <w:t>日。</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根据金融工具的性质，公司以单项金融工具或金融工具组合为基础评估信用风险是否显著增加。以金融工具组合为基 础进行评估时，公司可基于共同信用风险特征对金融工具进行分类，例如逾期信息和信用风险评级。</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通常情况下，如果逾期超过</w:t>
      </w:r>
      <w:r>
        <w:rPr>
          <w:color w:val="000000"/>
          <w:spacing w:val="0"/>
          <w:w w:val="100"/>
          <w:position w:val="0"/>
        </w:rPr>
        <w:t>300，</w:t>
      </w:r>
      <w:r>
        <w:rPr>
          <w:color w:val="000000"/>
          <w:spacing w:val="0"/>
          <w:w w:val="100"/>
          <w:position w:val="0"/>
        </w:rPr>
        <w:t>公司确定金融工具的信用风险已经显著增加。除非公司无需付出过多成本或努力即 可获得合理且有依据的信息，证明虽然超过合同约定的付款期限</w:t>
      </w:r>
      <w:r>
        <w:rPr>
          <w:color w:val="000000"/>
          <w:spacing w:val="0"/>
          <w:w w:val="100"/>
          <w:position w:val="0"/>
        </w:rPr>
        <w:t>30</w:t>
      </w:r>
      <w:r>
        <w:rPr>
          <w:color w:val="000000"/>
          <w:spacing w:val="0"/>
          <w:w w:val="100"/>
          <w:position w:val="0"/>
        </w:rPr>
        <w:t>天，但信用风险自初始确认以来并未显著增加。</w:t>
      </w:r>
    </w:p>
    <w:p>
      <w:pPr>
        <w:pStyle w:val="Style30"/>
        <w:keepNext w:val="0"/>
        <w:keepLines w:val="0"/>
        <w:widowControl w:val="0"/>
        <w:numPr>
          <w:ilvl w:val="0"/>
          <w:numId w:val="33"/>
        </w:numPr>
        <w:shd w:val="clear" w:color="auto" w:fill="auto"/>
        <w:tabs>
          <w:tab w:pos="873" w:val="left"/>
        </w:tabs>
        <w:bidi w:val="0"/>
        <w:spacing w:before="0" w:after="100" w:line="312" w:lineRule="exact"/>
        <w:ind w:left="0" w:right="0" w:firstLine="500"/>
        <w:jc w:val="both"/>
      </w:pPr>
      <w:bookmarkStart w:id="785" w:name="bookmark785"/>
      <w:bookmarkEnd w:id="785"/>
      <w:r>
        <w:rPr>
          <w:color w:val="000000"/>
          <w:spacing w:val="0"/>
          <w:w w:val="100"/>
          <w:position w:val="0"/>
        </w:rPr>
        <w:t>已发生信用减值的金融资产</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发行方或债务人发生重大财务困难；债务人违反合同，如偿付利息或本金违约或逾期等；债权人出于与债务人财务困 难有关的经济或合同考虑，给予债务人在任何其他情况下都不会做出的让步；债务人很可能破产或进行其他财务重组；发行 方或债务人财务困难导致该金融资产的活跃市场消失；以大幅折扣购买或源生一项金融资产，该折扣反映了发生信用损失的 事实。</w:t>
      </w:r>
    </w:p>
    <w:p>
      <w:pPr>
        <w:pStyle w:val="Style30"/>
        <w:keepNext w:val="0"/>
        <w:keepLines w:val="0"/>
        <w:widowControl w:val="0"/>
        <w:numPr>
          <w:ilvl w:val="0"/>
          <w:numId w:val="33"/>
        </w:numPr>
        <w:shd w:val="clear" w:color="auto" w:fill="auto"/>
        <w:tabs>
          <w:tab w:pos="854" w:val="left"/>
        </w:tabs>
        <w:bidi w:val="0"/>
        <w:spacing w:before="0" w:after="100" w:line="314" w:lineRule="exact"/>
        <w:ind w:left="0" w:right="0" w:firstLine="500"/>
        <w:jc w:val="both"/>
      </w:pPr>
      <w:bookmarkStart w:id="786" w:name="bookmark786"/>
      <w:bookmarkEnd w:id="786"/>
      <w:r>
        <w:rPr>
          <w:color w:val="000000"/>
          <w:spacing w:val="0"/>
          <w:w w:val="100"/>
          <w:position w:val="0"/>
        </w:rPr>
        <w:t>预期信用损失准备的列报</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为反映金融工具的信用风险自初始确认后的变化，公司在每个资产负债表日重新计量预期信用损失，由此形成的损失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产在资产负债表中列示的账面价值；对于以公允价值计量且其变动计入其他综合收益的债权投资，公司在其他综合收益中确 认其损失准备，不抵减该金融资产的账面价值。</w:t>
      </w:r>
    </w:p>
    <w:p>
      <w:pPr>
        <w:pStyle w:val="Style30"/>
        <w:keepNext w:val="0"/>
        <w:keepLines w:val="0"/>
        <w:widowControl w:val="0"/>
        <w:numPr>
          <w:ilvl w:val="0"/>
          <w:numId w:val="33"/>
        </w:numPr>
        <w:shd w:val="clear" w:color="auto" w:fill="auto"/>
        <w:tabs>
          <w:tab w:pos="854" w:val="left"/>
        </w:tabs>
        <w:bidi w:val="0"/>
        <w:spacing w:before="0" w:after="100" w:line="314" w:lineRule="exact"/>
        <w:ind w:left="0" w:right="0" w:firstLine="500"/>
        <w:jc w:val="left"/>
      </w:pPr>
      <w:bookmarkStart w:id="787" w:name="bookmark787"/>
      <w:bookmarkEnd w:id="787"/>
      <w:r>
        <w:rPr>
          <w:color w:val="000000"/>
          <w:spacing w:val="0"/>
          <w:w w:val="100"/>
          <w:position w:val="0"/>
        </w:rPr>
        <w:t>核销</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如果公司不再合理预期金融资产合同现金流量能够全部或部分收回，则直接减记该金融资产的账面余额。这种减记构 成相关金融资产的终止确认。这种情况通常发生在公司确定债务人没有资产或收入来源可产生足够的现金流量以偿还将被减 记的金额。</w:t>
      </w:r>
    </w:p>
    <w:p>
      <w:pPr>
        <w:pStyle w:val="Style30"/>
        <w:keepNext w:val="0"/>
        <w:keepLines w:val="0"/>
        <w:widowControl w:val="0"/>
        <w:shd w:val="clear" w:color="auto" w:fill="auto"/>
        <w:bidi w:val="0"/>
        <w:spacing w:before="0" w:after="200" w:line="314" w:lineRule="exact"/>
        <w:ind w:left="0" w:right="0" w:firstLine="500"/>
        <w:jc w:val="left"/>
      </w:pPr>
      <w:r>
        <w:rPr>
          <w:color w:val="000000"/>
          <w:spacing w:val="0"/>
          <w:w w:val="100"/>
          <w:position w:val="0"/>
        </w:rPr>
        <w:t>已减记的金融资产以后又收回的，作为减值损失的转回计入收回当期的损益。</w:t>
      </w:r>
    </w:p>
    <w:p>
      <w:pPr>
        <w:pStyle w:val="Style30"/>
        <w:keepNext w:val="0"/>
        <w:keepLines w:val="0"/>
        <w:widowControl w:val="0"/>
        <w:shd w:val="clear" w:color="auto" w:fill="auto"/>
        <w:bidi w:val="0"/>
        <w:spacing w:before="0" w:after="100" w:line="240" w:lineRule="auto"/>
        <w:ind w:left="0" w:right="0" w:firstLine="50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6</w:t>
      </w:r>
      <w:r>
        <w:rPr>
          <w:b/>
          <w:bCs/>
          <w:color w:val="000000"/>
          <w:spacing w:val="0"/>
          <w:w w:val="100"/>
          <w:position w:val="0"/>
        </w:rPr>
        <w:t>）金融资产转移</w:t>
      </w:r>
    </w:p>
    <w:p>
      <w:pPr>
        <w:pStyle w:val="Style30"/>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金融资产转移是指下列两种情形：</w:t>
      </w:r>
    </w:p>
    <w:p>
      <w:pPr>
        <w:pStyle w:val="Style30"/>
        <w:keepNext w:val="0"/>
        <w:keepLines w:val="0"/>
        <w:widowControl w:val="0"/>
        <w:numPr>
          <w:ilvl w:val="0"/>
          <w:numId w:val="37"/>
        </w:numPr>
        <w:shd w:val="clear" w:color="auto" w:fill="auto"/>
        <w:tabs>
          <w:tab w:pos="806" w:val="left"/>
        </w:tabs>
        <w:bidi w:val="0"/>
        <w:spacing w:before="0" w:after="100" w:line="314" w:lineRule="exact"/>
        <w:ind w:left="0" w:right="0" w:firstLine="500"/>
        <w:jc w:val="left"/>
      </w:pPr>
      <w:bookmarkStart w:id="788" w:name="bookmark788"/>
      <w:bookmarkEnd w:id="788"/>
      <w:r>
        <w:rPr>
          <w:color w:val="000000"/>
          <w:spacing w:val="0"/>
          <w:w w:val="100"/>
          <w:position w:val="0"/>
        </w:rPr>
        <w:t>将收取金融资产现金流量的合同权利转移给另一方；</w:t>
      </w:r>
    </w:p>
    <w:p>
      <w:pPr>
        <w:pStyle w:val="Style30"/>
        <w:keepNext w:val="0"/>
        <w:keepLines w:val="0"/>
        <w:widowControl w:val="0"/>
        <w:numPr>
          <w:ilvl w:val="0"/>
          <w:numId w:val="17"/>
        </w:numPr>
        <w:shd w:val="clear" w:color="auto" w:fill="auto"/>
        <w:tabs>
          <w:tab w:pos="776" w:val="left"/>
        </w:tabs>
        <w:bidi w:val="0"/>
        <w:spacing w:before="0" w:after="100" w:line="322" w:lineRule="exact"/>
        <w:ind w:left="0" w:right="0" w:firstLine="500"/>
        <w:jc w:val="both"/>
      </w:pPr>
      <w:bookmarkStart w:id="789" w:name="bookmark789"/>
      <w:bookmarkEnd w:id="789"/>
      <w:r>
        <w:rPr>
          <w:color w:val="000000"/>
          <w:spacing w:val="0"/>
          <w:w w:val="100"/>
          <w:position w:val="0"/>
        </w:rPr>
        <w:t>将金融资产整体或部分转移给另一方，但保留收取金融资产现金流量的合同权利，并承担将收取的现金流量支付给 一个或多个收款方的合同义务。</w:t>
      </w:r>
    </w:p>
    <w:p>
      <w:pPr>
        <w:pStyle w:val="Style30"/>
        <w:keepNext w:val="0"/>
        <w:keepLines w:val="0"/>
        <w:widowControl w:val="0"/>
        <w:numPr>
          <w:ilvl w:val="0"/>
          <w:numId w:val="39"/>
        </w:numPr>
        <w:shd w:val="clear" w:color="auto" w:fill="auto"/>
        <w:bidi w:val="0"/>
        <w:spacing w:before="0" w:after="100" w:line="314" w:lineRule="exact"/>
        <w:ind w:left="0" w:right="0" w:firstLine="500"/>
        <w:jc w:val="both"/>
      </w:pPr>
      <w:bookmarkStart w:id="790" w:name="bookmark790"/>
      <w:bookmarkEnd w:id="790"/>
      <w:r>
        <w:rPr>
          <w:color w:val="000000"/>
          <w:spacing w:val="0"/>
          <w:w w:val="100"/>
          <w:position w:val="0"/>
        </w:rPr>
        <w:t>终止确认所转移的金融资产</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已将金融资产所有权上几乎所有的风险和报酬转移给转入方的，或既没有转移也没有保留金融资产所有权上几乎所有 的风险和报酬的，但放弃了对该金融资产控制的，终止确认该金融资产。</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在判断是否已放弃对所转移金融资产的控制时，根据转入方出售该金融资产的实际能力。转入方能够单方面将转移的 金融资产整体出售给不相关的第三方，且没有额外条件对此项出售加以限制的，则公司已放弃对该金融资产的控制。</w:t>
      </w:r>
    </w:p>
    <w:p>
      <w:pPr>
        <w:pStyle w:val="Style30"/>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公司在判断金融资产转移是否满足金融资产终止确认条件时，注重金融资产转移的实质。</w:t>
      </w:r>
    </w:p>
    <w:p>
      <w:pPr>
        <w:pStyle w:val="Style30"/>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金融资产整体转移满足终止确认条件的，将下列两项金额的差额计入当期损益：</w:t>
      </w:r>
    </w:p>
    <w:p>
      <w:pPr>
        <w:pStyle w:val="Style30"/>
        <w:keepNext w:val="0"/>
        <w:keepLines w:val="0"/>
        <w:widowControl w:val="0"/>
        <w:numPr>
          <w:ilvl w:val="0"/>
          <w:numId w:val="41"/>
        </w:numPr>
        <w:shd w:val="clear" w:color="auto" w:fill="auto"/>
        <w:tabs>
          <w:tab w:pos="806" w:val="left"/>
        </w:tabs>
        <w:bidi w:val="0"/>
        <w:spacing w:before="0" w:after="100" w:line="314" w:lineRule="exact"/>
        <w:ind w:left="0" w:right="0" w:firstLine="500"/>
        <w:jc w:val="left"/>
      </w:pPr>
      <w:bookmarkStart w:id="791" w:name="bookmark791"/>
      <w:bookmarkEnd w:id="791"/>
      <w:r>
        <w:rPr>
          <w:color w:val="000000"/>
          <w:spacing w:val="0"/>
          <w:w w:val="100"/>
          <w:position w:val="0"/>
        </w:rPr>
        <w:t>所转移金融资产的账面价值；</w:t>
      </w:r>
    </w:p>
    <w:p>
      <w:pPr>
        <w:pStyle w:val="Style30"/>
        <w:keepNext w:val="0"/>
        <w:keepLines w:val="0"/>
        <w:widowControl w:val="0"/>
        <w:numPr>
          <w:ilvl w:val="0"/>
          <w:numId w:val="41"/>
        </w:numPr>
        <w:shd w:val="clear" w:color="auto" w:fill="auto"/>
        <w:tabs>
          <w:tab w:pos="776" w:val="left"/>
        </w:tabs>
        <w:bidi w:val="0"/>
        <w:spacing w:before="0" w:after="100" w:line="317" w:lineRule="exact"/>
        <w:ind w:left="0" w:right="0" w:firstLine="500"/>
        <w:jc w:val="both"/>
      </w:pPr>
      <w:bookmarkStart w:id="792" w:name="bookmark792"/>
      <w:bookmarkEnd w:id="792"/>
      <w:r>
        <w:rPr>
          <w:color w:val="000000"/>
          <w:spacing w:val="0"/>
          <w:w w:val="100"/>
          <w:position w:val="0"/>
        </w:rPr>
        <w:t>因转移而收到的对价，与原直接计入其他综合收益的公允价值变动累计额中对于终止确认部分的金额（涉及转移的 金融资产为根据《企业会计准则第</w:t>
      </w:r>
      <w:r>
        <w:rPr>
          <w:color w:val="000000"/>
          <w:spacing w:val="0"/>
          <w:w w:val="100"/>
          <w:position w:val="0"/>
        </w:rPr>
        <w:t>22</w:t>
      </w:r>
      <w:r>
        <w:rPr>
          <w:color w:val="000000"/>
          <w:spacing w:val="0"/>
          <w:w w:val="100"/>
          <w:position w:val="0"/>
        </w:rPr>
        <w:t>号-金融工具确认和计量》第十八条分类为以公允价值计量且其变动计入其他综合收益 的金融资产的情形）之和。</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金融资产部分转移满足终止确认条件的，将所转移金融资产整体的账面价值，在终止确认部分和未终止确认部分（在 此种情况下，所保留的服务资产视同继续确认金融资产的一部分）之间，按照转移日各自的相对公允价值进行分摊，并将下 列两项金额的差额计入当期损益：</w:t>
      </w:r>
    </w:p>
    <w:p>
      <w:pPr>
        <w:pStyle w:val="Style30"/>
        <w:keepNext w:val="0"/>
        <w:keepLines w:val="0"/>
        <w:widowControl w:val="0"/>
        <w:numPr>
          <w:ilvl w:val="0"/>
          <w:numId w:val="43"/>
        </w:numPr>
        <w:shd w:val="clear" w:color="auto" w:fill="auto"/>
        <w:tabs>
          <w:tab w:pos="806" w:val="left"/>
        </w:tabs>
        <w:bidi w:val="0"/>
        <w:spacing w:before="0" w:after="100" w:line="314" w:lineRule="exact"/>
        <w:ind w:left="0" w:right="0" w:firstLine="500"/>
        <w:jc w:val="both"/>
      </w:pPr>
      <w:bookmarkStart w:id="793" w:name="bookmark793"/>
      <w:bookmarkEnd w:id="793"/>
      <w:r>
        <w:rPr>
          <w:color w:val="000000"/>
          <w:spacing w:val="0"/>
          <w:w w:val="100"/>
          <w:position w:val="0"/>
        </w:rPr>
        <w:t>终止确认部分在终止确认日的账面价值；</w:t>
      </w:r>
    </w:p>
    <w:p>
      <w:pPr>
        <w:pStyle w:val="Style30"/>
        <w:keepNext w:val="0"/>
        <w:keepLines w:val="0"/>
        <w:widowControl w:val="0"/>
        <w:numPr>
          <w:ilvl w:val="0"/>
          <w:numId w:val="43"/>
        </w:numPr>
        <w:shd w:val="clear" w:color="auto" w:fill="auto"/>
        <w:tabs>
          <w:tab w:pos="772" w:val="left"/>
        </w:tabs>
        <w:bidi w:val="0"/>
        <w:spacing w:before="0" w:after="100" w:line="319" w:lineRule="exact"/>
        <w:ind w:left="0" w:right="0" w:firstLine="500"/>
        <w:jc w:val="both"/>
      </w:pPr>
      <w:bookmarkStart w:id="794" w:name="bookmark794"/>
      <w:bookmarkEnd w:id="794"/>
      <w:r>
        <w:rPr>
          <w:color w:val="000000"/>
          <w:spacing w:val="0"/>
          <w:w w:val="100"/>
          <w:position w:val="0"/>
        </w:rPr>
        <w:t>终止确认部分的对价，与原计入其他综合收益的公允价值变动累计额中对应终止确认部分的金额（涉及转移的金融 资产为根据《企业会计准则第</w:t>
      </w:r>
      <w:r>
        <w:rPr>
          <w:color w:val="000000"/>
          <w:spacing w:val="0"/>
          <w:w w:val="100"/>
          <w:position w:val="0"/>
        </w:rPr>
        <w:t>22</w:t>
      </w:r>
      <w:r>
        <w:rPr>
          <w:color w:val="000000"/>
          <w:spacing w:val="0"/>
          <w:w w:val="100"/>
          <w:position w:val="0"/>
        </w:rPr>
        <w:t>号-金融工具确认和计量》第十八条分类为以公允价值计量且其变动计入其他综合收益的金 融资产的情形）之和。</w:t>
      </w:r>
    </w:p>
    <w:p>
      <w:pPr>
        <w:pStyle w:val="Style30"/>
        <w:keepNext w:val="0"/>
        <w:keepLines w:val="0"/>
        <w:widowControl w:val="0"/>
        <w:numPr>
          <w:ilvl w:val="0"/>
          <w:numId w:val="39"/>
        </w:numPr>
        <w:shd w:val="clear" w:color="auto" w:fill="auto"/>
        <w:tabs>
          <w:tab w:pos="873" w:val="left"/>
        </w:tabs>
        <w:bidi w:val="0"/>
        <w:spacing w:before="0" w:after="100" w:line="312" w:lineRule="exact"/>
        <w:ind w:left="0" w:right="0" w:firstLine="500"/>
        <w:jc w:val="left"/>
      </w:pPr>
      <w:bookmarkStart w:id="795" w:name="bookmark795"/>
      <w:bookmarkEnd w:id="795"/>
      <w:r>
        <w:rPr>
          <w:color w:val="000000"/>
          <w:spacing w:val="0"/>
          <w:w w:val="100"/>
          <w:position w:val="0"/>
        </w:rPr>
        <w:t>继续涉入所转移的金融资产</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既没有转移也没有保留金融资产所有权上几乎所有的风险和报酬的，且未放弃对该金融资产控制的，应当按照其继续 涉入所转移金融资产的程度确认有关金融资产，并相应确认有关负债。</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继续涉入所转移金融资产的程度，是指企业承担的被转移金融资产价值变动风险或报酬的程度。</w:t>
      </w:r>
    </w:p>
    <w:p>
      <w:pPr>
        <w:pStyle w:val="Style30"/>
        <w:keepNext w:val="0"/>
        <w:keepLines w:val="0"/>
        <w:widowControl w:val="0"/>
        <w:numPr>
          <w:ilvl w:val="0"/>
          <w:numId w:val="39"/>
        </w:numPr>
        <w:shd w:val="clear" w:color="auto" w:fill="auto"/>
        <w:tabs>
          <w:tab w:pos="873" w:val="left"/>
        </w:tabs>
        <w:bidi w:val="0"/>
        <w:spacing w:before="0" w:after="100" w:line="312" w:lineRule="exact"/>
        <w:ind w:left="0" w:right="0" w:firstLine="500"/>
        <w:jc w:val="left"/>
      </w:pPr>
      <w:bookmarkStart w:id="796" w:name="bookmark796"/>
      <w:bookmarkEnd w:id="796"/>
      <w:r>
        <w:rPr>
          <w:color w:val="000000"/>
          <w:spacing w:val="0"/>
          <w:w w:val="100"/>
          <w:position w:val="0"/>
        </w:rPr>
        <w:t>继续确认所转移的金融资产</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仍保留与所转移金融资产所有权上几乎所有的风险和报酬的，应当继续确认所转移金融资产整体，并将收到的对价确 认为一项金融负债。</w:t>
      </w:r>
    </w:p>
    <w:p>
      <w:pPr>
        <w:pStyle w:val="Style30"/>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该金融资产与确认的相关金融负债不得相互抵销。在随后的会计期间，企业应当继续确认该金融资产产生的收入（或 利得）和该金融负债产生的费用（或损失）。</w:t>
      </w:r>
    </w:p>
    <w:p>
      <w:pPr>
        <w:pStyle w:val="Style30"/>
        <w:keepNext w:val="0"/>
        <w:keepLines w:val="0"/>
        <w:widowControl w:val="0"/>
        <w:shd w:val="clear" w:color="auto" w:fill="auto"/>
        <w:tabs>
          <w:tab w:pos="950" w:val="left"/>
        </w:tabs>
        <w:bidi w:val="0"/>
        <w:spacing w:before="0" w:after="100" w:line="240" w:lineRule="auto"/>
        <w:ind w:left="0" w:right="0" w:firstLine="500"/>
        <w:jc w:val="both"/>
      </w:pPr>
      <w:bookmarkStart w:id="797" w:name="bookmark797"/>
      <w:r>
        <w:rPr>
          <w:b/>
          <w:bCs/>
          <w:color w:val="000000"/>
          <w:spacing w:val="0"/>
          <w:w w:val="100"/>
          <w:position w:val="0"/>
        </w:rPr>
        <w:t>（</w:t>
      </w:r>
      <w:bookmarkEnd w:id="79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金融资产和金融负债的抵销</w:t>
      </w:r>
    </w:p>
    <w:p>
      <w:pPr>
        <w:pStyle w:val="Style30"/>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金融资产和金融负债应当在资产负债表内分别列示，不得相互抵销。但同时满足下列条件的，以相互抵销后的净额在 资产负债表内列示：</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公司具有抵销已确认金额的法定权利，且该种法定权利是当前可执行的；</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公司计划以净额结算，或同时变现该金融资产和清偿该金融负债。</w:t>
      </w:r>
    </w:p>
    <w:p>
      <w:pPr>
        <w:pStyle w:val="Style30"/>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不满足终止确认条件的金融资产转移，转出方不得将已转移的金融资产和相关负债进行抵销。</w:t>
      </w:r>
    </w:p>
    <w:p>
      <w:pPr>
        <w:pStyle w:val="Style30"/>
        <w:keepNext w:val="0"/>
        <w:keepLines w:val="0"/>
        <w:widowControl w:val="0"/>
        <w:shd w:val="clear" w:color="auto" w:fill="auto"/>
        <w:tabs>
          <w:tab w:pos="950" w:val="left"/>
        </w:tabs>
        <w:bidi w:val="0"/>
        <w:spacing w:before="0" w:after="100" w:line="240" w:lineRule="auto"/>
        <w:ind w:left="0" w:right="0" w:firstLine="500"/>
        <w:jc w:val="both"/>
      </w:pPr>
      <w:bookmarkStart w:id="798" w:name="bookmark798"/>
      <w:r>
        <w:rPr>
          <w:b/>
          <w:bCs/>
          <w:color w:val="000000"/>
          <w:spacing w:val="0"/>
          <w:w w:val="100"/>
          <w:position w:val="0"/>
        </w:rPr>
        <w:t>（</w:t>
      </w:r>
      <w:bookmarkEnd w:id="798"/>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金融工具公允价值的确定方法</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公允价值是指市场参与者在计量日发生的有序交易中，出售一项资产所能收到或者转移一项负债所需支付的价格。</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公司以主要市场的价格计量相关资产或负债的公允价值，不存在主要市场的，公司以最有利市场的价格计量相关资产 或负债的公允价值。公司采用市场参与者在对该资产或负债定价时为实现其经济利益最大化所使用的假设。</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主要市场，是指相关资产或负债交易量最大和交易活跃程度最高的市场；最有利市场，是指在考虑交易费用和运输费 用后，能够以最高金额出售相关资产或者以最低金额转移相关负债的市场。</w:t>
      </w:r>
    </w:p>
    <w:p>
      <w:pPr>
        <w:pStyle w:val="Style30"/>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存在活跃市场的金融资产或金融负债，公司采用活跃市场中的报价确定其公允价值。金融工具不存在活跃市场的，公 司采用估值技术确定其公允价值。</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以公允价值计量非金融资产的，考虑市场参与者将该资产用于最佳用途产生经济利益的能力，或者将该资产出售给能 够用于最佳用途的其他市场参与者产生经济利益的能力。</w:t>
      </w:r>
    </w:p>
    <w:p>
      <w:pPr>
        <w:pStyle w:val="Style30"/>
        <w:keepNext w:val="0"/>
        <w:keepLines w:val="0"/>
        <w:widowControl w:val="0"/>
        <w:numPr>
          <w:ilvl w:val="0"/>
          <w:numId w:val="45"/>
        </w:numPr>
        <w:shd w:val="clear" w:color="auto" w:fill="auto"/>
        <w:tabs>
          <w:tab w:pos="873" w:val="left"/>
        </w:tabs>
        <w:bidi w:val="0"/>
        <w:spacing w:before="0" w:after="100" w:line="312" w:lineRule="exact"/>
        <w:ind w:left="0" w:right="0" w:firstLine="500"/>
        <w:jc w:val="both"/>
      </w:pPr>
      <w:bookmarkStart w:id="799" w:name="bookmark799"/>
      <w:bookmarkEnd w:id="799"/>
      <w:r>
        <w:rPr>
          <w:color w:val="000000"/>
          <w:spacing w:val="0"/>
          <w:w w:val="100"/>
          <w:position w:val="0"/>
        </w:rPr>
        <w:t>估值技术</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公司采用在当期情况下适用并且有足够可利用数据和其他信息支持的估值技术，使用的估值技术主要包括市场法、收 益法和成本法。公司使用与其中一种或多种估值技术相一致的方法计量公允价值，使用多种估值技术计量公允价值的，考虑 各估值结果的合理性，选取在当期情况下最能代表公允价值的金额作为公允价值。</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30"/>
        <w:keepNext w:val="0"/>
        <w:keepLines w:val="0"/>
        <w:widowControl w:val="0"/>
        <w:numPr>
          <w:ilvl w:val="0"/>
          <w:numId w:val="45"/>
        </w:numPr>
        <w:shd w:val="clear" w:color="auto" w:fill="auto"/>
        <w:tabs>
          <w:tab w:pos="873" w:val="left"/>
        </w:tabs>
        <w:bidi w:val="0"/>
        <w:spacing w:before="0" w:after="100" w:line="312" w:lineRule="exact"/>
        <w:ind w:left="0" w:right="0" w:firstLine="500"/>
        <w:jc w:val="left"/>
      </w:pPr>
      <w:bookmarkStart w:id="800" w:name="bookmark800"/>
      <w:bookmarkEnd w:id="800"/>
      <w:r>
        <w:rPr>
          <w:color w:val="000000"/>
          <w:spacing w:val="0"/>
          <w:w w:val="100"/>
          <w:position w:val="0"/>
        </w:rPr>
        <w:t>公允价值层次</w:t>
      </w:r>
    </w:p>
    <w:p>
      <w:pPr>
        <w:pStyle w:val="Style30"/>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 xml:space="preserve">公司将公允价值计量所使用的输入值划分为三个层次，并首先使用第一层次输入值，其次使用第二层次输入值，最后 使用第三层次输入值。第一层次输入值是在计量日能够取得的相同资产或负债在活跃市场上未经调整的报价。第二层次输入 </w:t>
      </w:r>
      <w:r>
        <w:rPr>
          <w:color w:val="000000"/>
          <w:spacing w:val="0"/>
          <w:w w:val="100"/>
          <w:position w:val="0"/>
        </w:rPr>
        <w:t>值是除第一层次输入值外相关资产或负债直接或间接可观察的输入值。第三层次输入值是相关资产或负债的不可观察输入 值。</w:t>
      </w:r>
    </w:p>
    <w:p>
      <w:pPr>
        <w:pStyle w:val="Style35"/>
        <w:keepNext/>
        <w:keepLines/>
        <w:widowControl w:val="0"/>
        <w:shd w:val="clear" w:color="auto" w:fill="auto"/>
        <w:tabs>
          <w:tab w:pos="430" w:val="left"/>
        </w:tabs>
        <w:bidi w:val="0"/>
        <w:spacing w:before="0" w:after="280" w:line="240" w:lineRule="auto"/>
        <w:ind w:left="0" w:right="0" w:firstLine="0"/>
        <w:jc w:val="both"/>
        <w:rPr>
          <w:sz w:val="18"/>
          <w:szCs w:val="18"/>
        </w:rPr>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sz w:val="18"/>
          <w:szCs w:val="18"/>
        </w:rPr>
        <w:t>1</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应收账款</w:t>
      </w:r>
      <w:bookmarkEnd w:id="801"/>
      <w:bookmarkEnd w:id="802"/>
      <w:bookmarkEnd w:id="804"/>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详见</w:t>
      </w:r>
      <w:r>
        <w:rPr>
          <w:color w:val="000000"/>
          <w:spacing w:val="0"/>
          <w:w w:val="100"/>
          <w:position w:val="0"/>
        </w:rPr>
        <w:t>10</w:t>
      </w:r>
      <w:r>
        <w:rPr>
          <w:color w:val="000000"/>
          <w:spacing w:val="0"/>
          <w:w w:val="100"/>
          <w:position w:val="0"/>
        </w:rPr>
        <w:t>、金融工具</w:t>
      </w:r>
    </w:p>
    <w:p>
      <w:pPr>
        <w:pStyle w:val="Style35"/>
        <w:keepNext/>
        <w:keepLines/>
        <w:widowControl w:val="0"/>
        <w:shd w:val="clear" w:color="auto" w:fill="auto"/>
        <w:tabs>
          <w:tab w:pos="430" w:val="left"/>
        </w:tabs>
        <w:bidi w:val="0"/>
        <w:spacing w:before="0" w:after="280" w:line="240" w:lineRule="auto"/>
        <w:ind w:left="0" w:right="0" w:firstLine="0"/>
        <w:jc w:val="both"/>
        <w:rPr>
          <w:sz w:val="18"/>
          <w:szCs w:val="18"/>
        </w:rPr>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sz w:val="18"/>
          <w:szCs w:val="18"/>
        </w:rPr>
        <w:t>1</w:t>
      </w:r>
      <w:bookmarkEnd w:id="80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存货</w:t>
      </w:r>
      <w:bookmarkEnd w:id="805"/>
      <w:bookmarkEnd w:id="806"/>
      <w:bookmarkEnd w:id="808"/>
    </w:p>
    <w:p>
      <w:pPr>
        <w:pStyle w:val="Style30"/>
        <w:keepNext w:val="0"/>
        <w:keepLines w:val="0"/>
        <w:widowControl w:val="0"/>
        <w:shd w:val="clear" w:color="auto" w:fill="auto"/>
        <w:tabs>
          <w:tab w:pos="440" w:val="left"/>
        </w:tabs>
        <w:bidi w:val="0"/>
        <w:spacing w:before="0" w:after="40" w:line="312" w:lineRule="exact"/>
        <w:ind w:left="0" w:right="0" w:firstLine="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存货分为库存商品、合同履约成本、低值易耗品等大类。</w:t>
      </w:r>
    </w:p>
    <w:p>
      <w:pPr>
        <w:pStyle w:val="Style30"/>
        <w:keepNext w:val="0"/>
        <w:keepLines w:val="0"/>
        <w:widowControl w:val="0"/>
        <w:shd w:val="clear" w:color="auto" w:fill="auto"/>
        <w:tabs>
          <w:tab w:pos="440" w:val="left"/>
        </w:tabs>
        <w:bidi w:val="0"/>
        <w:spacing w:before="0" w:after="40" w:line="312" w:lineRule="exact"/>
        <w:ind w:left="0" w:right="0" w:firstLine="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公司对购入库存商品等按实际成本入账，发出时的成本采用加权平均法核算；对合同履约成本按照软件开发项目进行归 集，在项目达到收入确认条件时结转至当期成本。</w:t>
      </w:r>
    </w:p>
    <w:p>
      <w:pPr>
        <w:pStyle w:val="Style30"/>
        <w:keepNext w:val="0"/>
        <w:keepLines w:val="0"/>
        <w:widowControl w:val="0"/>
        <w:shd w:val="clear" w:color="auto" w:fill="auto"/>
        <w:tabs>
          <w:tab w:pos="440" w:val="left"/>
        </w:tabs>
        <w:bidi w:val="0"/>
        <w:spacing w:before="0" w:after="40" w:line="312" w:lineRule="exact"/>
        <w:ind w:left="0" w:right="0" w:firstLine="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公司于每年中期期末及期末在对存货进行全面盘点的基础上，对遭受损失，全部或部分陈旧过时或销售价格低于成本的 存货，根据存货成本与可变现净值孰低计量。</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存货跌价准备按单个存货项目的成本与可变现净值计量，但如果某些存货与在同一地区生产和销售的产品系列相关、具 有相同或类似最终用途或目的，且难以与其他项目分开计量，可以合并计量成本与可变现净值；对于数量繁多、单价较低的 存货，可以按照存货类别计量成本与可变现净值。</w:t>
      </w:r>
    </w:p>
    <w:p>
      <w:pPr>
        <w:pStyle w:val="Style30"/>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可直接用于出售的存货，其可变现净值按该等存货的估计售价减去估计的销售费用和相关税费后的金额确定；用于生产 而持有的存货，其可变现净值按所生产的产成品的估计售价减去至完工时估计将要发生的成本、估计的销售费用和相关税费 后的金额确定；为执行销售合同或者劳务合同而持有的存货，其可变现净值以合同价格为基础计算；企业持有存货的数量多 于销售合同订购数量的，超出部分的存货可变现净值以一般销售价格为基础计算。对于存货因遭受毁损、全部或部分陈旧过 时或销售价格低于成本等原因，预计其成本不可收回的部分，提取存货跌价准备。</w:t>
      </w:r>
    </w:p>
    <w:p>
      <w:pPr>
        <w:pStyle w:val="Style30"/>
        <w:keepNext w:val="0"/>
        <w:keepLines w:val="0"/>
        <w:widowControl w:val="0"/>
        <w:shd w:val="clear" w:color="auto" w:fill="auto"/>
        <w:tabs>
          <w:tab w:pos="440" w:val="left"/>
        </w:tabs>
        <w:bidi w:val="0"/>
        <w:spacing w:before="0" w:after="40" w:line="312" w:lineRule="exact"/>
        <w:ind w:left="0" w:right="0" w:firstLine="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采用永续盘存制，并且定期对存货进行盘点</w:t>
      </w:r>
      <w:r>
        <w:rPr>
          <w:color w:val="000000"/>
          <w:spacing w:val="0"/>
          <w:w w:val="100"/>
          <w:position w:val="0"/>
        </w:rPr>
        <w:t>，</w:t>
      </w:r>
      <w:r>
        <w:rPr>
          <w:color w:val="000000"/>
          <w:spacing w:val="0"/>
          <w:w w:val="100"/>
          <w:position w:val="0"/>
        </w:rPr>
        <w:t>盘点结果如与账面记录不符，根据管理权限报经批准后，在年终结账前处 理完毕，计入当期损益。</w:t>
      </w:r>
    </w:p>
    <w:p>
      <w:pPr>
        <w:pStyle w:val="Style30"/>
        <w:keepNext w:val="0"/>
        <w:keepLines w:val="0"/>
        <w:widowControl w:val="0"/>
        <w:shd w:val="clear" w:color="auto" w:fill="auto"/>
        <w:tabs>
          <w:tab w:pos="440" w:val="left"/>
        </w:tabs>
        <w:bidi w:val="0"/>
        <w:spacing w:before="0" w:after="40" w:line="312" w:lineRule="exact"/>
        <w:ind w:left="0" w:right="0" w:firstLine="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低值易耗品的摊销方法：</w:t>
      </w:r>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低值易耗品采用一次摊销法摊销。</w:t>
      </w:r>
    </w:p>
    <w:p>
      <w:pPr>
        <w:pStyle w:val="Style35"/>
        <w:keepNext/>
        <w:keepLines/>
        <w:widowControl w:val="0"/>
        <w:shd w:val="clear" w:color="auto" w:fill="auto"/>
        <w:tabs>
          <w:tab w:pos="430" w:val="left"/>
        </w:tabs>
        <w:bidi w:val="0"/>
        <w:spacing w:before="0" w:after="280" w:line="240" w:lineRule="auto"/>
        <w:ind w:left="0" w:right="0" w:firstLine="0"/>
        <w:jc w:val="left"/>
        <w:rPr>
          <w:sz w:val="18"/>
          <w:szCs w:val="18"/>
        </w:rPr>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sz w:val="18"/>
          <w:szCs w:val="18"/>
        </w:rPr>
        <w:t>1</w:t>
      </w:r>
      <w:bookmarkEnd w:id="816"/>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合同资产</w:t>
      </w:r>
      <w:bookmarkEnd w:id="814"/>
      <w:bookmarkEnd w:id="815"/>
      <w:bookmarkEnd w:id="817"/>
    </w:p>
    <w:p>
      <w:pPr>
        <w:pStyle w:val="Style30"/>
        <w:keepNext w:val="0"/>
        <w:keepLines w:val="0"/>
        <w:widowControl w:val="0"/>
        <w:shd w:val="clear" w:color="auto" w:fill="auto"/>
        <w:tabs>
          <w:tab w:pos="440" w:val="left"/>
        </w:tabs>
        <w:bidi w:val="0"/>
        <w:spacing w:before="0" w:after="40" w:line="312" w:lineRule="exact"/>
        <w:ind w:left="0" w:right="0" w:firstLine="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p>
    <w:p>
      <w:pPr>
        <w:pStyle w:val="Style30"/>
        <w:keepNext w:val="0"/>
        <w:keepLines w:val="0"/>
        <w:widowControl w:val="0"/>
        <w:shd w:val="clear" w:color="auto" w:fill="auto"/>
        <w:bidi w:val="0"/>
        <w:spacing w:before="0" w:after="380" w:line="312" w:lineRule="exact"/>
        <w:ind w:left="0" w:right="0" w:firstLine="360"/>
        <w:jc w:val="both"/>
      </w:pPr>
      <w:bookmarkStart w:id="819" w:name="bookmark819"/>
      <w:r>
        <w:rPr>
          <w:color w:val="000000"/>
          <w:spacing w:val="0"/>
          <w:w w:val="100"/>
          <w:position w:val="0"/>
        </w:rPr>
        <w:t>合</w:t>
      </w:r>
      <w:bookmarkEnd w:id="819"/>
      <w:r>
        <w:rPr>
          <w:color w:val="000000"/>
          <w:spacing w:val="0"/>
          <w:w w:val="100"/>
          <w:position w:val="0"/>
        </w:rPr>
        <w:t>同资产，是指公司已向客户转让商品而有权收取对价的权利，且该权利取决于时间流逝之外的其他因素。如公司向客 户销售两项可明确区分的商品，因已交付其中一项商品而有权收取款项，但收取该款项还取决于交付另一项商品的，公司将 该收款权利作为合同资产。</w:t>
      </w:r>
    </w:p>
    <w:p>
      <w:pPr>
        <w:pStyle w:val="Style30"/>
        <w:keepNext w:val="0"/>
        <w:keepLines w:val="0"/>
        <w:widowControl w:val="0"/>
        <w:shd w:val="clear" w:color="auto" w:fill="auto"/>
        <w:tabs>
          <w:tab w:pos="440" w:val="left"/>
        </w:tabs>
        <w:bidi w:val="0"/>
        <w:spacing w:before="0" w:after="40" w:line="312" w:lineRule="exact"/>
        <w:ind w:left="0" w:right="0" w:firstLine="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合同资产预期信用损失的确定方法及会计处理方法</w:t>
      </w:r>
    </w:p>
    <w:p>
      <w:pPr>
        <w:pStyle w:val="Style30"/>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对于合同资产，无论是否包含重大融资成分，公司始终按照相当于整个存续期内预期信用损失的金额计量其损失准备， 由此形成的损失准备的增加或转回金额，作为减值损失或利得计入当期损益。</w:t>
      </w:r>
    </w:p>
    <w:p>
      <w:pPr>
        <w:pStyle w:val="Style30"/>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公司在资产负债表日计算合同资产预期信用损失，如果该预期信用损失大于当前合同资产减值准备的账面金额，将其差 额确认为减值损失；每个资产负债表日重新计量预期信用损失，由此形成的损失准备的转回金额，确认为减值利得。</w:t>
      </w:r>
    </w:p>
    <w:p>
      <w:pPr>
        <w:pStyle w:val="Style30"/>
        <w:keepNext w:val="0"/>
        <w:keepLines w:val="0"/>
        <w:widowControl w:val="0"/>
        <w:shd w:val="clear" w:color="auto" w:fill="auto"/>
        <w:bidi w:val="0"/>
        <w:spacing w:before="0" w:after="720" w:line="240" w:lineRule="auto"/>
        <w:ind w:left="0" w:right="0" w:firstLine="380"/>
        <w:jc w:val="both"/>
      </w:pPr>
      <w:r>
        <w:rPr>
          <w:color w:val="000000"/>
          <w:spacing w:val="0"/>
          <w:w w:val="100"/>
          <w:position w:val="0"/>
        </w:rPr>
        <w:t>公司对合同资产的预期信用损失的确定方法及会计处理方法详见附注五、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5"/>
        <w:keepNext/>
        <w:keepLines/>
        <w:widowControl w:val="0"/>
        <w:shd w:val="clear" w:color="auto" w:fill="auto"/>
        <w:bidi w:val="0"/>
        <w:spacing w:before="0" w:after="280" w:line="240" w:lineRule="auto"/>
        <w:ind w:left="0" w:right="0" w:firstLine="0"/>
        <w:jc w:val="left"/>
        <w:rPr>
          <w:sz w:val="18"/>
          <w:szCs w:val="18"/>
        </w:rPr>
      </w:pPr>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、长期股权投资</w:t>
      </w:r>
      <w:bookmarkEnd w:id="821"/>
      <w:bookmarkEnd w:id="822"/>
      <w:bookmarkEnd w:id="823"/>
    </w:p>
    <w:p>
      <w:pPr>
        <w:pStyle w:val="Style30"/>
        <w:keepNext w:val="0"/>
        <w:keepLines w:val="0"/>
        <w:widowControl w:val="0"/>
        <w:shd w:val="clear" w:color="auto" w:fill="auto"/>
        <w:tabs>
          <w:tab w:pos="433" w:val="left"/>
        </w:tabs>
        <w:bidi w:val="0"/>
        <w:spacing w:before="0" w:after="120" w:line="312" w:lineRule="exact"/>
        <w:ind w:left="0" w:right="0" w:firstLine="0"/>
        <w:jc w:val="left"/>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长期股权投资的分类</w:t>
      </w:r>
    </w:p>
    <w:p>
      <w:pPr>
        <w:pStyle w:val="Style30"/>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长期股权投资包括对子公司的投资和对合营企业、联营企业的投资。</w:t>
      </w:r>
    </w:p>
    <w:p>
      <w:pPr>
        <w:pStyle w:val="Style30"/>
        <w:keepNext w:val="0"/>
        <w:keepLines w:val="0"/>
        <w:widowControl w:val="0"/>
        <w:shd w:val="clear" w:color="auto" w:fill="auto"/>
        <w:tabs>
          <w:tab w:pos="433" w:val="left"/>
        </w:tabs>
        <w:bidi w:val="0"/>
        <w:spacing w:before="0" w:after="120" w:line="312" w:lineRule="exact"/>
        <w:ind w:left="0" w:right="0" w:firstLine="0"/>
        <w:jc w:val="left"/>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长期股权投资的计量：</w:t>
      </w:r>
    </w:p>
    <w:p>
      <w:pPr>
        <w:pStyle w:val="Style30"/>
        <w:keepNext w:val="0"/>
        <w:keepLines w:val="0"/>
        <w:widowControl w:val="0"/>
        <w:shd w:val="clear" w:color="auto" w:fill="auto"/>
        <w:tabs>
          <w:tab w:pos="870" w:val="left"/>
        </w:tabs>
        <w:bidi w:val="0"/>
        <w:spacing w:before="0" w:after="120" w:line="312" w:lineRule="exact"/>
        <w:ind w:left="0" w:right="0" w:firstLine="480"/>
        <w:jc w:val="both"/>
      </w:pPr>
      <w:bookmarkStart w:id="826" w:name="bookmark826"/>
      <w:r>
        <w:rPr>
          <w:rFonts w:ascii="Times New Roman" w:eastAsia="Times New Roman" w:hAnsi="Times New Roman" w:cs="Times New Roman"/>
          <w:color w:val="000000"/>
          <w:spacing w:val="0"/>
          <w:w w:val="100"/>
          <w:position w:val="0"/>
        </w:rPr>
        <w:t>A</w:t>
      </w:r>
      <w:bookmarkEnd w:id="826"/>
      <w:r>
        <w:rPr>
          <w:color w:val="000000"/>
          <w:spacing w:val="0"/>
          <w:w w:val="100"/>
          <w:position w:val="0"/>
        </w:rPr>
        <w:t>、</w:t>
        <w:tab/>
      </w:r>
      <w:r>
        <w:rPr>
          <w:color w:val="000000"/>
          <w:spacing w:val="0"/>
          <w:w w:val="100"/>
          <w:position w:val="0"/>
        </w:rPr>
        <w:t>企业合并形成的长期股权投资</w:t>
      </w:r>
    </w:p>
    <w:p>
      <w:pPr>
        <w:pStyle w:val="Style30"/>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 资初始投资成本与支付的现金、转让的非现金资产以及所承担债务账面价值之间的差额调整资本公积；资本公积不足冲减 的，调整留存收益。</w:t>
      </w:r>
    </w:p>
    <w:p>
      <w:pPr>
        <w:pStyle w:val="Style3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公司通过多次交易分步实现同一控制下企业合并形成的长期股权投资，在个别财务报表和合并财务报表中，将按持股 比例享有在合并日被合并方所有者权益账面价值的份额作为初始投资成本。合并日之前所持被合并方的股权投资账面价值 加上合并日新增投资成本，与长期股权投资初始投资成本之间的差额调整资本公积；资本公积不足冲减的，调整留存收益。</w:t>
      </w:r>
    </w:p>
    <w:p>
      <w:pPr>
        <w:pStyle w:val="Style3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非同一控制下的企业合并形成的，在购买日按照支付的合并对价的公允价值作为其初始投资成本。公司通过多次交易 分步实现非同一控制下企业合并形成的长期股权投资，区分个别财务报表和合并财务报表进行相关会计处理：</w:t>
      </w:r>
      <w:r>
        <w:rPr>
          <w:rFonts w:ascii="Times New Roman" w:eastAsia="Times New Roman" w:hAnsi="Times New Roman" w:cs="Times New Roman"/>
          <w:color w:val="000000"/>
          <w:spacing w:val="0"/>
          <w:w w:val="100"/>
          <w:position w:val="0"/>
        </w:rPr>
        <w:t>1）</w:t>
      </w:r>
      <w:r>
        <w:rPr>
          <w:color w:val="000000"/>
          <w:spacing w:val="0"/>
          <w:w w:val="100"/>
          <w:position w:val="0"/>
        </w:rPr>
        <w:t>在个别财 务报表中，以购买日之前所持被购买方的股权投资的账面价值与购买日新增投资成本之和，作为该项投资的初始投资成本; 购买日之前持有的被购买方的股权涉及其他综合收益的，在处置该项投资时将与其相关的其他综合收益转入当期投资收 益。</w:t>
      </w:r>
      <w:r>
        <w:rPr>
          <w:rFonts w:ascii="Times New Roman" w:eastAsia="Times New Roman" w:hAnsi="Times New Roman" w:cs="Times New Roman"/>
          <w:color w:val="000000"/>
          <w:spacing w:val="0"/>
          <w:w w:val="100"/>
          <w:position w:val="0"/>
        </w:rPr>
        <w:t>2）</w:t>
      </w:r>
      <w:r>
        <w:rPr>
          <w:color w:val="000000"/>
          <w:spacing w:val="0"/>
          <w:w w:val="100"/>
          <w:position w:val="0"/>
        </w:rPr>
        <w:t>在合并财务报表中，对于购买日之前持有的被购买方的股权，按照该股权在购买日的公允价值进行重新计量，公允 价值与其账面价值的差额计入当期投资收益；购买日之前持有的被购买方的股权涉及其他综合收益的，与其相关的其他综 合收益转为购买日所属当期投资收益。</w:t>
      </w:r>
    </w:p>
    <w:p>
      <w:pPr>
        <w:pStyle w:val="Style30"/>
        <w:keepNext w:val="0"/>
        <w:keepLines w:val="0"/>
        <w:widowControl w:val="0"/>
        <w:shd w:val="clear" w:color="auto" w:fill="auto"/>
        <w:tabs>
          <w:tab w:pos="870" w:val="left"/>
        </w:tabs>
        <w:bidi w:val="0"/>
        <w:spacing w:before="0" w:after="120" w:line="312" w:lineRule="exact"/>
        <w:ind w:left="0" w:right="0" w:firstLine="480"/>
        <w:jc w:val="both"/>
      </w:pPr>
      <w:bookmarkStart w:id="827" w:name="bookmark827"/>
      <w:r>
        <w:rPr>
          <w:rFonts w:ascii="Times New Roman" w:eastAsia="Times New Roman" w:hAnsi="Times New Roman" w:cs="Times New Roman"/>
          <w:color w:val="000000"/>
          <w:spacing w:val="0"/>
          <w:w w:val="100"/>
          <w:position w:val="0"/>
        </w:rPr>
        <w:t>B</w:t>
      </w:r>
      <w:bookmarkEnd w:id="827"/>
      <w:r>
        <w:rPr>
          <w:color w:val="000000"/>
          <w:spacing w:val="0"/>
          <w:w w:val="100"/>
          <w:position w:val="0"/>
        </w:rPr>
        <w:t>、</w:t>
        <w:tab/>
      </w:r>
      <w:r>
        <w:rPr>
          <w:color w:val="000000"/>
          <w:spacing w:val="0"/>
          <w:w w:val="100"/>
          <w:position w:val="0"/>
        </w:rPr>
        <w:t>企业合并以外的其他方式取得的长期股权投资</w:t>
      </w:r>
    </w:p>
    <w:p>
      <w:pPr>
        <w:pStyle w:val="Style3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以支付现金取得的长期股权投资，按照实际支付的购买价款作为投资成本。投资成本包括与取得长期股权投资直接相 关的费用、税金及其他必要支出；发行权益性证券取得的长期股权投资，按照发行权益性证券的公允价值作为投资成本； 通过非货币性资产交换（该项交换具有商业实质）取得的长期股权投资，其投资成本以该项投资的公允价值和应支付的相 关税费作为换入资产的成本；通过债务重组取得的长期股权投资，债权人将享有股份的公允价值确认为对债务人的投资。</w:t>
      </w:r>
    </w:p>
    <w:p>
      <w:pPr>
        <w:pStyle w:val="Style30"/>
        <w:keepNext w:val="0"/>
        <w:keepLines w:val="0"/>
        <w:widowControl w:val="0"/>
        <w:shd w:val="clear" w:color="auto" w:fill="auto"/>
        <w:tabs>
          <w:tab w:pos="433" w:val="left"/>
        </w:tabs>
        <w:bidi w:val="0"/>
        <w:spacing w:before="0" w:after="120" w:line="312" w:lineRule="exact"/>
        <w:ind w:left="0" w:right="0" w:firstLine="0"/>
        <w:jc w:val="left"/>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后续计量：</w:t>
      </w:r>
    </w:p>
    <w:p>
      <w:pPr>
        <w:pStyle w:val="Style30"/>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对被投资单位能够实施控制的长期股权投资采用成本法核算；对具有共同控制、重大影响的长期股权投资，采用权益 法核算。</w:t>
      </w:r>
    </w:p>
    <w:p>
      <w:pPr>
        <w:pStyle w:val="Style30"/>
        <w:keepNext w:val="0"/>
        <w:keepLines w:val="0"/>
        <w:widowControl w:val="0"/>
        <w:shd w:val="clear" w:color="auto" w:fill="auto"/>
        <w:tabs>
          <w:tab w:pos="433" w:val="left"/>
        </w:tabs>
        <w:bidi w:val="0"/>
        <w:spacing w:before="0" w:after="120" w:line="312" w:lineRule="exact"/>
        <w:ind w:left="0" w:right="0" w:firstLine="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4</w:t>
      </w:r>
      <w:r>
        <w:rPr>
          <w:color w:val="000000"/>
          <w:spacing w:val="0"/>
          <w:w w:val="100"/>
          <w:position w:val="0"/>
        </w:rPr>
        <w:t>）</w:t>
        <w:tab/>
        <w:t>确定对被投资单位具有重大影响的依据：</w:t>
      </w:r>
    </w:p>
    <w:p>
      <w:pPr>
        <w:pStyle w:val="Style3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对被投资单位的财务和经营政策有参与决策的权力，但并不能够控制或者与其他方一起共同控制这些政策的制定的， 认定为重大影响。</w:t>
      </w:r>
    </w:p>
    <w:p>
      <w:pPr>
        <w:pStyle w:val="Style30"/>
        <w:keepNext w:val="0"/>
        <w:keepLines w:val="0"/>
        <w:widowControl w:val="0"/>
        <w:shd w:val="clear" w:color="auto" w:fill="auto"/>
        <w:tabs>
          <w:tab w:pos="433" w:val="left"/>
        </w:tabs>
        <w:bidi w:val="0"/>
        <w:spacing w:before="0" w:after="120" w:line="312" w:lineRule="exact"/>
        <w:ind w:left="0" w:right="0" w:firstLine="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30"/>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w:t>
      </w:r>
      <w:r>
        <w:rPr>
          <w:color w:val="000000"/>
          <w:spacing w:val="0"/>
          <w:w w:val="100"/>
          <w:position w:val="0"/>
        </w:rPr>
        <w:t>、长期资产减值</w:t>
      </w:r>
    </w:p>
    <w:p>
      <w:pPr>
        <w:pStyle w:val="Style35"/>
        <w:keepNext/>
        <w:keepLines/>
        <w:widowControl w:val="0"/>
        <w:shd w:val="clear" w:color="auto" w:fill="auto"/>
        <w:tabs>
          <w:tab w:pos="430" w:val="left"/>
        </w:tabs>
        <w:bidi w:val="0"/>
        <w:spacing w:before="0" w:after="300" w:line="240" w:lineRule="auto"/>
        <w:ind w:left="0" w:right="0" w:firstLine="0"/>
        <w:jc w:val="left"/>
        <w:rPr>
          <w:sz w:val="18"/>
          <w:szCs w:val="18"/>
        </w:rPr>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sz w:val="18"/>
          <w:szCs w:val="18"/>
        </w:rPr>
        <w:t>1</w:t>
      </w:r>
      <w:bookmarkEnd w:id="833"/>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投资性房地产</w:t>
      </w:r>
      <w:bookmarkEnd w:id="831"/>
      <w:bookmarkEnd w:id="832"/>
      <w:bookmarkEnd w:id="834"/>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5"/>
        <w:keepNext/>
        <w:keepLines/>
        <w:widowControl w:val="0"/>
        <w:shd w:val="clear" w:color="auto" w:fill="auto"/>
        <w:tabs>
          <w:tab w:pos="430" w:val="left"/>
        </w:tabs>
        <w:bidi w:val="0"/>
        <w:spacing w:before="0" w:after="360" w:line="240" w:lineRule="auto"/>
        <w:ind w:left="0" w:right="0" w:firstLine="0"/>
        <w:jc w:val="left"/>
        <w:rPr>
          <w:sz w:val="18"/>
          <w:szCs w:val="18"/>
        </w:rPr>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sz w:val="18"/>
          <w:szCs w:val="18"/>
        </w:rPr>
        <w:t>1</w:t>
      </w:r>
      <w:bookmarkEnd w:id="837"/>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tab/>
        <w:t>固定资产</w:t>
      </w:r>
      <w:bookmarkEnd w:id="835"/>
      <w:bookmarkEnd w:id="836"/>
      <w:bookmarkEnd w:id="838"/>
    </w:p>
    <w:p>
      <w:pPr>
        <w:pStyle w:val="Style40"/>
        <w:keepNext/>
        <w:keepLines/>
        <w:widowControl w:val="0"/>
        <w:shd w:val="clear" w:color="auto" w:fill="auto"/>
        <w:bidi w:val="0"/>
        <w:spacing w:before="0" w:after="300" w:line="240" w:lineRule="auto"/>
        <w:ind w:left="0" w:right="0" w:firstLine="0"/>
        <w:jc w:val="left"/>
        <w:rPr>
          <w:sz w:val="18"/>
          <w:szCs w:val="18"/>
        </w:rPr>
      </w:pPr>
      <w:bookmarkStart w:id="839" w:name="bookmark839"/>
      <w:bookmarkStart w:id="840" w:name="bookmark840"/>
      <w:bookmarkStart w:id="841" w:name="bookmark841"/>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）确认条件</w:t>
      </w:r>
      <w:bookmarkEnd w:id="839"/>
      <w:bookmarkEnd w:id="840"/>
      <w:bookmarkEnd w:id="841"/>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固定资产是指使用寿命超过一个会计年度的为生产商品、提供劳务、出租或经营管理而持有的有形资产。固定资产的确认条 件：①该固定资产包含的经济利益很可能流入企业；②该固定资产的成本能够可靠计量。</w:t>
      </w:r>
    </w:p>
    <w:p>
      <w:pPr>
        <w:pStyle w:val="Style40"/>
        <w:keepNext/>
        <w:keepLines/>
        <w:widowControl w:val="0"/>
        <w:shd w:val="clear" w:color="auto" w:fill="auto"/>
        <w:bidi w:val="0"/>
        <w:spacing w:before="0" w:line="240" w:lineRule="auto"/>
        <w:ind w:left="0" w:right="0" w:firstLine="0"/>
        <w:jc w:val="both"/>
        <w:rPr>
          <w:sz w:val="18"/>
          <w:szCs w:val="18"/>
        </w:rPr>
      </w:pPr>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）折旧方法</w:t>
      </w:r>
      <w:bookmarkEnd w:id="842"/>
      <w:bookmarkEnd w:id="843"/>
      <w:bookmarkEnd w:id="844"/>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both"/>
        <w:rPr>
          <w:sz w:val="18"/>
          <w:szCs w:val="18"/>
        </w:rPr>
      </w:pPr>
      <w:bookmarkStart w:id="845" w:name="bookmark845"/>
      <w:bookmarkStart w:id="846" w:name="bookmark846"/>
      <w:bookmarkStart w:id="847" w:name="bookmark847"/>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）融资租入固定资产的认定依据、计价和折旧方法</w:t>
      </w:r>
      <w:bookmarkEnd w:id="845"/>
      <w:bookmarkEnd w:id="846"/>
      <w:bookmarkEnd w:id="847"/>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融资租赁为实质上转移了资产所有权有关的全部风险和报酬的租赁，其所有权最终可能转移，也可能不转移。以融资租赁方 式租入的固定资产采用与自有固定资产相一致的政策计提租赁资产折旧。能够合理确定租赁期届满时取得租赁资产所有权 的，在租赁资产使用寿命内计提折旧，无法合理确定租赁期届满时，能够取得租赁资产所有权的，在租赁期与租赁资产使用 寿命两者中较短的期间内计提折旧。</w:t>
      </w:r>
    </w:p>
    <w:p>
      <w:pPr>
        <w:pStyle w:val="Style35"/>
        <w:keepNext/>
        <w:keepLines/>
        <w:widowControl w:val="0"/>
        <w:shd w:val="clear" w:color="auto" w:fill="auto"/>
        <w:bidi w:val="0"/>
        <w:spacing w:before="0" w:after="300" w:line="240" w:lineRule="auto"/>
        <w:ind w:left="0" w:right="0" w:firstLine="0"/>
        <w:jc w:val="both"/>
        <w:rPr>
          <w:sz w:val="18"/>
          <w:szCs w:val="18"/>
        </w:rPr>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、在建工程</w:t>
      </w:r>
      <w:bookmarkEnd w:id="848"/>
      <w:bookmarkEnd w:id="849"/>
      <w:bookmarkEnd w:id="850"/>
    </w:p>
    <w:p>
      <w:pPr>
        <w:pStyle w:val="Style30"/>
        <w:keepNext w:val="0"/>
        <w:keepLines w:val="0"/>
        <w:widowControl w:val="0"/>
        <w:shd w:val="clear" w:color="auto" w:fill="auto"/>
        <w:tabs>
          <w:tab w:pos="536" w:val="left"/>
        </w:tabs>
        <w:bidi w:val="0"/>
        <w:spacing w:before="0" w:after="120" w:line="314" w:lineRule="exact"/>
        <w:ind w:left="0" w:right="0" w:firstLine="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在建工程按各项工程所发生的实际支出核算，在达到预定可使用状态时转作固定资产。所建造的固定资产已达到预定 可使用状态，但尚未办理竣工决算手续的，自达到预定可使用状态之日起，根据工程预算、造价或者工程实际成本等，按估 计的价值转入固定资产，并计提固定资产的折旧，待办理了竣工决算手续后再对原估计值进行调整。购建或者生产符合资本 化条件的资产而借入的专门借款或占用了一般借款发生的借款利息以及专门借款发生的辅助费用，在所购建或者生产的符合 资本化条件的资产达到预定可使用或者可销售状态之前根据其发生额予以资本化。</w:t>
      </w:r>
    </w:p>
    <w:p>
      <w:pPr>
        <w:pStyle w:val="Style30"/>
        <w:keepNext w:val="0"/>
        <w:keepLines w:val="0"/>
        <w:widowControl w:val="0"/>
        <w:shd w:val="clear" w:color="auto" w:fill="auto"/>
        <w:tabs>
          <w:tab w:pos="440" w:val="left"/>
        </w:tabs>
        <w:bidi w:val="0"/>
        <w:spacing w:before="0" w:after="120" w:line="314" w:lineRule="exact"/>
        <w:ind w:left="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在建工程减值准备的确认标准、计提方法</w:t>
      </w:r>
    </w:p>
    <w:p>
      <w:pPr>
        <w:pStyle w:val="Style30"/>
        <w:keepNext w:val="0"/>
        <w:keepLines w:val="0"/>
        <w:widowControl w:val="0"/>
        <w:shd w:val="clear" w:color="auto" w:fill="auto"/>
        <w:bidi w:val="0"/>
        <w:spacing w:before="0" w:after="1000" w:line="314" w:lineRule="exact"/>
        <w:ind w:left="0" w:right="0" w:firstLine="50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w:t>
      </w:r>
      <w:r>
        <w:rPr>
          <w:color w:val="000000"/>
          <w:spacing w:val="0"/>
          <w:w w:val="100"/>
          <w:position w:val="0"/>
        </w:rPr>
        <w:t>、长期资产减值</w:t>
      </w:r>
    </w:p>
    <w:p>
      <w:pPr>
        <w:pStyle w:val="Style35"/>
        <w:keepNext/>
        <w:keepLines/>
        <w:widowControl w:val="0"/>
        <w:shd w:val="clear" w:color="auto" w:fill="auto"/>
        <w:bidi w:val="0"/>
        <w:spacing w:before="0" w:after="300" w:line="240" w:lineRule="auto"/>
        <w:ind w:left="0" w:right="0" w:firstLine="0"/>
        <w:jc w:val="both"/>
        <w:rPr>
          <w:sz w:val="18"/>
          <w:szCs w:val="18"/>
        </w:rPr>
      </w:pPr>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、借款费用</w:t>
      </w:r>
      <w:bookmarkEnd w:id="853"/>
      <w:bookmarkEnd w:id="854"/>
      <w:bookmarkEnd w:id="855"/>
    </w:p>
    <w:p>
      <w:pPr>
        <w:pStyle w:val="Style30"/>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）公司发生的借款费用，可直接归属于符合资本化条件的资产的购建或者生产的，予以资本化，计入相关资产成 本；其他借款费用，在发生时根据其发生额确认为费用，计入当期损益。</w:t>
      </w:r>
    </w:p>
    <w:p>
      <w:pPr>
        <w:pStyle w:val="Style30"/>
        <w:keepNext w:val="0"/>
        <w:keepLines w:val="0"/>
        <w:widowControl w:val="0"/>
        <w:shd w:val="clear" w:color="auto" w:fill="auto"/>
        <w:tabs>
          <w:tab w:pos="940" w:val="left"/>
        </w:tabs>
        <w:bidi w:val="0"/>
        <w:spacing w:before="0" w:after="100" w:line="313" w:lineRule="exact"/>
        <w:ind w:left="0" w:right="0" w:firstLine="50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借款费用同时满足以下条件时予以资本化：</w:t>
      </w:r>
    </w:p>
    <w:p>
      <w:pPr>
        <w:pStyle w:val="Style30"/>
        <w:keepNext w:val="0"/>
        <w:keepLines w:val="0"/>
        <w:widowControl w:val="0"/>
        <w:shd w:val="clear" w:color="auto" w:fill="auto"/>
        <w:tabs>
          <w:tab w:pos="810" w:val="left"/>
        </w:tabs>
        <w:bidi w:val="0"/>
        <w:spacing w:before="0" w:after="100" w:line="317" w:lineRule="exact"/>
        <w:ind w:left="0" w:right="0" w:firstLine="500"/>
        <w:jc w:val="both"/>
      </w:pPr>
      <w:bookmarkStart w:id="857" w:name="bookmark857"/>
      <w:r>
        <w:rPr>
          <w:rFonts w:ascii="Times New Roman" w:eastAsia="Times New Roman" w:hAnsi="Times New Roman" w:cs="Times New Roman"/>
          <w:color w:val="000000"/>
          <w:spacing w:val="0"/>
          <w:w w:val="100"/>
          <w:position w:val="0"/>
        </w:rPr>
        <w:t>a</w:t>
      </w:r>
      <w:bookmarkEnd w:id="857"/>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30"/>
        <w:keepNext w:val="0"/>
        <w:keepLines w:val="0"/>
        <w:widowControl w:val="0"/>
        <w:shd w:val="clear" w:color="auto" w:fill="auto"/>
        <w:tabs>
          <w:tab w:pos="854" w:val="left"/>
        </w:tabs>
        <w:bidi w:val="0"/>
        <w:spacing w:before="0" w:after="100" w:line="313" w:lineRule="exact"/>
        <w:ind w:left="0" w:right="0" w:firstLine="500"/>
        <w:jc w:val="both"/>
      </w:pPr>
      <w:bookmarkStart w:id="858" w:name="bookmark858"/>
      <w:r>
        <w:rPr>
          <w:rFonts w:ascii="Times New Roman" w:eastAsia="Times New Roman" w:hAnsi="Times New Roman" w:cs="Times New Roman"/>
          <w:color w:val="000000"/>
          <w:spacing w:val="0"/>
          <w:w w:val="100"/>
          <w:position w:val="0"/>
        </w:rPr>
        <w:t>b</w:t>
      </w:r>
      <w:bookmarkEnd w:id="858"/>
      <w:r>
        <w:rPr>
          <w:color w:val="000000"/>
          <w:spacing w:val="0"/>
          <w:w w:val="100"/>
          <w:position w:val="0"/>
        </w:rPr>
        <w:t>、</w:t>
        <w:tab/>
      </w:r>
      <w:r>
        <w:rPr>
          <w:color w:val="000000"/>
          <w:spacing w:val="0"/>
          <w:w w:val="100"/>
          <w:position w:val="0"/>
        </w:rPr>
        <w:t>借款费用已经发生；</w:t>
      </w:r>
    </w:p>
    <w:p>
      <w:pPr>
        <w:pStyle w:val="Style30"/>
        <w:keepNext w:val="0"/>
        <w:keepLines w:val="0"/>
        <w:widowControl w:val="0"/>
        <w:shd w:val="clear" w:color="auto" w:fill="auto"/>
        <w:tabs>
          <w:tab w:pos="854" w:val="left"/>
        </w:tabs>
        <w:bidi w:val="0"/>
        <w:spacing w:before="0" w:after="100" w:line="313" w:lineRule="exact"/>
        <w:ind w:left="0" w:right="0" w:firstLine="500"/>
        <w:jc w:val="both"/>
      </w:pPr>
      <w:bookmarkStart w:id="859" w:name="bookmark859"/>
      <w:r>
        <w:rPr>
          <w:rFonts w:ascii="Times New Roman" w:eastAsia="Times New Roman" w:hAnsi="Times New Roman" w:cs="Times New Roman"/>
          <w:color w:val="000000"/>
          <w:spacing w:val="0"/>
          <w:w w:val="100"/>
          <w:position w:val="0"/>
        </w:rPr>
        <w:t>c</w:t>
      </w:r>
      <w:bookmarkEnd w:id="859"/>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30"/>
        <w:keepNext w:val="0"/>
        <w:keepLines w:val="0"/>
        <w:widowControl w:val="0"/>
        <w:shd w:val="clear" w:color="auto" w:fill="auto"/>
        <w:tabs>
          <w:tab w:pos="1016" w:val="left"/>
        </w:tabs>
        <w:bidi w:val="0"/>
        <w:spacing w:before="0" w:after="100" w:line="317" w:lineRule="exact"/>
        <w:ind w:left="0" w:right="0" w:firstLine="50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 用的资本化。在中断期间发生的借款费用应当确认为费用，计入当期损益，直至资产的购建或者生产活动重新开始。如果中 断是所购建或者生产的符合资本化条件的资产达到预定可使用或者可销售状态必要的程序，借款费用的资本化应当继续进 行。</w:t>
      </w:r>
    </w:p>
    <w:p>
      <w:pPr>
        <w:pStyle w:val="Style30"/>
        <w:keepNext w:val="0"/>
        <w:keepLines w:val="0"/>
        <w:widowControl w:val="0"/>
        <w:shd w:val="clear" w:color="auto" w:fill="auto"/>
        <w:tabs>
          <w:tab w:pos="1016" w:val="left"/>
        </w:tabs>
        <w:bidi w:val="0"/>
        <w:spacing w:before="0" w:after="700" w:line="314" w:lineRule="exact"/>
        <w:ind w:left="0" w:right="0" w:firstLine="50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4</w:t>
      </w:r>
      <w:r>
        <w:rPr>
          <w:color w:val="000000"/>
          <w:spacing w:val="0"/>
          <w:w w:val="100"/>
          <w:position w:val="0"/>
        </w:rPr>
        <w:t>）</w:t>
        <w:tab/>
        <w:t>购建或者生产符合资本化条件的资产达到预定可使用或者可销售状态时，借款费用应当停止资本化。在符合资 本化条件的资产达到预定可使用或者可销售状态之后所发生的借款费用，应当在发生时根据其发生额确认为费用，计入当期 损益。</w:t>
      </w:r>
    </w:p>
    <w:p>
      <w:pPr>
        <w:pStyle w:val="Style35"/>
        <w:keepNext/>
        <w:keepLines/>
        <w:widowControl w:val="0"/>
        <w:shd w:val="clear" w:color="auto" w:fill="auto"/>
        <w:bidi w:val="0"/>
        <w:spacing w:before="0" w:after="380" w:line="240" w:lineRule="auto"/>
        <w:ind w:left="0" w:right="0" w:firstLine="0"/>
        <w:jc w:val="left"/>
        <w:rPr>
          <w:sz w:val="18"/>
          <w:szCs w:val="18"/>
        </w:rPr>
      </w:pPr>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、无形资产</w:t>
      </w:r>
      <w:bookmarkEnd w:id="862"/>
      <w:bookmarkEnd w:id="863"/>
      <w:bookmarkEnd w:id="864"/>
    </w:p>
    <w:p>
      <w:pPr>
        <w:pStyle w:val="Style40"/>
        <w:keepNext/>
        <w:keepLines/>
        <w:widowControl w:val="0"/>
        <w:shd w:val="clear" w:color="auto" w:fill="auto"/>
        <w:bidi w:val="0"/>
        <w:spacing w:before="0" w:after="280" w:line="240" w:lineRule="auto"/>
        <w:ind w:left="0" w:right="0" w:firstLine="0"/>
        <w:jc w:val="left"/>
        <w:rPr>
          <w:sz w:val="18"/>
          <w:szCs w:val="18"/>
        </w:rPr>
      </w:pPr>
      <w:bookmarkStart w:id="865" w:name="bookmark865"/>
      <w:bookmarkStart w:id="866" w:name="bookmark866"/>
      <w:bookmarkStart w:id="867" w:name="bookmark867"/>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）计价方法、使用寿命、减值测试</w:t>
      </w:r>
      <w:bookmarkEnd w:id="865"/>
      <w:bookmarkEnd w:id="866"/>
      <w:bookmarkEnd w:id="867"/>
    </w:p>
    <w:p>
      <w:pPr>
        <w:pStyle w:val="Style30"/>
        <w:keepNext w:val="0"/>
        <w:keepLines w:val="0"/>
        <w:widowControl w:val="0"/>
        <w:numPr>
          <w:ilvl w:val="0"/>
          <w:numId w:val="47"/>
        </w:numPr>
        <w:shd w:val="clear" w:color="auto" w:fill="auto"/>
        <w:tabs>
          <w:tab w:pos="573" w:val="left"/>
        </w:tabs>
        <w:bidi w:val="0"/>
        <w:spacing w:before="0" w:after="100" w:line="313" w:lineRule="exact"/>
        <w:ind w:left="0" w:right="0" w:firstLine="200"/>
        <w:jc w:val="both"/>
      </w:pPr>
      <w:bookmarkStart w:id="868" w:name="bookmark868"/>
      <w:bookmarkEnd w:id="868"/>
      <w:r>
        <w:rPr>
          <w:color w:val="000000"/>
          <w:spacing w:val="0"/>
          <w:w w:val="100"/>
          <w:position w:val="0"/>
        </w:rPr>
        <w:t>无形资产的计量</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无形资产按取得时实际成本计价，其中购入的无形资产的成本，按使该项资产达到预定用途所发生的实际支出计价； 内部研究开发项目研究阶段的支出，于发生时计入当期损益；开发阶段的支出，能够符合资本化条件的，确认为无形资产成 本；投资者投入的无形资产，应当按照投资合同或协议约定的价值确定，但合同或协议约定价值不公允的除外；接受债务人 以非现金资产抵偿债务方式取得的无形资产，或以应收债权换入无形资产的，按换入无形资产的公允价值入账；非货币性交 易投入的无形资产，以该项无形资产的公允价值和应支付的相关税费作为入账成本；接受捐赠的无形资产，捐赠方提供了有 关凭据的，按凭据上标明的金额加上应支付的相关税费计价；捐赠方没有提供有关凭据的，如果同类或类似无形资产存在活 跃市场的，按同类或类似无形资产的市场价格估计的金额，加上应支付的相关税费，作为实际成本；如果同类或类似无形资 产不存在活跃市场的，按接受捐赠的无形资产的预计未来现金流量现值，作为实际成本。</w:t>
      </w:r>
    </w:p>
    <w:p>
      <w:pPr>
        <w:pStyle w:val="Style30"/>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无形资产期末按照账面价值与可回收金额孰低计量。</w:t>
      </w:r>
    </w:p>
    <w:p>
      <w:pPr>
        <w:pStyle w:val="Style30"/>
        <w:keepNext w:val="0"/>
        <w:keepLines w:val="0"/>
        <w:widowControl w:val="0"/>
        <w:numPr>
          <w:ilvl w:val="0"/>
          <w:numId w:val="47"/>
        </w:numPr>
        <w:shd w:val="clear" w:color="auto" w:fill="auto"/>
        <w:tabs>
          <w:tab w:pos="611" w:val="left"/>
        </w:tabs>
        <w:bidi w:val="0"/>
        <w:spacing w:before="0" w:after="100" w:line="313" w:lineRule="exact"/>
        <w:ind w:left="0" w:right="0" w:firstLine="200"/>
        <w:jc w:val="both"/>
      </w:pPr>
      <w:bookmarkStart w:id="869" w:name="bookmark869"/>
      <w:bookmarkEnd w:id="869"/>
      <w:r>
        <w:rPr>
          <w:color w:val="000000"/>
          <w:spacing w:val="0"/>
          <w:w w:val="100"/>
          <w:position w:val="0"/>
        </w:rPr>
        <w:t>无形资产的摊销方法</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使用寿命有限的无形资产，在估计该使用寿命的年限内按直线法摊销；无法预见无形资产为公司带来未来经济利益的 期限的，视为使用寿命不确定的无形资产。使用寿命不确定的无形资产不摊销。</w:t>
      </w:r>
    </w:p>
    <w:p>
      <w:pPr>
        <w:pStyle w:val="Style30"/>
        <w:keepNext w:val="0"/>
        <w:keepLines w:val="0"/>
        <w:widowControl w:val="0"/>
        <w:numPr>
          <w:ilvl w:val="0"/>
          <w:numId w:val="47"/>
        </w:numPr>
        <w:shd w:val="clear" w:color="auto" w:fill="auto"/>
        <w:tabs>
          <w:tab w:pos="611" w:val="left"/>
        </w:tabs>
        <w:bidi w:val="0"/>
        <w:spacing w:before="0" w:after="100" w:line="313" w:lineRule="exact"/>
        <w:ind w:left="0" w:right="0" w:firstLine="200"/>
        <w:jc w:val="both"/>
      </w:pPr>
      <w:bookmarkStart w:id="870" w:name="bookmark870"/>
      <w:bookmarkEnd w:id="870"/>
      <w:r>
        <w:rPr>
          <w:color w:val="000000"/>
          <w:spacing w:val="0"/>
          <w:w w:val="100"/>
          <w:position w:val="0"/>
        </w:rPr>
        <w:t>无形资产减值准备的确认标准、计提方法</w:t>
      </w:r>
    </w:p>
    <w:p>
      <w:pPr>
        <w:pStyle w:val="Style30"/>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w:t>
      </w:r>
      <w:r>
        <w:rPr>
          <w:color w:val="000000"/>
          <w:spacing w:val="0"/>
          <w:w w:val="100"/>
          <w:position w:val="0"/>
        </w:rPr>
        <w:t>、长期资产减值</w:t>
      </w:r>
    </w:p>
    <w:p>
      <w:pPr>
        <w:pStyle w:val="Style30"/>
        <w:keepNext w:val="0"/>
        <w:keepLines w:val="0"/>
        <w:widowControl w:val="0"/>
        <w:numPr>
          <w:ilvl w:val="0"/>
          <w:numId w:val="47"/>
        </w:numPr>
        <w:shd w:val="clear" w:color="auto" w:fill="auto"/>
        <w:tabs>
          <w:tab w:pos="611" w:val="left"/>
        </w:tabs>
        <w:bidi w:val="0"/>
        <w:spacing w:before="0" w:after="100" w:line="313" w:lineRule="exact"/>
        <w:ind w:left="0" w:right="0" w:firstLine="200"/>
        <w:jc w:val="left"/>
      </w:pPr>
      <w:bookmarkStart w:id="871" w:name="bookmark871"/>
      <w:bookmarkEnd w:id="871"/>
      <w:r>
        <w:rPr>
          <w:color w:val="000000"/>
          <w:spacing w:val="0"/>
          <w:w w:val="100"/>
          <w:position w:val="0"/>
        </w:rPr>
        <w:t>无形资产支出满足资本化的条件：</w:t>
      </w:r>
    </w:p>
    <w:p>
      <w:pPr>
        <w:pStyle w:val="Style30"/>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公司内部研究开发项目开发阶段的支出，符合下列各项时，确认为无形资产：</w:t>
      </w:r>
    </w:p>
    <w:p>
      <w:pPr>
        <w:pStyle w:val="Style30"/>
        <w:keepNext w:val="0"/>
        <w:keepLines w:val="0"/>
        <w:widowControl w:val="0"/>
        <w:numPr>
          <w:ilvl w:val="0"/>
          <w:numId w:val="49"/>
        </w:numPr>
        <w:shd w:val="clear" w:color="auto" w:fill="auto"/>
        <w:tabs>
          <w:tab w:pos="873" w:val="left"/>
        </w:tabs>
        <w:bidi w:val="0"/>
        <w:spacing w:before="0" w:after="100" w:line="313" w:lineRule="exact"/>
        <w:ind w:left="0" w:right="0" w:firstLine="500"/>
        <w:jc w:val="both"/>
      </w:pPr>
      <w:bookmarkStart w:id="872" w:name="bookmark872"/>
      <w:bookmarkEnd w:id="872"/>
      <w:r>
        <w:rPr>
          <w:color w:val="000000"/>
          <w:spacing w:val="0"/>
          <w:w w:val="100"/>
          <w:position w:val="0"/>
        </w:rPr>
        <w:t>从技术上来讲，完成该无形资产以使其能够使用或出售具有可行性。</w:t>
      </w:r>
    </w:p>
    <w:p>
      <w:pPr>
        <w:pStyle w:val="Style30"/>
        <w:keepNext w:val="0"/>
        <w:keepLines w:val="0"/>
        <w:widowControl w:val="0"/>
        <w:numPr>
          <w:ilvl w:val="0"/>
          <w:numId w:val="49"/>
        </w:numPr>
        <w:shd w:val="clear" w:color="auto" w:fill="auto"/>
        <w:tabs>
          <w:tab w:pos="873" w:val="left"/>
        </w:tabs>
        <w:bidi w:val="0"/>
        <w:spacing w:before="0" w:after="100" w:line="313" w:lineRule="exact"/>
        <w:ind w:left="0" w:right="0" w:firstLine="500"/>
        <w:jc w:val="both"/>
      </w:pPr>
      <w:bookmarkStart w:id="873" w:name="bookmark873"/>
      <w:bookmarkEnd w:id="873"/>
      <w:r>
        <w:rPr>
          <w:color w:val="000000"/>
          <w:spacing w:val="0"/>
          <w:w w:val="100"/>
          <w:position w:val="0"/>
        </w:rPr>
        <w:t>具有完成该无形资产并使用或出售的意图。</w:t>
      </w:r>
    </w:p>
    <w:p>
      <w:pPr>
        <w:pStyle w:val="Style30"/>
        <w:keepNext w:val="0"/>
        <w:keepLines w:val="0"/>
        <w:widowControl w:val="0"/>
        <w:numPr>
          <w:ilvl w:val="0"/>
          <w:numId w:val="49"/>
        </w:numPr>
        <w:shd w:val="clear" w:color="auto" w:fill="auto"/>
        <w:tabs>
          <w:tab w:pos="373" w:val="left"/>
        </w:tabs>
        <w:bidi w:val="0"/>
        <w:spacing w:before="0" w:after="120" w:line="313" w:lineRule="exact"/>
        <w:ind w:left="0" w:right="0" w:firstLine="500"/>
        <w:jc w:val="both"/>
      </w:pPr>
      <w:bookmarkStart w:id="874" w:name="bookmark874"/>
      <w:bookmarkEnd w:id="874"/>
      <w:r>
        <w:rPr>
          <w:color w:val="000000"/>
          <w:spacing w:val="0"/>
          <w:w w:val="100"/>
          <w:position w:val="0"/>
        </w:rPr>
        <w:t xml:space="preserve">无形资产产生未来经济利益的方式，包括能够证明运用该无形资产生产的产品存在市场或无形资产自身存在市场； </w:t>
      </w:r>
      <w:r>
        <w:rPr>
          <w:color w:val="000000"/>
          <w:spacing w:val="0"/>
          <w:w w:val="100"/>
          <w:position w:val="0"/>
        </w:rPr>
        <w:t>无形资产将在内部使用时，证明其有用性。</w:t>
      </w:r>
    </w:p>
    <w:p>
      <w:pPr>
        <w:pStyle w:val="Style30"/>
        <w:keepNext w:val="0"/>
        <w:keepLines w:val="0"/>
        <w:widowControl w:val="0"/>
        <w:numPr>
          <w:ilvl w:val="0"/>
          <w:numId w:val="49"/>
        </w:numPr>
        <w:shd w:val="clear" w:color="auto" w:fill="auto"/>
        <w:tabs>
          <w:tab w:pos="817" w:val="left"/>
        </w:tabs>
        <w:bidi w:val="0"/>
        <w:spacing w:before="0" w:after="120" w:line="312" w:lineRule="exact"/>
        <w:ind w:left="0" w:right="0" w:firstLine="500"/>
        <w:jc w:val="left"/>
      </w:pPr>
      <w:bookmarkStart w:id="875" w:name="bookmark875"/>
      <w:bookmarkEnd w:id="875"/>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49"/>
        </w:numPr>
        <w:shd w:val="clear" w:color="auto" w:fill="auto"/>
        <w:tabs>
          <w:tab w:pos="817" w:val="left"/>
        </w:tabs>
        <w:bidi w:val="0"/>
        <w:spacing w:before="0" w:after="800" w:line="312" w:lineRule="exact"/>
        <w:ind w:left="0" w:right="0" w:firstLine="500"/>
        <w:jc w:val="left"/>
      </w:pPr>
      <w:bookmarkStart w:id="876" w:name="bookmark876"/>
      <w:bookmarkEnd w:id="876"/>
      <w:r>
        <w:rPr>
          <w:color w:val="000000"/>
          <w:spacing w:val="0"/>
          <w:w w:val="100"/>
          <w:position w:val="0"/>
        </w:rPr>
        <w:t>归属于该无形资产开发阶段的支出能够可靠计量。</w:t>
      </w:r>
    </w:p>
    <w:p>
      <w:pPr>
        <w:pStyle w:val="Style40"/>
        <w:keepNext/>
        <w:keepLines/>
        <w:widowControl w:val="0"/>
        <w:shd w:val="clear" w:color="auto" w:fill="auto"/>
        <w:bidi w:val="0"/>
        <w:spacing w:before="0" w:after="300" w:line="240" w:lineRule="auto"/>
        <w:ind w:left="0" w:right="0" w:firstLine="0"/>
        <w:jc w:val="left"/>
        <w:rPr>
          <w:sz w:val="18"/>
          <w:szCs w:val="18"/>
        </w:rPr>
      </w:pPr>
      <w:bookmarkStart w:id="877" w:name="bookmark877"/>
      <w:bookmarkStart w:id="878" w:name="bookmark878"/>
      <w:bookmarkStart w:id="879" w:name="bookmark879"/>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）内部研究开发支出会计政策</w:t>
      </w:r>
      <w:bookmarkEnd w:id="877"/>
      <w:bookmarkEnd w:id="878"/>
      <w:bookmarkEnd w:id="879"/>
    </w:p>
    <w:p>
      <w:pPr>
        <w:pStyle w:val="Style30"/>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公司内部研究开发项目的支出分为研究阶段支出和开发阶段的支出。公司内部研究开发项目研究阶段的支出，在发生时 计入当期损益。公司内部研究开发项目开发阶段的支出，符合下列各项时，确认为无形资产：①从技术上来讲，完成该无形 资产以使其能够使用或出售具有可行性。②具有完成该无形资产并使用或出售的意图。③无形资产产生未来经济利益的方式, 包括能够证明运用该无形资产生产的产品存在市场或无形资产自身存在市场；无形资产将在内部使用时，证明其有用性。④ 有足够的技术、财务资源和其他资源支持，以完成该无形资产的开发，并有能力使用或出售该无形资产。⑤归属于该无形资 产开发阶段的支出能够可靠计量。无法区分研究阶段支出和开发阶段支出的，将发生的研发支出全部计入当期损益。</w:t>
      </w:r>
    </w:p>
    <w:p>
      <w:pPr>
        <w:pStyle w:val="Style35"/>
        <w:keepNext/>
        <w:keepLines/>
        <w:widowControl w:val="0"/>
        <w:shd w:val="clear" w:color="auto" w:fill="auto"/>
        <w:tabs>
          <w:tab w:pos="389" w:val="left"/>
        </w:tabs>
        <w:bidi w:val="0"/>
        <w:spacing w:before="0" w:after="300" w:line="240" w:lineRule="auto"/>
        <w:ind w:left="0" w:right="0" w:firstLine="0"/>
        <w:jc w:val="left"/>
        <w:rPr>
          <w:sz w:val="18"/>
          <w:szCs w:val="18"/>
        </w:rPr>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sz w:val="18"/>
          <w:szCs w:val="18"/>
        </w:rPr>
        <w:t>2</w:t>
      </w:r>
      <w:bookmarkEnd w:id="882"/>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w:t>
        <w:tab/>
        <w:t>长期资产减值</w:t>
      </w:r>
      <w:bookmarkEnd w:id="880"/>
      <w:bookmarkEnd w:id="881"/>
      <w:bookmarkEnd w:id="883"/>
    </w:p>
    <w:p>
      <w:pPr>
        <w:pStyle w:val="Style30"/>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长期股权投资、采用成本模式计量的投资性房地产、固定资产、在建工程、无形资产等长期资产，于资产负债表日存 在减值迹象的，进行减值测试。减值测试结果表明资产的可收回金额低于其账面价值的，按其差额计提减值准备并计入减值 损失。可收回金额为资产的公允价值减去处置费用后的净额与资产预计未来现金流量的现值两者之间的较高者。资产减值准 备按单项资产为基础计算并确认，如果难以对单项资产的可收回金额进行估计的，以该资产所属的资产组确定资产组的可收 回金额。资产组是能够独立产生现金流入的最小资产组合。</w:t>
      </w:r>
    </w:p>
    <w:p>
      <w:pPr>
        <w:pStyle w:val="Style30"/>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商誉至少在每年年度终了进行减值测试。公司进行商誉减值测试，对于因企业合并形成的商誉的账面价值，自购买日起 按照合理的方法分摊至相关的资产组；难以分摊至相关的资产组的，将其分摊至相关的资产组组合。在将商誉的账面价值分 摊至相关的资产组或者资产组组合时，按照各资产组或者资产组组合的公允价值占相关资产组或者资产组组合公允价值总额 的比例进行分摊。公允价值难以可靠计量的，按照各资产组或者资产组组合的账面价值占相关资产组或者资产组组合账面价 值总额的比例进行分摊。在对包含商誉的相关资产组或者资产组组合进行减值测试时，如与商誉相关的资产组或者资产组组 合存在减值迹象的，先对不包含商誉的资产组或者资产组组合进行减值测试，计算可收回金额，并与相关账面价值相比较， 确认相应的减值损失。再对包含商誉的资产组或者资产组组合进行减值测试，比较这些相关资产组或者资产组组合的账面价 值（包括所分摊的商誉的账面价值部分）与其可收回金额，如相关资产组或者资产组组合的可收回金额低于其账面价值的， 确认商誉的减值损失。</w:t>
      </w:r>
    </w:p>
    <w:p>
      <w:pPr>
        <w:pStyle w:val="Style30"/>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上述资产减值损失一经确认，在以后会计期间不予转回。</w:t>
      </w:r>
    </w:p>
    <w:p>
      <w:pPr>
        <w:pStyle w:val="Style35"/>
        <w:keepNext/>
        <w:keepLines/>
        <w:widowControl w:val="0"/>
        <w:shd w:val="clear" w:color="auto" w:fill="auto"/>
        <w:tabs>
          <w:tab w:pos="389" w:val="left"/>
        </w:tabs>
        <w:bidi w:val="0"/>
        <w:spacing w:before="0" w:after="300" w:line="240" w:lineRule="auto"/>
        <w:ind w:left="0" w:right="0" w:firstLine="0"/>
        <w:jc w:val="left"/>
        <w:rPr>
          <w:sz w:val="18"/>
          <w:szCs w:val="18"/>
        </w:rPr>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sz w:val="18"/>
          <w:szCs w:val="18"/>
        </w:rPr>
        <w:t>2</w:t>
      </w:r>
      <w:bookmarkEnd w:id="88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长期待摊费用</w:t>
      </w:r>
      <w:bookmarkEnd w:id="884"/>
      <w:bookmarkEnd w:id="885"/>
      <w:bookmarkEnd w:id="887"/>
    </w:p>
    <w:p>
      <w:pPr>
        <w:pStyle w:val="Style30"/>
        <w:keepNext w:val="0"/>
        <w:keepLines w:val="0"/>
        <w:widowControl w:val="0"/>
        <w:shd w:val="clear" w:color="auto" w:fill="auto"/>
        <w:bidi w:val="0"/>
        <w:spacing w:before="0" w:after="800" w:line="310" w:lineRule="exact"/>
        <w:ind w:left="0" w:right="0" w:firstLine="500"/>
        <w:jc w:val="both"/>
      </w:pPr>
      <w:r>
        <w:rPr>
          <w:color w:val="000000"/>
          <w:spacing w:val="0"/>
          <w:w w:val="100"/>
          <w:position w:val="0"/>
        </w:rPr>
        <w:t>长期待摊费用是指已经支出，但受益期限在一年以上（不含一年）的各项费用，长期待摊费用按发生时的实际成本计 价，并在受益期限内平均摊销。如果长期待摊费用项目不能使以后会计期间受益的，则将尚未摊销的该项目的摊余价值全部 转入当期损益。</w:t>
      </w:r>
    </w:p>
    <w:p>
      <w:pPr>
        <w:pStyle w:val="Style35"/>
        <w:keepNext/>
        <w:keepLines/>
        <w:widowControl w:val="0"/>
        <w:shd w:val="clear" w:color="auto" w:fill="auto"/>
        <w:bidi w:val="0"/>
        <w:spacing w:before="0" w:after="380" w:line="240" w:lineRule="auto"/>
        <w:ind w:left="0" w:right="0" w:firstLine="0"/>
        <w:jc w:val="left"/>
        <w:rPr>
          <w:sz w:val="18"/>
          <w:szCs w:val="18"/>
        </w:rPr>
      </w:pPr>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、合同负债</w:t>
      </w:r>
      <w:bookmarkEnd w:id="888"/>
      <w:bookmarkEnd w:id="889"/>
      <w:bookmarkEnd w:id="890"/>
    </w:p>
    <w:p>
      <w:pPr>
        <w:pStyle w:val="Style30"/>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 xml:space="preserve">合同负债反映公司已收或应收客户对价而应向客户转让商品的义务。公司在向客户转让商品之前，客户已经支付了合 </w:t>
      </w:r>
      <w:r>
        <w:rPr>
          <w:color w:val="000000"/>
          <w:spacing w:val="0"/>
          <w:w w:val="100"/>
          <w:position w:val="0"/>
        </w:rPr>
        <w:t>同对价或公司已经取得了无条件收取合同对价权利的，在客户实际支付款项与到期应支付款项孰早时点，按照已收或应收的 金额确认合同负债。</w:t>
      </w:r>
    </w:p>
    <w:p>
      <w:pPr>
        <w:pStyle w:val="Style30"/>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同一合同下的合同资产和合同负债以净额列示，不同合同下的合同资产和合同负债不予抵销。</w:t>
      </w:r>
    </w:p>
    <w:p>
      <w:pPr>
        <w:pStyle w:val="Style35"/>
        <w:keepNext/>
        <w:keepLines/>
        <w:widowControl w:val="0"/>
        <w:shd w:val="clear" w:color="auto" w:fill="auto"/>
        <w:bidi w:val="0"/>
        <w:spacing w:before="0" w:after="300" w:line="240" w:lineRule="auto"/>
        <w:ind w:left="0" w:right="0" w:firstLine="0"/>
        <w:jc w:val="left"/>
        <w:rPr>
          <w:sz w:val="18"/>
          <w:szCs w:val="18"/>
        </w:rPr>
      </w:pPr>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、职工薪酬</w:t>
      </w:r>
      <w:bookmarkEnd w:id="891"/>
      <w:bookmarkEnd w:id="892"/>
      <w:bookmarkEnd w:id="893"/>
    </w:p>
    <w:p>
      <w:pPr>
        <w:pStyle w:val="Style30"/>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职工薪酬是指企业为获得职工提供的服务或解除劳动关系而给予的各种形式的报酬或补偿。职工薪酬包括短期薪酬、 离职后福利、辞退福利和其他长期职工福利。</w:t>
      </w:r>
    </w:p>
    <w:p>
      <w:pPr>
        <w:pStyle w:val="Style40"/>
        <w:keepNext/>
        <w:keepLines/>
        <w:widowControl w:val="0"/>
        <w:shd w:val="clear" w:color="auto" w:fill="auto"/>
        <w:tabs>
          <w:tab w:pos="427" w:val="left"/>
        </w:tabs>
        <w:bidi w:val="0"/>
        <w:spacing w:before="0" w:after="300" w:line="240" w:lineRule="auto"/>
        <w:ind w:left="0" w:right="0" w:firstLine="0"/>
        <w:jc w:val="left"/>
        <w:rPr>
          <w:sz w:val="18"/>
          <w:szCs w:val="18"/>
        </w:rPr>
      </w:pPr>
      <w:bookmarkStart w:id="894" w:name="bookmark894"/>
      <w:bookmarkStart w:id="895" w:name="bookmark895"/>
      <w:bookmarkStart w:id="896" w:name="bookmark896"/>
      <w:bookmarkStart w:id="897" w:name="bookmark897"/>
      <w:r>
        <w:rPr>
          <w:color w:val="000000"/>
          <w:spacing w:val="0"/>
          <w:w w:val="100"/>
          <w:position w:val="0"/>
          <w:sz w:val="18"/>
          <w:szCs w:val="18"/>
        </w:rPr>
        <w:t>（</w:t>
      </w:r>
      <w:bookmarkEnd w:id="89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短期薪酬的会计处理方法</w:t>
      </w:r>
      <w:bookmarkEnd w:id="894"/>
      <w:bookmarkEnd w:id="895"/>
      <w:bookmarkEnd w:id="897"/>
    </w:p>
    <w:p>
      <w:pPr>
        <w:pStyle w:val="Style30"/>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短期薪酬，是指企业在职工提供相关服务的年度报告期间结束后十二个月内需要全部予以支付的职工薪酬，因解除与 职工的劳动关系给予的补偿除外。短期薪酬具体包括：职工工资、奖金、津贴、职工福利费、医疗保险费、工伤保险费和生 育保险费等社会保险费，住房公积金，工会经费和职工教育费，短期带薪缺勤，短期利润分享计划，非货币性福利以及其他 短期薪酬。公司在职工为其提供服务的会计期间，将实际发生的短期薪酬确认为负债，并计入当期损益，其他会计准则要求 或允许计入资产成本的除外。</w:t>
      </w:r>
    </w:p>
    <w:p>
      <w:pPr>
        <w:pStyle w:val="Style40"/>
        <w:keepNext/>
        <w:keepLines/>
        <w:widowControl w:val="0"/>
        <w:shd w:val="clear" w:color="auto" w:fill="auto"/>
        <w:tabs>
          <w:tab w:pos="427" w:val="left"/>
        </w:tabs>
        <w:bidi w:val="0"/>
        <w:spacing w:before="0" w:after="300" w:line="240" w:lineRule="auto"/>
        <w:ind w:left="0" w:right="0" w:firstLine="0"/>
        <w:jc w:val="left"/>
        <w:rPr>
          <w:sz w:val="18"/>
          <w:szCs w:val="18"/>
        </w:rPr>
      </w:pPr>
      <w:bookmarkStart w:id="898" w:name="bookmark898"/>
      <w:bookmarkStart w:id="899" w:name="bookmark899"/>
      <w:bookmarkStart w:id="900" w:name="bookmark900"/>
      <w:bookmarkStart w:id="901" w:name="bookmark901"/>
      <w:r>
        <w:rPr>
          <w:color w:val="000000"/>
          <w:spacing w:val="0"/>
          <w:w w:val="100"/>
          <w:position w:val="0"/>
          <w:sz w:val="18"/>
          <w:szCs w:val="18"/>
        </w:rPr>
        <w:t>（</w:t>
      </w:r>
      <w:bookmarkEnd w:id="90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离职后福利的会计处理方法</w:t>
      </w:r>
      <w:bookmarkEnd w:id="898"/>
      <w:bookmarkEnd w:id="899"/>
      <w:bookmarkEnd w:id="901"/>
    </w:p>
    <w:p>
      <w:pPr>
        <w:pStyle w:val="Style30"/>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离职后福利，是指企业为获得职工提供的服务而在职工退休或与企业解除劳动关系后，提供的各种形式的报酬和福利， 短期薪酬和辞退福利除外。公司在职工为其提供服务的会计期间，将根据设定的提存计划计算的应缴存金额确认为负债，并 计入当期损益或相关资产成本。</w:t>
      </w:r>
    </w:p>
    <w:p>
      <w:pPr>
        <w:pStyle w:val="Style40"/>
        <w:keepNext/>
        <w:keepLines/>
        <w:widowControl w:val="0"/>
        <w:shd w:val="clear" w:color="auto" w:fill="auto"/>
        <w:tabs>
          <w:tab w:pos="427" w:val="left"/>
        </w:tabs>
        <w:bidi w:val="0"/>
        <w:spacing w:before="0" w:after="300" w:line="240" w:lineRule="auto"/>
        <w:ind w:left="0" w:right="0" w:firstLine="0"/>
        <w:jc w:val="left"/>
        <w:rPr>
          <w:sz w:val="18"/>
          <w:szCs w:val="18"/>
        </w:rPr>
      </w:pPr>
      <w:bookmarkStart w:id="902" w:name="bookmark902"/>
      <w:bookmarkStart w:id="903" w:name="bookmark903"/>
      <w:bookmarkStart w:id="904" w:name="bookmark904"/>
      <w:bookmarkStart w:id="905" w:name="bookmark905"/>
      <w:r>
        <w:rPr>
          <w:color w:val="000000"/>
          <w:spacing w:val="0"/>
          <w:w w:val="100"/>
          <w:position w:val="0"/>
          <w:sz w:val="18"/>
          <w:szCs w:val="18"/>
        </w:rPr>
        <w:t>（</w:t>
      </w:r>
      <w:bookmarkEnd w:id="904"/>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辞退福利的会计处理方法</w:t>
      </w:r>
      <w:bookmarkEnd w:id="902"/>
      <w:bookmarkEnd w:id="903"/>
      <w:bookmarkEnd w:id="905"/>
    </w:p>
    <w:p>
      <w:pPr>
        <w:pStyle w:val="Style30"/>
        <w:keepNext w:val="0"/>
        <w:keepLines w:val="0"/>
        <w:widowControl w:val="0"/>
        <w:shd w:val="clear" w:color="auto" w:fill="auto"/>
        <w:bidi w:val="0"/>
        <w:spacing w:before="0" w:after="380" w:line="315" w:lineRule="exact"/>
        <w:ind w:left="0" w:right="0" w:firstLine="500"/>
        <w:jc w:val="both"/>
      </w:pPr>
      <w:r>
        <w:rPr>
          <w:color w:val="000000"/>
          <w:spacing w:val="0"/>
          <w:w w:val="100"/>
          <w:position w:val="0"/>
        </w:rPr>
        <w:t>辞退福利，是指企业在职工劳动合同到期之前解除与职工的劳动关系，或者为鼓励职工自愿接受裁减而给予职工的补 偿。公司向职工提供辞退福利的，在下列两者孰早日确认辞退福利产生的职工薪酬负债，并计入当期损益：（</w:t>
      </w:r>
      <w:r>
        <w:rPr>
          <w:rFonts w:ascii="Times New Roman" w:eastAsia="Times New Roman" w:hAnsi="Times New Roman" w:cs="Times New Roman"/>
          <w:color w:val="000000"/>
          <w:spacing w:val="0"/>
          <w:w w:val="100"/>
          <w:position w:val="0"/>
        </w:rPr>
        <w:t>1</w:t>
      </w:r>
      <w:r>
        <w:rPr>
          <w:color w:val="000000"/>
          <w:spacing w:val="0"/>
          <w:w w:val="100"/>
          <w:position w:val="0"/>
        </w:rPr>
        <w:t>）企业不能 单方面撤回因解除劳动关系计划或裁减建议所提供的辞退福利时。（</w:t>
      </w:r>
      <w:r>
        <w:rPr>
          <w:rFonts w:ascii="Times New Roman" w:eastAsia="Times New Roman" w:hAnsi="Times New Roman" w:cs="Times New Roman"/>
          <w:color w:val="000000"/>
          <w:spacing w:val="0"/>
          <w:w w:val="100"/>
          <w:position w:val="0"/>
        </w:rPr>
        <w:t>2</w:t>
      </w:r>
      <w:r>
        <w:rPr>
          <w:color w:val="000000"/>
          <w:spacing w:val="0"/>
          <w:w w:val="100"/>
          <w:position w:val="0"/>
        </w:rPr>
        <w:t>）企业确认与涉及支付辞退福利的重组相关的成本或 费用时。</w:t>
      </w:r>
    </w:p>
    <w:p>
      <w:pPr>
        <w:pStyle w:val="Style40"/>
        <w:keepNext/>
        <w:keepLines/>
        <w:widowControl w:val="0"/>
        <w:shd w:val="clear" w:color="auto" w:fill="auto"/>
        <w:tabs>
          <w:tab w:pos="427" w:val="left"/>
        </w:tabs>
        <w:bidi w:val="0"/>
        <w:spacing w:before="0" w:after="300" w:line="240" w:lineRule="auto"/>
        <w:ind w:left="0" w:right="0" w:firstLine="0"/>
        <w:jc w:val="left"/>
        <w:rPr>
          <w:sz w:val="18"/>
          <w:szCs w:val="18"/>
        </w:rPr>
      </w:pPr>
      <w:bookmarkStart w:id="906" w:name="bookmark906"/>
      <w:bookmarkStart w:id="907" w:name="bookmark907"/>
      <w:bookmarkStart w:id="908" w:name="bookmark908"/>
      <w:bookmarkStart w:id="909" w:name="bookmark909"/>
      <w:r>
        <w:rPr>
          <w:color w:val="000000"/>
          <w:spacing w:val="0"/>
          <w:w w:val="100"/>
          <w:position w:val="0"/>
          <w:sz w:val="18"/>
          <w:szCs w:val="18"/>
        </w:rPr>
        <w:t>（</w:t>
      </w:r>
      <w:bookmarkEnd w:id="908"/>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其他长期职工福利的会计处理方法</w:t>
      </w:r>
      <w:bookmarkEnd w:id="906"/>
      <w:bookmarkEnd w:id="907"/>
      <w:bookmarkEnd w:id="909"/>
    </w:p>
    <w:p>
      <w:pPr>
        <w:pStyle w:val="Style30"/>
        <w:keepNext w:val="0"/>
        <w:keepLines w:val="0"/>
        <w:widowControl w:val="0"/>
        <w:shd w:val="clear" w:color="auto" w:fill="auto"/>
        <w:bidi w:val="0"/>
        <w:spacing w:before="0" w:after="700" w:line="311" w:lineRule="exact"/>
        <w:ind w:left="0" w:right="0" w:firstLine="500"/>
        <w:jc w:val="both"/>
      </w:pPr>
      <w:r>
        <w:rPr>
          <w:color w:val="000000"/>
          <w:spacing w:val="0"/>
          <w:w w:val="100"/>
          <w:position w:val="0"/>
        </w:rPr>
        <w:t>其他长期职工福利，是指除短期薪酬、离职后福利、辞退福利之外所有的职工薪酬，包括长期带薪缺勤、长期残疾福 利、长期利润分享计划等。公司向职工提供的其他长期职工福利，符合设定提存条件的，将根据设定的提存计划计算的应缴 存金额确认为负债，并计入当期损益或相关资产成本。除此以外，企业将其他长期职工福利产生的职工薪酬成本确认为下列 组成部分：（</w:t>
      </w:r>
      <w:r>
        <w:rPr>
          <w:rFonts w:ascii="Times New Roman" w:eastAsia="Times New Roman" w:hAnsi="Times New Roman" w:cs="Times New Roman"/>
          <w:color w:val="000000"/>
          <w:spacing w:val="0"/>
          <w:w w:val="100"/>
          <w:position w:val="0"/>
        </w:rPr>
        <w:t>1</w:t>
      </w:r>
      <w:r>
        <w:rPr>
          <w:color w:val="000000"/>
          <w:spacing w:val="0"/>
          <w:w w:val="100"/>
          <w:position w:val="0"/>
        </w:rPr>
        <w:t>）服务成本。（</w:t>
      </w:r>
      <w:r>
        <w:rPr>
          <w:rFonts w:ascii="Times New Roman" w:eastAsia="Times New Roman" w:hAnsi="Times New Roman" w:cs="Times New Roman"/>
          <w:color w:val="000000"/>
          <w:spacing w:val="0"/>
          <w:w w:val="100"/>
          <w:position w:val="0"/>
        </w:rPr>
        <w:t>2</w:t>
      </w:r>
      <w:r>
        <w:rPr>
          <w:color w:val="000000"/>
          <w:spacing w:val="0"/>
          <w:w w:val="100"/>
          <w:position w:val="0"/>
        </w:rPr>
        <w:t>）其他长期职工福利净负债或净资产的利息净额。（</w:t>
      </w:r>
      <w:r>
        <w:rPr>
          <w:rFonts w:ascii="Times New Roman" w:eastAsia="Times New Roman" w:hAnsi="Times New Roman" w:cs="Times New Roman"/>
          <w:color w:val="000000"/>
          <w:spacing w:val="0"/>
          <w:w w:val="100"/>
          <w:position w:val="0"/>
        </w:rPr>
        <w:t>3</w:t>
      </w:r>
      <w:r>
        <w:rPr>
          <w:color w:val="000000"/>
          <w:spacing w:val="0"/>
          <w:w w:val="100"/>
          <w:position w:val="0"/>
        </w:rPr>
        <w:t>）重新计量其他长期职工净负债或净 资产所产生的变动。上述项目的总净额计入当期损益或相关资产成本。</w:t>
      </w:r>
    </w:p>
    <w:p>
      <w:pPr>
        <w:pStyle w:val="Style35"/>
        <w:keepNext/>
        <w:keepLines/>
        <w:widowControl w:val="0"/>
        <w:shd w:val="clear" w:color="auto" w:fill="auto"/>
        <w:bidi w:val="0"/>
        <w:spacing w:before="0" w:after="300" w:line="240" w:lineRule="auto"/>
        <w:ind w:left="0" w:right="0" w:firstLine="0"/>
        <w:jc w:val="left"/>
        <w:rPr>
          <w:sz w:val="18"/>
          <w:szCs w:val="18"/>
        </w:rPr>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、预计负债</w:t>
      </w:r>
      <w:bookmarkEnd w:id="910"/>
      <w:bookmarkEnd w:id="911"/>
      <w:bookmarkEnd w:id="912"/>
    </w:p>
    <w:p>
      <w:pPr>
        <w:pStyle w:val="Style30"/>
        <w:keepNext w:val="0"/>
        <w:keepLines w:val="0"/>
        <w:widowControl w:val="0"/>
        <w:shd w:val="clear" w:color="auto" w:fill="auto"/>
        <w:bidi w:val="0"/>
        <w:spacing w:before="0" w:after="100" w:line="312" w:lineRule="exact"/>
        <w:ind w:left="0" w:right="0" w:firstLine="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当与对外担保、未决诉讼或仲裁、产品质量保证、裁员计划、亏损合同、重组义务、固定资产弃置义务等或有事项相 关的业务同时符合以下条件时，确认为负债：①该义务是公司承担的现时义务；②该义务的履行很可能导致经济利益流出企 </w:t>
      </w:r>
      <w:r>
        <w:rPr>
          <w:color w:val="000000"/>
          <w:spacing w:val="0"/>
          <w:w w:val="100"/>
          <w:position w:val="0"/>
        </w:rPr>
        <w:t>业；③该义务的金额能够可靠地计量。</w:t>
      </w:r>
    </w:p>
    <w:p>
      <w:pPr>
        <w:pStyle w:val="Style30"/>
        <w:keepNext w:val="0"/>
        <w:keepLines w:val="0"/>
        <w:widowControl w:val="0"/>
        <w:shd w:val="clear" w:color="auto" w:fill="auto"/>
        <w:bidi w:val="0"/>
        <w:spacing w:before="0" w:after="100" w:line="312" w:lineRule="exact"/>
        <w:ind w:left="0" w:right="0" w:firstLine="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p>
    <w:p>
      <w:pPr>
        <w:pStyle w:val="Style30"/>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预计负债按照履行现时义务所需支出的最佳估计数进行精算并初始计量。所需支出存在一个连续范围，且该范围内各 种结果发生的可能性相同的最佳估计数按该范围的中间值确定；在其他情况下，最佳估计数按如下方法确定：①或有事项涉 及单个项目时，最佳估计数按最可能发生金额确定；②或有事项涉及多个项目时，最佳估计数按各种可能发生额及其发生概 率计算确定；③公司清偿预计负债所需支出全部或部分预期由第三方或其他方补偿的，则补偿金额在基本确定能收到时，作 为资产单独确认。确认的补偿金额不超过所确认预计负债的账面价值。</w:t>
      </w:r>
    </w:p>
    <w:p>
      <w:pPr>
        <w:pStyle w:val="Style35"/>
        <w:keepNext/>
        <w:keepLines/>
        <w:widowControl w:val="0"/>
        <w:shd w:val="clear" w:color="auto" w:fill="auto"/>
        <w:bidi w:val="0"/>
        <w:spacing w:before="0" w:after="280" w:line="240" w:lineRule="auto"/>
        <w:ind w:left="0" w:right="0" w:firstLine="0"/>
        <w:jc w:val="left"/>
        <w:rPr>
          <w:sz w:val="18"/>
          <w:szCs w:val="18"/>
        </w:rPr>
      </w:pPr>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、股份支付</w:t>
      </w:r>
      <w:bookmarkEnd w:id="915"/>
      <w:bookmarkEnd w:id="916"/>
      <w:bookmarkEnd w:id="917"/>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股份支付，是指企业为获取职工和其他方提供服务而授予权益工具或者承担以权益工具为基础确定的负债的交易。按 结算方式的不同，股份支付可以分为以权益结算的股份支付和以现金结算的股份支付。</w:t>
      </w:r>
    </w:p>
    <w:p>
      <w:pPr>
        <w:pStyle w:val="Style30"/>
        <w:keepNext w:val="0"/>
        <w:keepLines w:val="0"/>
        <w:widowControl w:val="0"/>
        <w:shd w:val="clear" w:color="auto" w:fill="auto"/>
        <w:tabs>
          <w:tab w:pos="439" w:val="left"/>
        </w:tabs>
        <w:bidi w:val="0"/>
        <w:spacing w:before="0" w:after="100" w:line="312" w:lineRule="exact"/>
        <w:ind w:left="0" w:right="0" w:firstLine="0"/>
        <w:jc w:val="left"/>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以权益结算的股份支付</w:t>
      </w:r>
    </w:p>
    <w:p>
      <w:pPr>
        <w:pStyle w:val="Style30"/>
        <w:keepNext w:val="0"/>
        <w:keepLines w:val="0"/>
        <w:widowControl w:val="0"/>
        <w:numPr>
          <w:ilvl w:val="0"/>
          <w:numId w:val="51"/>
        </w:numPr>
        <w:shd w:val="clear" w:color="auto" w:fill="auto"/>
        <w:tabs>
          <w:tab w:pos="872" w:val="left"/>
        </w:tabs>
        <w:bidi w:val="0"/>
        <w:spacing w:before="0" w:after="100" w:line="312" w:lineRule="exact"/>
        <w:ind w:left="0" w:right="0" w:firstLine="500"/>
        <w:jc w:val="both"/>
      </w:pPr>
      <w:bookmarkStart w:id="919" w:name="bookmark919"/>
      <w:bookmarkEnd w:id="919"/>
      <w:r>
        <w:rPr>
          <w:color w:val="000000"/>
          <w:spacing w:val="0"/>
          <w:w w:val="100"/>
          <w:position w:val="0"/>
        </w:rPr>
        <w:t>初始确认与计量</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可立即行权的换取职工服务的以权益结算的股份支付，应当在授予日，即股份支付协议获得批准的日期，按照权益工 具的公允价值计入相关成本或费用，相应增加资本公积。</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等待行权的换取职工服务的以权益结算的股份支付，在等待期内的每个资产负债表日，应当以对可行权权益工具数量 的最佳估计为基础，按照权益工具授予日的公允价值，将当期取得的服务计入相关成本或费用和资本公积。</w:t>
      </w:r>
    </w:p>
    <w:p>
      <w:pPr>
        <w:pStyle w:val="Style30"/>
        <w:keepNext w:val="0"/>
        <w:keepLines w:val="0"/>
        <w:widowControl w:val="0"/>
        <w:numPr>
          <w:ilvl w:val="0"/>
          <w:numId w:val="51"/>
        </w:numPr>
        <w:shd w:val="clear" w:color="auto" w:fill="auto"/>
        <w:tabs>
          <w:tab w:pos="872" w:val="left"/>
        </w:tabs>
        <w:bidi w:val="0"/>
        <w:spacing w:before="0" w:after="100" w:line="312" w:lineRule="exact"/>
        <w:ind w:left="0" w:right="0" w:firstLine="500"/>
        <w:jc w:val="both"/>
      </w:pPr>
      <w:bookmarkStart w:id="920" w:name="bookmark920"/>
      <w:bookmarkEnd w:id="920"/>
      <w:r>
        <w:rPr>
          <w:color w:val="000000"/>
          <w:spacing w:val="0"/>
          <w:w w:val="100"/>
          <w:position w:val="0"/>
        </w:rPr>
        <w:t>后续计量</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在资产负债表日，后续信息表明可行权权益工具的数量与以前估计不同的，应当进行调整，并在可行权日调整至实际 可行权的权益工具数量。在行权日，企业根据实际行权的权益工具数量，计算确定应转入股本的金额，将其转入股本。</w:t>
      </w:r>
    </w:p>
    <w:p>
      <w:pPr>
        <w:pStyle w:val="Style30"/>
        <w:keepNext w:val="0"/>
        <w:keepLines w:val="0"/>
        <w:widowControl w:val="0"/>
        <w:shd w:val="clear" w:color="auto" w:fill="auto"/>
        <w:tabs>
          <w:tab w:pos="439" w:val="left"/>
        </w:tabs>
        <w:bidi w:val="0"/>
        <w:spacing w:before="0" w:after="100" w:line="312" w:lineRule="exact"/>
        <w:ind w:left="0" w:right="0" w:firstLine="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w:t>
        <w:tab/>
        <w:t>以现金结算的股份支付</w:t>
      </w:r>
    </w:p>
    <w:p>
      <w:pPr>
        <w:pStyle w:val="Style30"/>
        <w:keepNext w:val="0"/>
        <w:keepLines w:val="0"/>
        <w:widowControl w:val="0"/>
        <w:numPr>
          <w:ilvl w:val="0"/>
          <w:numId w:val="53"/>
        </w:numPr>
        <w:shd w:val="clear" w:color="auto" w:fill="auto"/>
        <w:tabs>
          <w:tab w:pos="872" w:val="left"/>
        </w:tabs>
        <w:bidi w:val="0"/>
        <w:spacing w:before="0" w:after="100" w:line="312" w:lineRule="exact"/>
        <w:ind w:left="0" w:right="0" w:firstLine="500"/>
        <w:jc w:val="both"/>
      </w:pPr>
      <w:bookmarkStart w:id="922" w:name="bookmark922"/>
      <w:bookmarkEnd w:id="922"/>
      <w:r>
        <w:rPr>
          <w:color w:val="000000"/>
          <w:spacing w:val="0"/>
          <w:w w:val="100"/>
          <w:position w:val="0"/>
        </w:rPr>
        <w:t>初始确认与计量</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授予后立即可行权的以现金结算的股份支付，应当在授予日以企业承担负债的公允价值计入相关成本或费用，相应增 加负债。完成等待期内的服务或达到规定业绩条件以后才可行权的以现金结算的股份支付，在等待期内的每个资产负债表日， 应当以对可行权情况的最佳估计为基础，按照企业承担负债的公允价值金额，将当期取得的服务计入成本或费用和相应的负 债。</w:t>
      </w:r>
    </w:p>
    <w:p>
      <w:pPr>
        <w:pStyle w:val="Style30"/>
        <w:keepNext w:val="0"/>
        <w:keepLines w:val="0"/>
        <w:widowControl w:val="0"/>
        <w:numPr>
          <w:ilvl w:val="0"/>
          <w:numId w:val="53"/>
        </w:numPr>
        <w:shd w:val="clear" w:color="auto" w:fill="auto"/>
        <w:tabs>
          <w:tab w:pos="872" w:val="left"/>
        </w:tabs>
        <w:bidi w:val="0"/>
        <w:spacing w:before="0" w:after="100" w:line="312" w:lineRule="exact"/>
        <w:ind w:left="0" w:right="0" w:firstLine="500"/>
        <w:jc w:val="both"/>
      </w:pPr>
      <w:bookmarkStart w:id="923" w:name="bookmark923"/>
      <w:bookmarkEnd w:id="923"/>
      <w:r>
        <w:rPr>
          <w:color w:val="000000"/>
          <w:spacing w:val="0"/>
          <w:w w:val="100"/>
          <w:position w:val="0"/>
        </w:rPr>
        <w:t>后续计量</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在资产负债表日，后续信息表明企业当期承担债务的公允价值与以前估计不同的，应当进行调整，并在可行权日调整 至实际可行权水平。企业应当在相关负债结算前的每个资产负债表日以及结算日，对负债的公允价值重新计量，其变动计入 当期损益。</w:t>
      </w:r>
    </w:p>
    <w:p>
      <w:pPr>
        <w:pStyle w:val="Style30"/>
        <w:keepNext w:val="0"/>
        <w:keepLines w:val="0"/>
        <w:widowControl w:val="0"/>
        <w:shd w:val="clear" w:color="auto" w:fill="auto"/>
        <w:tabs>
          <w:tab w:pos="439" w:val="left"/>
        </w:tabs>
        <w:bidi w:val="0"/>
        <w:spacing w:before="0" w:after="100" w:line="312" w:lineRule="exact"/>
        <w:ind w:left="0" w:right="0" w:firstLine="0"/>
        <w:jc w:val="left"/>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权益工具公允价值的确定</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对于授予职工的股份，其公允价值应按企业股份的市场价格计量，同时考虑授予股份所依据的条款和条件（不包括市 场条件之外的可行权条件）进行调整。</w:t>
      </w:r>
    </w:p>
    <w:p>
      <w:pPr>
        <w:pStyle w:val="Style30"/>
        <w:keepNext w:val="0"/>
        <w:keepLines w:val="0"/>
        <w:widowControl w:val="0"/>
        <w:shd w:val="clear" w:color="auto" w:fill="auto"/>
        <w:tabs>
          <w:tab w:pos="439" w:val="left"/>
        </w:tabs>
        <w:bidi w:val="0"/>
        <w:spacing w:before="0" w:after="100" w:line="312" w:lineRule="exact"/>
        <w:ind w:left="0" w:right="0" w:firstLine="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确认可行权权益工具最佳估计的依据</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在等待期内每个资产负债表日，公司根据最新取得的可行权职工人数变动等后续信息做出最佳估计，修正预计可行权 的权益工具数量。</w:t>
      </w:r>
    </w:p>
    <w:p>
      <w:pPr>
        <w:pStyle w:val="Style35"/>
        <w:keepNext/>
        <w:keepLines/>
        <w:widowControl w:val="0"/>
        <w:shd w:val="clear" w:color="auto" w:fill="auto"/>
        <w:bidi w:val="0"/>
        <w:spacing w:before="0" w:after="380" w:line="240" w:lineRule="auto"/>
        <w:ind w:left="0" w:right="0" w:firstLine="0"/>
        <w:jc w:val="left"/>
        <w:rPr>
          <w:sz w:val="18"/>
          <w:szCs w:val="18"/>
        </w:rPr>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、收入</w:t>
      </w:r>
      <w:bookmarkEnd w:id="926"/>
      <w:bookmarkEnd w:id="927"/>
      <w:bookmarkEnd w:id="928"/>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w:t>
      </w:r>
    </w:p>
    <w:p>
      <w:pPr>
        <w:pStyle w:val="Style30"/>
        <w:keepNext w:val="0"/>
        <w:keepLines w:val="0"/>
        <w:widowControl w:val="0"/>
        <w:shd w:val="clear" w:color="auto" w:fill="auto"/>
        <w:tabs>
          <w:tab w:pos="421" w:val="left"/>
        </w:tabs>
        <w:bidi w:val="0"/>
        <w:spacing w:before="0" w:after="100" w:line="312" w:lineRule="exact"/>
        <w:ind w:left="0" w:right="0" w:firstLine="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收入的确认和计量所采用的会计政策</w:t>
      </w:r>
    </w:p>
    <w:p>
      <w:pPr>
        <w:pStyle w:val="Style30"/>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收入是公司在日常活动中形成的、会导致所有者权益增加的、与所有者投入资本无关的经济利益的总流入。</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公司在履行了合同中的履约义务，即在客户取得相关商品控制权时确认收入。取得相关商品控制权，是指能够主导该 商品的使用并从中获得几乎全部的经济利益，也包括有能力阻止其他方主导该商品的使用并从中获得几乎全部的经济利益。</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交易价格是公司因向客户转让商品而预期有权收取的对价金额，不包括代第三方收取的款项以及公司预期将退还给客 户的款项。在确定合同交易价格时，如果存在可变对价，公司按照期望值或最可能发生金额确定可变对价的最佳估计数，并 以不超过在相关不确定性消除时累计已确认收入极可能不会发生重大转回的金额计入交易价格。合同中如果存在重大融资成 分，公司将根据客户在取得商品控制权时即以现金支付的应付金额确定交易价格，该交易价格与合同对价之间的差额，在合 同期间内采用实际利率法摊销，对于客户取得商品控制权与客户支付价款间隔不超过一年的，公司不考虑其中的融资成分。 因转让商品而有权向客户收取的对价是非现金形式时，公司按照非现金对价在合同开始日的公允价值确定交易价格。非现金 对价公允价值不能合理估计的，公司参照其承诺向客户转让商品的单独售价间接确定交易价格。公司预期将退还给客户的款 项，除了为自客户取得其他可明确区分商品外，将该应付对价冲减交易价格。应付客户对价超过自客户取得的可明确区分商 品公允价值的，超过金额作为应付客户对价冲减交易价格。自客户取得的可明确区分商品公允价值不能合理估计的，公司将 应付客户对价全额冲减交易价格。在对应付客户对价冲减交易价格进行会计处理时，公司在确认相关收入与支付（或承诺支 付）客户对价二者孰晚的时点冲减当期收入。</w:t>
      </w:r>
    </w:p>
    <w:p>
      <w:pPr>
        <w:pStyle w:val="Style30"/>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合同中包含两项或多项履约义务的，公司在合同开始日，按照各单项履约义务所承诺商品的单独售价的相对比例，将 交易价格分摊至各单项履约义务，按照分摊至各单项履约义务的交易价格计量收入。交易价格发生后续变动的</w:t>
      </w:r>
      <w:r>
        <w:rPr>
          <w:color w:val="000000"/>
          <w:spacing w:val="0"/>
          <w:w w:val="100"/>
          <w:position w:val="0"/>
        </w:rPr>
        <w:t>，</w:t>
      </w:r>
      <w:r>
        <w:rPr>
          <w:color w:val="000000"/>
          <w:spacing w:val="0"/>
          <w:w w:val="100"/>
          <w:position w:val="0"/>
        </w:rPr>
        <w:t>公司按照在 合同开始日所采用的基础将该后续变动金额分摊至合同中的履约义务。对于因合同开始日之后单独售价的变动不再重新分摊 交易价格。</w:t>
      </w:r>
    </w:p>
    <w:p>
      <w:pPr>
        <w:pStyle w:val="Style30"/>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满足下列条件之一的，公司属于在某一时段内履行履约义务；否则，属于在某一时点履行履约义务：</w:t>
      </w:r>
    </w:p>
    <w:p>
      <w:pPr>
        <w:pStyle w:val="Style30"/>
        <w:keepNext w:val="0"/>
        <w:keepLines w:val="0"/>
        <w:widowControl w:val="0"/>
        <w:numPr>
          <w:ilvl w:val="0"/>
          <w:numId w:val="55"/>
        </w:numPr>
        <w:shd w:val="clear" w:color="auto" w:fill="auto"/>
        <w:tabs>
          <w:tab w:pos="834" w:val="left"/>
        </w:tabs>
        <w:bidi w:val="0"/>
        <w:spacing w:before="0" w:after="100" w:line="312" w:lineRule="exact"/>
        <w:ind w:left="0" w:right="0" w:firstLine="480"/>
        <w:jc w:val="left"/>
      </w:pPr>
      <w:bookmarkStart w:id="930" w:name="bookmark930"/>
      <w:bookmarkEnd w:id="930"/>
      <w:r>
        <w:rPr>
          <w:color w:val="000000"/>
          <w:spacing w:val="0"/>
          <w:w w:val="100"/>
          <w:position w:val="0"/>
        </w:rPr>
        <w:t>客户在公司履约的同时即取得并消耗公司履约所带来的经济利益；</w:t>
      </w:r>
    </w:p>
    <w:p>
      <w:pPr>
        <w:pStyle w:val="Style30"/>
        <w:keepNext w:val="0"/>
        <w:keepLines w:val="0"/>
        <w:widowControl w:val="0"/>
        <w:numPr>
          <w:ilvl w:val="0"/>
          <w:numId w:val="55"/>
        </w:numPr>
        <w:shd w:val="clear" w:color="auto" w:fill="auto"/>
        <w:tabs>
          <w:tab w:pos="834" w:val="left"/>
        </w:tabs>
        <w:bidi w:val="0"/>
        <w:spacing w:before="0" w:after="100" w:line="312" w:lineRule="exact"/>
        <w:ind w:left="0" w:right="0" w:firstLine="480"/>
        <w:jc w:val="left"/>
      </w:pPr>
      <w:bookmarkStart w:id="931" w:name="bookmark931"/>
      <w:bookmarkEnd w:id="931"/>
      <w:r>
        <w:rPr>
          <w:color w:val="000000"/>
          <w:spacing w:val="0"/>
          <w:w w:val="100"/>
          <w:position w:val="0"/>
        </w:rPr>
        <w:t>客户能够控制公司履约过程中在建的商品；</w:t>
      </w:r>
    </w:p>
    <w:p>
      <w:pPr>
        <w:pStyle w:val="Style30"/>
        <w:keepNext w:val="0"/>
        <w:keepLines w:val="0"/>
        <w:widowControl w:val="0"/>
        <w:numPr>
          <w:ilvl w:val="0"/>
          <w:numId w:val="55"/>
        </w:numPr>
        <w:shd w:val="clear" w:color="auto" w:fill="auto"/>
        <w:tabs>
          <w:tab w:pos="829" w:val="left"/>
        </w:tabs>
        <w:bidi w:val="0"/>
        <w:spacing w:before="0" w:after="100" w:line="317" w:lineRule="exact"/>
        <w:ind w:left="0" w:right="0" w:firstLine="500"/>
        <w:jc w:val="left"/>
      </w:pPr>
      <w:bookmarkStart w:id="932" w:name="bookmark932"/>
      <w:bookmarkEnd w:id="932"/>
      <w:r>
        <w:rPr>
          <w:color w:val="000000"/>
          <w:spacing w:val="0"/>
          <w:w w:val="100"/>
          <w:position w:val="0"/>
        </w:rPr>
        <w:t>公司履约过程中所产出的商品具有不可替代用途，且公司在整个合同期间内有权就累计至今已完成的履约部分收取 款项。</w:t>
      </w:r>
    </w:p>
    <w:p>
      <w:pPr>
        <w:pStyle w:val="Style30"/>
        <w:keepNext w:val="0"/>
        <w:keepLines w:val="0"/>
        <w:widowControl w:val="0"/>
        <w:shd w:val="clear" w:color="auto" w:fill="auto"/>
        <w:bidi w:val="0"/>
        <w:spacing w:before="0" w:after="100" w:line="310" w:lineRule="exact"/>
        <w:ind w:left="0" w:right="0" w:firstLine="500"/>
        <w:jc w:val="left"/>
      </w:pPr>
      <w:r>
        <w:rPr>
          <w:color w:val="000000"/>
          <w:spacing w:val="0"/>
          <w:w w:val="100"/>
          <w:position w:val="0"/>
        </w:rPr>
        <w:t>对于在某一时段内履行的履约义务，公司在该段时间内按照履约进度确认收入，但是，履约进度不能合理确定的除外。 公司按照投入法（或产出法）确定提供服务的履约进度。当履约进度不能合理确定时，公司已经发生的成本预计能够得到补 偿的，按照已经发生的成本金额确认收入，直到履约进度能够合理确定为止。</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对于在某一时点履行的履约义务，公司在客户取得相关商品控制权时点确认收入。在判断客户是否已取得商品控制权 时，公司会考虑下列迹象：</w:t>
      </w:r>
    </w:p>
    <w:p>
      <w:pPr>
        <w:pStyle w:val="Style30"/>
        <w:keepNext w:val="0"/>
        <w:keepLines w:val="0"/>
        <w:widowControl w:val="0"/>
        <w:numPr>
          <w:ilvl w:val="0"/>
          <w:numId w:val="57"/>
        </w:numPr>
        <w:shd w:val="clear" w:color="auto" w:fill="auto"/>
        <w:tabs>
          <w:tab w:pos="834" w:val="left"/>
        </w:tabs>
        <w:bidi w:val="0"/>
        <w:spacing w:before="0" w:after="100" w:line="312" w:lineRule="exact"/>
        <w:ind w:left="0" w:right="0" w:firstLine="480"/>
        <w:jc w:val="left"/>
      </w:pPr>
      <w:bookmarkStart w:id="933" w:name="bookmark933"/>
      <w:bookmarkEnd w:id="933"/>
      <w:r>
        <w:rPr>
          <w:color w:val="000000"/>
          <w:spacing w:val="0"/>
          <w:w w:val="100"/>
          <w:position w:val="0"/>
        </w:rPr>
        <w:t>公司就该商品享有现时收款权利，即客户就该商品负有现时付款义务；</w:t>
      </w:r>
    </w:p>
    <w:p>
      <w:pPr>
        <w:pStyle w:val="Style30"/>
        <w:keepNext w:val="0"/>
        <w:keepLines w:val="0"/>
        <w:widowControl w:val="0"/>
        <w:numPr>
          <w:ilvl w:val="0"/>
          <w:numId w:val="57"/>
        </w:numPr>
        <w:shd w:val="clear" w:color="auto" w:fill="auto"/>
        <w:tabs>
          <w:tab w:pos="834" w:val="left"/>
        </w:tabs>
        <w:bidi w:val="0"/>
        <w:spacing w:before="0" w:after="100" w:line="312" w:lineRule="exact"/>
        <w:ind w:left="0" w:right="0" w:firstLine="480"/>
        <w:jc w:val="left"/>
      </w:pPr>
      <w:bookmarkStart w:id="934" w:name="bookmark934"/>
      <w:bookmarkEnd w:id="934"/>
      <w:r>
        <w:rPr>
          <w:color w:val="000000"/>
          <w:spacing w:val="0"/>
          <w:w w:val="100"/>
          <w:position w:val="0"/>
        </w:rPr>
        <w:t>公司已将该商品的法定所有权转移给客户，即客户已拥有了该商品的法定所有权；</w:t>
      </w:r>
    </w:p>
    <w:p>
      <w:pPr>
        <w:pStyle w:val="Style30"/>
        <w:keepNext w:val="0"/>
        <w:keepLines w:val="0"/>
        <w:widowControl w:val="0"/>
        <w:numPr>
          <w:ilvl w:val="0"/>
          <w:numId w:val="57"/>
        </w:numPr>
        <w:shd w:val="clear" w:color="auto" w:fill="auto"/>
        <w:tabs>
          <w:tab w:pos="834" w:val="left"/>
        </w:tabs>
        <w:bidi w:val="0"/>
        <w:spacing w:before="0" w:after="100" w:line="312" w:lineRule="exact"/>
        <w:ind w:left="0" w:right="0" w:firstLine="480"/>
        <w:jc w:val="left"/>
      </w:pPr>
      <w:bookmarkStart w:id="935" w:name="bookmark935"/>
      <w:bookmarkEnd w:id="935"/>
      <w:r>
        <w:rPr>
          <w:color w:val="000000"/>
          <w:spacing w:val="0"/>
          <w:w w:val="100"/>
          <w:position w:val="0"/>
        </w:rPr>
        <w:t>公司已将该商品实物转移给客户，即客户已占有该商品实物；</w:t>
      </w:r>
    </w:p>
    <w:p>
      <w:pPr>
        <w:pStyle w:val="Style30"/>
        <w:keepNext w:val="0"/>
        <w:keepLines w:val="0"/>
        <w:widowControl w:val="0"/>
        <w:numPr>
          <w:ilvl w:val="0"/>
          <w:numId w:val="57"/>
        </w:numPr>
        <w:shd w:val="clear" w:color="auto" w:fill="auto"/>
        <w:tabs>
          <w:tab w:pos="834" w:val="left"/>
        </w:tabs>
        <w:bidi w:val="0"/>
        <w:spacing w:before="0" w:after="100" w:line="312" w:lineRule="exact"/>
        <w:ind w:left="0" w:right="0" w:firstLine="480"/>
        <w:jc w:val="left"/>
      </w:pPr>
      <w:bookmarkStart w:id="936" w:name="bookmark936"/>
      <w:bookmarkEnd w:id="936"/>
      <w:r>
        <w:rPr>
          <w:color w:val="000000"/>
          <w:spacing w:val="0"/>
          <w:w w:val="100"/>
          <w:position w:val="0"/>
        </w:rPr>
        <w:t>公司已将该商品所有权上的主要风险和报酬转移给客户，即客户已取得该商品所有权上的主要风险和报酬；</w:t>
      </w:r>
    </w:p>
    <w:p>
      <w:pPr>
        <w:pStyle w:val="Style30"/>
        <w:keepNext w:val="0"/>
        <w:keepLines w:val="0"/>
        <w:widowControl w:val="0"/>
        <w:numPr>
          <w:ilvl w:val="0"/>
          <w:numId w:val="57"/>
        </w:numPr>
        <w:shd w:val="clear" w:color="auto" w:fill="auto"/>
        <w:tabs>
          <w:tab w:pos="834" w:val="left"/>
        </w:tabs>
        <w:bidi w:val="0"/>
        <w:spacing w:before="0" w:after="100" w:line="312" w:lineRule="exact"/>
        <w:ind w:left="0" w:right="0" w:firstLine="480"/>
        <w:jc w:val="left"/>
      </w:pPr>
      <w:bookmarkStart w:id="937" w:name="bookmark937"/>
      <w:bookmarkEnd w:id="937"/>
      <w:r>
        <w:rPr>
          <w:color w:val="000000"/>
          <w:spacing w:val="0"/>
          <w:w w:val="100"/>
          <w:position w:val="0"/>
        </w:rPr>
        <w:t>客户已接受该商品。</w:t>
      </w:r>
    </w:p>
    <w:p>
      <w:pPr>
        <w:pStyle w:val="Style30"/>
        <w:keepNext w:val="0"/>
        <w:keepLines w:val="0"/>
        <w:widowControl w:val="0"/>
        <w:shd w:val="clear" w:color="auto" w:fill="auto"/>
        <w:tabs>
          <w:tab w:pos="421" w:val="left"/>
        </w:tabs>
        <w:bidi w:val="0"/>
        <w:spacing w:before="0" w:after="100" w:line="312" w:lineRule="exact"/>
        <w:ind w:left="0" w:right="0" w:firstLine="0"/>
        <w:jc w:val="left"/>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与公司取得收入的主要活动相关的具体确认方法</w:t>
      </w:r>
    </w:p>
    <w:p>
      <w:pPr>
        <w:pStyle w:val="Style30"/>
        <w:keepNext w:val="0"/>
        <w:keepLines w:val="0"/>
        <w:widowControl w:val="0"/>
        <w:numPr>
          <w:ilvl w:val="0"/>
          <w:numId w:val="59"/>
        </w:numPr>
        <w:shd w:val="clear" w:color="auto" w:fill="auto"/>
        <w:tabs>
          <w:tab w:pos="873" w:val="left"/>
        </w:tabs>
        <w:bidi w:val="0"/>
        <w:spacing w:before="0" w:after="120" w:line="312" w:lineRule="exact"/>
        <w:ind w:left="0" w:right="0" w:firstLine="500"/>
        <w:jc w:val="left"/>
      </w:pPr>
      <w:bookmarkStart w:id="939" w:name="bookmark939"/>
      <w:bookmarkEnd w:id="939"/>
      <w:r>
        <w:rPr>
          <w:color w:val="000000"/>
          <w:spacing w:val="0"/>
          <w:w w:val="100"/>
          <w:position w:val="0"/>
        </w:rPr>
        <w:t>软件开发合同</w:t>
      </w:r>
    </w:p>
    <w:p>
      <w:pPr>
        <w:pStyle w:val="Style30"/>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公司与客户之间的软件开发服务合同包含为客户进行定制化软件开发的履约义务，由于开发成果在客户验收前，客户 无法取得并消耗公司履约所带来的经济利益，无法控制公司履约过程中在建的商品，公司也无权就累计至今已完成的履约部 分收取款项，因此公司将其作为在某一时点内履行的履约义务，在客户验收后进行收入确认。</w:t>
      </w:r>
    </w:p>
    <w:p>
      <w:pPr>
        <w:pStyle w:val="Style30"/>
        <w:keepNext w:val="0"/>
        <w:keepLines w:val="0"/>
        <w:widowControl w:val="0"/>
        <w:numPr>
          <w:ilvl w:val="0"/>
          <w:numId w:val="59"/>
        </w:numPr>
        <w:shd w:val="clear" w:color="auto" w:fill="auto"/>
        <w:tabs>
          <w:tab w:pos="873" w:val="left"/>
        </w:tabs>
        <w:bidi w:val="0"/>
        <w:spacing w:before="0" w:after="120" w:line="312" w:lineRule="exact"/>
        <w:ind w:left="0" w:right="0" w:firstLine="500"/>
        <w:jc w:val="left"/>
      </w:pPr>
      <w:bookmarkStart w:id="940" w:name="bookmark940"/>
      <w:bookmarkEnd w:id="940"/>
      <w:r>
        <w:rPr>
          <w:color w:val="000000"/>
          <w:spacing w:val="0"/>
          <w:w w:val="100"/>
          <w:position w:val="0"/>
        </w:rPr>
        <w:t>人力外包技术服务合同</w:t>
      </w:r>
    </w:p>
    <w:p>
      <w:pPr>
        <w:pStyle w:val="Style30"/>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公司与客户之间的人力外包技术服务合同包含为客户提供长期软件开发技术服务的履约义务，由于公司履约的同时客 户即取得并消耗公司履约所带来的经济利益，公司将其作为在某一时段内履行的履约义务，每月根据与客户的工作量确认单 进行收入确认。</w:t>
      </w:r>
    </w:p>
    <w:p>
      <w:pPr>
        <w:pStyle w:val="Style30"/>
        <w:keepNext w:val="0"/>
        <w:keepLines w:val="0"/>
        <w:widowControl w:val="0"/>
        <w:numPr>
          <w:ilvl w:val="0"/>
          <w:numId w:val="59"/>
        </w:numPr>
        <w:shd w:val="clear" w:color="auto" w:fill="auto"/>
        <w:tabs>
          <w:tab w:pos="873" w:val="left"/>
        </w:tabs>
        <w:bidi w:val="0"/>
        <w:spacing w:before="0" w:after="120" w:line="312" w:lineRule="exact"/>
        <w:ind w:left="0" w:right="0" w:firstLine="500"/>
        <w:jc w:val="both"/>
      </w:pPr>
      <w:bookmarkStart w:id="941" w:name="bookmark941"/>
      <w:bookmarkEnd w:id="941"/>
      <w:r>
        <w:rPr>
          <w:color w:val="000000"/>
          <w:spacing w:val="0"/>
          <w:w w:val="100"/>
          <w:position w:val="0"/>
        </w:rPr>
        <w:t>软件维护服务合同</w:t>
      </w:r>
    </w:p>
    <w:p>
      <w:pPr>
        <w:pStyle w:val="Style30"/>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公司与客户之间的软件维护服务合同包含为客户提供软件运行维护的履约义务，由于公司履约的同时客户即取得并消 耗公司履约所带来的经济利益，公司将其作为在某一时段内履行的履约义务，根据合同价款在合同期内分期进行收入确认。</w:t>
      </w:r>
    </w:p>
    <w:p>
      <w:pPr>
        <w:pStyle w:val="Style30"/>
        <w:keepNext w:val="0"/>
        <w:keepLines w:val="0"/>
        <w:widowControl w:val="0"/>
        <w:numPr>
          <w:ilvl w:val="0"/>
          <w:numId w:val="59"/>
        </w:numPr>
        <w:shd w:val="clear" w:color="auto" w:fill="auto"/>
        <w:tabs>
          <w:tab w:pos="873" w:val="left"/>
        </w:tabs>
        <w:bidi w:val="0"/>
        <w:spacing w:before="0" w:after="120" w:line="312" w:lineRule="exact"/>
        <w:ind w:left="0" w:right="0" w:firstLine="500"/>
        <w:jc w:val="left"/>
      </w:pPr>
      <w:bookmarkStart w:id="942" w:name="bookmark942"/>
      <w:bookmarkEnd w:id="942"/>
      <w:r>
        <w:rPr>
          <w:color w:val="000000"/>
          <w:spacing w:val="0"/>
          <w:w w:val="100"/>
          <w:position w:val="0"/>
        </w:rPr>
        <w:t>设备销售合同</w:t>
      </w:r>
    </w:p>
    <w:p>
      <w:pPr>
        <w:pStyle w:val="Style30"/>
        <w:keepNext w:val="0"/>
        <w:keepLines w:val="0"/>
        <w:widowControl w:val="0"/>
        <w:shd w:val="clear" w:color="auto" w:fill="auto"/>
        <w:bidi w:val="0"/>
        <w:spacing w:before="0" w:after="620" w:line="310" w:lineRule="exact"/>
        <w:ind w:left="0" w:right="0" w:firstLine="500"/>
        <w:jc w:val="left"/>
      </w:pPr>
      <w:r>
        <w:rPr>
          <w:color w:val="000000"/>
          <w:spacing w:val="0"/>
          <w:w w:val="100"/>
          <w:position w:val="0"/>
        </w:rPr>
        <w:t>公司与客户之间的销售商品合同包含转让相关设备的履约义务，属于在某一时点履行履约义务。公司在满足下列条件 情况下进行收入确认：公司已根据合同约定将产品交付给客户且客户已接受该商品，已经收回货款或取得了收款凭证且相关 的经济利益很可能流入，商品所有权上的主要风险和报酬已转移，商品的法定所有权已转移。</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日前适用：</w:t>
      </w:r>
    </w:p>
    <w:p>
      <w:pPr>
        <w:pStyle w:val="Style30"/>
        <w:keepNext w:val="0"/>
        <w:keepLines w:val="0"/>
        <w:widowControl w:val="0"/>
        <w:numPr>
          <w:ilvl w:val="0"/>
          <w:numId w:val="61"/>
        </w:numPr>
        <w:shd w:val="clear" w:color="auto" w:fill="auto"/>
        <w:tabs>
          <w:tab w:pos="440" w:val="left"/>
        </w:tabs>
        <w:bidi w:val="0"/>
        <w:spacing w:before="0" w:after="120" w:line="312" w:lineRule="exact"/>
        <w:ind w:left="0" w:right="0" w:firstLine="0"/>
        <w:jc w:val="left"/>
      </w:pPr>
      <w:bookmarkStart w:id="943" w:name="bookmark943"/>
      <w:bookmarkEnd w:id="943"/>
      <w:r>
        <w:rPr>
          <w:color w:val="000000"/>
          <w:spacing w:val="0"/>
          <w:w w:val="100"/>
          <w:position w:val="0"/>
        </w:rPr>
        <w:t>销售商品</w:t>
      </w:r>
    </w:p>
    <w:p>
      <w:pPr>
        <w:pStyle w:val="Style30"/>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公司销售的商品在同时满足下列条件时，按从购货方已收或应收的合同或协议价款的金额确认销售商品收入：</w:t>
      </w:r>
    </w:p>
    <w:p>
      <w:pPr>
        <w:pStyle w:val="Style30"/>
        <w:keepNext w:val="0"/>
        <w:keepLines w:val="0"/>
        <w:widowControl w:val="0"/>
        <w:numPr>
          <w:ilvl w:val="0"/>
          <w:numId w:val="63"/>
        </w:numPr>
        <w:shd w:val="clear" w:color="auto" w:fill="auto"/>
        <w:tabs>
          <w:tab w:pos="873" w:val="left"/>
        </w:tabs>
        <w:bidi w:val="0"/>
        <w:spacing w:before="0" w:after="120" w:line="312" w:lineRule="exact"/>
        <w:ind w:left="0" w:right="0" w:firstLine="500"/>
        <w:jc w:val="left"/>
      </w:pPr>
      <w:bookmarkStart w:id="944" w:name="bookmark944"/>
      <w:bookmarkEnd w:id="944"/>
      <w:r>
        <w:rPr>
          <w:color w:val="000000"/>
          <w:spacing w:val="0"/>
          <w:w w:val="100"/>
          <w:position w:val="0"/>
        </w:rPr>
        <w:t>已将商品所有权上的主要风险和报酬转移给购货方；</w:t>
      </w:r>
    </w:p>
    <w:p>
      <w:pPr>
        <w:pStyle w:val="Style30"/>
        <w:keepNext w:val="0"/>
        <w:keepLines w:val="0"/>
        <w:widowControl w:val="0"/>
        <w:numPr>
          <w:ilvl w:val="0"/>
          <w:numId w:val="63"/>
        </w:numPr>
        <w:shd w:val="clear" w:color="auto" w:fill="auto"/>
        <w:tabs>
          <w:tab w:pos="873" w:val="left"/>
        </w:tabs>
        <w:bidi w:val="0"/>
        <w:spacing w:before="0" w:after="120" w:line="312" w:lineRule="exact"/>
        <w:ind w:left="0" w:right="0" w:firstLine="500"/>
        <w:jc w:val="left"/>
      </w:pPr>
      <w:bookmarkStart w:id="945" w:name="bookmark945"/>
      <w:bookmarkEnd w:id="945"/>
      <w:r>
        <w:rPr>
          <w:color w:val="000000"/>
          <w:spacing w:val="0"/>
          <w:w w:val="100"/>
          <w:position w:val="0"/>
        </w:rPr>
        <w:t>既没有保留通常与所有权相联系的继续管理权，也没有对已售出的商品实施有效控制；</w:t>
      </w:r>
    </w:p>
    <w:p>
      <w:pPr>
        <w:pStyle w:val="Style30"/>
        <w:keepNext w:val="0"/>
        <w:keepLines w:val="0"/>
        <w:widowControl w:val="0"/>
        <w:numPr>
          <w:ilvl w:val="0"/>
          <w:numId w:val="63"/>
        </w:numPr>
        <w:shd w:val="clear" w:color="auto" w:fill="auto"/>
        <w:tabs>
          <w:tab w:pos="873" w:val="left"/>
        </w:tabs>
        <w:bidi w:val="0"/>
        <w:spacing w:before="0" w:after="120" w:line="312" w:lineRule="exact"/>
        <w:ind w:left="0" w:right="0" w:firstLine="500"/>
        <w:jc w:val="both"/>
      </w:pPr>
      <w:bookmarkStart w:id="946" w:name="bookmark946"/>
      <w:bookmarkEnd w:id="946"/>
      <w:r>
        <w:rPr>
          <w:color w:val="000000"/>
          <w:spacing w:val="0"/>
          <w:w w:val="100"/>
          <w:position w:val="0"/>
        </w:rPr>
        <w:t>收入的金额能够可靠地计量；</w:t>
      </w:r>
    </w:p>
    <w:p>
      <w:pPr>
        <w:pStyle w:val="Style30"/>
        <w:keepNext w:val="0"/>
        <w:keepLines w:val="0"/>
        <w:widowControl w:val="0"/>
        <w:numPr>
          <w:ilvl w:val="0"/>
          <w:numId w:val="63"/>
        </w:numPr>
        <w:shd w:val="clear" w:color="auto" w:fill="auto"/>
        <w:tabs>
          <w:tab w:pos="873" w:val="left"/>
        </w:tabs>
        <w:bidi w:val="0"/>
        <w:spacing w:before="0" w:after="120" w:line="312" w:lineRule="exact"/>
        <w:ind w:left="0" w:right="0" w:firstLine="500"/>
        <w:jc w:val="both"/>
      </w:pPr>
      <w:bookmarkStart w:id="947" w:name="bookmark947"/>
      <w:bookmarkEnd w:id="947"/>
      <w:r>
        <w:rPr>
          <w:color w:val="000000"/>
          <w:spacing w:val="0"/>
          <w:w w:val="100"/>
          <w:position w:val="0"/>
        </w:rPr>
        <w:t>相关的经济利益很可能流入企业；</w:t>
      </w:r>
    </w:p>
    <w:p>
      <w:pPr>
        <w:pStyle w:val="Style30"/>
        <w:keepNext w:val="0"/>
        <w:keepLines w:val="0"/>
        <w:widowControl w:val="0"/>
        <w:numPr>
          <w:ilvl w:val="0"/>
          <w:numId w:val="63"/>
        </w:numPr>
        <w:shd w:val="clear" w:color="auto" w:fill="auto"/>
        <w:tabs>
          <w:tab w:pos="873" w:val="left"/>
        </w:tabs>
        <w:bidi w:val="0"/>
        <w:spacing w:before="0" w:after="120" w:line="312" w:lineRule="exact"/>
        <w:ind w:left="0" w:right="0" w:firstLine="500"/>
        <w:jc w:val="both"/>
      </w:pPr>
      <w:bookmarkStart w:id="948" w:name="bookmark948"/>
      <w:bookmarkEnd w:id="948"/>
      <w:r>
        <w:rPr>
          <w:color w:val="000000"/>
          <w:spacing w:val="0"/>
          <w:w w:val="100"/>
          <w:position w:val="0"/>
        </w:rPr>
        <w:t>相关的已发生或将发生的成本能够可靠地计量。</w:t>
      </w:r>
    </w:p>
    <w:p>
      <w:pPr>
        <w:pStyle w:val="Style30"/>
        <w:keepNext w:val="0"/>
        <w:keepLines w:val="0"/>
        <w:widowControl w:val="0"/>
        <w:numPr>
          <w:ilvl w:val="0"/>
          <w:numId w:val="61"/>
        </w:numPr>
        <w:shd w:val="clear" w:color="auto" w:fill="auto"/>
        <w:tabs>
          <w:tab w:pos="440" w:val="left"/>
        </w:tabs>
        <w:bidi w:val="0"/>
        <w:spacing w:before="0" w:after="120" w:line="312" w:lineRule="exact"/>
        <w:ind w:left="0" w:right="0" w:firstLine="0"/>
        <w:jc w:val="left"/>
      </w:pPr>
      <w:bookmarkStart w:id="949" w:name="bookmark949"/>
      <w:bookmarkEnd w:id="949"/>
      <w:r>
        <w:rPr>
          <w:color w:val="000000"/>
          <w:spacing w:val="0"/>
          <w:w w:val="100"/>
          <w:position w:val="0"/>
        </w:rPr>
        <w:t>提供劳务</w:t>
      </w:r>
    </w:p>
    <w:p>
      <w:pPr>
        <w:pStyle w:val="Style30"/>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在提供劳务交易的结果能够可靠估计的情况下，公司于资产负债表日按完工进度确认相关的劳务收入。如提供劳务交 易结果不能够可靠估计的，应当分别处理：</w:t>
      </w:r>
    </w:p>
    <w:p>
      <w:pPr>
        <w:pStyle w:val="Style30"/>
        <w:keepNext w:val="0"/>
        <w:keepLines w:val="0"/>
        <w:widowControl w:val="0"/>
        <w:numPr>
          <w:ilvl w:val="0"/>
          <w:numId w:val="65"/>
        </w:numPr>
        <w:shd w:val="clear" w:color="auto" w:fill="auto"/>
        <w:tabs>
          <w:tab w:pos="848" w:val="left"/>
        </w:tabs>
        <w:bidi w:val="0"/>
        <w:spacing w:before="0" w:after="120" w:line="302" w:lineRule="exact"/>
        <w:ind w:left="0" w:right="0" w:firstLine="500"/>
        <w:jc w:val="both"/>
      </w:pPr>
      <w:bookmarkStart w:id="950" w:name="bookmark950"/>
      <w:bookmarkEnd w:id="950"/>
      <w:r>
        <w:rPr>
          <w:color w:val="000000"/>
          <w:spacing w:val="0"/>
          <w:w w:val="100"/>
          <w:position w:val="0"/>
        </w:rPr>
        <w:t>已经发生的劳务成本预计能够得到补偿的，按照已经发生的劳务成本金额确认提供劳务收入，并按相同金额结转劳 务成本；</w:t>
      </w:r>
    </w:p>
    <w:p>
      <w:pPr>
        <w:pStyle w:val="Style30"/>
        <w:keepNext w:val="0"/>
        <w:keepLines w:val="0"/>
        <w:widowControl w:val="0"/>
        <w:numPr>
          <w:ilvl w:val="0"/>
          <w:numId w:val="65"/>
        </w:numPr>
        <w:shd w:val="clear" w:color="auto" w:fill="auto"/>
        <w:tabs>
          <w:tab w:pos="873" w:val="left"/>
        </w:tabs>
        <w:bidi w:val="0"/>
        <w:spacing w:before="0" w:after="120" w:line="312" w:lineRule="exact"/>
        <w:ind w:left="0" w:right="0" w:firstLine="500"/>
        <w:jc w:val="left"/>
      </w:pPr>
      <w:bookmarkStart w:id="951" w:name="bookmark951"/>
      <w:bookmarkEnd w:id="951"/>
      <w:r>
        <w:rPr>
          <w:color w:val="000000"/>
          <w:spacing w:val="0"/>
          <w:w w:val="100"/>
          <w:position w:val="0"/>
        </w:rPr>
        <w:t>已经发生的劳务成本预计不能够得到补偿的，应当将已经发生的劳务成本计入当期损益，不确认提供劳务收入。</w:t>
      </w:r>
    </w:p>
    <w:p>
      <w:pPr>
        <w:pStyle w:val="Style30"/>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提供劳务交易的结果能够可靠估计是指：</w:t>
      </w:r>
    </w:p>
    <w:p>
      <w:pPr>
        <w:pStyle w:val="Style30"/>
        <w:keepNext w:val="0"/>
        <w:keepLines w:val="0"/>
        <w:widowControl w:val="0"/>
        <w:numPr>
          <w:ilvl w:val="0"/>
          <w:numId w:val="67"/>
        </w:numPr>
        <w:shd w:val="clear" w:color="auto" w:fill="auto"/>
        <w:tabs>
          <w:tab w:pos="873" w:val="left"/>
        </w:tabs>
        <w:bidi w:val="0"/>
        <w:spacing w:before="0" w:after="120" w:line="312" w:lineRule="exact"/>
        <w:ind w:left="0" w:right="0" w:firstLine="500"/>
        <w:jc w:val="left"/>
      </w:pPr>
      <w:bookmarkStart w:id="952" w:name="bookmark952"/>
      <w:bookmarkEnd w:id="952"/>
      <w:r>
        <w:rPr>
          <w:color w:val="000000"/>
          <w:spacing w:val="0"/>
          <w:w w:val="100"/>
          <w:position w:val="0"/>
        </w:rPr>
        <w:t>收入金额能够可靠计量；</w:t>
      </w:r>
    </w:p>
    <w:p>
      <w:pPr>
        <w:pStyle w:val="Style30"/>
        <w:keepNext w:val="0"/>
        <w:keepLines w:val="0"/>
        <w:widowControl w:val="0"/>
        <w:numPr>
          <w:ilvl w:val="0"/>
          <w:numId w:val="67"/>
        </w:numPr>
        <w:shd w:val="clear" w:color="auto" w:fill="auto"/>
        <w:tabs>
          <w:tab w:pos="873" w:val="left"/>
        </w:tabs>
        <w:bidi w:val="0"/>
        <w:spacing w:before="0" w:after="120" w:line="312" w:lineRule="exact"/>
        <w:ind w:left="0" w:right="0" w:firstLine="500"/>
        <w:jc w:val="left"/>
      </w:pPr>
      <w:bookmarkStart w:id="953" w:name="bookmark953"/>
      <w:bookmarkEnd w:id="953"/>
      <w:r>
        <w:rPr>
          <w:color w:val="000000"/>
          <w:spacing w:val="0"/>
          <w:w w:val="100"/>
          <w:position w:val="0"/>
        </w:rPr>
        <w:t>相关经济利益很可能流入公司；</w:t>
      </w:r>
    </w:p>
    <w:p>
      <w:pPr>
        <w:pStyle w:val="Style30"/>
        <w:keepNext w:val="0"/>
        <w:keepLines w:val="0"/>
        <w:widowControl w:val="0"/>
        <w:numPr>
          <w:ilvl w:val="0"/>
          <w:numId w:val="67"/>
        </w:numPr>
        <w:shd w:val="clear" w:color="auto" w:fill="auto"/>
        <w:tabs>
          <w:tab w:pos="873" w:val="left"/>
        </w:tabs>
        <w:bidi w:val="0"/>
        <w:spacing w:before="0" w:after="120" w:line="312" w:lineRule="exact"/>
        <w:ind w:left="0" w:right="0" w:firstLine="500"/>
        <w:jc w:val="left"/>
      </w:pPr>
      <w:bookmarkStart w:id="954" w:name="bookmark954"/>
      <w:bookmarkEnd w:id="954"/>
      <w:r>
        <w:rPr>
          <w:color w:val="000000"/>
          <w:spacing w:val="0"/>
          <w:w w:val="100"/>
          <w:position w:val="0"/>
        </w:rPr>
        <w:t>交易的完工进度能够可靠地确定；</w:t>
      </w:r>
    </w:p>
    <w:p>
      <w:pPr>
        <w:pStyle w:val="Style30"/>
        <w:keepNext w:val="0"/>
        <w:keepLines w:val="0"/>
        <w:widowControl w:val="0"/>
        <w:numPr>
          <w:ilvl w:val="0"/>
          <w:numId w:val="67"/>
        </w:numPr>
        <w:shd w:val="clear" w:color="auto" w:fill="auto"/>
        <w:tabs>
          <w:tab w:pos="873" w:val="left"/>
        </w:tabs>
        <w:bidi w:val="0"/>
        <w:spacing w:before="0" w:after="120" w:line="312" w:lineRule="exact"/>
        <w:ind w:left="0" w:right="0" w:firstLine="500"/>
        <w:jc w:val="left"/>
      </w:pPr>
      <w:bookmarkStart w:id="955" w:name="bookmark955"/>
      <w:bookmarkEnd w:id="955"/>
      <w:r>
        <w:rPr>
          <w:color w:val="000000"/>
          <w:spacing w:val="0"/>
          <w:w w:val="100"/>
          <w:position w:val="0"/>
        </w:rPr>
        <w:t>交易已发生和将发生的成本能够可靠计量。</w:t>
      </w:r>
    </w:p>
    <w:p>
      <w:pPr>
        <w:pStyle w:val="Style30"/>
        <w:keepNext w:val="0"/>
        <w:keepLines w:val="0"/>
        <w:widowControl w:val="0"/>
        <w:shd w:val="clear" w:color="auto" w:fill="auto"/>
        <w:tabs>
          <w:tab w:pos="440" w:val="left"/>
        </w:tabs>
        <w:bidi w:val="0"/>
        <w:spacing w:before="0" w:after="100" w:line="312" w:lineRule="exact"/>
        <w:ind w:left="0" w:right="0" w:firstLine="0"/>
        <w:jc w:val="left"/>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3</w:t>
      </w:r>
      <w:r>
        <w:rPr>
          <w:color w:val="000000"/>
          <w:spacing w:val="0"/>
          <w:w w:val="100"/>
          <w:position w:val="0"/>
        </w:rPr>
        <w:t>）</w:t>
        <w:tab/>
        <w:t>让渡资产使用权</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公司在与让渡资产使用权相关的经济利益能够流入和收入的金额能够可靠的计量时确认让渡资产使用权收入。</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利息收入按使用货币资金的使用时间和适用利率计算确定。使用费收入金额，按照有关合同或协议约定的收费时间和 方法计算确定。</w:t>
      </w:r>
    </w:p>
    <w:p>
      <w:pPr>
        <w:pStyle w:val="Style30"/>
        <w:keepNext w:val="0"/>
        <w:keepLines w:val="0"/>
        <w:widowControl w:val="0"/>
        <w:shd w:val="clear" w:color="auto" w:fill="auto"/>
        <w:tabs>
          <w:tab w:pos="440" w:val="left"/>
        </w:tabs>
        <w:bidi w:val="0"/>
        <w:spacing w:before="0" w:after="100" w:line="312" w:lineRule="exact"/>
        <w:ind w:left="0" w:right="0" w:firstLine="0"/>
        <w:jc w:val="left"/>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4</w:t>
      </w:r>
      <w:r>
        <w:rPr>
          <w:color w:val="000000"/>
          <w:spacing w:val="0"/>
          <w:w w:val="100"/>
          <w:position w:val="0"/>
        </w:rPr>
        <w:t>）</w:t>
        <w:tab/>
        <w:t>按各收入类别的具体确认原则及方法如下：</w:t>
      </w:r>
    </w:p>
    <w:p>
      <w:pPr>
        <w:pStyle w:val="Style30"/>
        <w:keepNext w:val="0"/>
        <w:keepLines w:val="0"/>
        <w:widowControl w:val="0"/>
        <w:numPr>
          <w:ilvl w:val="0"/>
          <w:numId w:val="69"/>
        </w:numPr>
        <w:shd w:val="clear" w:color="auto" w:fill="auto"/>
        <w:tabs>
          <w:tab w:pos="873" w:val="left"/>
        </w:tabs>
        <w:bidi w:val="0"/>
        <w:spacing w:before="0" w:after="100" w:line="312" w:lineRule="exact"/>
        <w:ind w:left="0" w:right="0" w:firstLine="500"/>
        <w:jc w:val="left"/>
      </w:pPr>
      <w:bookmarkStart w:id="958" w:name="bookmark958"/>
      <w:bookmarkEnd w:id="958"/>
      <w:r>
        <w:rPr>
          <w:color w:val="000000"/>
          <w:spacing w:val="0"/>
          <w:w w:val="100"/>
          <w:position w:val="0"/>
        </w:rPr>
        <w:t>软件开发收入的确认原则及方法</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软件开发收入是指接受客户委托，根据客户的需要，对应用软件技术进行研究开发，由此开发出来的软件为定制软件、 不具有通用性。</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软件开发收入的确认原则及方法分为两大类：</w:t>
      </w:r>
    </w:p>
    <w:p>
      <w:pPr>
        <w:pStyle w:val="Style30"/>
        <w:keepNext w:val="0"/>
        <w:keepLines w:val="0"/>
        <w:widowControl w:val="0"/>
        <w:shd w:val="clear" w:color="auto" w:fill="auto"/>
        <w:bidi w:val="0"/>
        <w:spacing w:before="0" w:after="100" w:line="312" w:lineRule="exact"/>
        <w:ind w:left="0" w:right="0" w:firstLine="500"/>
        <w:jc w:val="left"/>
      </w:pPr>
      <w:r>
        <w:rPr>
          <w:rFonts w:ascii="Times New Roman" w:eastAsia="Times New Roman" w:hAnsi="Times New Roman" w:cs="Times New Roman"/>
          <w:color w:val="000000"/>
          <w:spacing w:val="0"/>
          <w:w w:val="100"/>
          <w:position w:val="0"/>
        </w:rPr>
        <w:t>A:</w:t>
      </w:r>
      <w:r>
        <w:rPr>
          <w:color w:val="000000"/>
          <w:spacing w:val="0"/>
          <w:w w:val="100"/>
          <w:position w:val="0"/>
        </w:rPr>
        <w:t>根据合同按每月实际工作量（人</w:t>
      </w:r>
      <w:r>
        <w:rPr>
          <w:rFonts w:ascii="Times New Roman" w:eastAsia="Times New Roman" w:hAnsi="Times New Roman" w:cs="Times New Roman"/>
          <w:color w:val="000000"/>
          <w:spacing w:val="0"/>
          <w:w w:val="100"/>
          <w:position w:val="0"/>
        </w:rPr>
        <w:t>/</w:t>
      </w:r>
      <w:r>
        <w:rPr>
          <w:color w:val="000000"/>
          <w:spacing w:val="0"/>
          <w:w w:val="100"/>
          <w:position w:val="0"/>
        </w:rPr>
        <w:t>天数）收费，经客户确认实际工作量后确认软件开发收入。</w:t>
      </w:r>
    </w:p>
    <w:p>
      <w:pPr>
        <w:pStyle w:val="Style30"/>
        <w:keepNext w:val="0"/>
        <w:keepLines w:val="0"/>
        <w:widowControl w:val="0"/>
        <w:shd w:val="clear" w:color="auto" w:fill="auto"/>
        <w:bidi w:val="0"/>
        <w:spacing w:before="0" w:after="100" w:line="326" w:lineRule="exact"/>
        <w:ind w:left="0" w:right="0" w:firstLine="500"/>
        <w:jc w:val="both"/>
      </w:pPr>
      <w:r>
        <w:rPr>
          <w:rFonts w:ascii="Times New Roman" w:eastAsia="Times New Roman" w:hAnsi="Times New Roman" w:cs="Times New Roman"/>
          <w:color w:val="000000"/>
          <w:spacing w:val="0"/>
          <w:w w:val="100"/>
          <w:position w:val="0"/>
        </w:rPr>
        <w:t>B:</w:t>
      </w:r>
      <w:r>
        <w:rPr>
          <w:color w:val="000000"/>
          <w:spacing w:val="0"/>
          <w:w w:val="100"/>
          <w:position w:val="0"/>
        </w:rPr>
        <w:t>公司软件开发业务按照合同约定提交软件开发成果并经客户验收后确认收入，该业务若存在分阶段多次验收情况， 则按该业务完成各阶段工作并经客户验收时，分别确认相应阶段工作成果的收入。</w:t>
      </w:r>
    </w:p>
    <w:p>
      <w:pPr>
        <w:pStyle w:val="Style30"/>
        <w:keepNext w:val="0"/>
        <w:keepLines w:val="0"/>
        <w:widowControl w:val="0"/>
        <w:numPr>
          <w:ilvl w:val="0"/>
          <w:numId w:val="69"/>
        </w:numPr>
        <w:shd w:val="clear" w:color="auto" w:fill="auto"/>
        <w:tabs>
          <w:tab w:pos="873" w:val="left"/>
        </w:tabs>
        <w:bidi w:val="0"/>
        <w:spacing w:before="0" w:after="100" w:line="312" w:lineRule="exact"/>
        <w:ind w:left="0" w:right="0" w:firstLine="500"/>
        <w:jc w:val="both"/>
      </w:pPr>
      <w:bookmarkStart w:id="959" w:name="bookmark959"/>
      <w:bookmarkEnd w:id="959"/>
      <w:r>
        <w:rPr>
          <w:color w:val="000000"/>
          <w:spacing w:val="0"/>
          <w:w w:val="100"/>
          <w:position w:val="0"/>
        </w:rPr>
        <w:t>维护服务收入的确认原则及方法</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维护服务收入是指公司为客户提供专业的技术应用维护服务实现的收入。</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具体确认依据、时点和确认金额：每个报告期末按合同金额和已提供服务期间占合同期间的比例确定的金额确认收入。</w:t>
      </w:r>
    </w:p>
    <w:p>
      <w:pPr>
        <w:pStyle w:val="Style30"/>
        <w:keepNext w:val="0"/>
        <w:keepLines w:val="0"/>
        <w:widowControl w:val="0"/>
        <w:numPr>
          <w:ilvl w:val="0"/>
          <w:numId w:val="69"/>
        </w:numPr>
        <w:shd w:val="clear" w:color="auto" w:fill="auto"/>
        <w:tabs>
          <w:tab w:pos="873" w:val="left"/>
        </w:tabs>
        <w:bidi w:val="0"/>
        <w:spacing w:before="0" w:after="100" w:line="312" w:lineRule="exact"/>
        <w:ind w:left="0" w:right="0" w:firstLine="500"/>
        <w:jc w:val="left"/>
      </w:pPr>
      <w:bookmarkStart w:id="960" w:name="bookmark960"/>
      <w:bookmarkEnd w:id="960"/>
      <w:r>
        <w:rPr>
          <w:color w:val="000000"/>
          <w:spacing w:val="0"/>
          <w:w w:val="100"/>
          <w:position w:val="0"/>
        </w:rPr>
        <w:t>计算机信息系统集成收入的确认原则及方法</w:t>
      </w:r>
    </w:p>
    <w:p>
      <w:pPr>
        <w:pStyle w:val="Style30"/>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计算机信息系统集成收入是指针对客户的集成需求制订集成解决方案，向客户提供构成集成化系统的第三方产品，如 操作系统、数据库等系统软件以及服务器、网络设备等硬件。</w:t>
      </w:r>
    </w:p>
    <w:p>
      <w:pPr>
        <w:pStyle w:val="Style30"/>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具体确认原则及方法为：计算机信息系统集成业务以客户签收送货单为确认收入的依据。具体的确认时点为软硬件设 备交付客户指定地点及现场调试后，并取得客户签字确认的送货单，确认金额为对应的销售合同不含税金额。</w:t>
      </w:r>
    </w:p>
    <w:p>
      <w:pPr>
        <w:pStyle w:val="Style35"/>
        <w:keepNext/>
        <w:keepLines/>
        <w:widowControl w:val="0"/>
        <w:shd w:val="clear" w:color="auto" w:fill="auto"/>
        <w:bidi w:val="0"/>
        <w:spacing w:before="0" w:after="300" w:line="240" w:lineRule="auto"/>
        <w:ind w:left="0" w:right="0" w:firstLine="0"/>
        <w:jc w:val="left"/>
        <w:rPr>
          <w:sz w:val="18"/>
          <w:szCs w:val="18"/>
        </w:rPr>
      </w:pPr>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、政府补助</w:t>
      </w:r>
      <w:bookmarkEnd w:id="961"/>
      <w:bookmarkEnd w:id="962"/>
      <w:bookmarkEnd w:id="963"/>
    </w:p>
    <w:p>
      <w:pPr>
        <w:pStyle w:val="Style30"/>
        <w:keepNext w:val="0"/>
        <w:keepLines w:val="0"/>
        <w:widowControl w:val="0"/>
        <w:shd w:val="clear" w:color="auto" w:fill="auto"/>
        <w:tabs>
          <w:tab w:pos="440" w:val="left"/>
        </w:tabs>
        <w:bidi w:val="0"/>
        <w:spacing w:before="0" w:after="100" w:line="312" w:lineRule="exact"/>
        <w:ind w:left="0" w:right="0" w:firstLine="0"/>
        <w:jc w:val="left"/>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政府补助的类型</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政府补助，是指公司从政府无偿取得的货币性资产或非货币性资产，包括与资产相关的政府补助和与收益相关的政府 补助。</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与资产相关的政府补助，是指公司取得的、用于购建或以其他方式形成长期资产的政府补助。</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与收益相关的政府补助，是指除与资产相关的政府补助之外的政府补助。</w:t>
      </w:r>
    </w:p>
    <w:p>
      <w:pPr>
        <w:pStyle w:val="Style30"/>
        <w:keepNext w:val="0"/>
        <w:keepLines w:val="0"/>
        <w:widowControl w:val="0"/>
        <w:shd w:val="clear" w:color="auto" w:fill="auto"/>
        <w:tabs>
          <w:tab w:pos="440" w:val="left"/>
        </w:tabs>
        <w:bidi w:val="0"/>
        <w:spacing w:before="0" w:after="100" w:line="312" w:lineRule="exact"/>
        <w:ind w:left="0" w:right="0" w:firstLine="0"/>
        <w:jc w:val="left"/>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政府补助的确认原则和确认时点</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政府补助的确认原则：</w:t>
      </w:r>
    </w:p>
    <w:p>
      <w:pPr>
        <w:pStyle w:val="Style30"/>
        <w:keepNext w:val="0"/>
        <w:keepLines w:val="0"/>
        <w:widowControl w:val="0"/>
        <w:numPr>
          <w:ilvl w:val="0"/>
          <w:numId w:val="71"/>
        </w:numPr>
        <w:shd w:val="clear" w:color="auto" w:fill="auto"/>
        <w:tabs>
          <w:tab w:pos="873" w:val="left"/>
        </w:tabs>
        <w:bidi w:val="0"/>
        <w:spacing w:before="0" w:after="100" w:line="312" w:lineRule="exact"/>
        <w:ind w:left="0" w:right="0" w:firstLine="500"/>
        <w:jc w:val="left"/>
      </w:pPr>
      <w:bookmarkStart w:id="966" w:name="bookmark966"/>
      <w:bookmarkEnd w:id="966"/>
      <w:r>
        <w:rPr>
          <w:color w:val="000000"/>
          <w:spacing w:val="0"/>
          <w:w w:val="100"/>
          <w:position w:val="0"/>
        </w:rPr>
        <w:t>公司能够满足政府补助所附条件；</w:t>
      </w:r>
    </w:p>
    <w:p>
      <w:pPr>
        <w:pStyle w:val="Style30"/>
        <w:keepNext w:val="0"/>
        <w:keepLines w:val="0"/>
        <w:widowControl w:val="0"/>
        <w:numPr>
          <w:ilvl w:val="0"/>
          <w:numId w:val="71"/>
        </w:numPr>
        <w:shd w:val="clear" w:color="auto" w:fill="auto"/>
        <w:tabs>
          <w:tab w:pos="873" w:val="left"/>
        </w:tabs>
        <w:bidi w:val="0"/>
        <w:spacing w:before="0" w:after="100" w:line="312" w:lineRule="exact"/>
        <w:ind w:left="0" w:right="0" w:firstLine="500"/>
        <w:jc w:val="left"/>
      </w:pPr>
      <w:bookmarkStart w:id="967" w:name="bookmark967"/>
      <w:bookmarkEnd w:id="967"/>
      <w:r>
        <w:rPr>
          <w:color w:val="000000"/>
          <w:spacing w:val="0"/>
          <w:w w:val="100"/>
          <w:position w:val="0"/>
        </w:rPr>
        <w:t>公司能够收到政府补助。</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政府补助同时满足上述条件时才能予以确认。</w:t>
      </w:r>
    </w:p>
    <w:p>
      <w:pPr>
        <w:pStyle w:val="Style30"/>
        <w:keepNext w:val="0"/>
        <w:keepLines w:val="0"/>
        <w:widowControl w:val="0"/>
        <w:shd w:val="clear" w:color="auto" w:fill="auto"/>
        <w:tabs>
          <w:tab w:pos="440" w:val="left"/>
        </w:tabs>
        <w:bidi w:val="0"/>
        <w:spacing w:before="0" w:after="220" w:line="312" w:lineRule="exact"/>
        <w:ind w:left="0" w:right="0" w:firstLine="0"/>
        <w:jc w:val="left"/>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t>政府补助的计量</w:t>
      </w:r>
    </w:p>
    <w:p>
      <w:pPr>
        <w:pStyle w:val="Style30"/>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①政府补助为货币性资产的，公司按照收到或应收的金额计量；</w:t>
      </w:r>
    </w:p>
    <w:p>
      <w:pPr>
        <w:pStyle w:val="Style30"/>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②政府补助为非货币性资产的，公司按照公允价值计量；公允价值不能可靠取得的，按照名义金额计量(名义金额为 人民币</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0"/>
        <w:keepNext w:val="0"/>
        <w:keepLines w:val="0"/>
        <w:widowControl w:val="0"/>
        <w:numPr>
          <w:ilvl w:val="0"/>
          <w:numId w:val="73"/>
        </w:numPr>
        <w:shd w:val="clear" w:color="auto" w:fill="auto"/>
        <w:bidi w:val="0"/>
        <w:spacing w:before="0" w:after="100" w:line="312" w:lineRule="exact"/>
        <w:ind w:left="0" w:right="0" w:firstLine="0"/>
        <w:jc w:val="left"/>
      </w:pPr>
      <w:bookmarkStart w:id="969" w:name="bookmark969"/>
      <w:bookmarkEnd w:id="969"/>
      <w:r>
        <w:rPr>
          <w:color w:val="000000"/>
          <w:spacing w:val="0"/>
          <w:w w:val="100"/>
          <w:position w:val="0"/>
        </w:rPr>
        <w:t>政府补助的会计处理方法</w:t>
      </w:r>
    </w:p>
    <w:p>
      <w:pPr>
        <w:pStyle w:val="Style30"/>
        <w:keepNext w:val="0"/>
        <w:keepLines w:val="0"/>
        <w:widowControl w:val="0"/>
        <w:numPr>
          <w:ilvl w:val="0"/>
          <w:numId w:val="75"/>
        </w:numPr>
        <w:shd w:val="clear" w:color="auto" w:fill="auto"/>
        <w:tabs>
          <w:tab w:pos="848" w:val="left"/>
        </w:tabs>
        <w:bidi w:val="0"/>
        <w:spacing w:before="0" w:after="100" w:line="307" w:lineRule="exact"/>
        <w:ind w:left="0" w:right="0" w:firstLine="500"/>
        <w:jc w:val="both"/>
      </w:pPr>
      <w:bookmarkStart w:id="970" w:name="bookmark970"/>
      <w:bookmarkEnd w:id="970"/>
      <w:r>
        <w:rPr>
          <w:color w:val="000000"/>
          <w:spacing w:val="0"/>
          <w:w w:val="100"/>
          <w:position w:val="0"/>
        </w:rPr>
        <w:t>与资产相关的政府补助，在取得时冲减相关资产的账面价值或确认为递延收益。确认为递延收益的，在相关资产使 用寿命内按照合理、系统的方法分期计入损益。按照名义金额计量的政府补助，直接计入当期损益。</w:t>
      </w:r>
    </w:p>
    <w:p>
      <w:pPr>
        <w:pStyle w:val="Style30"/>
        <w:keepNext w:val="0"/>
        <w:keepLines w:val="0"/>
        <w:widowControl w:val="0"/>
        <w:numPr>
          <w:ilvl w:val="0"/>
          <w:numId w:val="75"/>
        </w:numPr>
        <w:shd w:val="clear" w:color="auto" w:fill="auto"/>
        <w:tabs>
          <w:tab w:pos="873" w:val="left"/>
        </w:tabs>
        <w:bidi w:val="0"/>
        <w:spacing w:before="0" w:after="100" w:line="312" w:lineRule="exact"/>
        <w:ind w:left="0" w:right="0" w:firstLine="500"/>
        <w:jc w:val="both"/>
      </w:pPr>
      <w:bookmarkStart w:id="971" w:name="bookmark971"/>
      <w:bookmarkEnd w:id="971"/>
      <w:r>
        <w:rPr>
          <w:color w:val="000000"/>
          <w:spacing w:val="0"/>
          <w:w w:val="100"/>
          <w:position w:val="0"/>
        </w:rPr>
        <w:t>与收益相关的政府补助，分别下列情况处理：</w:t>
      </w:r>
    </w:p>
    <w:p>
      <w:pPr>
        <w:pStyle w:val="Style30"/>
        <w:keepNext w:val="0"/>
        <w:keepLines w:val="0"/>
        <w:widowControl w:val="0"/>
        <w:numPr>
          <w:ilvl w:val="0"/>
          <w:numId w:val="77"/>
        </w:numPr>
        <w:shd w:val="clear" w:color="auto" w:fill="auto"/>
        <w:tabs>
          <w:tab w:pos="819" w:val="left"/>
        </w:tabs>
        <w:bidi w:val="0"/>
        <w:spacing w:before="0" w:after="200" w:line="317" w:lineRule="exact"/>
        <w:ind w:left="0" w:right="0" w:firstLine="500"/>
        <w:jc w:val="both"/>
      </w:pPr>
      <w:bookmarkStart w:id="972" w:name="bookmark972"/>
      <w:bookmarkEnd w:id="972"/>
      <w:r>
        <w:rPr>
          <w:color w:val="000000"/>
          <w:spacing w:val="0"/>
          <w:w w:val="100"/>
          <w:position w:val="0"/>
        </w:rPr>
        <w:t>用于补偿公司以后期间的相关成本费用或损失的，在取得时确认为递延收益，并在确认相关成本费用或损失的期 间，计入当期损益或冲减相关成本。</w:t>
      </w:r>
    </w:p>
    <w:p>
      <w:pPr>
        <w:pStyle w:val="Style30"/>
        <w:keepNext w:val="0"/>
        <w:keepLines w:val="0"/>
        <w:widowControl w:val="0"/>
        <w:numPr>
          <w:ilvl w:val="0"/>
          <w:numId w:val="77"/>
        </w:numPr>
        <w:shd w:val="clear" w:color="auto" w:fill="auto"/>
        <w:tabs>
          <w:tab w:pos="863" w:val="left"/>
        </w:tabs>
        <w:bidi w:val="0"/>
        <w:spacing w:before="0" w:after="0"/>
        <w:ind w:left="0" w:right="0" w:firstLine="500"/>
        <w:jc w:val="both"/>
      </w:pPr>
      <w:bookmarkStart w:id="973" w:name="bookmark973"/>
      <w:bookmarkEnd w:id="973"/>
      <w:r>
        <w:rPr>
          <w:color w:val="000000"/>
          <w:spacing w:val="0"/>
          <w:w w:val="100"/>
          <w:position w:val="0"/>
        </w:rPr>
        <w:t>用于补偿公司已发生的相关成本费用或损失的，在取得时直接计入当期损益或冲减相关成本。</w:t>
      </w:r>
    </w:p>
    <w:p>
      <w:pPr>
        <w:pStyle w:val="Style30"/>
        <w:keepNext w:val="0"/>
        <w:keepLines w:val="0"/>
        <w:widowControl w:val="0"/>
        <w:numPr>
          <w:ilvl w:val="0"/>
          <w:numId w:val="75"/>
        </w:numPr>
        <w:shd w:val="clear" w:color="auto" w:fill="auto"/>
        <w:tabs>
          <w:tab w:pos="834" w:val="left"/>
        </w:tabs>
        <w:bidi w:val="0"/>
        <w:spacing w:before="0" w:after="100" w:line="312" w:lineRule="exact"/>
        <w:ind w:left="0" w:right="0" w:firstLine="500"/>
        <w:jc w:val="both"/>
      </w:pPr>
      <w:bookmarkStart w:id="974" w:name="bookmark974"/>
      <w:bookmarkEnd w:id="974"/>
      <w:r>
        <w:rPr>
          <w:color w:val="000000"/>
          <w:spacing w:val="0"/>
          <w:w w:val="100"/>
          <w:position w:val="0"/>
        </w:rPr>
        <w:t>对于同时包含于资产相关部分和与收益相关部分的政府补助，可以区分的，则分不同部分分别进行会计处理；难以 区分的，则整体归类为与收益相关的政府补助。</w:t>
      </w:r>
    </w:p>
    <w:p>
      <w:pPr>
        <w:pStyle w:val="Style30"/>
        <w:keepNext w:val="0"/>
        <w:keepLines w:val="0"/>
        <w:widowControl w:val="0"/>
        <w:numPr>
          <w:ilvl w:val="0"/>
          <w:numId w:val="75"/>
        </w:numPr>
        <w:shd w:val="clear" w:color="auto" w:fill="auto"/>
        <w:tabs>
          <w:tab w:pos="848" w:val="left"/>
        </w:tabs>
        <w:bidi w:val="0"/>
        <w:spacing w:before="0" w:after="100" w:line="322" w:lineRule="exact"/>
        <w:ind w:left="0" w:right="0" w:firstLine="500"/>
        <w:jc w:val="both"/>
      </w:pPr>
      <w:bookmarkStart w:id="975" w:name="bookmark975"/>
      <w:bookmarkEnd w:id="975"/>
      <w:r>
        <w:rPr>
          <w:color w:val="000000"/>
          <w:spacing w:val="0"/>
          <w:w w:val="100"/>
          <w:position w:val="0"/>
        </w:rPr>
        <w:t>与公司日常经营相关的政府补助，按照经济业务实质，计入其他收益或冲减相关成本费用。与公司日常活动无关的 政府补助，计入营业外收支。财政将贴息资金直接拨付给公司的，公司将对应的贴息冲减相关借款费用。</w:t>
      </w:r>
    </w:p>
    <w:p>
      <w:pPr>
        <w:pStyle w:val="Style30"/>
        <w:keepNext w:val="0"/>
        <w:keepLines w:val="0"/>
        <w:widowControl w:val="0"/>
        <w:numPr>
          <w:ilvl w:val="0"/>
          <w:numId w:val="75"/>
        </w:numPr>
        <w:shd w:val="clear" w:color="auto" w:fill="auto"/>
        <w:tabs>
          <w:tab w:pos="873" w:val="left"/>
        </w:tabs>
        <w:bidi w:val="0"/>
        <w:spacing w:before="0" w:after="200" w:line="312" w:lineRule="exact"/>
        <w:ind w:left="0" w:right="0" w:firstLine="500"/>
        <w:jc w:val="left"/>
      </w:pPr>
      <w:bookmarkStart w:id="976" w:name="bookmark976"/>
      <w:bookmarkEnd w:id="976"/>
      <w:r>
        <w:rPr>
          <w:color w:val="000000"/>
          <w:spacing w:val="0"/>
          <w:w w:val="100"/>
          <w:position w:val="0"/>
        </w:rPr>
        <w:t>已确认的政府补助需要退回的，分别下列情况处理：</w:t>
      </w:r>
    </w:p>
    <w:p>
      <w:pPr>
        <w:pStyle w:val="Style30"/>
        <w:keepNext w:val="0"/>
        <w:keepLines w:val="0"/>
        <w:widowControl w:val="0"/>
        <w:numPr>
          <w:ilvl w:val="0"/>
          <w:numId w:val="79"/>
        </w:numPr>
        <w:shd w:val="clear" w:color="auto" w:fill="auto"/>
        <w:tabs>
          <w:tab w:pos="863" w:val="left"/>
        </w:tabs>
        <w:bidi w:val="0"/>
        <w:spacing w:before="0" w:after="100"/>
        <w:ind w:left="0" w:right="0" w:firstLine="500"/>
        <w:jc w:val="left"/>
      </w:pPr>
      <w:bookmarkStart w:id="977" w:name="bookmark977"/>
      <w:bookmarkEnd w:id="977"/>
      <w:r>
        <w:rPr>
          <w:color w:val="000000"/>
          <w:spacing w:val="0"/>
          <w:w w:val="100"/>
          <w:position w:val="0"/>
        </w:rPr>
        <w:t>初始确认时冲减相关资产账面价值的，调整资产账面价值。</w:t>
      </w:r>
    </w:p>
    <w:p>
      <w:pPr>
        <w:pStyle w:val="Style30"/>
        <w:keepNext w:val="0"/>
        <w:keepLines w:val="0"/>
        <w:widowControl w:val="0"/>
        <w:numPr>
          <w:ilvl w:val="0"/>
          <w:numId w:val="79"/>
        </w:numPr>
        <w:shd w:val="clear" w:color="auto" w:fill="auto"/>
        <w:tabs>
          <w:tab w:pos="863" w:val="left"/>
        </w:tabs>
        <w:bidi w:val="0"/>
        <w:spacing w:before="0" w:after="100"/>
        <w:ind w:left="0" w:right="0" w:firstLine="500"/>
        <w:jc w:val="left"/>
      </w:pPr>
      <w:bookmarkStart w:id="978" w:name="bookmark978"/>
      <w:bookmarkEnd w:id="978"/>
      <w:r>
        <w:rPr>
          <w:color w:val="000000"/>
          <w:spacing w:val="0"/>
          <w:w w:val="100"/>
          <w:position w:val="0"/>
        </w:rPr>
        <w:t>存在相关递延收益的，冲减相关递延收益账面金额，超出部分计入当期损益。</w:t>
      </w:r>
    </w:p>
    <w:p>
      <w:pPr>
        <w:pStyle w:val="Style30"/>
        <w:keepNext w:val="0"/>
        <w:keepLines w:val="0"/>
        <w:widowControl w:val="0"/>
        <w:numPr>
          <w:ilvl w:val="0"/>
          <w:numId w:val="79"/>
        </w:numPr>
        <w:shd w:val="clear" w:color="auto" w:fill="auto"/>
        <w:tabs>
          <w:tab w:pos="863" w:val="left"/>
        </w:tabs>
        <w:bidi w:val="0"/>
        <w:spacing w:before="0" w:after="280"/>
        <w:ind w:left="0" w:right="0" w:firstLine="500"/>
        <w:jc w:val="left"/>
      </w:pPr>
      <w:bookmarkStart w:id="979" w:name="bookmark979"/>
      <w:bookmarkEnd w:id="979"/>
      <w:r>
        <w:rPr>
          <w:color w:val="000000"/>
          <w:spacing w:val="0"/>
          <w:w w:val="100"/>
          <w:position w:val="0"/>
        </w:rPr>
        <w:t>属于其他情况的，直接计入当期损益。</w:t>
      </w:r>
    </w:p>
    <w:p>
      <w:pPr>
        <w:pStyle w:val="Style35"/>
        <w:keepNext/>
        <w:keepLines/>
        <w:widowControl w:val="0"/>
        <w:shd w:val="clear" w:color="auto" w:fill="auto"/>
        <w:bidi w:val="0"/>
        <w:spacing w:before="0" w:after="280" w:line="240" w:lineRule="auto"/>
        <w:ind w:left="0" w:right="0" w:firstLine="0"/>
        <w:jc w:val="left"/>
        <w:rPr>
          <w:sz w:val="18"/>
          <w:szCs w:val="18"/>
        </w:rPr>
      </w:pPr>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递延所得税负债</w:t>
      </w:r>
      <w:bookmarkEnd w:id="980"/>
      <w:bookmarkEnd w:id="981"/>
      <w:bookmarkEnd w:id="982"/>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所得税费用的会计处理采用资产负债表债务法核算。资产负债表日，公司按照可抵扣暂时性差异与适用所得税税率计 算的结果，确认递延所得税资产及相应的递延所得税收益；按照应纳税暂时性差异与适用企业所得税税率计算的结果，确认 递延所得税负债及相应的递延所得税费用。</w:t>
      </w:r>
    </w:p>
    <w:p>
      <w:pPr>
        <w:pStyle w:val="Style30"/>
        <w:keepNext w:val="0"/>
        <w:keepLines w:val="0"/>
        <w:widowControl w:val="0"/>
        <w:numPr>
          <w:ilvl w:val="0"/>
          <w:numId w:val="81"/>
        </w:numPr>
        <w:shd w:val="clear" w:color="auto" w:fill="auto"/>
        <w:tabs>
          <w:tab w:pos="440" w:val="left"/>
        </w:tabs>
        <w:bidi w:val="0"/>
        <w:spacing w:before="0" w:after="100" w:line="312" w:lineRule="exact"/>
        <w:ind w:left="0" w:right="0" w:firstLine="0"/>
        <w:jc w:val="left"/>
      </w:pPr>
      <w:bookmarkStart w:id="983" w:name="bookmark983"/>
      <w:bookmarkEnd w:id="983"/>
      <w:r>
        <w:rPr>
          <w:color w:val="000000"/>
          <w:spacing w:val="0"/>
          <w:w w:val="100"/>
          <w:position w:val="0"/>
        </w:rPr>
        <w:t>递延所得税资产的确认</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公司以很可能取得用来抵扣可抵扣暂时性差异的应纳税所得额为限，确认由可抵扣暂时性差异产生的递延所得税资 产。但是同时具有下列特征的交易中因资产或负债的初始确认所产生的递延所得税资产会计处理采用资产负债表债务法核 算。资产负债表日，公司按照可抵扣暂时性差异与适用所得税税率计算的结果产不予确认：</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该项交易不是企业合并；</w:t>
      </w:r>
      <w:r>
        <w:rPr>
          <w:rFonts w:ascii="Times New Roman" w:eastAsia="Times New Roman" w:hAnsi="Times New Roman" w:cs="Times New Roman"/>
          <w:color w:val="000000"/>
          <w:spacing w:val="0"/>
          <w:w w:val="100"/>
          <w:position w:val="0"/>
        </w:rPr>
        <w:t>B</w:t>
      </w:r>
      <w:r>
        <w:rPr>
          <w:color w:val="000000"/>
          <w:spacing w:val="0"/>
          <w:w w:val="100"/>
          <w:position w:val="0"/>
        </w:rPr>
        <w:t xml:space="preserve">： </w:t>
      </w:r>
      <w:r>
        <w:rPr>
          <w:color w:val="000000"/>
          <w:spacing w:val="0"/>
          <w:w w:val="100"/>
          <w:position w:val="0"/>
        </w:rPr>
        <w:t>交易发生时既不影响会计利润也不影响应纳税所得额(或可抵扣亏损)。</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公司对与子公司、联营公司及合营企业投资相关的可抵扣暂时性差异，同时满足下列条件的，确认相应的递延所得税 资产：暂时性差异在可预见的未来很可能转回；未来很可能获得用来抵扣暂时性差异的应纳税所得额。</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公司对于能够结转以后年度的可抵扣亏损和税款抵减，以很可能获得用来抵扣可抵扣亏损和税款抵减的未来应纳税所 得额为限，确认相应的递延所得税资产。</w:t>
      </w:r>
    </w:p>
    <w:p>
      <w:pPr>
        <w:pStyle w:val="Style30"/>
        <w:keepNext w:val="0"/>
        <w:keepLines w:val="0"/>
        <w:widowControl w:val="0"/>
        <w:numPr>
          <w:ilvl w:val="0"/>
          <w:numId w:val="81"/>
        </w:numPr>
        <w:shd w:val="clear" w:color="auto" w:fill="auto"/>
        <w:tabs>
          <w:tab w:pos="440" w:val="left"/>
        </w:tabs>
        <w:bidi w:val="0"/>
        <w:spacing w:before="0" w:after="100" w:line="312" w:lineRule="exact"/>
        <w:ind w:left="0" w:right="0" w:firstLine="0"/>
        <w:jc w:val="left"/>
      </w:pPr>
      <w:bookmarkStart w:id="984" w:name="bookmark984"/>
      <w:bookmarkEnd w:id="984"/>
      <w:r>
        <w:rPr>
          <w:color w:val="000000"/>
          <w:spacing w:val="0"/>
          <w:w w:val="100"/>
          <w:position w:val="0"/>
        </w:rPr>
        <w:t>递延所得税负债的确认</w:t>
      </w:r>
    </w:p>
    <w:p>
      <w:pPr>
        <w:pStyle w:val="Style30"/>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除下列情况产生的递延所得税负债以外，公司确认所有应纳税暂时性差异产生的递延所得税负债：</w:t>
      </w:r>
    </w:p>
    <w:p>
      <w:pPr>
        <w:pStyle w:val="Style30"/>
        <w:keepNext w:val="0"/>
        <w:keepLines w:val="0"/>
        <w:widowControl w:val="0"/>
        <w:numPr>
          <w:ilvl w:val="0"/>
          <w:numId w:val="83"/>
        </w:numPr>
        <w:shd w:val="clear" w:color="auto" w:fill="auto"/>
        <w:tabs>
          <w:tab w:pos="873" w:val="left"/>
        </w:tabs>
        <w:bidi w:val="0"/>
        <w:spacing w:before="0" w:after="100" w:line="312" w:lineRule="exact"/>
        <w:ind w:left="0" w:right="0" w:firstLine="500"/>
        <w:jc w:val="left"/>
      </w:pPr>
      <w:bookmarkStart w:id="985" w:name="bookmark985"/>
      <w:bookmarkEnd w:id="985"/>
      <w:r>
        <w:rPr>
          <w:color w:val="000000"/>
          <w:spacing w:val="0"/>
          <w:w w:val="100"/>
          <w:position w:val="0"/>
        </w:rPr>
        <w:t>商誉的初始确认；</w:t>
      </w:r>
    </w:p>
    <w:p>
      <w:pPr>
        <w:pStyle w:val="Style30"/>
        <w:keepNext w:val="0"/>
        <w:keepLines w:val="0"/>
        <w:widowControl w:val="0"/>
        <w:numPr>
          <w:ilvl w:val="0"/>
          <w:numId w:val="83"/>
        </w:numPr>
        <w:shd w:val="clear" w:color="auto" w:fill="auto"/>
        <w:tabs>
          <w:tab w:pos="873" w:val="left"/>
        </w:tabs>
        <w:bidi w:val="0"/>
        <w:spacing w:before="0" w:after="200" w:line="312" w:lineRule="exact"/>
        <w:ind w:left="0" w:right="0" w:firstLine="500"/>
        <w:jc w:val="left"/>
      </w:pPr>
      <w:bookmarkStart w:id="986" w:name="bookmark986"/>
      <w:bookmarkEnd w:id="986"/>
      <w:r>
        <w:rPr>
          <w:color w:val="000000"/>
          <w:spacing w:val="0"/>
          <w:w w:val="100"/>
          <w:position w:val="0"/>
        </w:rPr>
        <w:t>同时满足具有下列特征的交易中产生的资产或负债的初始确认：</w:t>
      </w:r>
    </w:p>
    <w:p>
      <w:pPr>
        <w:pStyle w:val="Style30"/>
        <w:keepNext w:val="0"/>
        <w:keepLines w:val="0"/>
        <w:widowControl w:val="0"/>
        <w:shd w:val="clear" w:color="auto" w:fill="auto"/>
        <w:bidi w:val="0"/>
        <w:spacing w:before="0" w:after="100"/>
        <w:ind w:left="0" w:right="0" w:firstLine="50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该项交易不是企业合并；</w:t>
      </w:r>
    </w:p>
    <w:p>
      <w:pPr>
        <w:pStyle w:val="Style30"/>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rPr>
        <w:t>B</w:t>
      </w:r>
      <w:r>
        <w:rPr>
          <w:color w:val="000000"/>
          <w:spacing w:val="0"/>
          <w:w w:val="100"/>
          <w:position w:val="0"/>
        </w:rPr>
        <w:t>交易发生时既不影响会计利润也不影响应纳税所得额（或可抵扣亏损）。</w:t>
      </w:r>
    </w:p>
    <w:p>
      <w:pPr>
        <w:pStyle w:val="Style30"/>
        <w:keepNext w:val="0"/>
        <w:keepLines w:val="0"/>
        <w:widowControl w:val="0"/>
        <w:numPr>
          <w:ilvl w:val="0"/>
          <w:numId w:val="83"/>
        </w:numPr>
        <w:shd w:val="clear" w:color="auto" w:fill="auto"/>
        <w:bidi w:val="0"/>
        <w:spacing w:before="0" w:after="100" w:line="317" w:lineRule="exact"/>
        <w:ind w:left="0" w:right="0" w:firstLine="500"/>
        <w:jc w:val="both"/>
      </w:pPr>
      <w:bookmarkStart w:id="987" w:name="bookmark987"/>
      <w:bookmarkEnd w:id="987"/>
      <w:r>
        <w:rPr>
          <w:color w:val="000000"/>
          <w:spacing w:val="0"/>
          <w:w w:val="100"/>
          <w:position w:val="0"/>
        </w:rPr>
        <w:t>与子公司、联营企业、合营企业投资等相关的应纳税暂时性差异，一般应确认相关的递延所得税负债，但同时满足 以下两个条件的除外：</w:t>
      </w:r>
    </w:p>
    <w:p>
      <w:pPr>
        <w:pStyle w:val="Style30"/>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rPr>
        <w:t>A</w:t>
      </w:r>
      <w:r>
        <w:rPr>
          <w:color w:val="000000"/>
          <w:spacing w:val="0"/>
          <w:w w:val="100"/>
          <w:position w:val="0"/>
        </w:rPr>
        <w:t>投资企业能够控制暂时性差异的转回的时间；</w:t>
      </w:r>
    </w:p>
    <w:p>
      <w:pPr>
        <w:pStyle w:val="Style30"/>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rPr>
        <w:t>B</w:t>
      </w:r>
      <w:r>
        <w:rPr>
          <w:color w:val="000000"/>
          <w:spacing w:val="0"/>
          <w:w w:val="100"/>
          <w:position w:val="0"/>
        </w:rPr>
        <w:t>该暂时性差异在可预见的未来很可能不会转回。</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）所得税费用计量</w:t>
      </w:r>
    </w:p>
    <w:p>
      <w:pPr>
        <w:pStyle w:val="Style30"/>
        <w:keepNext w:val="0"/>
        <w:keepLines w:val="0"/>
        <w:widowControl w:val="0"/>
        <w:shd w:val="clear" w:color="auto" w:fill="auto"/>
        <w:bidi w:val="0"/>
        <w:spacing w:before="0" w:after="700" w:line="307" w:lineRule="exact"/>
        <w:ind w:left="0" w:right="0" w:firstLine="500"/>
        <w:jc w:val="both"/>
      </w:pPr>
      <w:r>
        <w:rPr>
          <w:color w:val="000000"/>
          <w:spacing w:val="0"/>
          <w:w w:val="100"/>
          <w:position w:val="0"/>
        </w:rPr>
        <w:t>公司将当期所得税和递延所得税作为所得税费用或收益计入当期损益，但不包括下列情况产生的所得税：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企业合 并；</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直接在所有者权益中确认的交易或事项。</w:t>
      </w:r>
    </w:p>
    <w:p>
      <w:pPr>
        <w:pStyle w:val="Style35"/>
        <w:keepNext/>
        <w:keepLines/>
        <w:widowControl w:val="0"/>
        <w:shd w:val="clear" w:color="auto" w:fill="auto"/>
        <w:bidi w:val="0"/>
        <w:spacing w:before="0" w:after="360" w:line="240" w:lineRule="auto"/>
        <w:ind w:left="0" w:right="0" w:firstLine="0"/>
        <w:jc w:val="left"/>
        <w:rPr>
          <w:sz w:val="18"/>
          <w:szCs w:val="18"/>
        </w:rPr>
      </w:pPr>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、租赁</w:t>
      </w:r>
      <w:bookmarkEnd w:id="988"/>
      <w:bookmarkEnd w:id="989"/>
      <w:bookmarkEnd w:id="990"/>
    </w:p>
    <w:p>
      <w:pPr>
        <w:pStyle w:val="Style40"/>
        <w:keepNext/>
        <w:keepLines/>
        <w:widowControl w:val="0"/>
        <w:shd w:val="clear" w:color="auto" w:fill="auto"/>
        <w:bidi w:val="0"/>
        <w:spacing w:before="0" w:after="280" w:line="240" w:lineRule="auto"/>
        <w:ind w:left="0" w:right="0" w:firstLine="0"/>
        <w:jc w:val="left"/>
        <w:rPr>
          <w:sz w:val="18"/>
          <w:szCs w:val="18"/>
        </w:rPr>
      </w:pPr>
      <w:bookmarkStart w:id="991" w:name="bookmark991"/>
      <w:bookmarkStart w:id="992" w:name="bookmark992"/>
      <w:bookmarkStart w:id="993" w:name="bookmark993"/>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）经营租赁的会计处理方法</w:t>
      </w:r>
      <w:bookmarkEnd w:id="991"/>
      <w:bookmarkEnd w:id="992"/>
      <w:bookmarkEnd w:id="993"/>
    </w:p>
    <w:p>
      <w:pPr>
        <w:pStyle w:val="Style30"/>
        <w:keepNext w:val="0"/>
        <w:keepLines w:val="0"/>
        <w:widowControl w:val="0"/>
        <w:shd w:val="clear" w:color="auto" w:fill="auto"/>
        <w:bidi w:val="0"/>
        <w:spacing w:before="0" w:after="700" w:line="317" w:lineRule="exact"/>
        <w:ind w:left="0" w:right="0" w:firstLine="500"/>
        <w:jc w:val="both"/>
      </w:pPr>
      <w:r>
        <w:rPr>
          <w:color w:val="000000"/>
          <w:spacing w:val="0"/>
          <w:w w:val="100"/>
          <w:position w:val="0"/>
        </w:rPr>
        <w:t>对于经营租赁的租金，出租人、承租人在租赁期内各个期间按照直线法确认为当期损益。出租人、承租人发生的初始 直接费用，计入当期损益。或有租金在实际发生时计入当期损益。</w:t>
      </w:r>
    </w:p>
    <w:p>
      <w:pPr>
        <w:pStyle w:val="Style40"/>
        <w:keepNext/>
        <w:keepLines/>
        <w:widowControl w:val="0"/>
        <w:shd w:val="clear" w:color="auto" w:fill="auto"/>
        <w:bidi w:val="0"/>
        <w:spacing w:before="0" w:after="280" w:line="240" w:lineRule="auto"/>
        <w:ind w:left="0" w:right="0" w:firstLine="0"/>
        <w:jc w:val="left"/>
        <w:rPr>
          <w:sz w:val="18"/>
          <w:szCs w:val="18"/>
        </w:rPr>
      </w:pPr>
      <w:bookmarkStart w:id="994" w:name="bookmark994"/>
      <w:bookmarkStart w:id="995" w:name="bookmark995"/>
      <w:bookmarkStart w:id="996" w:name="bookmark996"/>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）融资租赁的会计处理方法</w:t>
      </w:r>
      <w:bookmarkEnd w:id="994"/>
      <w:bookmarkEnd w:id="995"/>
      <w:bookmarkEnd w:id="996"/>
    </w:p>
    <w:p>
      <w:pPr>
        <w:pStyle w:val="Style30"/>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承租人的会计处理：在租赁期开始日，将租赁开始日租赁资产公允价值与最低租赁付款额现值两者中较低者作为租入 资产的入账价值，将最低租赁付款额作为长期应付款的入账价值，其差额作为未确认融资费用。在租赁谈判和签订租赁合同 过程中发生的，可归属于租赁项目的手续费、律师费、差旅费、印花税等初始直接费用（下同），计入租入资产价值。在计 算最低租赁付款额的现值时，能够取得出租人租赁内含利率的，采用租赁内含利率作为折现率；否则，采用租赁合同规定的 利率作为折现率。无法取得出租人的租赁内含利率且租赁合同没有规定利率的，采用同期银行贷款利率作为折现率。未确认 融资费用在租赁期内按照实际利率法计算确认当期的融资费用。公司采用与自有固定资产相一致的折旧政策计提租赁资产折 旧。能够合理确定租赁期届满时取得租赁资产所有权的，在租赁资产使用寿命内计提折旧。无法合理确定租赁期届满时能够 取得租赁资产所有权的，在租赁期与租赁资产使用寿命两者中较短的期间内计提折旧。或有租金在实际发生时计入当期损益。</w:t>
      </w:r>
    </w:p>
    <w:p>
      <w:pPr>
        <w:pStyle w:val="Style30"/>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出租人的会计处理：在租赁期开始日，出租人将租赁开始日最低租赁收款额与初始直接费用之和作为应收融资租赁款 的入账价值，同时记录未担保余值；将最低租赁收款额、初始直接费用及未担保余值之和与其现值之和的差额确认为未实现 融资收益。未实现融资收益在租赁期内按照实际利率法计算确认当期的融资收入。或有租金在实际发生时计入当期损益。</w:t>
      </w:r>
    </w:p>
    <w:p>
      <w:pPr>
        <w:pStyle w:val="Style35"/>
        <w:keepNext/>
        <w:keepLines/>
        <w:widowControl w:val="0"/>
        <w:shd w:val="clear" w:color="auto" w:fill="auto"/>
        <w:bidi w:val="0"/>
        <w:spacing w:before="0" w:after="360" w:line="240" w:lineRule="auto"/>
        <w:ind w:left="0" w:right="0" w:firstLine="0"/>
        <w:jc w:val="left"/>
        <w:rPr>
          <w:sz w:val="18"/>
          <w:szCs w:val="18"/>
        </w:rPr>
      </w:pPr>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、重要会计政策和会计估计变更</w:t>
      </w:r>
      <w:bookmarkEnd w:id="997"/>
      <w:bookmarkEnd w:id="998"/>
      <w:bookmarkEnd w:id="999"/>
    </w:p>
    <w:p>
      <w:pPr>
        <w:pStyle w:val="Style40"/>
        <w:keepNext/>
        <w:keepLines/>
        <w:widowControl w:val="0"/>
        <w:shd w:val="clear" w:color="auto" w:fill="auto"/>
        <w:bidi w:val="0"/>
        <w:spacing w:before="0" w:line="240" w:lineRule="auto"/>
        <w:ind w:left="0" w:right="0" w:firstLine="0"/>
        <w:jc w:val="left"/>
        <w:rPr>
          <w:sz w:val="18"/>
          <w:szCs w:val="18"/>
        </w:rPr>
      </w:pPr>
      <w:bookmarkStart w:id="1000" w:name="bookmark1000"/>
      <w:bookmarkStart w:id="1001" w:name="bookmark1001"/>
      <w:bookmarkStart w:id="1002" w:name="bookmark1002"/>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）重要会计政策变更</w:t>
      </w:r>
      <w:bookmarkEnd w:id="1000"/>
      <w:bookmarkEnd w:id="1001"/>
      <w:bookmarkEnd w:id="1002"/>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月，财政部颁布了修订的《企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号），并要求境内上市的企业自</w:t>
            </w:r>
            <w:r>
              <w:rPr>
                <w:rFonts w:ascii="Times New Roman" w:eastAsia="Times New Roman" w:hAnsi="Times New Roman" w:cs="Times New Roman"/>
                <w:color w:val="000000"/>
                <w:spacing w:val="0"/>
                <w:w w:val="100"/>
                <w:position w:val="0"/>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已经董事会审议批准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详见其他说明</w:t>
            </w:r>
          </w:p>
        </w:tc>
      </w:tr>
    </w:tbl>
    <w:p>
      <w:pPr>
        <w:widowControl w:val="0"/>
        <w:spacing w:line="1" w:lineRule="exact"/>
      </w:pPr>
      <w:r>
        <w:br w:type="page"/>
      </w:r>
    </w:p>
    <w:tbl>
      <w:tblPr>
        <w:tblOverlap w:val="never"/>
        <w:jc w:val="center"/>
        <w:tblLayout w:type="fixed"/>
      </w:tblPr>
      <w:tblGrid>
        <w:gridCol w:w="3197"/>
        <w:gridCol w:w="3187"/>
        <w:gridCol w:w="3197"/>
      </w:tblGrid>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日起施行新收入准则。公司自 规定之日起开始执行。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40" w:line="317" w:lineRule="exact"/>
        <w:ind w:left="0" w:right="0" w:firstLine="3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日，财政部颁布了修订的《企业会计准则第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号），并要求境内上市的 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日起施行新收入准则。新收入准则具体政策详见附注五、</w:t>
      </w:r>
      <w:r>
        <w:rPr>
          <w:rFonts w:ascii="Times New Roman" w:eastAsia="Times New Roman" w:hAnsi="Times New Roman" w:cs="Times New Roman"/>
          <w:color w:val="000000"/>
          <w:spacing w:val="0"/>
          <w:w w:val="100"/>
          <w:position w:val="0"/>
        </w:rPr>
        <w:t>26</w:t>
      </w:r>
      <w:r>
        <w:rPr>
          <w:color w:val="000000"/>
          <w:spacing w:val="0"/>
          <w:w w:val="100"/>
          <w:position w:val="0"/>
        </w:rPr>
        <w:t>。</w:t>
      </w:r>
    </w:p>
    <w:p>
      <w:pPr>
        <w:pStyle w:val="Style30"/>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日起执行新收入准则，新收入准则要求首次执行该准则的累积影响数调整首次执行当期期初</w:t>
      </w:r>
      <w:r>
        <w:rPr>
          <w:rFonts w:ascii="Times New Roman" w:eastAsia="Times New Roman" w:hAnsi="Times New Roman" w:cs="Times New Roman"/>
          <w:color w:val="000000"/>
          <w:spacing w:val="0"/>
          <w:w w:val="100"/>
          <w:position w:val="0"/>
        </w:rPr>
        <w:t>（</w:t>
      </w:r>
      <w:r>
        <w:rPr>
          <w:color w:val="000000"/>
          <w:spacing w:val="0"/>
          <w:w w:val="100"/>
          <w:position w:val="0"/>
        </w:rPr>
        <w:t xml:space="preserve">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color w:val="000000"/>
          <w:spacing w:val="0"/>
          <w:w w:val="100"/>
          <w:position w:val="0"/>
        </w:rPr>
        <w:t>）</w:t>
      </w:r>
      <w:r>
        <w:rPr>
          <w:color w:val="000000"/>
          <w:spacing w:val="0"/>
          <w:w w:val="100"/>
          <w:position w:val="0"/>
        </w:rPr>
        <w:t>留存收益及财务报表其他相关项目金额，对可比期间信息不予调整。此项会计政策变更已经公司董事会审 议通过，采用变更后会计政策编制的</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年度合并利润表及母公司利润表各项目、</w:t>
      </w:r>
      <w:r>
        <w:rPr>
          <w:rFonts w:ascii="Times New Roman" w:eastAsia="Times New Roman" w:hAnsi="Times New Roman" w:cs="Times New Roman"/>
          <w:color w:val="000000"/>
          <w:spacing w:val="0"/>
          <w:w w:val="100"/>
          <w:position w:val="0"/>
        </w:rPr>
        <w:t>2020</w:t>
      </w:r>
      <w:r>
        <w:rPr>
          <w:color w:val="000000"/>
          <w:spacing w:val="0"/>
          <w:w w:val="100"/>
          <w:position w:val="0"/>
        </w:rPr>
        <w:t>年度合并资产负债表及母公司资产 负债表各项目，与假定采用变更前会计政策编制的这些报表项目相比，除部分财务报表科目重分类外，没有重大影响，相应 财务报表项目变动详见附注五、</w:t>
      </w:r>
      <w:r>
        <w:rPr>
          <w:rFonts w:ascii="Times New Roman" w:eastAsia="Times New Roman" w:hAnsi="Times New Roman" w:cs="Times New Roman"/>
          <w:color w:val="000000"/>
          <w:spacing w:val="0"/>
          <w:w w:val="100"/>
          <w:position w:val="0"/>
        </w:rPr>
        <w:t>30</w:t>
      </w:r>
    </w:p>
    <w:p>
      <w:pPr>
        <w:pStyle w:val="Style40"/>
        <w:keepNext/>
        <w:keepLines/>
        <w:widowControl w:val="0"/>
        <w:shd w:val="clear" w:color="auto" w:fill="auto"/>
        <w:tabs>
          <w:tab w:pos="450" w:val="left"/>
        </w:tabs>
        <w:bidi w:val="0"/>
        <w:spacing w:before="0" w:after="320" w:line="240" w:lineRule="auto"/>
        <w:ind w:left="0" w:right="0" w:firstLine="0"/>
        <w:jc w:val="both"/>
        <w:rPr>
          <w:sz w:val="18"/>
          <w:szCs w:val="18"/>
        </w:rPr>
      </w:pPr>
      <w:bookmarkStart w:id="1003" w:name="bookmark1003"/>
      <w:bookmarkStart w:id="1004" w:name="bookmark1004"/>
      <w:bookmarkStart w:id="1005" w:name="bookmark1005"/>
      <w:bookmarkStart w:id="1006" w:name="bookmark1006"/>
      <w:r>
        <w:rPr>
          <w:color w:val="000000"/>
          <w:spacing w:val="0"/>
          <w:w w:val="100"/>
          <w:position w:val="0"/>
          <w:sz w:val="18"/>
          <w:szCs w:val="18"/>
        </w:rPr>
        <w:t>（</w:t>
      </w:r>
      <w:bookmarkEnd w:id="100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重要会计估计变更</w:t>
      </w:r>
      <w:bookmarkEnd w:id="1003"/>
      <w:bookmarkEnd w:id="1004"/>
      <w:bookmarkEnd w:id="1006"/>
    </w:p>
    <w:p>
      <w:pPr>
        <w:pStyle w:val="Style30"/>
        <w:keepNext w:val="0"/>
        <w:keepLines w:val="0"/>
        <w:widowControl w:val="0"/>
        <w:shd w:val="clear" w:color="auto" w:fill="auto"/>
        <w:bidi w:val="0"/>
        <w:spacing w:before="0" w:after="380" w:line="3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50" w:val="left"/>
        </w:tabs>
        <w:bidi w:val="0"/>
        <w:spacing w:before="0" w:after="260" w:line="240" w:lineRule="auto"/>
        <w:ind w:left="0" w:right="0" w:firstLine="0"/>
        <w:jc w:val="both"/>
        <w:rPr>
          <w:sz w:val="18"/>
          <w:szCs w:val="18"/>
        </w:rPr>
      </w:pPr>
      <w:bookmarkStart w:id="1007" w:name="bookmark1007"/>
      <w:bookmarkStart w:id="1008" w:name="bookmark1008"/>
      <w:bookmarkStart w:id="1009" w:name="bookmark1009"/>
      <w:bookmarkStart w:id="1010" w:name="bookmark1010"/>
      <w:r>
        <w:rPr>
          <w:color w:val="000000"/>
          <w:spacing w:val="0"/>
          <w:w w:val="100"/>
          <w:position w:val="0"/>
          <w:sz w:val="18"/>
          <w:szCs w:val="18"/>
        </w:rPr>
        <w:t>（</w:t>
      </w:r>
      <w:bookmarkEnd w:id="1009"/>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年起首次执行新收入准则、新租赁准则调整执行当年年初财务报表相关项目情况</w:t>
      </w:r>
      <w:bookmarkEnd w:id="1007"/>
      <w:bookmarkEnd w:id="1008"/>
      <w:bookmarkEnd w:id="1010"/>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适用</w:t>
      </w:r>
    </w:p>
    <w:p>
      <w:pPr>
        <w:pStyle w:val="Style30"/>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合并资产负债表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526,922,052.54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526,922,052.54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175,895,620.78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162,554,318.36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-13,341,302.42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4,703,880.25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4,703,880.25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3,999,241.41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3,999,241.41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5,983,550.99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9,567,041.20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3,583,490.21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10,608,754.42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10,608,754.42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5,937,258.35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5,937,258.35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723,441,604.32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724,292,546.53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850,942.21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48,393,395.82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48,393,395.82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54,841,508.99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54,841,508.99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302,285,456.43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302,285,456.43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19,379,842.84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19,379,842.84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31,748,992.45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31,748,992.45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2,162,947.99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2,162,947.99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12,410,712.84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12,928,821.50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518,108.66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2,747,480.86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2,747,480.86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473,970,338.22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474,488,446.88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518,108.66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1,197,411,942.54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1,198,780,993.41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1,369,050.87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222,430.90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120,244.66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4,425,244.66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4,425,244.66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55,106,909.37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55,106,909.37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3,515,328.45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3,515,328.45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33,652,798.98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33,652,798.98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817,262.64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817,262.64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92,617,712.36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96,922,712.36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2,358,612.83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2,358,612.83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2,358,612.83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2,358,612.83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94,976,325.19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99,281,325.19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188,968,261.00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188,968,261.00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536,524,182.26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536,524,182.26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31,647,375.64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31,647,375.64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-26,059,111.75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-26,059,111.75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68,246,921.37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67,953,326.46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-293,594.91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366,402,740.11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363,760,385.89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-2,642,354.22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1,102,435,617.35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1,099,499,668.22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-2,935,949.13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1,102,435,617.35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1,099,499,668.22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-2,935,949.13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1,197,411,942.54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1,198,780,993.41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1,369,050.87</w:t>
            </w:r>
          </w:p>
        </w:tc>
      </w:tr>
    </w:tbl>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：合同资产、应收账款</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日，公司将尚未完成的合同中不满足无条件收款权的应收账款</w:t>
      </w:r>
      <w:r>
        <w:rPr>
          <w:rFonts w:ascii="Times New Roman" w:eastAsia="Times New Roman" w:hAnsi="Times New Roman" w:cs="Times New Roman"/>
          <w:color w:val="000000"/>
          <w:spacing w:val="0"/>
          <w:w w:val="100"/>
          <w:position w:val="0"/>
        </w:rPr>
        <w:t>10,608,754.42</w:t>
      </w:r>
      <w:r>
        <w:rPr>
          <w:color w:val="000000"/>
          <w:spacing w:val="0"/>
          <w:w w:val="100"/>
          <w:position w:val="0"/>
        </w:rPr>
        <w:t>元重分类为合同资产。</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：应收账款、存货、递延所得税资产、合同负债、盈余公积及未分配利润</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日，公司对截止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日未完成终验的软件开发合同已确认的收入及对应成本进行调整，减少应 收账款</w:t>
      </w:r>
      <w:r>
        <w:rPr>
          <w:rFonts w:ascii="Times New Roman" w:eastAsia="Times New Roman" w:hAnsi="Times New Roman" w:cs="Times New Roman"/>
          <w:color w:val="000000"/>
          <w:spacing w:val="0"/>
          <w:w w:val="100"/>
          <w:position w:val="0"/>
        </w:rPr>
        <w:t>2,732,548.00</w:t>
      </w:r>
      <w:r>
        <w:rPr>
          <w:color w:val="000000"/>
          <w:spacing w:val="0"/>
          <w:w w:val="100"/>
          <w:position w:val="0"/>
        </w:rPr>
        <w:t>元，增加存货</w:t>
      </w:r>
      <w:r>
        <w:rPr>
          <w:rFonts w:ascii="Times New Roman" w:eastAsia="Times New Roman" w:hAnsi="Times New Roman" w:cs="Times New Roman"/>
          <w:color w:val="000000"/>
          <w:spacing w:val="0"/>
          <w:w w:val="100"/>
          <w:position w:val="0"/>
        </w:rPr>
        <w:t>3,583,490.21</w:t>
      </w:r>
      <w:r>
        <w:rPr>
          <w:color w:val="000000"/>
          <w:spacing w:val="0"/>
          <w:w w:val="100"/>
          <w:position w:val="0"/>
        </w:rPr>
        <w:t>元，增加递延所得税资产</w:t>
      </w:r>
      <w:r>
        <w:rPr>
          <w:rFonts w:ascii="Times New Roman" w:eastAsia="Times New Roman" w:hAnsi="Times New Roman" w:cs="Times New Roman"/>
          <w:color w:val="000000"/>
          <w:spacing w:val="0"/>
          <w:w w:val="100"/>
          <w:position w:val="0"/>
        </w:rPr>
        <w:t>518,108.66</w:t>
      </w:r>
      <w:r>
        <w:rPr>
          <w:color w:val="000000"/>
          <w:spacing w:val="0"/>
          <w:w w:val="100"/>
          <w:position w:val="0"/>
        </w:rPr>
        <w:t>元，增加合同负债</w:t>
      </w:r>
      <w:r>
        <w:rPr>
          <w:rFonts w:ascii="Times New Roman" w:eastAsia="Times New Roman" w:hAnsi="Times New Roman" w:cs="Times New Roman"/>
          <w:color w:val="000000"/>
          <w:spacing w:val="0"/>
          <w:w w:val="100"/>
          <w:position w:val="0"/>
        </w:rPr>
        <w:t>4,305,000.00</w:t>
      </w:r>
      <w:r>
        <w:rPr>
          <w:color w:val="000000"/>
          <w:spacing w:val="0"/>
          <w:w w:val="100"/>
          <w:position w:val="0"/>
        </w:rPr>
        <w:t>元，减 少盈余公积</w:t>
      </w:r>
      <w:r>
        <w:rPr>
          <w:rFonts w:ascii="Times New Roman" w:eastAsia="Times New Roman" w:hAnsi="Times New Roman" w:cs="Times New Roman"/>
          <w:color w:val="000000"/>
          <w:spacing w:val="0"/>
          <w:w w:val="100"/>
          <w:position w:val="0"/>
        </w:rPr>
        <w:t>293,594.91</w:t>
      </w:r>
      <w:r>
        <w:rPr>
          <w:color w:val="000000"/>
          <w:spacing w:val="0"/>
          <w:w w:val="100"/>
          <w:position w:val="0"/>
        </w:rPr>
        <w:t>元，减少未分配利润</w:t>
      </w:r>
      <w:r>
        <w:rPr>
          <w:rFonts w:ascii="Times New Roman" w:eastAsia="Times New Roman" w:hAnsi="Times New Roman" w:cs="Times New Roman"/>
          <w:color w:val="000000"/>
          <w:spacing w:val="0"/>
          <w:w w:val="100"/>
          <w:position w:val="0"/>
        </w:rPr>
        <w:t>2,642,354.22</w:t>
      </w:r>
      <w:r>
        <w:rPr>
          <w:color w:val="000000"/>
          <w:spacing w:val="0"/>
          <w:w w:val="100"/>
          <w:position w:val="0"/>
        </w:rPr>
        <w:t>元。</w:t>
      </w:r>
    </w:p>
    <w:p>
      <w:pPr>
        <w:pStyle w:val="Style30"/>
        <w:keepNext w:val="0"/>
        <w:keepLines w:val="0"/>
        <w:widowControl w:val="0"/>
        <w:shd w:val="clear" w:color="auto" w:fill="auto"/>
        <w:bidi w:val="0"/>
        <w:spacing w:before="0" w:after="4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、合同负债、预收款项</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日，公司将与商品销售和提供劳务相关的预收款项</w:t>
      </w:r>
      <w:r>
        <w:rPr>
          <w:rFonts w:ascii="Times New Roman" w:eastAsia="Times New Roman" w:hAnsi="Times New Roman" w:cs="Times New Roman"/>
          <w:color w:val="000000"/>
          <w:spacing w:val="0"/>
          <w:w w:val="100"/>
          <w:position w:val="0"/>
        </w:rPr>
        <w:t>120,244.66</w:t>
      </w:r>
      <w:r>
        <w:rPr>
          <w:color w:val="000000"/>
          <w:spacing w:val="0"/>
          <w:w w:val="100"/>
          <w:position w:val="0"/>
        </w:rPr>
        <w:t>元重分类至合同负债。</w:t>
      </w:r>
    </w:p>
    <w:p>
      <w:pPr>
        <w:pStyle w:val="Style30"/>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346,573,339.11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346,573,339.11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328,659,191.02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315,317,888.60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-13,341,302.42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2,713,817.49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2,713,817.49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2,862,130.54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2,862,130.54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5,983,550.99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9,567,041.20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3,583,490.21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10,608,754.42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10,608,754.42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5,900,435.76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5,900,435.76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692,692,464.91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693,543,407.12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850,942.21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58,319,881.41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58,319,881.41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54,841,508.99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54,841,508.99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297,592,593.65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297,592,593.65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19,379,842.84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19,379,842.84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31,748,992.45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31,748,992.45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1,062,064.75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1,062,064.75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12,410,712.84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12,928,821.50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518,108.66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617,864.00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617,864.00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475,973,460.93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476,491,569.59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518,108.66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1,168,665,925.84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1,170,034,976.71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1,369,050.87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222,430.90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222,430.90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120,244.66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4,425,244.66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4,425,244.66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48,440,437.01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48,440,437.01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3,426,183.06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3,426,183.06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32,971,202.62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32,971,202.62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817,262.64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817,262.64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85,180,498.25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89,485,498.25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4,305,000.00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85,180,498.25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89,485,498.25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188,968,261.00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188,968,261.00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536,531,818.35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536,531,818.35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31,647,375.64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31,647,375.64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-28,677,347.60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-28,677,347.60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68,246,921.37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67,953,326.46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-293,594.91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350,063,150.11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347,420,795.89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-2,642,354.22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1,083,485,427.59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1,080,549,478.46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-2,935,949.13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1,168,665,925.84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1,170,034,976.71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1,369,050.87</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：合同资产、应收账款</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日，公司将尚未完成的合同中不满足无条件收款权的应收账款</w:t>
      </w:r>
      <w:r>
        <w:rPr>
          <w:rFonts w:ascii="Times New Roman" w:eastAsia="Times New Roman" w:hAnsi="Times New Roman" w:cs="Times New Roman"/>
          <w:color w:val="000000"/>
          <w:spacing w:val="0"/>
          <w:w w:val="100"/>
          <w:position w:val="0"/>
        </w:rPr>
        <w:t>10,608,754.42</w:t>
      </w:r>
      <w:r>
        <w:rPr>
          <w:color w:val="000000"/>
          <w:spacing w:val="0"/>
          <w:w w:val="100"/>
          <w:position w:val="0"/>
        </w:rPr>
        <w:t>元重分类为合同资产。</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：应收账款、存货、递延所得税资产、合同负债、盈余公积及未分配利润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日，公司对截止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日未完成终验的软件开发合同已确认的收入及对应成本进行调整，减少应 收账款</w:t>
      </w:r>
      <w:r>
        <w:rPr>
          <w:rFonts w:ascii="Times New Roman" w:eastAsia="Times New Roman" w:hAnsi="Times New Roman" w:cs="Times New Roman"/>
          <w:color w:val="000000"/>
          <w:spacing w:val="0"/>
          <w:w w:val="100"/>
          <w:position w:val="0"/>
        </w:rPr>
        <w:t>2,732,548.00</w:t>
      </w:r>
      <w:r>
        <w:rPr>
          <w:color w:val="000000"/>
          <w:spacing w:val="0"/>
          <w:w w:val="100"/>
          <w:position w:val="0"/>
        </w:rPr>
        <w:t>元，增加存货</w:t>
      </w:r>
      <w:r>
        <w:rPr>
          <w:rFonts w:ascii="Times New Roman" w:eastAsia="Times New Roman" w:hAnsi="Times New Roman" w:cs="Times New Roman"/>
          <w:color w:val="000000"/>
          <w:spacing w:val="0"/>
          <w:w w:val="100"/>
          <w:position w:val="0"/>
        </w:rPr>
        <w:t>3,583,490.21</w:t>
      </w:r>
      <w:r>
        <w:rPr>
          <w:color w:val="000000"/>
          <w:spacing w:val="0"/>
          <w:w w:val="100"/>
          <w:position w:val="0"/>
        </w:rPr>
        <w:t>元，增加递延所得税资产</w:t>
      </w:r>
      <w:r>
        <w:rPr>
          <w:rFonts w:ascii="Times New Roman" w:eastAsia="Times New Roman" w:hAnsi="Times New Roman" w:cs="Times New Roman"/>
          <w:color w:val="000000"/>
          <w:spacing w:val="0"/>
          <w:w w:val="100"/>
          <w:position w:val="0"/>
        </w:rPr>
        <w:t>518,108.66</w:t>
      </w:r>
      <w:r>
        <w:rPr>
          <w:color w:val="000000"/>
          <w:spacing w:val="0"/>
          <w:w w:val="100"/>
          <w:position w:val="0"/>
        </w:rPr>
        <w:t>元，增加合同负债</w:t>
      </w:r>
      <w:r>
        <w:rPr>
          <w:rFonts w:ascii="Times New Roman" w:eastAsia="Times New Roman" w:hAnsi="Times New Roman" w:cs="Times New Roman"/>
          <w:color w:val="000000"/>
          <w:spacing w:val="0"/>
          <w:w w:val="100"/>
          <w:position w:val="0"/>
        </w:rPr>
        <w:t>4,305,000.00</w:t>
      </w:r>
      <w:r>
        <w:rPr>
          <w:color w:val="000000"/>
          <w:spacing w:val="0"/>
          <w:w w:val="100"/>
          <w:position w:val="0"/>
        </w:rPr>
        <w:t>元，减 少盈余公积</w:t>
      </w:r>
      <w:r>
        <w:rPr>
          <w:rFonts w:ascii="Times New Roman" w:eastAsia="Times New Roman" w:hAnsi="Times New Roman" w:cs="Times New Roman"/>
          <w:color w:val="000000"/>
          <w:spacing w:val="0"/>
          <w:w w:val="100"/>
          <w:position w:val="0"/>
        </w:rPr>
        <w:t>293,594.91</w:t>
      </w:r>
      <w:r>
        <w:rPr>
          <w:color w:val="000000"/>
          <w:spacing w:val="0"/>
          <w:w w:val="100"/>
          <w:position w:val="0"/>
        </w:rPr>
        <w:t>元，减少未分配利润</w:t>
      </w:r>
      <w:r>
        <w:rPr>
          <w:rFonts w:ascii="Times New Roman" w:eastAsia="Times New Roman" w:hAnsi="Times New Roman" w:cs="Times New Roman"/>
          <w:color w:val="000000"/>
          <w:spacing w:val="0"/>
          <w:w w:val="100"/>
          <w:position w:val="0"/>
        </w:rPr>
        <w:t>2,642,354.22</w:t>
      </w:r>
      <w:r>
        <w:rPr>
          <w:color w:val="000000"/>
          <w:spacing w:val="0"/>
          <w:w w:val="100"/>
          <w:position w:val="0"/>
        </w:rPr>
        <w:t>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、合同负债、预收款项</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日，公司将与商品销售和提供劳务相关的预收款项</w:t>
      </w:r>
      <w:r>
        <w:rPr>
          <w:rFonts w:ascii="Times New Roman" w:eastAsia="Times New Roman" w:hAnsi="Times New Roman" w:cs="Times New Roman"/>
          <w:color w:val="000000"/>
          <w:spacing w:val="0"/>
          <w:w w:val="100"/>
          <w:position w:val="0"/>
        </w:rPr>
        <w:t>120,244.66</w:t>
      </w:r>
      <w:r>
        <w:rPr>
          <w:color w:val="000000"/>
          <w:spacing w:val="0"/>
          <w:w w:val="100"/>
          <w:position w:val="0"/>
        </w:rPr>
        <w:t>元重分类至合同负债。</w:t>
      </w:r>
    </w:p>
    <w:p>
      <w:pPr>
        <w:pStyle w:val="Style28"/>
        <w:keepNext/>
        <w:keepLines/>
        <w:widowControl w:val="0"/>
        <w:shd w:val="clear" w:color="auto" w:fill="auto"/>
        <w:bidi w:val="0"/>
        <w:spacing w:before="0" w:after="340" w:line="240" w:lineRule="auto"/>
        <w:ind w:left="0" w:right="0" w:firstLine="0"/>
        <w:jc w:val="left"/>
        <w:rPr>
          <w:sz w:val="20"/>
          <w:szCs w:val="20"/>
        </w:rPr>
      </w:pPr>
      <w:bookmarkStart w:id="1011" w:name="bookmark1011"/>
      <w:bookmarkStart w:id="1012" w:name="bookmark1012"/>
      <w:bookmarkStart w:id="1013" w:name="bookmark1013"/>
      <w:bookmarkStart w:id="1014" w:name="bookmark1014"/>
      <w:r>
        <w:rPr>
          <w:color w:val="000000"/>
          <w:spacing w:val="0"/>
          <w:w w:val="100"/>
          <w:position w:val="0"/>
          <w:sz w:val="20"/>
          <w:szCs w:val="20"/>
        </w:rPr>
        <w:t>六</w:t>
      </w:r>
      <w:bookmarkEnd w:id="1013"/>
      <w:r>
        <w:rPr>
          <w:color w:val="000000"/>
          <w:spacing w:val="0"/>
          <w:w w:val="100"/>
          <w:position w:val="0"/>
          <w:sz w:val="20"/>
          <w:szCs w:val="20"/>
        </w:rPr>
        <w:t>、税项</w:t>
      </w:r>
      <w:bookmarkEnd w:id="1011"/>
      <w:bookmarkEnd w:id="1012"/>
      <w:bookmarkEnd w:id="1014"/>
    </w:p>
    <w:p>
      <w:pPr>
        <w:pStyle w:val="Style35"/>
        <w:keepNext/>
        <w:keepLines/>
        <w:widowControl w:val="0"/>
        <w:shd w:val="clear" w:color="auto" w:fill="auto"/>
        <w:bidi w:val="0"/>
        <w:spacing w:before="0" w:line="240" w:lineRule="auto"/>
        <w:ind w:left="0" w:right="0" w:firstLine="0"/>
        <w:jc w:val="left"/>
        <w:rPr>
          <w:sz w:val="18"/>
          <w:szCs w:val="18"/>
        </w:rPr>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、主要税种及税率</w:t>
      </w:r>
      <w:bookmarkEnd w:id="1015"/>
      <w:bookmarkEnd w:id="1016"/>
      <w:bookmarkEnd w:id="1017"/>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应评税利润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bl>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四方精创信息（香港）有限公司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深圳前海乐寻坊区块链科技有限公司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r>
              <w:rPr>
                <w:rFonts w:ascii="Times New Roman" w:eastAsia="Times New Roman" w:hAnsi="Times New Roman" w:cs="Times New Roman"/>
                <w:color w:val="000000"/>
                <w:spacing w:val="0"/>
                <w:w w:val="100"/>
                <w:position w:val="0"/>
              </w:rPr>
              <w:t>（</w:t>
            </w:r>
            <w:r>
              <w:rPr>
                <w:color w:val="000000"/>
                <w:spacing w:val="0"/>
                <w:w w:val="100"/>
                <w:position w:val="0"/>
              </w:rPr>
              <w:t>泰国</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35"/>
        <w:keepNext/>
        <w:keepLines/>
        <w:widowControl w:val="0"/>
        <w:shd w:val="clear" w:color="auto" w:fill="auto"/>
        <w:tabs>
          <w:tab w:pos="354" w:val="left"/>
        </w:tabs>
        <w:bidi w:val="0"/>
        <w:spacing w:before="0" w:after="300" w:line="240" w:lineRule="auto"/>
        <w:ind w:left="0" w:right="0" w:firstLine="0"/>
        <w:jc w:val="left"/>
        <w:rPr>
          <w:sz w:val="18"/>
          <w:szCs w:val="18"/>
        </w:rPr>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sz w:val="18"/>
          <w:szCs w:val="18"/>
        </w:rPr>
        <w:t>2</w:t>
      </w:r>
      <w:bookmarkEnd w:id="1020"/>
      <w:r>
        <w:rPr>
          <w:color w:val="000000"/>
          <w:spacing w:val="0"/>
          <w:w w:val="100"/>
          <w:position w:val="0"/>
          <w:sz w:val="18"/>
          <w:szCs w:val="18"/>
        </w:rPr>
        <w:t>、</w:t>
        <w:tab/>
        <w:t>税收优惠</w:t>
      </w:r>
      <w:bookmarkEnd w:id="1018"/>
      <w:bookmarkEnd w:id="1019"/>
      <w:bookmarkEnd w:id="1021"/>
    </w:p>
    <w:p>
      <w:pPr>
        <w:pStyle w:val="Style30"/>
        <w:keepNext w:val="0"/>
        <w:keepLines w:val="0"/>
        <w:widowControl w:val="0"/>
        <w:shd w:val="clear" w:color="auto" w:fill="auto"/>
        <w:bidi w:val="0"/>
        <w:spacing w:before="0" w:after="380" w:line="314" w:lineRule="exact"/>
        <w:ind w:left="0" w:right="0" w:firstLine="32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日取得深圳市科技创新委员会、深圳市财政委员会、国家税务总局深圳市税务局联合颁发的 编号为</w:t>
      </w:r>
      <w:r>
        <w:rPr>
          <w:rFonts w:ascii="Times New Roman" w:eastAsia="Times New Roman" w:hAnsi="Times New Roman" w:cs="Times New Roman"/>
          <w:color w:val="000000"/>
          <w:spacing w:val="0"/>
          <w:w w:val="100"/>
          <w:position w:val="0"/>
        </w:rPr>
        <w:t>GR201844201776</w:t>
      </w:r>
      <w:r>
        <w:rPr>
          <w:color w:val="000000"/>
          <w:spacing w:val="0"/>
          <w:w w:val="100"/>
          <w:position w:val="0"/>
        </w:rPr>
        <w:t>的《高新技术企业证书》，有效期为三年。根据企业所得税法有关规定，公司</w:t>
      </w:r>
      <w:r>
        <w:rPr>
          <w:rFonts w:ascii="Times New Roman" w:eastAsia="Times New Roman" w:hAnsi="Times New Roman" w:cs="Times New Roman"/>
          <w:color w:val="000000"/>
          <w:spacing w:val="0"/>
          <w:w w:val="100"/>
          <w:position w:val="0"/>
        </w:rPr>
        <w:t>2018-2020</w:t>
      </w:r>
      <w:r>
        <w:rPr>
          <w:color w:val="000000"/>
          <w:spacing w:val="0"/>
          <w:w w:val="100"/>
          <w:position w:val="0"/>
        </w:rPr>
        <w:t>年度享受国 家重点扶持的高新技术企业所得税的优惠政策，企业所得税减按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征收。</w:t>
      </w:r>
    </w:p>
    <w:p>
      <w:pPr>
        <w:pStyle w:val="Style35"/>
        <w:keepNext/>
        <w:keepLines/>
        <w:widowControl w:val="0"/>
        <w:shd w:val="clear" w:color="auto" w:fill="auto"/>
        <w:tabs>
          <w:tab w:pos="354" w:val="left"/>
        </w:tabs>
        <w:bidi w:val="0"/>
        <w:spacing w:before="0" w:after="300" w:line="240" w:lineRule="auto"/>
        <w:ind w:left="0" w:right="0" w:firstLine="0"/>
        <w:jc w:val="left"/>
        <w:rPr>
          <w:sz w:val="18"/>
          <w:szCs w:val="18"/>
        </w:rPr>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sz w:val="18"/>
          <w:szCs w:val="18"/>
        </w:rPr>
        <w:t>3</w:t>
      </w:r>
      <w:bookmarkEnd w:id="1025"/>
      <w:r>
        <w:rPr>
          <w:color w:val="000000"/>
          <w:spacing w:val="0"/>
          <w:w w:val="100"/>
          <w:position w:val="0"/>
          <w:sz w:val="18"/>
          <w:szCs w:val="18"/>
        </w:rPr>
        <w:t>、</w:t>
        <w:tab/>
        <w:t>其他</w:t>
      </w:r>
      <w:bookmarkEnd w:id="1023"/>
      <w:bookmarkEnd w:id="1024"/>
      <w:bookmarkEnd w:id="1026"/>
    </w:p>
    <w:p>
      <w:pPr>
        <w:pStyle w:val="Style30"/>
        <w:keepNext w:val="0"/>
        <w:keepLines w:val="0"/>
        <w:widowControl w:val="0"/>
        <w:shd w:val="clear" w:color="auto" w:fill="auto"/>
        <w:tabs>
          <w:tab w:pos="1016" w:val="left"/>
        </w:tabs>
        <w:bidi w:val="0"/>
        <w:spacing w:before="0" w:after="100" w:line="307" w:lineRule="exact"/>
        <w:ind w:left="0" w:right="0" w:firstLine="50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w:t>
        <w:tab/>
        <w:t>根据国家税务总局深圳市税务局《财政部国家税务总局关于全面推开营业税改征增值税试点的通知》财税（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号附件</w:t>
      </w:r>
      <w:r>
        <w:rPr>
          <w:rFonts w:ascii="Times New Roman" w:eastAsia="Times New Roman" w:hAnsi="Times New Roman" w:cs="Times New Roman"/>
          <w:color w:val="000000"/>
          <w:spacing w:val="0"/>
          <w:w w:val="100"/>
          <w:position w:val="0"/>
        </w:rPr>
        <w:t>3</w:t>
      </w:r>
      <w:r>
        <w:rPr>
          <w:color w:val="000000"/>
          <w:spacing w:val="0"/>
          <w:w w:val="100"/>
          <w:position w:val="0"/>
        </w:rPr>
        <w:t>第一条第（二十六）款对公司技术转让、技术开发业务取得的收入，如实申报可享受免征增值税。</w:t>
      </w:r>
    </w:p>
    <w:p>
      <w:pPr>
        <w:pStyle w:val="Style30"/>
        <w:keepNext w:val="0"/>
        <w:keepLines w:val="0"/>
        <w:widowControl w:val="0"/>
        <w:shd w:val="clear" w:color="auto" w:fill="auto"/>
        <w:tabs>
          <w:tab w:pos="1030" w:val="left"/>
        </w:tabs>
        <w:bidi w:val="0"/>
        <w:spacing w:before="0" w:after="100" w:line="317" w:lineRule="exact"/>
        <w:ind w:left="0" w:right="0" w:firstLine="50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根据香港新修订的税务条例，对于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日之后开始的课税年度，首</w:t>
      </w:r>
      <w:r>
        <w:rPr>
          <w:rFonts w:ascii="Times New Roman" w:eastAsia="Times New Roman" w:hAnsi="Times New Roman" w:cs="Times New Roman"/>
          <w:color w:val="000000"/>
          <w:spacing w:val="0"/>
          <w:w w:val="100"/>
          <w:position w:val="0"/>
        </w:rPr>
        <w:t>200</w:t>
      </w:r>
      <w:r>
        <w:rPr>
          <w:color w:val="000000"/>
          <w:spacing w:val="0"/>
          <w:w w:val="100"/>
          <w:position w:val="0"/>
        </w:rPr>
        <w:t>万利润利得税税率为</w:t>
      </w:r>
      <w:r>
        <w:rPr>
          <w:rFonts w:ascii="Times New Roman" w:eastAsia="Times New Roman" w:hAnsi="Times New Roman" w:cs="Times New Roman"/>
          <w:color w:val="000000"/>
          <w:spacing w:val="0"/>
          <w:w w:val="100"/>
          <w:position w:val="0"/>
        </w:rPr>
        <w:t>8.25%</w:t>
      </w:r>
      <w:r>
        <w:rPr>
          <w:color w:val="000000"/>
          <w:spacing w:val="0"/>
          <w:w w:val="100"/>
          <w:position w:val="0"/>
        </w:rPr>
        <w:t xml:space="preserve">,超过 </w:t>
      </w:r>
      <w:r>
        <w:rPr>
          <w:rFonts w:ascii="Times New Roman" w:eastAsia="Times New Roman" w:hAnsi="Times New Roman" w:cs="Times New Roman"/>
          <w:color w:val="000000"/>
          <w:spacing w:val="0"/>
          <w:w w:val="100"/>
          <w:position w:val="0"/>
        </w:rPr>
        <w:t>200</w:t>
      </w:r>
      <w:r>
        <w:rPr>
          <w:color w:val="000000"/>
          <w:spacing w:val="0"/>
          <w:w w:val="100"/>
          <w:position w:val="0"/>
        </w:rPr>
        <w:t>万部分利润按照</w:t>
      </w:r>
      <w:r>
        <w:rPr>
          <w:rFonts w:ascii="Times New Roman" w:eastAsia="Times New Roman" w:hAnsi="Times New Roman" w:cs="Times New Roman"/>
          <w:color w:val="000000"/>
          <w:spacing w:val="0"/>
          <w:w w:val="100"/>
          <w:position w:val="0"/>
        </w:rPr>
        <w:t>16.5%</w:t>
      </w:r>
      <w:r>
        <w:rPr>
          <w:color w:val="000000"/>
          <w:spacing w:val="0"/>
          <w:w w:val="100"/>
          <w:position w:val="0"/>
        </w:rPr>
        <w:t>征税。公司之子公司四方资讯及四方信息适用该利得税条例。</w:t>
      </w:r>
    </w:p>
    <w:p>
      <w:pPr>
        <w:pStyle w:val="Style30"/>
        <w:keepNext w:val="0"/>
        <w:keepLines w:val="0"/>
        <w:widowControl w:val="0"/>
        <w:shd w:val="clear" w:color="auto" w:fill="auto"/>
        <w:tabs>
          <w:tab w:pos="1021" w:val="left"/>
        </w:tabs>
        <w:bidi w:val="0"/>
        <w:spacing w:before="0" w:after="100" w:line="310" w:lineRule="exact"/>
        <w:ind w:left="0" w:right="0" w:firstLine="50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w:t>
        <w:tab/>
        <w:t>子公司乐寻坊依据《关于实施小微企业普惠性税收减免政策的通知》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的相关规定，符合小微企 业认定条件，对其年应纳税所得额不超过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 其年应纳税所得额超过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0"/>
        <w:keepNext w:val="0"/>
        <w:keepLines w:val="0"/>
        <w:widowControl w:val="0"/>
        <w:shd w:val="clear" w:color="auto" w:fill="auto"/>
        <w:tabs>
          <w:tab w:pos="1021" w:val="left"/>
        </w:tabs>
        <w:bidi w:val="0"/>
        <w:spacing w:before="0" w:after="700" w:line="312" w:lineRule="exact"/>
        <w:ind w:left="0" w:right="0" w:firstLine="50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w:t>
        <w:tab/>
        <w:t>根据泰国投资委员会</w:t>
      </w:r>
      <w:r>
        <w:rPr>
          <w:color w:val="000000"/>
          <w:spacing w:val="0"/>
          <w:w w:val="100"/>
          <w:position w:val="0"/>
        </w:rPr>
        <w:t>（</w:t>
      </w:r>
      <w:r>
        <w:rPr>
          <w:rFonts w:ascii="Times New Roman" w:eastAsia="Times New Roman" w:hAnsi="Times New Roman" w:cs="Times New Roman"/>
          <w:color w:val="000000"/>
          <w:spacing w:val="0"/>
          <w:w w:val="100"/>
          <w:position w:val="0"/>
        </w:rPr>
        <w:t>BoardofInvestment,BOI</w:t>
      </w:r>
      <w:r>
        <w:rPr>
          <w:color w:val="000000"/>
          <w:spacing w:val="0"/>
          <w:w w:val="100"/>
          <w:position w:val="0"/>
        </w:rPr>
        <w:t>）</w:t>
      </w:r>
      <w:r>
        <w:rPr>
          <w:color w:val="000000"/>
          <w:spacing w:val="0"/>
          <w:w w:val="100"/>
          <w:position w:val="0"/>
        </w:rPr>
        <w:t>相关税收优惠及四方泰国取得的</w:t>
      </w:r>
      <w:r>
        <w:rPr>
          <w:rFonts w:ascii="Times New Roman" w:eastAsia="Times New Roman" w:hAnsi="Times New Roman" w:cs="Times New Roman"/>
          <w:color w:val="000000"/>
          <w:spacing w:val="0"/>
          <w:w w:val="100"/>
          <w:position w:val="0"/>
        </w:rPr>
        <w:t>BOI</w:t>
      </w:r>
      <w:r>
        <w:rPr>
          <w:color w:val="000000"/>
          <w:spacing w:val="0"/>
          <w:w w:val="100"/>
          <w:position w:val="0"/>
        </w:rPr>
        <w:t>证书相关约定，四方泰国 自</w:t>
      </w:r>
      <w:r>
        <w:rPr>
          <w:rFonts w:ascii="Times New Roman" w:eastAsia="Times New Roman" w:hAnsi="Times New Roman" w:cs="Times New Roman"/>
          <w:color w:val="000000"/>
          <w:spacing w:val="0"/>
          <w:w w:val="100"/>
          <w:position w:val="0"/>
        </w:rPr>
        <w:t>2020</w:t>
      </w:r>
      <w:r>
        <w:rPr>
          <w:color w:val="000000"/>
          <w:spacing w:val="0"/>
          <w:w w:val="100"/>
          <w:position w:val="0"/>
        </w:rPr>
        <w:t>年起可获得连续</w:t>
      </w:r>
      <w:r>
        <w:rPr>
          <w:rFonts w:ascii="Times New Roman" w:eastAsia="Times New Roman" w:hAnsi="Times New Roman" w:cs="Times New Roman"/>
          <w:color w:val="000000"/>
          <w:spacing w:val="0"/>
          <w:w w:val="100"/>
          <w:position w:val="0"/>
        </w:rPr>
        <w:t>5</w:t>
      </w:r>
      <w:r>
        <w:rPr>
          <w:color w:val="000000"/>
          <w:spacing w:val="0"/>
          <w:w w:val="100"/>
          <w:position w:val="0"/>
        </w:rPr>
        <w:t>年，每年</w:t>
      </w:r>
      <w:r>
        <w:rPr>
          <w:rFonts w:ascii="Times New Roman" w:eastAsia="Times New Roman" w:hAnsi="Times New Roman" w:cs="Times New Roman"/>
          <w:color w:val="000000"/>
          <w:spacing w:val="0"/>
          <w:w w:val="100"/>
          <w:position w:val="0"/>
        </w:rPr>
        <w:t>10 0</w:t>
      </w:r>
      <w:r>
        <w:rPr>
          <w:color w:val="000000"/>
          <w:spacing w:val="0"/>
          <w:w w:val="100"/>
          <w:position w:val="0"/>
        </w:rPr>
        <w:t>万泰铢的应纳税所得额减免，该优惠也可以在某一年中一次性使用。四方泰国选择在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年一次性抵减</w:t>
      </w:r>
      <w:r>
        <w:rPr>
          <w:rFonts w:ascii="Times New Roman" w:eastAsia="Times New Roman" w:hAnsi="Times New Roman" w:cs="Times New Roman"/>
          <w:color w:val="000000"/>
          <w:spacing w:val="0"/>
          <w:w w:val="100"/>
          <w:position w:val="0"/>
        </w:rPr>
        <w:t>500</w:t>
      </w:r>
      <w:r>
        <w:rPr>
          <w:color w:val="000000"/>
          <w:spacing w:val="0"/>
          <w:w w:val="100"/>
          <w:position w:val="0"/>
        </w:rPr>
        <w:t>万泰铢应纳税所得额。</w:t>
      </w:r>
    </w:p>
    <w:p>
      <w:pPr>
        <w:pStyle w:val="Style28"/>
        <w:keepNext/>
        <w:keepLines/>
        <w:widowControl w:val="0"/>
        <w:shd w:val="clear" w:color="auto" w:fill="auto"/>
        <w:bidi w:val="0"/>
        <w:spacing w:before="0" w:after="380" w:line="240" w:lineRule="auto"/>
        <w:ind w:left="0" w:right="0" w:firstLine="0"/>
        <w:jc w:val="left"/>
        <w:rPr>
          <w:sz w:val="20"/>
          <w:szCs w:val="20"/>
        </w:rPr>
      </w:pPr>
      <w:bookmarkStart w:id="1031" w:name="bookmark1031"/>
      <w:bookmarkStart w:id="1032" w:name="bookmark1032"/>
      <w:bookmarkStart w:id="1033" w:name="bookmark1033"/>
      <w:bookmarkStart w:id="1034" w:name="bookmark1034"/>
      <w:r>
        <w:rPr>
          <w:color w:val="000000"/>
          <w:spacing w:val="0"/>
          <w:w w:val="100"/>
          <w:position w:val="0"/>
          <w:sz w:val="20"/>
          <w:szCs w:val="20"/>
        </w:rPr>
        <w:t>七</w:t>
      </w:r>
      <w:bookmarkEnd w:id="1033"/>
      <w:r>
        <w:rPr>
          <w:color w:val="000000"/>
          <w:spacing w:val="0"/>
          <w:w w:val="100"/>
          <w:position w:val="0"/>
          <w:sz w:val="20"/>
          <w:szCs w:val="20"/>
        </w:rPr>
        <w:t>、合并财务报表项目注释</w:t>
      </w:r>
      <w:bookmarkEnd w:id="1031"/>
      <w:bookmarkEnd w:id="1032"/>
      <w:bookmarkEnd w:id="1034"/>
    </w:p>
    <w:p>
      <w:pPr>
        <w:pStyle w:val="Style35"/>
        <w:keepNext/>
        <w:keepLines/>
        <w:widowControl w:val="0"/>
        <w:shd w:val="clear" w:color="auto" w:fill="auto"/>
        <w:bidi w:val="0"/>
        <w:spacing w:before="0" w:after="380" w:line="240" w:lineRule="auto"/>
        <w:ind w:left="0" w:right="0" w:firstLine="0"/>
        <w:jc w:val="left"/>
        <w:rPr>
          <w:sz w:val="18"/>
          <w:szCs w:val="18"/>
        </w:rPr>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、货币资金</w:t>
      </w:r>
      <w:bookmarkEnd w:id="1035"/>
      <w:bookmarkEnd w:id="1036"/>
      <w:bookmarkEnd w:id="10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483,121,676.89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525,975,672.30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873,899.00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485,160,678.74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526,922,052.54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196,734,124.96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177,544,174.38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r>
        <w:br w:type="page"/>
      </w:r>
    </w:p>
    <w:p>
      <w:pPr>
        <w:pStyle w:val="Style33"/>
        <w:keepNext w:val="0"/>
        <w:keepLines w:val="0"/>
        <w:widowControl w:val="0"/>
        <w:shd w:val="clear" w:color="auto" w:fill="auto"/>
        <w:bidi w:val="0"/>
        <w:spacing w:before="0" w:after="0" w:line="240" w:lineRule="auto"/>
        <w:ind w:left="480" w:right="0" w:firstLine="0"/>
        <w:jc w:val="left"/>
      </w:pPr>
      <w:r>
        <w:rPr>
          <w:color w:val="000000"/>
          <w:spacing w:val="0"/>
          <w:w w:val="100"/>
          <w:position w:val="0"/>
        </w:rPr>
        <w:t>因抵押、质押或冻结等对使用有限制，以及放在境外且资金汇回受到限制的货币资金明细如下:</w:t>
      </w:r>
    </w:p>
    <w:tbl>
      <w:tblPr>
        <w:tblOverlap w:val="never"/>
        <w:jc w:val="center"/>
        <w:tblLayout w:type="fixed"/>
      </w:tblPr>
      <w:tblGrid>
        <w:gridCol w:w="4397"/>
        <w:gridCol w:w="2429"/>
        <w:gridCol w:w="24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873,899.00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873,899.00</w:t>
            </w:r>
          </w:p>
        </w:tc>
      </w:tr>
    </w:tbl>
    <w:p>
      <w:pPr>
        <w:widowControl w:val="0"/>
        <w:spacing w:after="639" w:line="1" w:lineRule="exact"/>
      </w:pPr>
    </w:p>
    <w:p>
      <w:pPr>
        <w:pStyle w:val="Style35"/>
        <w:keepNext/>
        <w:keepLines/>
        <w:widowControl w:val="0"/>
        <w:shd w:val="clear" w:color="auto" w:fill="auto"/>
        <w:bidi w:val="0"/>
        <w:spacing w:before="0" w:after="360" w:line="240" w:lineRule="auto"/>
        <w:ind w:left="0" w:right="0" w:firstLine="0"/>
        <w:jc w:val="left"/>
        <w:rPr>
          <w:sz w:val="18"/>
          <w:szCs w:val="18"/>
        </w:rPr>
      </w:pPr>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、应收账款</w:t>
      </w:r>
      <w:bookmarkEnd w:id="1038"/>
      <w:bookmarkEnd w:id="1039"/>
      <w:bookmarkEnd w:id="1040"/>
    </w:p>
    <w:p>
      <w:pPr>
        <w:pStyle w:val="Style40"/>
        <w:keepNext/>
        <w:keepLines/>
        <w:widowControl w:val="0"/>
        <w:shd w:val="clear" w:color="auto" w:fill="auto"/>
        <w:bidi w:val="0"/>
        <w:spacing w:before="0" w:line="240" w:lineRule="auto"/>
        <w:ind w:left="0" w:right="0" w:firstLine="0"/>
        <w:jc w:val="left"/>
        <w:rPr>
          <w:sz w:val="18"/>
          <w:szCs w:val="18"/>
        </w:rPr>
      </w:pPr>
      <w:bookmarkStart w:id="1041" w:name="bookmark1041"/>
      <w:bookmarkStart w:id="1042" w:name="bookmark1042"/>
      <w:bookmarkStart w:id="1043" w:name="bookmark1043"/>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）应收账款分类披露</w:t>
      </w:r>
      <w:bookmarkEnd w:id="1041"/>
      <w:bookmarkEnd w:id="1042"/>
      <w:bookmarkEnd w:id="10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1,314,84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1,713,402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166,959,3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4,404,996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162,554,31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931.79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130,838,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4,429,75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3,232,028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105,078,90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211.76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r>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国外客户组合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84,905,7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1,698,11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83,207,60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58,648,37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1,172,967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57,475,411.</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39.12%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217,058,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6,118,398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162,554,31</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771.79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按组合计提坏账准备：国内组合客户</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125,169,148.81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2,403,247.66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3,527,871.46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629,725.06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1,511,191.49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766,778.56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130,838,211.76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4,429,751.28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按组合计提坏账准备：国外组合客户</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84,905,720.03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1,698,114.40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84,905,720.03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1,698,114.40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210,074,868.84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3,527,871.46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2,826,031.49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217,058,771.79</w:t>
            </w:r>
          </w:p>
        </w:tc>
      </w:tr>
    </w:tbl>
    <w:p>
      <w:pPr>
        <w:widowControl w:val="0"/>
        <w:spacing w:after="319" w:line="1" w:lineRule="exact"/>
      </w:pPr>
    </w:p>
    <w:p>
      <w:pPr>
        <w:pStyle w:val="Style40"/>
        <w:keepNext/>
        <w:keepLines/>
        <w:widowControl w:val="0"/>
        <w:shd w:val="clear" w:color="auto" w:fill="auto"/>
        <w:bidi w:val="0"/>
        <w:spacing w:before="0" w:after="420" w:line="240" w:lineRule="auto"/>
        <w:ind w:left="0" w:right="0" w:firstLine="0"/>
        <w:jc w:val="left"/>
        <w:rPr>
          <w:sz w:val="18"/>
          <w:szCs w:val="18"/>
        </w:rPr>
      </w:pPr>
      <w:bookmarkStart w:id="1044" w:name="bookmark1044"/>
      <w:bookmarkStart w:id="1045" w:name="bookmark1045"/>
      <w:bookmarkStart w:id="1046" w:name="bookmark1046"/>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）本期计提、收回或转回的坏账准备情况</w:t>
      </w:r>
      <w:bookmarkEnd w:id="1044"/>
      <w:bookmarkEnd w:id="1045"/>
      <w:bookmarkEnd w:id="104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1,713,402.53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193,562.53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1,314,840.00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3,232,028.59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1,197,722.69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4,429,751.28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1,172,967.58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525,146.82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1,698,114.40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6,118,398.70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1,722,869.51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193,562.53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7,442,705.68</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rPr>
          <w:sz w:val="18"/>
          <w:szCs w:val="18"/>
        </w:rPr>
      </w:pPr>
      <w:bookmarkStart w:id="1047" w:name="bookmark1047"/>
      <w:bookmarkStart w:id="1048" w:name="bookmark1048"/>
      <w:bookmarkStart w:id="1049" w:name="bookmark1049"/>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）本期实际核销的应收账款情况</w:t>
      </w:r>
      <w:bookmarkEnd w:id="1047"/>
      <w:bookmarkEnd w:id="1048"/>
      <w:bookmarkEnd w:id="10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rPr>
          <w:sz w:val="18"/>
          <w:szCs w:val="18"/>
        </w:rPr>
      </w:pPr>
      <w:bookmarkStart w:id="1050" w:name="bookmark1050"/>
      <w:bookmarkStart w:id="1051" w:name="bookmark1051"/>
      <w:bookmarkStart w:id="1052" w:name="bookmark1052"/>
      <w:r>
        <w:rPr>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）按欠款方归集的期末余额前五名的应收账款情况</w:t>
      </w:r>
      <w:bookmarkEnd w:id="1050"/>
      <w:bookmarkEnd w:id="1051"/>
      <w:bookmarkEnd w:id="105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101,042,223.80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3,229,605.77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43,481,988.47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869,639.77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33,479,344.27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669,586.89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5,754,292.56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110,482.42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3,386,563.44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208,399.27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187,144,412.54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rPr>
          <w:sz w:val="18"/>
          <w:szCs w:val="18"/>
        </w:rPr>
      </w:pPr>
      <w:bookmarkStart w:id="1053" w:name="bookmark1053"/>
      <w:bookmarkStart w:id="1054" w:name="bookmark1054"/>
      <w:bookmarkStart w:id="1055" w:name="bookmark1055"/>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）因金融资产转移而终止确认的应收账款</w:t>
      </w:r>
      <w:bookmarkEnd w:id="1053"/>
      <w:bookmarkEnd w:id="1054"/>
      <w:bookmarkEnd w:id="1055"/>
    </w:p>
    <w:p>
      <w:pPr>
        <w:pStyle w:val="Style30"/>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本报告期无因金融资产转移而终止确认的应收账款</w:t>
      </w:r>
    </w:p>
    <w:p>
      <w:pPr>
        <w:pStyle w:val="Style40"/>
        <w:keepNext/>
        <w:keepLines/>
        <w:widowControl w:val="0"/>
        <w:shd w:val="clear" w:color="auto" w:fill="auto"/>
        <w:bidi w:val="0"/>
        <w:spacing w:before="0" w:line="240" w:lineRule="auto"/>
        <w:ind w:left="0" w:right="0" w:firstLine="0"/>
        <w:jc w:val="left"/>
        <w:rPr>
          <w:sz w:val="18"/>
          <w:szCs w:val="18"/>
        </w:rPr>
      </w:pPr>
      <w:bookmarkStart w:id="1056" w:name="bookmark1056"/>
      <w:bookmarkStart w:id="1057" w:name="bookmark1057"/>
      <w:bookmarkStart w:id="1058" w:name="bookmark1058"/>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）转移应收账款且继续涉入形成的资产、负债金额</w:t>
      </w:r>
      <w:bookmarkEnd w:id="1056"/>
      <w:bookmarkEnd w:id="1057"/>
      <w:bookmarkEnd w:id="105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本报告期无转移应收账款且继续涉入形成的资产、负债金额</w:t>
      </w:r>
    </w:p>
    <w:p>
      <w:pPr>
        <w:pStyle w:val="Style35"/>
        <w:keepNext/>
        <w:keepLines/>
        <w:widowControl w:val="0"/>
        <w:shd w:val="clear" w:color="auto" w:fill="auto"/>
        <w:bidi w:val="0"/>
        <w:spacing w:before="0" w:after="360" w:line="240" w:lineRule="auto"/>
        <w:ind w:left="0" w:right="0" w:firstLine="0"/>
        <w:jc w:val="left"/>
        <w:rPr>
          <w:sz w:val="18"/>
          <w:szCs w:val="18"/>
        </w:rPr>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、预付款项</w:t>
      </w:r>
      <w:bookmarkEnd w:id="1059"/>
      <w:bookmarkEnd w:id="1060"/>
      <w:bookmarkEnd w:id="1061"/>
    </w:p>
    <w:p>
      <w:pPr>
        <w:pStyle w:val="Style40"/>
        <w:keepNext/>
        <w:keepLines/>
        <w:widowControl w:val="0"/>
        <w:shd w:val="clear" w:color="auto" w:fill="auto"/>
        <w:bidi w:val="0"/>
        <w:spacing w:before="0" w:line="240" w:lineRule="auto"/>
        <w:ind w:left="0" w:right="0" w:firstLine="0"/>
        <w:jc w:val="left"/>
        <w:rPr>
          <w:sz w:val="18"/>
          <w:szCs w:val="18"/>
        </w:rPr>
      </w:pPr>
      <w:bookmarkStart w:id="1062" w:name="bookmark1062"/>
      <w:bookmarkStart w:id="1063" w:name="bookmark1063"/>
      <w:bookmarkStart w:id="1064" w:name="bookmark1064"/>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）预付款项按账龄列示</w:t>
      </w:r>
      <w:bookmarkEnd w:id="1062"/>
      <w:bookmarkEnd w:id="1063"/>
      <w:bookmarkEnd w:id="10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2,806,805.53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3,091,440.25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1,612,440.00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2,850,494.85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4,703,880.25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年的重要预付账款</w:t>
      </w:r>
    </w:p>
    <w:p>
      <w:pPr>
        <w:pStyle w:val="Style40"/>
        <w:keepNext/>
        <w:keepLines/>
        <w:widowControl w:val="0"/>
        <w:shd w:val="clear" w:color="auto" w:fill="auto"/>
        <w:bidi w:val="0"/>
        <w:spacing w:before="0" w:line="240" w:lineRule="auto"/>
        <w:ind w:left="0" w:right="0" w:firstLine="0"/>
        <w:jc w:val="left"/>
        <w:rPr>
          <w:sz w:val="18"/>
          <w:szCs w:val="18"/>
        </w:rPr>
      </w:pPr>
      <w:bookmarkStart w:id="1065" w:name="bookmark1065"/>
      <w:bookmarkStart w:id="1066" w:name="bookmark1066"/>
      <w:bookmarkStart w:id="1067" w:name="bookmark1067"/>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）按预付对象归集的期末余额前五名的预付款情况</w:t>
      </w:r>
      <w:bookmarkEnd w:id="1065"/>
      <w:bookmarkEnd w:id="1066"/>
      <w:bookmarkEnd w:id="1067"/>
    </w:p>
    <w:tbl>
      <w:tblPr>
        <w:tblOverlap w:val="never"/>
        <w:jc w:val="center"/>
        <w:tblLayout w:type="fixed"/>
      </w:tblPr>
      <w:tblGrid>
        <w:gridCol w:w="3590"/>
        <w:gridCol w:w="2424"/>
        <w:gridCol w:w="325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占预付账款期末余额合计数的比例（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21.05%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20.66%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8.46%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7.31%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151,535.24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5.32%</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715"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1,790,101.31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62.80%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rPr>
          <w:sz w:val="18"/>
          <w:szCs w:val="18"/>
        </w:rPr>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、其他应收款</w:t>
      </w:r>
      <w:bookmarkEnd w:id="1068"/>
      <w:bookmarkEnd w:id="1069"/>
      <w:bookmarkEnd w:id="10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10,638,484.17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3,999,241.41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10,638,484.17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3,999,241.41</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rPr>
          <w:sz w:val="18"/>
          <w:szCs w:val="18"/>
        </w:rPr>
      </w:pPr>
      <w:bookmarkStart w:id="1071" w:name="bookmark1071"/>
      <w:bookmarkStart w:id="1072" w:name="bookmark1072"/>
      <w:bookmarkStart w:id="1073" w:name="bookmark1073"/>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）其他应收款</w:t>
      </w:r>
      <w:bookmarkEnd w:id="1071"/>
      <w:bookmarkEnd w:id="1072"/>
      <w:bookmarkEnd w:id="1073"/>
    </w:p>
    <w:p>
      <w:pPr>
        <w:pStyle w:val="Style70"/>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074"/>
      <w:bookmarkEnd w:id="1075"/>
      <w:bookmarkEnd w:id="10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10,638,484.17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3,999,241.41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10,638,484.17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3,999,241.41</w:t>
            </w:r>
          </w:p>
        </w:tc>
      </w:tr>
    </w:tbl>
    <w:p>
      <w:pPr>
        <w:widowControl w:val="0"/>
        <w:spacing w:after="359" w:line="1" w:lineRule="exact"/>
      </w:pPr>
    </w:p>
    <w:p>
      <w:pPr>
        <w:pStyle w:val="Style70"/>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077"/>
      <w:bookmarkEnd w:id="1078"/>
      <w:bookmarkEnd w:id="10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40,396.37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40,396.37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67,063.07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107,459.44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107,459.44</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10,745,943.61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10,745,943.61</w:t>
            </w: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r>
        <w:rPr>
          <w:color w:val="000000"/>
          <w:spacing w:val="0"/>
          <w:w w:val="100"/>
          <w:position w:val="0"/>
        </w:rPr>
        <w:t>）本期计提、收回或转回的坏账准备情况</w:t>
      </w:r>
      <w:bookmarkEnd w:id="1080"/>
      <w:bookmarkEnd w:id="1081"/>
      <w:bookmarkEnd w:id="1082"/>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押金、保证金及备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40,396.37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67,063.07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107,459.44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40,396.37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67,063.07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107,459.44</w:t>
            </w:r>
          </w:p>
        </w:tc>
      </w:tr>
    </w:tbl>
    <w:p>
      <w:pPr>
        <w:widowControl w:val="0"/>
        <w:spacing w:after="319" w:line="1" w:lineRule="exact"/>
      </w:pPr>
    </w:p>
    <w:p>
      <w:pPr>
        <w:pStyle w:val="Style70"/>
        <w:keepNext/>
        <w:keepLines/>
        <w:widowControl w:val="0"/>
        <w:shd w:val="clear" w:color="auto" w:fill="auto"/>
        <w:tabs>
          <w:tab w:pos="368" w:val="left"/>
        </w:tabs>
        <w:bidi w:val="0"/>
        <w:spacing w:before="0" w:after="3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color w:val="000000"/>
          <w:spacing w:val="0"/>
          <w:w w:val="100"/>
          <w:position w:val="0"/>
        </w:rPr>
        <w:t>）</w:t>
        <w:tab/>
        <w:t>本期实际核销的其他应收款情况</w:t>
      </w:r>
      <w:bookmarkEnd w:id="1083"/>
      <w:bookmarkEnd w:id="1084"/>
      <w:bookmarkEnd w:id="108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报告期内无需要核销的其他应收款。</w:t>
      </w:r>
    </w:p>
    <w:p>
      <w:pPr>
        <w:pStyle w:val="Style70"/>
        <w:keepNext/>
        <w:keepLines/>
        <w:widowControl w:val="0"/>
        <w:shd w:val="clear" w:color="auto" w:fill="auto"/>
        <w:tabs>
          <w:tab w:pos="368" w:val="left"/>
        </w:tabs>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5</w:t>
      </w:r>
      <w:bookmarkEnd w:id="1089"/>
      <w:r>
        <w:rPr>
          <w:color w:val="000000"/>
          <w:spacing w:val="0"/>
          <w:w w:val="100"/>
          <w:position w:val="0"/>
        </w:rPr>
        <w:t>）</w:t>
        <w:tab/>
        <w:t>按欠款方归集的期末余额前五名的其他应收款情况</w:t>
      </w:r>
      <w:bookmarkEnd w:id="1087"/>
      <w:bookmarkEnd w:id="1088"/>
      <w:bookmarkEnd w:id="10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Krung Thai Bank</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Public Company</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6,128,231.15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61,282.31</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深圳高新区开发建 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810,311.38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8,103.11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Hip Shing Hong (Agency)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528,665.35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5,286.65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深圳市博恒昌电子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373,162.50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3,731.63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深圳市塞纳威环境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340,678.20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8,181,048.58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81,810.48</w:t>
            </w:r>
          </w:p>
        </w:tc>
      </w:tr>
    </w:tbl>
    <w:p>
      <w:pPr>
        <w:widowControl w:val="0"/>
        <w:spacing w:after="359" w:line="1" w:lineRule="exact"/>
      </w:pPr>
    </w:p>
    <w:p>
      <w:pPr>
        <w:pStyle w:val="Style70"/>
        <w:keepNext/>
        <w:keepLines/>
        <w:widowControl w:val="0"/>
        <w:shd w:val="clear" w:color="auto" w:fill="auto"/>
        <w:tabs>
          <w:tab w:pos="368"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6</w:t>
      </w:r>
      <w:bookmarkEnd w:id="1093"/>
      <w:r>
        <w:rPr>
          <w:color w:val="000000"/>
          <w:spacing w:val="0"/>
          <w:w w:val="100"/>
          <w:position w:val="0"/>
        </w:rPr>
        <w:t>）</w:t>
        <w:tab/>
        <w:t>涉及政府补助的应收款项</w:t>
      </w:r>
      <w:bookmarkEnd w:id="1091"/>
      <w:bookmarkEnd w:id="1092"/>
      <w:bookmarkEnd w:id="109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报告期内公司无涉及政府补助的应收款项。</w:t>
      </w:r>
    </w:p>
    <w:p>
      <w:pPr>
        <w:pStyle w:val="Style70"/>
        <w:keepNext/>
        <w:keepLines/>
        <w:widowControl w:val="0"/>
        <w:shd w:val="clear" w:color="auto" w:fill="auto"/>
        <w:tabs>
          <w:tab w:pos="368"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7</w:t>
      </w:r>
      <w:bookmarkEnd w:id="1097"/>
      <w:r>
        <w:rPr>
          <w:color w:val="000000"/>
          <w:spacing w:val="0"/>
          <w:w w:val="100"/>
          <w:position w:val="0"/>
        </w:rPr>
        <w:t>）</w:t>
        <w:tab/>
        <w:t>因金融资产转移而终止确认的其他应收款</w:t>
      </w:r>
      <w:bookmarkEnd w:id="1095"/>
      <w:bookmarkEnd w:id="1096"/>
      <w:bookmarkEnd w:id="109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报告期内公司无因金融资产转移而终止确认的其他应收款。</w:t>
      </w:r>
    </w:p>
    <w:p>
      <w:pPr>
        <w:pStyle w:val="Style70"/>
        <w:keepNext/>
        <w:keepLines/>
        <w:widowControl w:val="0"/>
        <w:shd w:val="clear" w:color="auto" w:fill="auto"/>
        <w:tabs>
          <w:tab w:pos="368" w:val="left"/>
        </w:tabs>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8</w:t>
      </w:r>
      <w:bookmarkEnd w:id="1101"/>
      <w:r>
        <w:rPr>
          <w:color w:val="000000"/>
          <w:spacing w:val="0"/>
          <w:w w:val="100"/>
          <w:position w:val="0"/>
        </w:rPr>
        <w:t>）</w:t>
        <w:tab/>
        <w:t>转移其他应收款且继续涉入形成的资产、负债金额</w:t>
      </w:r>
      <w:bookmarkEnd w:id="1099"/>
      <w:bookmarkEnd w:id="1100"/>
      <w:bookmarkEnd w:id="110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报告期内公司无转移其他应收款且继续涉入形成的资产、负债。</w:t>
      </w:r>
    </w:p>
    <w:p>
      <w:pPr>
        <w:pStyle w:val="Style35"/>
        <w:keepNext/>
        <w:keepLines/>
        <w:widowControl w:val="0"/>
        <w:shd w:val="clear" w:color="auto" w:fill="auto"/>
        <w:bidi w:val="0"/>
        <w:spacing w:before="0" w:after="36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5</w:t>
      </w:r>
      <w:bookmarkEnd w:id="1105"/>
      <w:r>
        <w:rPr>
          <w:color w:val="000000"/>
          <w:spacing w:val="0"/>
          <w:w w:val="100"/>
          <w:position w:val="0"/>
        </w:rPr>
        <w:t>、存货</w:t>
      </w:r>
      <w:bookmarkEnd w:id="1103"/>
      <w:bookmarkEnd w:id="1104"/>
      <w:bookmarkEnd w:id="1106"/>
    </w:p>
    <w:p>
      <w:pPr>
        <w:pStyle w:val="Style40"/>
        <w:keepNext/>
        <w:keepLines/>
        <w:widowControl w:val="0"/>
        <w:shd w:val="clear" w:color="auto" w:fill="auto"/>
        <w:bidi w:val="0"/>
        <w:spacing w:before="0" w:line="240" w:lineRule="auto"/>
        <w:ind w:left="0" w:right="0" w:firstLine="0"/>
        <w:jc w:val="both"/>
        <w:rPr>
          <w:sz w:val="18"/>
          <w:szCs w:val="18"/>
        </w:rPr>
      </w:pPr>
      <w:bookmarkStart w:id="1107" w:name="bookmark1107"/>
      <w:bookmarkStart w:id="1108" w:name="bookmark1108"/>
      <w:bookmarkStart w:id="1109" w:name="bookmark1109"/>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）存货分类</w:t>
      </w:r>
      <w:bookmarkEnd w:id="1107"/>
      <w:bookmarkEnd w:id="1108"/>
      <w:bookmarkEnd w:id="11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58,495,239.05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58,495,239.05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9,567,041.20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9,567,041.20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58,495,239.05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58,495,239.05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9,567,041.20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9,567,041.20</w:t>
            </w:r>
          </w:p>
        </w:tc>
      </w:tr>
    </w:tbl>
    <w:p>
      <w:pPr>
        <w:pStyle w:val="Style33"/>
        <w:keepNext w:val="0"/>
        <w:keepLines w:val="0"/>
        <w:widowControl w:val="0"/>
        <w:shd w:val="clear" w:color="auto" w:fill="auto"/>
        <w:tabs>
          <w:tab w:pos="437" w:val="left"/>
        </w:tabs>
        <w:bidi w:val="0"/>
        <w:spacing w:before="0" w:after="80" w:line="240" w:lineRule="auto"/>
        <w:ind w:left="82" w:right="0" w:firstLine="0"/>
        <w:jc w:val="left"/>
      </w:pPr>
      <w:r>
        <w:rPr>
          <w:color w:val="000000"/>
          <w:spacing w:val="0"/>
          <w:w w:val="100"/>
          <w:position w:val="0"/>
        </w:rPr>
        <w:t>（2）</w:t>
        <w:tab/>
      </w:r>
      <w:r>
        <w:rPr>
          <w:color w:val="000000"/>
          <w:spacing w:val="0"/>
          <w:w w:val="100"/>
          <w:position w:val="0"/>
        </w:rPr>
        <w:t>报告期期末不存在存货可变现净值低于其账面价值而需计提存货跌价准备的情形。</w:t>
      </w:r>
    </w:p>
    <w:p>
      <w:pPr>
        <w:pStyle w:val="Style33"/>
        <w:keepNext w:val="0"/>
        <w:keepLines w:val="0"/>
        <w:widowControl w:val="0"/>
        <w:shd w:val="clear" w:color="auto" w:fill="auto"/>
        <w:tabs>
          <w:tab w:pos="437" w:val="left"/>
        </w:tabs>
        <w:bidi w:val="0"/>
        <w:spacing w:before="0" w:after="0" w:line="240" w:lineRule="auto"/>
        <w:ind w:left="82" w:right="0" w:firstLine="0"/>
        <w:jc w:val="left"/>
      </w:pPr>
      <w:r>
        <w:rPr>
          <w:color w:val="000000"/>
          <w:spacing w:val="0"/>
          <w:w w:val="100"/>
          <w:position w:val="0"/>
        </w:rPr>
        <w:t>（3）</w:t>
        <w:tab/>
      </w:r>
      <w:r>
        <w:rPr>
          <w:color w:val="000000"/>
          <w:spacing w:val="0"/>
          <w:w w:val="100"/>
          <w:position w:val="0"/>
        </w:rPr>
        <w:t>期末存货无用于债务担保。</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6</w:t>
      </w:r>
      <w:bookmarkEnd w:id="1112"/>
      <w:r>
        <w:rPr>
          <w:color w:val="000000"/>
          <w:spacing w:val="0"/>
          <w:w w:val="100"/>
          <w:position w:val="0"/>
        </w:rPr>
        <w:t>、合同资产</w:t>
      </w:r>
      <w:bookmarkEnd w:id="1110"/>
      <w:bookmarkEnd w:id="1111"/>
      <w:bookmarkEnd w:id="11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136"/>
        <w:gridCol w:w="1200"/>
        <w:gridCol w:w="1325"/>
        <w:gridCol w:w="1195"/>
        <w:gridCol w:w="1200"/>
        <w:gridCol w:w="1195"/>
        <w:gridCol w:w="133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9,681,935.87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414,627.98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9,267,307.89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11,162,355.91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10,608,754.42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9,681,935.87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414,627.98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9,267,307.89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11,162,355.91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553,601.49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10,608,754.42</w:t>
            </w:r>
          </w:p>
        </w:tc>
      </w:tr>
    </w:tbl>
    <w:p>
      <w:pPr>
        <w:pStyle w:val="Style30"/>
        <w:keepNext w:val="0"/>
        <w:keepLines w:val="0"/>
        <w:widowControl w:val="0"/>
        <w:shd w:val="clear" w:color="auto" w:fill="auto"/>
        <w:bidi w:val="0"/>
        <w:spacing w:before="0" w:after="480" w:line="341"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110,226.49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224,200.00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110,226.49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224,200.00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7</w:t>
      </w:r>
      <w:bookmarkEnd w:id="1116"/>
      <w:r>
        <w:rPr>
          <w:color w:val="000000"/>
          <w:spacing w:val="0"/>
          <w:w w:val="100"/>
          <w:position w:val="0"/>
        </w:rPr>
        <w:t>、其他流动资产</w:t>
      </w:r>
      <w:bookmarkEnd w:id="1114"/>
      <w:bookmarkEnd w:id="1115"/>
      <w:bookmarkEnd w:id="11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644,266.29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2,018,419.79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5,900,435.76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2,662,686.08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5,937,258.35</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8</w:t>
      </w:r>
      <w:bookmarkEnd w:id="1120"/>
      <w:r>
        <w:rPr>
          <w:color w:val="000000"/>
          <w:spacing w:val="0"/>
          <w:w w:val="100"/>
          <w:position w:val="0"/>
        </w:rPr>
        <w:t>、长期股权投资</w:t>
      </w:r>
      <w:bookmarkEnd w:id="1118"/>
      <w:bookmarkEnd w:id="1119"/>
      <w:bookmarkEnd w:id="112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减值准备 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钱方好近 金融科技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32,787,21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-2,523,66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30,263,55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北京优智 汇咨询有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15,606,17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1,211,264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16,484,10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48,393,39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46,747,66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48,393,39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46,747,66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9</w:t>
      </w:r>
      <w:bookmarkEnd w:id="1124"/>
      <w:r>
        <w:rPr>
          <w:color w:val="000000"/>
          <w:spacing w:val="0"/>
          <w:w w:val="100"/>
          <w:position w:val="0"/>
        </w:rPr>
        <w:t>、其他权益工具投资</w:t>
      </w:r>
      <w:bookmarkEnd w:id="1122"/>
      <w:bookmarkEnd w:id="1123"/>
      <w:bookmarkEnd w:id="11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47,076,310.59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54,841,508.99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47,076,310.59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54,841,508.99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本期确认的股利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深圳南山宝生村 镇银行股份有限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格罗斯产业链服 务（深圳）有限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注：公司的非上市权益工具投资是公司出于战略目的而计划长期持有的投资，因此公司将其指定为以公允价值计量且其变动 计入其他综合收益的金融资产。</w:t>
      </w:r>
    </w:p>
    <w:p>
      <w:pPr>
        <w:pStyle w:val="Style35"/>
        <w:keepNext/>
        <w:keepLines/>
        <w:widowControl w:val="0"/>
        <w:shd w:val="clear" w:color="auto" w:fill="auto"/>
        <w:tabs>
          <w:tab w:pos="474" w:val="left"/>
        </w:tabs>
        <w:bidi w:val="0"/>
        <w:spacing w:before="0" w:line="24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126"/>
      <w:bookmarkEnd w:id="1127"/>
      <w:bookmarkEnd w:id="1129"/>
    </w:p>
    <w:p>
      <w:pPr>
        <w:pStyle w:val="Style40"/>
        <w:keepNext/>
        <w:keepLines/>
        <w:widowControl w:val="0"/>
        <w:shd w:val="clear" w:color="auto" w:fill="auto"/>
        <w:tabs>
          <w:tab w:pos="493" w:val="left"/>
        </w:tabs>
        <w:bidi w:val="0"/>
        <w:spacing w:before="0" w:after="340" w:line="240" w:lineRule="auto"/>
        <w:ind w:left="0" w:right="0" w:firstLine="0"/>
        <w:jc w:val="both"/>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30"/>
      <w:bookmarkEnd w:id="1131"/>
      <w:bookmarkEnd w:id="1133"/>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40" w:line="240" w:lineRule="auto"/>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34"/>
      <w:bookmarkEnd w:id="1135"/>
      <w:bookmarkEnd w:id="1137"/>
    </w:p>
    <w:p>
      <w:pPr>
        <w:pStyle w:val="Style30"/>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74" w:val="left"/>
        </w:tabs>
        <w:bidi w:val="0"/>
        <w:spacing w:before="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138"/>
      <w:bookmarkEnd w:id="1139"/>
      <w:bookmarkEnd w:id="11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316,069,007.71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302,285,456.43</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316,069,007.71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302,285,456.43</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w:t>
      </w:r>
      <w:bookmarkEnd w:id="114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2"/>
      <w:bookmarkEnd w:id="1143"/>
      <w:bookmarkEnd w:id="114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285,395,512.00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1,989,708.79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43,947,682.20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4,087,453.91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335,420,356.90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13,975,739.37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1,901,077.41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11,009,500.70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138,838.46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27,025,155.94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1,901,077.41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11,009,500.70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138,838.46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13,049,416.57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13,975,739.37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13,975,739.37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527,708.45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527,708.45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527,708.45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527,708.45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299,371,251.37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3,890,786.20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54,429,474.45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4,226,292.37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361,917,804.39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5,963,436.15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446,827.87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24,203,177.26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2,521,459.19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33,134,900.47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6,210,127.10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374,474.42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6,170,569.88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429,940.38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13,185,111.78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6,210,127.10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374,474.42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6,170,569.88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429,940.38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13,185,111.78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471,215.57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471,215.57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471,215.57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471,215.57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12,173,563.25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821,302.29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29,902,531.57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2,951,399.57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45,848,796.68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287,197,688.12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3,069,483.91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24,526,942.88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1,274,892.80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316,069,007.71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279,432,075.85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1,542,880.92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19,744,504.94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1,565,994.72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302,285,456.43</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tabs>
          <w:tab w:pos="440" w:val="left"/>
        </w:tabs>
        <w:bidi w:val="0"/>
        <w:spacing w:before="0" w:after="100" w:line="240" w:lineRule="auto"/>
        <w:ind w:left="0" w:right="0" w:firstLine="0"/>
        <w:jc w:val="left"/>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本期计提的折旧额为</w:t>
      </w:r>
      <w:r>
        <w:rPr>
          <w:rFonts w:ascii="Times New Roman" w:eastAsia="Times New Roman" w:hAnsi="Times New Roman" w:cs="Times New Roman"/>
          <w:color w:val="000000"/>
          <w:spacing w:val="0"/>
          <w:w w:val="100"/>
          <w:position w:val="0"/>
        </w:rPr>
        <w:t>13,185,111.78</w:t>
      </w:r>
      <w:r>
        <w:rPr>
          <w:color w:val="000000"/>
          <w:spacing w:val="0"/>
          <w:w w:val="100"/>
          <w:position w:val="0"/>
        </w:rPr>
        <w:t>元。</w:t>
      </w:r>
    </w:p>
    <w:p>
      <w:pPr>
        <w:pStyle w:val="Style30"/>
        <w:keepNext w:val="0"/>
        <w:keepLines w:val="0"/>
        <w:widowControl w:val="0"/>
        <w:shd w:val="clear" w:color="auto" w:fill="auto"/>
        <w:tabs>
          <w:tab w:pos="440" w:val="left"/>
        </w:tabs>
        <w:bidi w:val="0"/>
        <w:spacing w:before="0" w:after="100" w:line="240" w:lineRule="auto"/>
        <w:ind w:left="0" w:right="0" w:firstLine="0"/>
        <w:jc w:val="left"/>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w:t>
        <w:tab/>
        <w:t>本期公司无暂时闲置的固定资产情况。</w:t>
      </w:r>
      <w:r>
        <w:br w:type="page"/>
      </w:r>
    </w:p>
    <w:p>
      <w:pPr>
        <w:pStyle w:val="Style30"/>
        <w:keepNext w:val="0"/>
        <w:keepLines w:val="0"/>
        <w:widowControl w:val="0"/>
        <w:numPr>
          <w:ilvl w:val="0"/>
          <w:numId w:val="85"/>
        </w:numPr>
        <w:shd w:val="clear" w:color="auto" w:fill="auto"/>
        <w:tabs>
          <w:tab w:pos="440" w:val="left"/>
        </w:tabs>
        <w:bidi w:val="0"/>
        <w:spacing w:before="0" w:after="120" w:line="240" w:lineRule="auto"/>
        <w:ind w:left="0" w:right="0" w:firstLine="0"/>
        <w:jc w:val="both"/>
      </w:pPr>
      <w:bookmarkStart w:id="1148" w:name="bookmark1148"/>
      <w:bookmarkEnd w:id="1148"/>
      <w:r>
        <w:rPr>
          <w:color w:val="000000"/>
          <w:spacing w:val="0"/>
          <w:w w:val="100"/>
          <w:position w:val="0"/>
        </w:rPr>
        <w:t>本期公司无通过融资租赁租入的固定资产情况。</w:t>
      </w:r>
    </w:p>
    <w:p>
      <w:pPr>
        <w:pStyle w:val="Style30"/>
        <w:keepNext w:val="0"/>
        <w:keepLines w:val="0"/>
        <w:widowControl w:val="0"/>
        <w:numPr>
          <w:ilvl w:val="0"/>
          <w:numId w:val="85"/>
        </w:numPr>
        <w:shd w:val="clear" w:color="auto" w:fill="auto"/>
        <w:tabs>
          <w:tab w:pos="440" w:val="left"/>
        </w:tabs>
        <w:bidi w:val="0"/>
        <w:spacing w:before="0" w:after="120" w:line="240" w:lineRule="auto"/>
        <w:ind w:left="0" w:right="0" w:firstLine="0"/>
        <w:jc w:val="both"/>
      </w:pPr>
      <w:bookmarkStart w:id="1149" w:name="bookmark1149"/>
      <w:bookmarkEnd w:id="1149"/>
      <w:r>
        <w:rPr>
          <w:color w:val="000000"/>
          <w:spacing w:val="0"/>
          <w:w w:val="100"/>
          <w:position w:val="0"/>
        </w:rPr>
        <w:t>本期公司无通过经营租赁租出的固定资产。</w:t>
      </w:r>
    </w:p>
    <w:p>
      <w:pPr>
        <w:pStyle w:val="Style30"/>
        <w:keepNext w:val="0"/>
        <w:keepLines w:val="0"/>
        <w:widowControl w:val="0"/>
        <w:numPr>
          <w:ilvl w:val="0"/>
          <w:numId w:val="85"/>
        </w:numPr>
        <w:shd w:val="clear" w:color="auto" w:fill="auto"/>
        <w:tabs>
          <w:tab w:pos="440" w:val="left"/>
        </w:tabs>
        <w:bidi w:val="0"/>
        <w:spacing w:before="0" w:after="120" w:line="240" w:lineRule="auto"/>
        <w:ind w:left="0" w:right="0" w:firstLine="0"/>
        <w:jc w:val="both"/>
      </w:pPr>
      <w:bookmarkStart w:id="1150" w:name="bookmark1150"/>
      <w:bookmarkEnd w:id="1150"/>
      <w:r>
        <w:rPr>
          <w:color w:val="000000"/>
          <w:spacing w:val="0"/>
          <w:w w:val="100"/>
          <w:position w:val="0"/>
        </w:rPr>
        <w:t>本期公司无持有待售的固定资产情况。</w:t>
      </w:r>
    </w:p>
    <w:p>
      <w:pPr>
        <w:pStyle w:val="Style30"/>
        <w:keepNext w:val="0"/>
        <w:keepLines w:val="0"/>
        <w:widowControl w:val="0"/>
        <w:numPr>
          <w:ilvl w:val="0"/>
          <w:numId w:val="85"/>
        </w:numPr>
        <w:shd w:val="clear" w:color="auto" w:fill="auto"/>
        <w:tabs>
          <w:tab w:pos="440" w:val="left"/>
        </w:tabs>
        <w:bidi w:val="0"/>
        <w:spacing w:before="0" w:after="120" w:line="240" w:lineRule="auto"/>
        <w:ind w:left="0" w:right="0" w:firstLine="0"/>
        <w:jc w:val="both"/>
      </w:pPr>
      <w:bookmarkStart w:id="1151" w:name="bookmark1151"/>
      <w:bookmarkEnd w:id="1151"/>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日止，公司无未办妥产权证书的固定资产情况。</w:t>
      </w:r>
    </w:p>
    <w:p>
      <w:pPr>
        <w:pStyle w:val="Style30"/>
        <w:keepNext w:val="0"/>
        <w:keepLines w:val="0"/>
        <w:widowControl w:val="0"/>
        <w:numPr>
          <w:ilvl w:val="0"/>
          <w:numId w:val="85"/>
        </w:numPr>
        <w:shd w:val="clear" w:color="auto" w:fill="auto"/>
        <w:tabs>
          <w:tab w:pos="440" w:val="left"/>
        </w:tabs>
        <w:bidi w:val="0"/>
        <w:spacing w:before="0" w:after="360" w:line="240" w:lineRule="auto"/>
        <w:ind w:left="0" w:right="0" w:firstLine="0"/>
        <w:jc w:val="both"/>
      </w:pPr>
      <w:bookmarkStart w:id="1152" w:name="bookmark1152"/>
      <w:bookmarkEnd w:id="1152"/>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日止，公司不存在固定资产可收回金额低于账面价值而需计提减值准备的情形。</w:t>
      </w:r>
    </w:p>
    <w:p>
      <w:pPr>
        <w:pStyle w:val="Style35"/>
        <w:keepNext/>
        <w:keepLines/>
        <w:widowControl w:val="0"/>
        <w:shd w:val="clear" w:color="auto" w:fill="auto"/>
        <w:bidi w:val="0"/>
        <w:spacing w:before="0" w:after="360" w:line="240"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53"/>
      <w:bookmarkEnd w:id="1154"/>
      <w:bookmarkEnd w:id="11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12,642,155.60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19,379,842.84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12,642,155.60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19,379,842.84</w:t>
            </w:r>
          </w:p>
        </w:tc>
      </w:tr>
    </w:tbl>
    <w:p>
      <w:pPr>
        <w:widowControl w:val="0"/>
        <w:spacing w:after="299" w:line="1" w:lineRule="exact"/>
      </w:pPr>
    </w:p>
    <w:p>
      <w:pPr>
        <w:pStyle w:val="Style40"/>
        <w:keepNext/>
        <w:keepLines/>
        <w:widowControl w:val="0"/>
        <w:numPr>
          <w:ilvl w:val="0"/>
          <w:numId w:val="87"/>
        </w:numPr>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在建工程情况</w:t>
      </w:r>
      <w:bookmarkEnd w:id="1157"/>
      <w:bookmarkEnd w:id="1158"/>
      <w:bookmarkEnd w:id="11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办公大楼工程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12,642,155.60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12,642,155.60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19,379,842.84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19,379,842.84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12,642,155.60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12,642,155.60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19,379,842.84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19,379,842.84</w:t>
            </w:r>
          </w:p>
        </w:tc>
      </w:tr>
    </w:tbl>
    <w:p>
      <w:pPr>
        <w:widowControl w:val="0"/>
        <w:spacing w:after="299" w:line="1" w:lineRule="exact"/>
      </w:pPr>
    </w:p>
    <w:p>
      <w:pPr>
        <w:pStyle w:val="Style40"/>
        <w:keepNext/>
        <w:keepLines/>
        <w:widowControl w:val="0"/>
        <w:numPr>
          <w:ilvl w:val="0"/>
          <w:numId w:val="87"/>
        </w:numPr>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重要在建工程项目本期变动情况</w:t>
      </w:r>
      <w:bookmarkEnd w:id="1161"/>
      <w:bookmarkEnd w:id="1162"/>
      <w:bookmarkEnd w:id="1164"/>
    </w:p>
    <w:p>
      <w:pPr>
        <w:pStyle w:val="Style30"/>
        <w:keepNext w:val="0"/>
        <w:keepLines w:val="0"/>
        <w:widowControl w:val="0"/>
        <w:shd w:val="clear" w:color="auto" w:fill="auto"/>
        <w:bidi w:val="0"/>
        <w:spacing w:before="0" w:after="120" w:line="240" w:lineRule="auto"/>
        <w:ind w:left="0" w:right="0" w:firstLine="0"/>
        <w:jc w:val="right"/>
      </w:pPr>
      <w:bookmarkStart w:id="1165" w:name="bookmark1165"/>
      <w:r>
        <w:rPr>
          <w:color w:val="000000"/>
          <w:spacing w:val="0"/>
          <w:w w:val="100"/>
          <w:position w:val="0"/>
        </w:rPr>
        <w:t>单</w:t>
      </w:r>
      <w:bookmarkEnd w:id="1165"/>
      <w:r>
        <w:rPr>
          <w:color w:val="000000"/>
          <w:spacing w:val="0"/>
          <w:w w:val="100"/>
          <w:position w:val="0"/>
        </w:rPr>
        <w:t>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约</w:t>
            </w:r>
            <w:r>
              <w:rPr>
                <w:rFonts w:ascii="Times New Roman" w:eastAsia="Times New Roman" w:hAnsi="Times New Roman" w:cs="Times New Roman"/>
                <w:color w:val="000000"/>
                <w:spacing w:val="0"/>
                <w:w w:val="100"/>
                <w:position w:val="0"/>
              </w:rPr>
              <w:t>3</w:t>
            </w:r>
            <w:r>
              <w:rPr>
                <w:color w:val="000000"/>
                <w:spacing w:val="0"/>
                <w:w w:val="100"/>
                <w:position w:val="0"/>
              </w:rPr>
              <w:t>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19,379,8</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7,238,05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13,975,7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12,642,1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已完成 主体工 程，剩余 部分内 部装修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募股资 金及自 有资金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19,379,8</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7,238,05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13,975,7</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12,642,1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numPr>
          <w:ilvl w:val="0"/>
          <w:numId w:val="89"/>
        </w:numPr>
        <w:shd w:val="clear" w:color="auto" w:fill="auto"/>
        <w:bidi w:val="0"/>
        <w:spacing w:before="0" w:after="360" w:line="240" w:lineRule="auto"/>
        <w:ind w:left="0" w:right="0" w:firstLine="0"/>
        <w:jc w:val="both"/>
      </w:pPr>
      <w:bookmarkStart w:id="1166" w:name="bookmark1166"/>
      <w:bookmarkStart w:id="1167" w:name="bookmark1167"/>
      <w:bookmarkStart w:id="1168" w:name="bookmark1168"/>
      <w:bookmarkStart w:id="1169" w:name="bookmark1169"/>
      <w:bookmarkEnd w:id="1168"/>
      <w:r>
        <w:rPr>
          <w:color w:val="000000"/>
          <w:spacing w:val="0"/>
          <w:w w:val="100"/>
          <w:position w:val="0"/>
        </w:rPr>
        <w:t>本期计提在建工程减值准备情况</w:t>
      </w:r>
      <w:bookmarkEnd w:id="1166"/>
      <w:bookmarkEnd w:id="1167"/>
      <w:bookmarkEnd w:id="1169"/>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报告期末不存在在建工程预计可收回金额低于其账面价值而需计提减值准备的情形。</w:t>
      </w:r>
      <w:r>
        <w:br w:type="page"/>
      </w:r>
    </w:p>
    <w:p>
      <w:pPr>
        <w:pStyle w:val="Style35"/>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70"/>
      <w:bookmarkEnd w:id="1171"/>
      <w:bookmarkEnd w:id="1173"/>
    </w:p>
    <w:p>
      <w:pPr>
        <w:pStyle w:val="Style40"/>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4"/>
      <w:bookmarkEnd w:id="1175"/>
      <w:bookmarkEnd w:id="1177"/>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26,037,679.00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13,471,953.52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39,509,632.52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2,211,208.79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2,211,208.79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2,211,208.79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2,211,208.79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26,037,679.00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15,683,162.31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41,720,841.31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4,414,261.08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3,346,378.99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7,760,640.07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521,046.12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2,786,678.25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3,307,724.37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521,046.12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2,786,678.25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3,307,724.37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4,935,307.20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6,133,057.24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11,068,364.44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21,102,371.80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9,550,105.07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30,652,476.87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21,623,417.92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10,125,574.53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31,748,992.45</w:t>
            </w:r>
          </w:p>
        </w:tc>
      </w:tr>
    </w:tbl>
    <w:p>
      <w:pPr>
        <w:widowControl w:val="0"/>
        <w:spacing w:after="79" w:line="1" w:lineRule="exact"/>
      </w:pPr>
    </w:p>
    <w:p>
      <w:pPr>
        <w:pStyle w:val="Style30"/>
        <w:keepNext w:val="0"/>
        <w:keepLines w:val="0"/>
        <w:widowControl w:val="0"/>
        <w:shd w:val="clear" w:color="auto" w:fill="auto"/>
        <w:tabs>
          <w:tab w:pos="440" w:val="left"/>
        </w:tabs>
        <w:bidi w:val="0"/>
        <w:spacing w:before="0" w:after="120" w:line="240" w:lineRule="auto"/>
        <w:ind w:left="0" w:right="0" w:firstLine="0"/>
        <w:jc w:val="left"/>
      </w:pPr>
      <w:bookmarkStart w:id="1178" w:name="bookmark1178"/>
      <w:r>
        <w:rPr>
          <w:rFonts w:ascii="Times New Roman" w:eastAsia="Times New Roman" w:hAnsi="Times New Roman" w:cs="Times New Roman"/>
          <w:color w:val="000000"/>
          <w:spacing w:val="0"/>
          <w:w w:val="100"/>
          <w:position w:val="0"/>
        </w:rPr>
        <w:t>（</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日止，公司不存在需计提无形资产减值准备的情形。</w:t>
      </w:r>
    </w:p>
    <w:p>
      <w:pPr>
        <w:pStyle w:val="Style30"/>
        <w:keepNext w:val="0"/>
        <w:keepLines w:val="0"/>
        <w:widowControl w:val="0"/>
        <w:shd w:val="clear" w:color="auto" w:fill="auto"/>
        <w:tabs>
          <w:tab w:pos="440" w:val="left"/>
        </w:tabs>
        <w:bidi w:val="0"/>
        <w:spacing w:before="0" w:after="240" w:line="240" w:lineRule="auto"/>
        <w:ind w:left="0" w:right="0" w:firstLine="0"/>
        <w:jc w:val="left"/>
      </w:pPr>
      <w:bookmarkStart w:id="1179" w:name="bookmark1179"/>
      <w:r>
        <w:rPr>
          <w:rFonts w:ascii="Times New Roman" w:eastAsia="Times New Roman" w:hAnsi="Times New Roman" w:cs="Times New Roman"/>
          <w:color w:val="000000"/>
          <w:spacing w:val="0"/>
          <w:w w:val="100"/>
          <w:position w:val="0"/>
        </w:rPr>
        <w:t>（</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日止，公司不存在未办妥产权证书的土地使用权情况。</w:t>
      </w:r>
      <w:r>
        <w:br w:type="page"/>
      </w:r>
    </w:p>
    <w:p>
      <w:pPr>
        <w:pStyle w:val="Style35"/>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80"/>
      <w:bookmarkEnd w:id="1181"/>
      <w:bookmarkEnd w:id="1183"/>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租赁办公楼装修费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2,162,947.99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1,785,684.22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1,897,258.78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2,051,373.43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2,162,947.99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1,785,684.22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1,897,258.78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2,051,373.43</w:t>
            </w:r>
          </w:p>
        </w:tc>
      </w:tr>
    </w:tbl>
    <w:p>
      <w:pPr>
        <w:widowControl w:val="0"/>
        <w:spacing w:after="659" w:line="1" w:lineRule="exact"/>
      </w:pPr>
    </w:p>
    <w:p>
      <w:pPr>
        <w:pStyle w:val="Style35"/>
        <w:keepNext/>
        <w:keepLines/>
        <w:widowControl w:val="0"/>
        <w:shd w:val="clear" w:color="auto" w:fill="auto"/>
        <w:bidi w:val="0"/>
        <w:spacing w:before="0" w:after="32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4"/>
      <w:bookmarkEnd w:id="1185"/>
      <w:bookmarkEnd w:id="1187"/>
    </w:p>
    <w:p>
      <w:pPr>
        <w:pStyle w:val="Style40"/>
        <w:keepNext/>
        <w:keepLines/>
        <w:widowControl w:val="0"/>
        <w:numPr>
          <w:ilvl w:val="0"/>
          <w:numId w:val="91"/>
        </w:numPr>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未经抵销的递延所得税资产</w:t>
      </w:r>
      <w:bookmarkEnd w:id="1188"/>
      <w:bookmarkEnd w:id="1189"/>
      <w:bookmarkEnd w:id="11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6,192,739.50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928,910.93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5,527,918.90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829,187.83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3,643,446.07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728,689.21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41,085,880.34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6,162,882.05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43,424,571.07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6,513,685.66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41,503,254.42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6,225,488.15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33,738,056.00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5,060,708.42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会计结转销售收入成本 与税收确认销售收入成 本差异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3,501,597.29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525,239.59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92,425,320.33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14,045,970.34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86,192,143.26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12,928,821.50</w:t>
            </w:r>
          </w:p>
        </w:tc>
      </w:tr>
    </w:tbl>
    <w:p>
      <w:pPr>
        <w:widowControl w:val="0"/>
        <w:spacing w:after="319" w:line="1" w:lineRule="exact"/>
      </w:pPr>
    </w:p>
    <w:p>
      <w:pPr>
        <w:pStyle w:val="Style40"/>
        <w:keepNext/>
        <w:keepLines/>
        <w:widowControl w:val="0"/>
        <w:numPr>
          <w:ilvl w:val="0"/>
          <w:numId w:val="91"/>
        </w:numPr>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未经抵销的递延所得税负债</w:t>
      </w:r>
      <w:bookmarkEnd w:id="1192"/>
      <w:bookmarkEnd w:id="1193"/>
      <w:bookmarkEnd w:id="11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境外未分配利润影响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56,456,466.84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4,312,520.17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27,748,386.24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2,358,612.83</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56,456,466.84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27,748,386.24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2,358,612.83</w:t>
            </w:r>
          </w:p>
        </w:tc>
      </w:tr>
    </w:tbl>
    <w:p>
      <w:pPr>
        <w:widowControl w:val="0"/>
        <w:spacing w:after="299" w:line="1" w:lineRule="exact"/>
      </w:pPr>
    </w:p>
    <w:p>
      <w:pPr>
        <w:pStyle w:val="Style40"/>
        <w:keepNext/>
        <w:keepLines/>
        <w:widowControl w:val="0"/>
        <w:numPr>
          <w:ilvl w:val="0"/>
          <w:numId w:val="91"/>
        </w:numPr>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以抵销后净额列示的递延所得税资产或负债</w:t>
      </w:r>
      <w:bookmarkEnd w:id="1196"/>
      <w:bookmarkEnd w:id="1197"/>
      <w:bookmarkEnd w:id="11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14,045,970.34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12,928,821.50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4,312,520.17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2,358,612.83</w:t>
            </w:r>
          </w:p>
        </w:tc>
      </w:tr>
    </w:tbl>
    <w:p>
      <w:pPr>
        <w:widowControl w:val="0"/>
        <w:spacing w:after="299" w:line="1" w:lineRule="exact"/>
      </w:pPr>
    </w:p>
    <w:p>
      <w:pPr>
        <w:pStyle w:val="Style40"/>
        <w:keepNext/>
        <w:keepLines/>
        <w:widowControl w:val="0"/>
        <w:numPr>
          <w:ilvl w:val="0"/>
          <w:numId w:val="91"/>
        </w:numPr>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未确认递延所得税资产明细</w:t>
      </w:r>
      <w:bookmarkEnd w:id="1200"/>
      <w:bookmarkEnd w:id="1201"/>
      <w:bookmarkEnd w:id="12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979. </w:t>
            </w:r>
            <w:r>
              <w:rPr>
                <w:rFonts w:ascii="Times New Roman" w:eastAsia="Times New Roman" w:hAnsi="Times New Roman" w:cs="Times New Roman"/>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7,468,344. </w:t>
            </w: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2,470,491.57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7,468,520.</w:t>
            </w:r>
            <w:r>
              <w:rPr>
                <w:rFonts w:ascii="Times New Roman" w:eastAsia="Times New Roman" w:hAnsi="Times New Roman" w:cs="Times New Roman"/>
                <w:color w:val="000000"/>
                <w:spacing w:val="0"/>
                <w:w w:val="100"/>
                <w:position w:val="0"/>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2,471,471.44</w:t>
            </w:r>
          </w:p>
        </w:tc>
      </w:tr>
    </w:tbl>
    <w:p>
      <w:pPr>
        <w:widowControl w:val="0"/>
        <w:spacing w:after="299" w:line="1" w:lineRule="exact"/>
      </w:pPr>
    </w:p>
    <w:p>
      <w:pPr>
        <w:pStyle w:val="Style40"/>
        <w:keepNext/>
        <w:keepLines/>
        <w:widowControl w:val="0"/>
        <w:numPr>
          <w:ilvl w:val="0"/>
          <w:numId w:val="91"/>
        </w:numPr>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未确认递延所得税资产的可抵扣亏损将于以下年度到期</w:t>
      </w:r>
      <w:bookmarkEnd w:id="1204"/>
      <w:bookmarkEnd w:id="1205"/>
      <w:bookmarkEnd w:id="12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 xml:space="preserve">83,047. </w:t>
            </w: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83,047. </w:t>
            </w: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 xml:space="preserve">2,387,443. </w:t>
            </w: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2,387,443.58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4,997,852.</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 xml:space="preserve">7,468,344. </w:t>
            </w: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2,470,491.57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08"/>
      <w:bookmarkEnd w:id="1209"/>
      <w:bookmarkEnd w:id="12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3,795,555.46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3,795,555.46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2,747,480.86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2,747,480.86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3,795,555.46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3,795,555.46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2,747,480.86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2,747,480.86</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212"/>
      <w:bookmarkEnd w:id="1213"/>
      <w:bookmarkEnd w:id="1215"/>
    </w:p>
    <w:p>
      <w:pPr>
        <w:pStyle w:val="Style40"/>
        <w:keepNext/>
        <w:keepLines/>
        <w:widowControl w:val="0"/>
        <w:numPr>
          <w:ilvl w:val="0"/>
          <w:numId w:val="93"/>
        </w:numPr>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应付账款列示</w:t>
      </w:r>
      <w:bookmarkEnd w:id="1216"/>
      <w:bookmarkEnd w:id="1217"/>
      <w:bookmarkEnd w:id="12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1,759,851.03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1,774,878.03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222,430.90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220"/>
      <w:bookmarkEnd w:id="1221"/>
      <w:bookmarkEnd w:id="12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2,712,654.74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4,425,244.66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2,712,654.74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4,425,244.66</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224"/>
      <w:bookmarkEnd w:id="1225"/>
      <w:bookmarkEnd w:id="1227"/>
    </w:p>
    <w:p>
      <w:pPr>
        <w:pStyle w:val="Style40"/>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28"/>
      <w:bookmarkEnd w:id="1229"/>
      <w:bookmarkEnd w:id="123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55,040,208.55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443,200,299.76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437,150,010.58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61,090,497.73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13,603,479.58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13,562,017.18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108,163.22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453,736.07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55,106,909.37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457,257,515.41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451,165,763.83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61,198,660.95</w:t>
            </w:r>
          </w:p>
        </w:tc>
      </w:tr>
    </w:tbl>
    <w:p>
      <w:pPr>
        <w:widowControl w:val="0"/>
        <w:spacing w:after="319" w:line="1" w:lineRule="exact"/>
      </w:pPr>
    </w:p>
    <w:p>
      <w:pPr>
        <w:pStyle w:val="Style40"/>
        <w:keepNext/>
        <w:keepLines/>
        <w:widowControl w:val="0"/>
        <w:numPr>
          <w:ilvl w:val="0"/>
          <w:numId w:val="93"/>
        </w:numPr>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短期薪酬列示</w:t>
      </w:r>
      <w:bookmarkEnd w:id="1231"/>
      <w:bookmarkEnd w:id="1232"/>
      <w:bookmarkEnd w:id="12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53,406,547.44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421,589,056.96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415,443,272.33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59,552,332.07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4,386,813.48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4,386,813.48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8,562,598.96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8,451,080.10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111,518.86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7,906,625.01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7,795,106.15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111,518.86</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75,094.71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570,101.46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档案管理服务费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10,777.78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8,661,830.36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8,661,830.36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1,633,661.11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1,426,646.80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55,040,208.55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443,200,299.76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437,150,010.58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61,090,497.73</w:t>
            </w:r>
          </w:p>
        </w:tc>
      </w:tr>
    </w:tbl>
    <w:p>
      <w:pPr>
        <w:widowControl w:val="0"/>
        <w:spacing w:after="299" w:line="1" w:lineRule="exact"/>
      </w:pPr>
    </w:p>
    <w:p>
      <w:pPr>
        <w:pStyle w:val="Style40"/>
        <w:keepNext/>
        <w:keepLines/>
        <w:widowControl w:val="0"/>
        <w:numPr>
          <w:ilvl w:val="0"/>
          <w:numId w:val="93"/>
        </w:numPr>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设定提存计划列示</w:t>
      </w:r>
      <w:bookmarkEnd w:id="1235"/>
      <w:bookmarkEnd w:id="1236"/>
      <w:bookmarkEnd w:id="12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13,363,968.93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13,322,506.53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108,163.22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239,510.65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13,603,479.58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13,562,017.18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108,163.22</w:t>
            </w:r>
          </w:p>
        </w:tc>
      </w:tr>
    </w:tbl>
    <w:p>
      <w:pPr>
        <w:widowControl w:val="0"/>
        <w:spacing w:after="659" w:line="1" w:lineRule="exact"/>
      </w:pPr>
    </w:p>
    <w:p>
      <w:pPr>
        <w:pStyle w:val="Style35"/>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239"/>
      <w:bookmarkEnd w:id="1240"/>
      <w:bookmarkEnd w:id="12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1,015,082.78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1,423,799.68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4,467,904.00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82,922.01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5,113,948.03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1,783,986.44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68,818.11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97,518.00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29,493.47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41,793.43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19,662.32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27,862.29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57,446.60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10,724,806.01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3,515,328.45</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43"/>
      <w:bookmarkEnd w:id="1244"/>
      <w:bookmarkEnd w:id="12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817,262.64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4,608,680.02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32,835,536.34</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5,604,343.26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33,652,798.98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47"/>
      <w:bookmarkEnd w:id="1248"/>
      <w:bookmarkEnd w:id="12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817,262.64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995,663.24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817,262.64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9"/>
          <w:szCs w:val="19"/>
        </w:rPr>
        <w:t>）</w:t>
      </w:r>
      <w:r>
        <w:rPr>
          <w:color w:val="000000"/>
          <w:spacing w:val="0"/>
          <w:w w:val="100"/>
          <w:position w:val="0"/>
        </w:rPr>
        <w:t>其他应付款</w:t>
      </w:r>
      <w:bookmarkEnd w:id="1250"/>
      <w:bookmarkEnd w:id="1251"/>
      <w:bookmarkEnd w:id="12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31,647,375.64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4,545,746.02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1,188,160.70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4,608,680.02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32,835,536.34</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253"/>
      <w:bookmarkEnd w:id="1254"/>
      <w:bookmarkEnd w:id="12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188,968,261.00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94,484,124.00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-153,330.00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94,330,794.00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283,299,055.00</w:t>
            </w:r>
          </w:p>
        </w:tc>
      </w:tr>
    </w:tbl>
    <w:p>
      <w:pPr>
        <w:widowControl w:val="0"/>
        <w:spacing w:after="59" w:line="1" w:lineRule="exact"/>
      </w:pP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报告期公司股份变动情况详见</w:t>
      </w:r>
      <w:r>
        <w:rPr>
          <w:rFonts w:ascii="Times New Roman" w:eastAsia="Times New Roman" w:hAnsi="Times New Roman" w:cs="Times New Roman"/>
          <w:color w:val="000000"/>
          <w:spacing w:val="0"/>
          <w:w w:val="100"/>
          <w:position w:val="0"/>
        </w:rPr>
        <w:t>“</w:t>
      </w:r>
      <w:r>
        <w:rPr>
          <w:color w:val="000000"/>
          <w:spacing w:val="0"/>
          <w:w w:val="100"/>
          <w:position w:val="0"/>
        </w:rPr>
        <w:t>三、（一）、</w:t>
      </w:r>
      <w:r>
        <w:rPr>
          <w:rFonts w:ascii="Times New Roman" w:eastAsia="Times New Roman" w:hAnsi="Times New Roman" w:cs="Times New Roman"/>
          <w:color w:val="000000"/>
          <w:spacing w:val="0"/>
          <w:w w:val="100"/>
          <w:position w:val="0"/>
        </w:rPr>
        <w:t>1</w:t>
      </w:r>
      <w:r>
        <w:rPr>
          <w:color w:val="000000"/>
          <w:spacing w:val="0"/>
          <w:w w:val="100"/>
          <w:position w:val="0"/>
        </w:rPr>
        <w:t>、公司历史沿革</w:t>
      </w:r>
      <w:r>
        <w:rPr>
          <w:rFonts w:ascii="Times New Roman" w:eastAsia="Times New Roman" w:hAnsi="Times New Roman" w:cs="Times New Roman"/>
          <w:color w:val="000000"/>
          <w:spacing w:val="0"/>
          <w:w w:val="100"/>
          <w:position w:val="0"/>
        </w:rPr>
        <w:t>”</w:t>
      </w:r>
      <w:r>
        <w:rPr>
          <w:color w:val="000000"/>
          <w:spacing w:val="0"/>
          <w:w w:val="100"/>
          <w:position w:val="0"/>
        </w:rPr>
        <w:t>说明。</w:t>
      </w:r>
    </w:p>
    <w:p>
      <w:pPr>
        <w:pStyle w:val="Style35"/>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257"/>
      <w:bookmarkEnd w:id="1258"/>
      <w:bookmarkEnd w:id="12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520,936,243. </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13,125,741.70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96,319,130.81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437,742,854. </w:t>
            </w:r>
            <w:r>
              <w:rPr>
                <w:rFonts w:ascii="Times New Roman" w:eastAsia="Times New Roman" w:hAnsi="Times New Roman" w:cs="Times New Roman"/>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 xml:space="preserve">15,587,939. </w:t>
            </w: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 xml:space="preserve">14,457,573. </w:t>
            </w: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1,946,069. </w:t>
            </w: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536,524,182.26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 xml:space="preserve">13,941,444. </w:t>
            </w: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110,776,703.91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439,688,923.31</w:t>
            </w:r>
          </w:p>
        </w:tc>
      </w:tr>
    </w:tbl>
    <w:p>
      <w:pPr>
        <w:widowControl w:val="0"/>
        <w:spacing w:after="5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资本溢价（股本溢价）本期变动说明:</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）本期增加</w:t>
      </w:r>
    </w:p>
    <w:p>
      <w:pPr>
        <w:pStyle w:val="Style30"/>
        <w:keepNext w:val="0"/>
        <w:keepLines w:val="0"/>
        <w:widowControl w:val="0"/>
        <w:shd w:val="clear" w:color="auto" w:fill="auto"/>
        <w:bidi w:val="0"/>
        <w:spacing w:before="0" w:after="60" w:line="305" w:lineRule="exact"/>
        <w:ind w:left="0" w:right="0" w:firstLine="380"/>
        <w:jc w:val="left"/>
      </w:pPr>
      <w:r>
        <w:rPr>
          <w:color w:val="000000"/>
          <w:spacing w:val="0"/>
          <w:w w:val="100"/>
          <w:position w:val="0"/>
        </w:rPr>
        <w:t>与已解锁的限制性股票相关的资本公积</w:t>
      </w:r>
      <w:r>
        <w:rPr>
          <w:rFonts w:ascii="Times New Roman" w:eastAsia="Times New Roman" w:hAnsi="Times New Roman" w:cs="Times New Roman"/>
          <w:color w:val="000000"/>
          <w:spacing w:val="0"/>
          <w:w w:val="100"/>
          <w:position w:val="0"/>
        </w:rPr>
        <w:t>13,125,741.70</w:t>
      </w:r>
      <w:r>
        <w:rPr>
          <w:color w:val="000000"/>
          <w:spacing w:val="0"/>
          <w:w w:val="100"/>
          <w:position w:val="0"/>
        </w:rPr>
        <w:t>元由其它资本公积重分类至资本公积（股本溢价）。</w:t>
      </w:r>
    </w:p>
    <w:p>
      <w:pPr>
        <w:pStyle w:val="Style30"/>
        <w:keepNext w:val="0"/>
        <w:keepLines w:val="0"/>
        <w:widowControl w:val="0"/>
        <w:shd w:val="clear" w:color="auto" w:fill="auto"/>
        <w:bidi w:val="0"/>
        <w:spacing w:before="0" w:after="60" w:line="30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）本期减少</w:t>
      </w:r>
    </w:p>
    <w:p>
      <w:pPr>
        <w:pStyle w:val="Style30"/>
        <w:keepNext w:val="0"/>
        <w:keepLines w:val="0"/>
        <w:widowControl w:val="0"/>
        <w:shd w:val="clear" w:color="auto" w:fill="auto"/>
        <w:bidi w:val="0"/>
        <w:spacing w:before="0" w:after="320" w:line="305" w:lineRule="exact"/>
        <w:ind w:left="0" w:right="0" w:firstLine="380"/>
        <w:jc w:val="both"/>
      </w:pPr>
      <w:r>
        <w:rPr>
          <w:color w:val="000000"/>
          <w:spacing w:val="0"/>
          <w:w w:val="100"/>
          <w:position w:val="0"/>
        </w:rPr>
        <w:t>①根据公司第三届董事会第十六次会议决议通过的《关于回购注销部分已授予限制性股票的议案》，鉴于公司部分激励 对象已经离职，公司回购注销激励对象获授的共计</w:t>
      </w:r>
      <w:r>
        <w:rPr>
          <w:rFonts w:ascii="Times New Roman" w:eastAsia="Times New Roman" w:hAnsi="Times New Roman" w:cs="Times New Roman"/>
          <w:color w:val="000000"/>
          <w:spacing w:val="0"/>
          <w:w w:val="100"/>
          <w:position w:val="0"/>
        </w:rPr>
        <w:t>153,330.00</w:t>
      </w:r>
      <w:r>
        <w:rPr>
          <w:color w:val="000000"/>
          <w:spacing w:val="0"/>
          <w:w w:val="100"/>
          <w:position w:val="0"/>
        </w:rPr>
        <w:t>股，全部回购股份的价值为人民币</w:t>
      </w:r>
      <w:r>
        <w:rPr>
          <w:rFonts w:ascii="Times New Roman" w:eastAsia="Times New Roman" w:hAnsi="Times New Roman" w:cs="Times New Roman"/>
          <w:color w:val="000000"/>
          <w:spacing w:val="0"/>
          <w:w w:val="100"/>
          <w:position w:val="0"/>
        </w:rPr>
        <w:t>1,988,336.81</w:t>
      </w:r>
      <w:r>
        <w:rPr>
          <w:color w:val="000000"/>
          <w:spacing w:val="0"/>
          <w:w w:val="100"/>
          <w:position w:val="0"/>
        </w:rPr>
        <w:t>元。其中：股 本</w:t>
      </w:r>
      <w:r>
        <w:rPr>
          <w:rFonts w:ascii="Times New Roman" w:eastAsia="Times New Roman" w:hAnsi="Times New Roman" w:cs="Times New Roman"/>
          <w:color w:val="000000"/>
          <w:spacing w:val="0"/>
          <w:w w:val="100"/>
          <w:position w:val="0"/>
        </w:rPr>
        <w:t>153,330.00</w:t>
      </w:r>
      <w:r>
        <w:rPr>
          <w:color w:val="000000"/>
          <w:spacing w:val="0"/>
          <w:w w:val="100"/>
          <w:position w:val="0"/>
        </w:rPr>
        <w:t>元，其余</w:t>
      </w:r>
      <w:r>
        <w:rPr>
          <w:rFonts w:ascii="Times New Roman" w:eastAsia="Times New Roman" w:hAnsi="Times New Roman" w:cs="Times New Roman"/>
          <w:color w:val="000000"/>
          <w:spacing w:val="0"/>
          <w:w w:val="100"/>
          <w:position w:val="0"/>
        </w:rPr>
        <w:t>1,835,006.81</w:t>
      </w:r>
      <w:r>
        <w:rPr>
          <w:color w:val="000000"/>
          <w:spacing w:val="0"/>
          <w:w w:val="100"/>
          <w:position w:val="0"/>
        </w:rPr>
        <w:t>元冲减资本公积（股本溢价）。</w:t>
      </w:r>
    </w:p>
    <w:p>
      <w:pPr>
        <w:pStyle w:val="Style30"/>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②根据公司第三届董事会第十六次会议及</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年度股东大会决议通过的《关于审议</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年度利润分配及资本公积金 转增股本预案的议案》，公司以资本公积金向全体股东每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94,484,124</w:t>
      </w:r>
      <w:r>
        <w:rPr>
          <w:color w:val="000000"/>
          <w:spacing w:val="0"/>
          <w:w w:val="100"/>
          <w:position w:val="0"/>
        </w:rPr>
        <w:t xml:space="preserve">股，资本公积(股本溢价) 减少 </w:t>
      </w:r>
      <w:r>
        <w:rPr>
          <w:rFonts w:ascii="Times New Roman" w:eastAsia="Times New Roman" w:hAnsi="Times New Roman" w:cs="Times New Roman"/>
          <w:color w:val="000000"/>
          <w:spacing w:val="0"/>
          <w:w w:val="100"/>
          <w:position w:val="0"/>
        </w:rPr>
        <w:t xml:space="preserve">94,484,124.00 </w:t>
      </w:r>
      <w:r>
        <w:rPr>
          <w:color w:val="000000"/>
          <w:spacing w:val="0"/>
          <w:w w:val="100"/>
          <w:position w:val="0"/>
        </w:rPr>
        <w:t>元。</w:t>
      </w:r>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其他资本公积变动说明：</w:t>
      </w:r>
    </w:p>
    <w:p>
      <w:pPr>
        <w:pStyle w:val="Style30"/>
        <w:keepNext w:val="0"/>
        <w:keepLines w:val="0"/>
        <w:widowControl w:val="0"/>
        <w:numPr>
          <w:ilvl w:val="0"/>
          <w:numId w:val="95"/>
        </w:numPr>
        <w:shd w:val="clear" w:color="auto" w:fill="auto"/>
        <w:tabs>
          <w:tab w:pos="440" w:val="left"/>
        </w:tabs>
        <w:bidi w:val="0"/>
        <w:spacing w:before="0" w:after="40" w:line="310" w:lineRule="exact"/>
        <w:ind w:left="0" w:right="0" w:firstLine="0"/>
        <w:jc w:val="both"/>
      </w:pPr>
      <w:bookmarkStart w:id="1261" w:name="bookmark1261"/>
      <w:bookmarkEnd w:id="1261"/>
      <w:r>
        <w:rPr>
          <w:color w:val="000000"/>
          <w:spacing w:val="0"/>
          <w:w w:val="100"/>
          <w:position w:val="0"/>
        </w:rPr>
        <w:t>本期增加</w:t>
      </w:r>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本期其他资本公积增加为</w:t>
      </w:r>
      <w:r>
        <w:rPr>
          <w:rFonts w:ascii="Times New Roman" w:eastAsia="Times New Roman" w:hAnsi="Times New Roman" w:cs="Times New Roman"/>
          <w:color w:val="000000"/>
          <w:spacing w:val="0"/>
          <w:w w:val="100"/>
          <w:position w:val="0"/>
        </w:rPr>
        <w:t>2020</w:t>
      </w:r>
      <w:r>
        <w:rPr>
          <w:color w:val="000000"/>
          <w:spacing w:val="0"/>
          <w:w w:val="100"/>
          <w:position w:val="0"/>
        </w:rPr>
        <w:t>股权激励摊销费用</w:t>
      </w:r>
      <w:r>
        <w:rPr>
          <w:rFonts w:ascii="Times New Roman" w:eastAsia="Times New Roman" w:hAnsi="Times New Roman" w:cs="Times New Roman"/>
          <w:color w:val="000000"/>
          <w:spacing w:val="0"/>
          <w:w w:val="100"/>
          <w:position w:val="0"/>
        </w:rPr>
        <w:t>815,703.26</w:t>
      </w:r>
      <w:r>
        <w:rPr>
          <w:color w:val="000000"/>
          <w:spacing w:val="0"/>
          <w:w w:val="100"/>
          <w:position w:val="0"/>
        </w:rPr>
        <w:t>元。</w:t>
      </w:r>
    </w:p>
    <w:p>
      <w:pPr>
        <w:pStyle w:val="Style30"/>
        <w:keepNext w:val="0"/>
        <w:keepLines w:val="0"/>
        <w:widowControl w:val="0"/>
        <w:numPr>
          <w:ilvl w:val="0"/>
          <w:numId w:val="95"/>
        </w:numPr>
        <w:shd w:val="clear" w:color="auto" w:fill="auto"/>
        <w:tabs>
          <w:tab w:pos="440" w:val="left"/>
        </w:tabs>
        <w:bidi w:val="0"/>
        <w:spacing w:before="0" w:after="40" w:line="310" w:lineRule="exact"/>
        <w:ind w:left="0" w:right="0" w:firstLine="0"/>
        <w:jc w:val="both"/>
      </w:pPr>
      <w:bookmarkStart w:id="1262" w:name="bookmark1262"/>
      <w:bookmarkEnd w:id="1262"/>
      <w:r>
        <w:rPr>
          <w:color w:val="000000"/>
          <w:spacing w:val="0"/>
          <w:w w:val="100"/>
          <w:position w:val="0"/>
        </w:rPr>
        <w:t>本期减少</w:t>
      </w:r>
    </w:p>
    <w:p>
      <w:pPr>
        <w:pStyle w:val="Style30"/>
        <w:keepNext w:val="0"/>
        <w:keepLines w:val="0"/>
        <w:widowControl w:val="0"/>
        <w:numPr>
          <w:ilvl w:val="0"/>
          <w:numId w:val="97"/>
        </w:numPr>
        <w:shd w:val="clear" w:color="auto" w:fill="auto"/>
        <w:tabs>
          <w:tab w:pos="753" w:val="left"/>
        </w:tabs>
        <w:bidi w:val="0"/>
        <w:spacing w:before="0" w:after="40" w:line="310" w:lineRule="exact"/>
        <w:ind w:left="0" w:right="0" w:firstLine="380"/>
        <w:jc w:val="both"/>
      </w:pPr>
      <w:bookmarkStart w:id="1263" w:name="bookmark1263"/>
      <w:bookmarkEnd w:id="1263"/>
      <w:r>
        <w:rPr>
          <w:color w:val="000000"/>
          <w:spacing w:val="0"/>
          <w:w w:val="100"/>
          <w:position w:val="0"/>
        </w:rPr>
        <w:t>股权激励预计未来期间可税前扣除的金额超过确认的与股份支付相关的成本费用的所得税影响数</w:t>
      </w:r>
      <w:r>
        <w:rPr>
          <w:rFonts w:ascii="Times New Roman" w:eastAsia="Times New Roman" w:hAnsi="Times New Roman" w:cs="Times New Roman"/>
          <w:color w:val="000000"/>
          <w:spacing w:val="0"/>
          <w:w w:val="100"/>
          <w:position w:val="0"/>
        </w:rPr>
        <w:t>1,331,831.40</w:t>
      </w:r>
      <w:r>
        <w:rPr>
          <w:color w:val="000000"/>
          <w:spacing w:val="0"/>
          <w:w w:val="100"/>
          <w:position w:val="0"/>
        </w:rPr>
        <w:t>元。</w:t>
      </w:r>
    </w:p>
    <w:p>
      <w:pPr>
        <w:pStyle w:val="Style30"/>
        <w:keepNext w:val="0"/>
        <w:keepLines w:val="0"/>
        <w:widowControl w:val="0"/>
        <w:numPr>
          <w:ilvl w:val="0"/>
          <w:numId w:val="97"/>
        </w:numPr>
        <w:shd w:val="clear" w:color="auto" w:fill="auto"/>
        <w:tabs>
          <w:tab w:pos="753" w:val="left"/>
        </w:tabs>
        <w:bidi w:val="0"/>
        <w:spacing w:before="0" w:after="360" w:line="310" w:lineRule="exact"/>
        <w:ind w:left="0" w:right="0" w:firstLine="380"/>
        <w:jc w:val="both"/>
      </w:pPr>
      <w:bookmarkStart w:id="1264" w:name="bookmark1264"/>
      <w:bookmarkEnd w:id="1264"/>
      <w:r>
        <w:rPr>
          <w:color w:val="000000"/>
          <w:spacing w:val="0"/>
          <w:w w:val="100"/>
          <w:position w:val="0"/>
        </w:rPr>
        <w:t>与已解锁的限制性股票相关的资本公积</w:t>
      </w:r>
      <w:r>
        <w:rPr>
          <w:rFonts w:ascii="Times New Roman" w:eastAsia="Times New Roman" w:hAnsi="Times New Roman" w:cs="Times New Roman"/>
          <w:color w:val="000000"/>
          <w:spacing w:val="0"/>
          <w:w w:val="100"/>
          <w:position w:val="0"/>
        </w:rPr>
        <w:t>13,125,741.70</w:t>
      </w:r>
      <w:r>
        <w:rPr>
          <w:color w:val="000000"/>
          <w:spacing w:val="0"/>
          <w:w w:val="100"/>
          <w:position w:val="0"/>
        </w:rPr>
        <w:t>元重分类至资本公积(股本溢价)。</w:t>
      </w:r>
    </w:p>
    <w:p>
      <w:pPr>
        <w:pStyle w:val="Style35"/>
        <w:keepNext/>
        <w:keepLines/>
        <w:widowControl w:val="0"/>
        <w:shd w:val="clear" w:color="auto" w:fill="auto"/>
        <w:bidi w:val="0"/>
        <w:spacing w:before="0" w:after="36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4</w:t>
      </w:r>
      <w:r>
        <w:rPr>
          <w:color w:val="000000"/>
          <w:spacing w:val="0"/>
          <w:w w:val="100"/>
          <w:position w:val="0"/>
        </w:rPr>
        <w:t>、库存股</w:t>
      </w:r>
      <w:bookmarkEnd w:id="1265"/>
      <w:bookmarkEnd w:id="1266"/>
      <w:bookmarkEnd w:id="12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31,647,375.64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31,584,441.64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31,647,375.64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31,584,441.64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62,934.00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其本期库存股减少为回购注销失效的限制性股票和对应的未分配股利以及因限制性股票解锁冲回相关回购义务。</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269"/>
      <w:bookmarkEnd w:id="1270"/>
      <w:bookmarkEnd w:id="12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本期所得 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-28,677,347.</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-7,765,198</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-1,164,779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-6,600,418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-35,277,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-28,677,347.</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-7,765,198</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-1,164,779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-6,600,418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-35,277,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2,618,235.8</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-2,799,903</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-2,799,903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-181,668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2,618,235.8</w:t>
            </w:r>
          </w:p>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-2,799,903</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-2,799,903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-181,668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-26,059,111.</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-10,565,10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-1,164,779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-9,400,322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-35,459,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434.37</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273"/>
      <w:bookmarkEnd w:id="1274"/>
      <w:bookmarkEnd w:id="12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67,953,326.46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5,617,441.96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73,570,768.42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67,953,326.46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5,617,441.96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73,570,768.42</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277"/>
      <w:bookmarkEnd w:id="1278"/>
      <w:bookmarkEnd w:id="12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366,402,740.11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307,667,769.39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-2,642,354.22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363,760,385.89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307,667,769.39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74,555,031.45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96,238,638.56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5,617,441.96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9,836,719.92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28,290,746.09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27,666,947.92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404,407,229.29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366,402,740.11</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调整期初未分配利润明细：</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-2,642,354.22</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281"/>
      <w:bookmarkEnd w:id="1282"/>
      <w:bookmarkEnd w:id="12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525,558,672.81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266,180,762.88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573,983,631.21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300,258,889.01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525,558,672.81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266,180,762.88</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285"/>
      <w:bookmarkEnd w:id="1286"/>
      <w:bookmarkEnd w:id="12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353,861.30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415,629.10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252,758.04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296,877.91</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774,452.05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862,547.86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1,498,166.10</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3</w:t>
      </w:r>
      <w:bookmarkEnd w:id="1291"/>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289"/>
      <w:bookmarkEnd w:id="1290"/>
      <w:bookmarkEnd w:id="129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8,794,803.74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2,998,346.17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加班、出勤餐费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308,088.49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9,081,208.94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3,359,319.17</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293"/>
      <w:bookmarkEnd w:id="1294"/>
      <w:bookmarkEnd w:id="129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55,623,254.29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41,713,523.43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33,059,658.35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23,301,449.28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2,594,976.86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1,970,906.84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1,786,618.78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实习生费用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344,927.28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635,438.84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1,295,495.64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1,674,741.94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16,433,831.37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14,579,027.91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1,905,564.89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431,266.57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111,449,341.92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86,717,043.61</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297"/>
      <w:bookmarkEnd w:id="1298"/>
      <w:bookmarkEnd w:id="13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72,927,533.51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75,996,764.89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3,795,110.91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4,912,458.65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1,455,041.72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2,087,302.28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915,836.04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830,351.04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581,519.59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488,518.00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79,675,041.77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84,315,394.86</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301"/>
      <w:bookmarkEnd w:id="1302"/>
      <w:bookmarkEnd w:id="13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5,368,831.65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8,854,527.61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7,006,326.92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-1,768,223.09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131,807.15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1,802,815.62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-10,490,943.55</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305"/>
      <w:bookmarkEnd w:id="1306"/>
      <w:bookmarkEnd w:id="13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1,116,017.00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6,447,700.00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546,082.93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174,852.23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1,888,002.85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6,622,552.23</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309"/>
      <w:bookmarkEnd w:id="1310"/>
      <w:bookmarkEnd w:id="131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-1,312,398.57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92"/>
        <w:gridCol w:w="292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1,362,601.43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549,118.73</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313"/>
      <w:bookmarkEnd w:id="1314"/>
      <w:bookmarkEnd w:id="131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-1,529,306.98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356,639.76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-67,063.07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-40,396.37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-1,596,370.05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316,243.39</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17"/>
      <w:bookmarkEnd w:id="1318"/>
      <w:bookmarkEnd w:id="13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113,973.51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113,973.51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321"/>
      <w:bookmarkEnd w:id="1322"/>
      <w:bookmarkEnd w:id="13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20,516.93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20,516.93</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25"/>
      <w:bookmarkEnd w:id="1326"/>
      <w:bookmarkEnd w:id="13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5,590,085.74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2,352,059.14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4,861,585.74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268,677.97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268,677.97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5,858,763.71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2,566,058.63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5,130,263.71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line="1" w:lineRule="exact"/>
      </w:pP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南山区自主 创新产业发 展专项资金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深圳市南山 区科技创新</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因研究开发、</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失业稳岗补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深圳市社会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保障基金管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因符合国家 就业政策而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226,382.77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252,159.14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人才安居住 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区住房和建</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设局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因符合国家 就业政策而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年软博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深圳市软件 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 产业政策而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计算机软件 著作权登记 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因符合国家 知识产权政 策而获得的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专利申请资 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因符合国家 知识产权政 策而获得的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保就业防疫 抗疫补助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就业政策而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2,539,402.97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5,590,085.74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2,352,059.14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4</w:t>
      </w:r>
      <w:bookmarkEnd w:id="133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29"/>
      <w:bookmarkEnd w:id="1330"/>
      <w:bookmarkEnd w:id="13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686,030.00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25,532.88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11,568.76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11,568.76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723,131.64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723,131.64</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4</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33"/>
      <w:bookmarkEnd w:id="1334"/>
      <w:bookmarkEnd w:id="1336"/>
    </w:p>
    <w:p>
      <w:pPr>
        <w:pStyle w:val="Style40"/>
        <w:keepNext/>
        <w:keepLines/>
        <w:widowControl w:val="0"/>
        <w:shd w:val="clear" w:color="auto" w:fill="auto"/>
        <w:bidi w:val="0"/>
        <w:spacing w:before="0" w:after="34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37"/>
      <w:bookmarkEnd w:id="1338"/>
      <w:bookmarkEnd w:id="13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3,058,127.21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7,954,813.15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-170,349.38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3,202,594.45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7,784,463.77</w:t>
            </w:r>
          </w:p>
        </w:tc>
      </w:tr>
    </w:tbl>
    <w:p>
      <w:pPr>
        <w:widowControl w:val="0"/>
        <w:spacing w:after="339" w:line="1" w:lineRule="exact"/>
      </w:pPr>
    </w:p>
    <w:p>
      <w:pPr>
        <w:pStyle w:val="Style40"/>
        <w:keepNext/>
        <w:keepLines/>
        <w:widowControl w:val="0"/>
        <w:numPr>
          <w:ilvl w:val="0"/>
          <w:numId w:val="99"/>
        </w:numPr>
        <w:shd w:val="clear" w:color="auto" w:fill="auto"/>
        <w:bidi w:val="0"/>
        <w:spacing w:before="0" w:after="340" w:line="240" w:lineRule="auto"/>
        <w:ind w:left="0" w:right="0" w:firstLine="14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会计利润与所得税费用调整过程</w:t>
      </w:r>
      <w:bookmarkEnd w:id="1340"/>
      <w:bookmarkEnd w:id="1341"/>
      <w:bookmarkEnd w:id="13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77,757,625.90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11,663,643.89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208,527.97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-2,227,487.34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-582,939.65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73,167.52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1,028,549.74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-607,395.95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-8,307,379.07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境外子公司未分配利润产生的影响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1,953,907.34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3,202,594.45</w:t>
            </w:r>
          </w:p>
        </w:tc>
      </w:tr>
    </w:tbl>
    <w:p>
      <w:pPr>
        <w:widowControl w:val="0"/>
        <w:spacing w:after="99" w:line="1" w:lineRule="exact"/>
      </w:pP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344"/>
      <w:bookmarkEnd w:id="1345"/>
      <w:bookmarkEnd w:id="1347"/>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348"/>
      <w:bookmarkEnd w:id="1349"/>
      <w:bookmarkEnd w:id="1351"/>
    </w:p>
    <w:p>
      <w:pPr>
        <w:pStyle w:val="Style40"/>
        <w:keepNext/>
        <w:keepLines/>
        <w:widowControl w:val="0"/>
        <w:shd w:val="clear" w:color="auto" w:fill="auto"/>
        <w:bidi w:val="0"/>
        <w:spacing w:before="0" w:after="340" w:line="240" w:lineRule="auto"/>
        <w:ind w:left="0" w:right="0" w:firstLine="14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52"/>
      <w:bookmarkEnd w:id="1353"/>
      <w:bookmarkEnd w:id="13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6,706,102.74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8,799,759.14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3,272,981.74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6,701,488.15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871,167.79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1,218,701.00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10,247,762.45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17,591,116.08</w:t>
            </w:r>
          </w:p>
        </w:tc>
      </w:tr>
    </w:tbl>
    <w:p>
      <w:pPr>
        <w:widowControl w:val="0"/>
        <w:spacing w:after="319" w:line="1" w:lineRule="exact"/>
      </w:pPr>
    </w:p>
    <w:p>
      <w:pPr>
        <w:pStyle w:val="Style40"/>
        <w:keepNext/>
        <w:keepLines/>
        <w:widowControl w:val="0"/>
        <w:numPr>
          <w:ilvl w:val="0"/>
          <w:numId w:val="101"/>
        </w:numPr>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支付的其他与经营活动有关的现金</w:t>
      </w:r>
      <w:bookmarkEnd w:id="1355"/>
      <w:bookmarkEnd w:id="1356"/>
      <w:bookmarkEnd w:id="13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39,265,569.37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35,774,478.63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131,807.15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7,075,230.86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635,751.75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存入保证金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1,126,101.00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47,632,221.58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36,542,037.53</w:t>
            </w:r>
          </w:p>
        </w:tc>
      </w:tr>
    </w:tbl>
    <w:p>
      <w:pPr>
        <w:widowControl w:val="0"/>
        <w:spacing w:after="319" w:line="1" w:lineRule="exact"/>
      </w:pPr>
    </w:p>
    <w:p>
      <w:pPr>
        <w:pStyle w:val="Style40"/>
        <w:keepNext/>
        <w:keepLines/>
        <w:widowControl w:val="0"/>
        <w:numPr>
          <w:ilvl w:val="0"/>
          <w:numId w:val="101"/>
        </w:numPr>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支付的其他与筹资活动有关的现金</w:t>
      </w:r>
      <w:bookmarkEnd w:id="1359"/>
      <w:bookmarkEnd w:id="1360"/>
      <w:bookmarkEnd w:id="13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1,988,336.81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73,479,472.84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1,988,336.81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73,559,472.84</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2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363"/>
      <w:bookmarkEnd w:id="1364"/>
      <w:bookmarkEnd w:id="1366"/>
    </w:p>
    <w:p>
      <w:pPr>
        <w:pStyle w:val="Style40"/>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7"/>
      <w:bookmarkEnd w:id="1368"/>
      <w:bookmarkEnd w:id="13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74,555,031.45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96,238,638.56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1,482,396.54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-316,243.39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13,185,111.78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11,011,940.31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3,307,724.37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2,721,283.32</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1,897,258.78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1,677,640.32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-20,516.93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-1,362,601.43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-549,118.73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-1,284,200.51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-426,493.03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1,428,667.75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256,143.65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-48,928,197.85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-131,352.86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-50,283,797.07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13,382,596.65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16,498,671.67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-7,165,965.96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815,703.26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2,594,976.86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11,337,301.62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119,278,918.09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477,536,337.77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522,519,662.48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522,519,662.48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532,254,964.35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-44,983,324.71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-9,735,301.87</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70"/>
      <w:bookmarkEnd w:id="1371"/>
      <w:bookmarkEnd w:id="13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477,536,337.77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522,519,662.48</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477,497,335.92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522,447,181.24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477,536,337.77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522,519,662.48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年期末现金期末余额为货币资金期末余额</w:t>
      </w:r>
      <w:r>
        <w:rPr>
          <w:rFonts w:ascii="Times New Roman" w:eastAsia="Times New Roman" w:hAnsi="Times New Roman" w:cs="Times New Roman"/>
          <w:color w:val="000000"/>
          <w:spacing w:val="0"/>
          <w:w w:val="100"/>
          <w:position w:val="0"/>
        </w:rPr>
        <w:t>485,160,678.74</w:t>
      </w:r>
      <w:r>
        <w:rPr>
          <w:color w:val="000000"/>
          <w:spacing w:val="0"/>
          <w:w w:val="100"/>
          <w:position w:val="0"/>
        </w:rPr>
        <w:t>元扣除受限货币资金</w:t>
      </w:r>
      <w:r>
        <w:rPr>
          <w:rFonts w:ascii="Times New Roman" w:eastAsia="Times New Roman" w:hAnsi="Times New Roman" w:cs="Times New Roman"/>
          <w:color w:val="000000"/>
          <w:spacing w:val="0"/>
          <w:w w:val="100"/>
          <w:position w:val="0"/>
        </w:rPr>
        <w:t>2,000,000.00</w:t>
      </w:r>
      <w:r>
        <w:rPr>
          <w:color w:val="000000"/>
          <w:spacing w:val="0"/>
          <w:w w:val="100"/>
          <w:position w:val="0"/>
        </w:rPr>
        <w:t>元及定期存款应收利息</w:t>
      </w:r>
    </w:p>
    <w:p>
      <w:pPr>
        <w:pStyle w:val="Style55"/>
        <w:keepNext w:val="0"/>
        <w:keepLines w:val="0"/>
        <w:widowControl w:val="0"/>
        <w:shd w:val="clear" w:color="auto" w:fill="auto"/>
        <w:bidi w:val="0"/>
        <w:spacing w:before="0" w:after="720" w:line="240" w:lineRule="auto"/>
        <w:ind w:left="0" w:right="0" w:firstLine="0"/>
        <w:jc w:val="left"/>
      </w:pPr>
      <w:r>
        <w:rPr>
          <w:color w:val="000000"/>
          <w:spacing w:val="0"/>
          <w:w w:val="100"/>
          <w:position w:val="0"/>
        </w:rPr>
        <w:t xml:space="preserve">5,624,340.97 </w:t>
      </w:r>
      <w:r>
        <w:rPr>
          <w:rFonts w:ascii="SimSun" w:eastAsia="SimSun" w:hAnsi="SimSun" w:cs="SimSun"/>
          <w:color w:val="000000"/>
          <w:spacing w:val="0"/>
          <w:w w:val="100"/>
          <w:position w:val="0"/>
        </w:rPr>
        <w:t>元的差额。</w:t>
      </w:r>
    </w:p>
    <w:p>
      <w:pPr>
        <w:pStyle w:val="Style35"/>
        <w:keepNext/>
        <w:keepLines/>
        <w:widowControl w:val="0"/>
        <w:shd w:val="clear" w:color="auto" w:fill="auto"/>
        <w:bidi w:val="0"/>
        <w:spacing w:before="0" w:after="36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373"/>
      <w:bookmarkEnd w:id="1374"/>
      <w:bookmarkEnd w:id="13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377"/>
      <w:bookmarkEnd w:id="1378"/>
      <w:bookmarkEnd w:id="1380"/>
    </w:p>
    <w:p>
      <w:pPr>
        <w:pStyle w:val="Style40"/>
        <w:keepNext/>
        <w:keepLines/>
        <w:widowControl w:val="0"/>
        <w:shd w:val="clear" w:color="auto" w:fill="auto"/>
        <w:bidi w:val="0"/>
        <w:spacing w:before="0" w:line="240" w:lineRule="auto"/>
        <w:ind w:left="0" w:right="0" w:firstLine="140"/>
        <w:jc w:val="left"/>
      </w:pPr>
      <w:bookmarkStart w:id="1381" w:name="bookmark1381"/>
      <w:bookmarkStart w:id="1382" w:name="bookmark1382"/>
      <w:bookmarkStart w:id="1383" w:name="bookmark1383"/>
      <w:r>
        <w:rPr>
          <w:color w:val="000000"/>
          <w:spacing w:val="0"/>
          <w:w w:val="100"/>
          <w:position w:val="0"/>
        </w:rPr>
        <w:t>⑴外币货币性项目</w:t>
      </w:r>
      <w:bookmarkEnd w:id="1381"/>
      <w:bookmarkEnd w:id="1382"/>
      <w:bookmarkEnd w:id="13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129,566,637.73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206,411.98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135,331,201.65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113,894,739.35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70,975,155.56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15,465,486.40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42,031,728.37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7,230,879.12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6,085,507.87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162,176,336.41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35,338,223.70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744,000.00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607,996.80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101,332.80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其中：澳门币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101,332.80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7,376,338.99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31,218,845.65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6,802,586.47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681,740.16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573,752.52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653,616.32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2,999,615.99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653,616.32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897,254.39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291,685.29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63,558.22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990,608.56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833,696.16</w:t>
            </w:r>
          </w:p>
        </w:tc>
      </w:tr>
    </w:tbl>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)境外经营实体说明，包括对于重要的境外经营实体，应披露其境外主要经营地、记账本位币及选择依据，记账本位币 发生变化的还应披露原因。</w:t>
      </w:r>
    </w:p>
    <w:p>
      <w:pPr>
        <w:pStyle w:val="Style30"/>
        <w:keepNext w:val="0"/>
        <w:keepLines w:val="0"/>
        <w:widowControl w:val="0"/>
        <w:shd w:val="clear" w:color="auto" w:fill="auto"/>
        <w:bidi w:val="0"/>
        <w:spacing w:before="0" w:after="44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05"/>
        <w:gridCol w:w="1512"/>
        <w:gridCol w:w="1560"/>
        <w:gridCol w:w="2549"/>
        <w:gridCol w:w="1886"/>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主要财务报表项目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四方资讯及四方信息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0.8416</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股东权益(除未分配利润)项目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交易发生日的即期汇率</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利润表、现金流量表项目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月度加权平均汇率</w:t>
            </w: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四方泰国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0.2179</w:t>
            </w: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股东权益(除未分配利润)项目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交易发生日的即期汇率</w:t>
            </w:r>
          </w:p>
        </w:tc>
      </w:tr>
      <w:tr>
        <w:trPr>
          <w:trHeight w:val="4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利润表、现金流量表项目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月度加权平均汇率</w:t>
            </w:r>
          </w:p>
        </w:tc>
      </w:tr>
    </w:tbl>
    <w:p>
      <w:pPr>
        <w:widowControl w:val="0"/>
        <w:spacing w:after="659" w:line="1" w:lineRule="exact"/>
      </w:pPr>
    </w:p>
    <w:p>
      <w:pPr>
        <w:pStyle w:val="Style35"/>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384"/>
      <w:bookmarkEnd w:id="1385"/>
      <w:bookmarkEnd w:id="1387"/>
    </w:p>
    <w:p>
      <w:pPr>
        <w:pStyle w:val="Style40"/>
        <w:keepNext/>
        <w:keepLines/>
        <w:widowControl w:val="0"/>
        <w:shd w:val="clear" w:color="auto" w:fill="auto"/>
        <w:bidi w:val="0"/>
        <w:spacing w:before="0" w:after="34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88"/>
      <w:bookmarkEnd w:id="1389"/>
      <w:bookmarkEnd w:id="13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p>
      <w:pPr>
        <w:widowControl w:val="0"/>
        <w:spacing w:line="1" w:lineRule="exact"/>
      </w:pPr>
    </w:p>
    <w:tbl>
      <w:tblPr>
        <w:tblOverlap w:val="never"/>
        <w:jc w:val="center"/>
        <w:tblLayout w:type="fixed"/>
      </w:tblPr>
      <w:tblGrid>
        <w:gridCol w:w="2400"/>
        <w:gridCol w:w="2390"/>
        <w:gridCol w:w="2390"/>
        <w:gridCol w:w="240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年中央外经贸发展专项 资金(服务贸易事项)资助项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1,116,017.00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1,116,017.00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南山区自主创新产业发展专 项资金资助款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1,728,500.00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226,382.77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1,068,500.00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1,068,500.00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计算机软件著作权登记资助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保就业防疫抗疫补助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2,539,402.97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2,539,402.97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6,706,102.74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6,706,102.74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91"/>
      <w:bookmarkEnd w:id="1392"/>
      <w:bookmarkEnd w:id="1393"/>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both"/>
      </w:pPr>
      <w:bookmarkStart w:id="1394" w:name="bookmark1394"/>
      <w:bookmarkStart w:id="1395" w:name="bookmark1395"/>
      <w:bookmarkStart w:id="1396" w:name="bookmark1396"/>
      <w:r>
        <w:rPr>
          <w:color w:val="000000"/>
          <w:spacing w:val="0"/>
          <w:w w:val="100"/>
          <w:position w:val="0"/>
          <w:sz w:val="24"/>
          <w:szCs w:val="24"/>
        </w:rPr>
        <w:t>八、合并范围的变更</w:t>
      </w:r>
      <w:bookmarkEnd w:id="1394"/>
      <w:bookmarkEnd w:id="1395"/>
      <w:bookmarkEnd w:id="1396"/>
    </w:p>
    <w:p>
      <w:pPr>
        <w:pStyle w:val="Style35"/>
        <w:keepNext/>
        <w:keepLines/>
        <w:widowControl w:val="0"/>
        <w:shd w:val="clear" w:color="auto" w:fill="auto"/>
        <w:tabs>
          <w:tab w:pos="368" w:val="left"/>
        </w:tabs>
        <w:bidi w:val="0"/>
        <w:spacing w:before="0" w:after="360" w:line="240" w:lineRule="auto"/>
        <w:ind w:left="0" w:right="0" w:firstLine="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1</w:t>
      </w:r>
      <w:bookmarkEnd w:id="1399"/>
      <w:r>
        <w:rPr>
          <w:color w:val="000000"/>
          <w:spacing w:val="0"/>
          <w:w w:val="100"/>
          <w:position w:val="0"/>
        </w:rPr>
        <w:t>、</w:t>
        <w:tab/>
        <w:t>非同一控制下企业合并</w:t>
      </w:r>
      <w:bookmarkEnd w:id="1397"/>
      <w:bookmarkEnd w:id="1398"/>
      <w:bookmarkEnd w:id="1400"/>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color w:val="000000"/>
          <w:spacing w:val="0"/>
          <w:w w:val="100"/>
          <w:position w:val="0"/>
        </w:rPr>
        <w:t>、</w:t>
        <w:tab/>
        <w:t>同一控制下企业合并</w:t>
      </w:r>
      <w:bookmarkEnd w:id="1401"/>
      <w:bookmarkEnd w:id="1402"/>
      <w:bookmarkEnd w:id="1404"/>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w:t>
      </w:r>
      <w:bookmarkEnd w:id="1407"/>
      <w:r>
        <w:rPr>
          <w:color w:val="000000"/>
          <w:spacing w:val="0"/>
          <w:w w:val="100"/>
          <w:position w:val="0"/>
        </w:rPr>
        <w:t>、</w:t>
        <w:tab/>
        <w:t>反向购买</w:t>
      </w:r>
      <w:bookmarkEnd w:id="1405"/>
      <w:bookmarkEnd w:id="1406"/>
      <w:bookmarkEnd w:id="1408"/>
    </w:p>
    <w:p>
      <w:pPr>
        <w:pStyle w:val="Style35"/>
        <w:keepNext/>
        <w:keepLines/>
        <w:widowControl w:val="0"/>
        <w:shd w:val="clear" w:color="auto" w:fill="auto"/>
        <w:bidi w:val="0"/>
        <w:spacing w:before="0" w:after="360" w:line="240" w:lineRule="auto"/>
        <w:ind w:left="0" w:right="0" w:firstLine="0"/>
        <w:jc w:val="both"/>
        <w:rPr>
          <w:sz w:val="18"/>
          <w:szCs w:val="18"/>
        </w:rPr>
      </w:pPr>
      <w:bookmarkStart w:id="1409" w:name="bookmark1409"/>
      <w:bookmarkStart w:id="1410" w:name="bookmark1410"/>
      <w:bookmarkStart w:id="1411" w:name="bookmark1411"/>
      <w:r>
        <w:rPr>
          <w:b w:val="0"/>
          <w:bCs w:val="0"/>
          <w:color w:val="000000"/>
          <w:spacing w:val="0"/>
          <w:w w:val="100"/>
          <w:position w:val="0"/>
          <w:sz w:val="18"/>
          <w:szCs w:val="18"/>
        </w:rPr>
        <w:t>不适用</w:t>
      </w:r>
      <w:bookmarkEnd w:id="1409"/>
      <w:bookmarkEnd w:id="1410"/>
      <w:bookmarkEnd w:id="1411"/>
    </w:p>
    <w:p>
      <w:pPr>
        <w:pStyle w:val="Style35"/>
        <w:keepNext/>
        <w:keepLines/>
        <w:widowControl w:val="0"/>
        <w:shd w:val="clear" w:color="auto" w:fill="auto"/>
        <w:tabs>
          <w:tab w:pos="378" w:val="left"/>
        </w:tabs>
        <w:bidi w:val="0"/>
        <w:spacing w:before="0" w:after="36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color w:val="000000"/>
          <w:spacing w:val="0"/>
          <w:w w:val="100"/>
          <w:position w:val="0"/>
        </w:rPr>
        <w:t>、</w:t>
        <w:tab/>
        <w:t>处置子公司</w:t>
      </w:r>
      <w:bookmarkEnd w:id="1412"/>
      <w:bookmarkEnd w:id="1413"/>
      <w:bookmarkEnd w:id="1415"/>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5</w:t>
      </w:r>
      <w:bookmarkEnd w:id="1418"/>
      <w:r>
        <w:rPr>
          <w:color w:val="000000"/>
          <w:spacing w:val="0"/>
          <w:w w:val="100"/>
          <w:position w:val="0"/>
        </w:rPr>
        <w:t>、其他原因的合并范围变动</w:t>
      </w:r>
      <w:bookmarkEnd w:id="1416"/>
      <w:bookmarkEnd w:id="1417"/>
      <w:bookmarkEnd w:id="1419"/>
    </w:p>
    <w:p>
      <w:pPr>
        <w:pStyle w:val="Style35"/>
        <w:keepNext/>
        <w:keepLines/>
        <w:widowControl w:val="0"/>
        <w:shd w:val="clear" w:color="auto" w:fill="auto"/>
        <w:bidi w:val="0"/>
        <w:spacing w:before="0" w:after="360" w:line="240" w:lineRule="auto"/>
        <w:ind w:left="0" w:right="0" w:firstLine="0"/>
        <w:jc w:val="left"/>
        <w:rPr>
          <w:sz w:val="18"/>
          <w:szCs w:val="18"/>
        </w:rPr>
      </w:pPr>
      <w:bookmarkStart w:id="1420" w:name="bookmark1420"/>
      <w:bookmarkStart w:id="1421" w:name="bookmark1421"/>
      <w:bookmarkStart w:id="1422" w:name="bookmark1422"/>
      <w:r>
        <w:rPr>
          <w:color w:val="000000"/>
          <w:spacing w:val="0"/>
          <w:w w:val="100"/>
          <w:position w:val="0"/>
          <w:sz w:val="18"/>
          <w:szCs w:val="18"/>
        </w:rPr>
        <w:t>不适用</w:t>
      </w:r>
      <w:bookmarkEnd w:id="1420"/>
      <w:bookmarkEnd w:id="1421"/>
      <w:bookmarkEnd w:id="1422"/>
    </w:p>
    <w:p>
      <w:pPr>
        <w:pStyle w:val="Style28"/>
        <w:keepNext/>
        <w:keepLines/>
        <w:widowControl w:val="0"/>
        <w:shd w:val="clear" w:color="auto" w:fill="auto"/>
        <w:bidi w:val="0"/>
        <w:spacing w:before="0" w:after="32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sz w:val="24"/>
          <w:szCs w:val="24"/>
        </w:rPr>
        <w:t>九</w:t>
      </w:r>
      <w:bookmarkEnd w:id="1425"/>
      <w:r>
        <w:rPr>
          <w:color w:val="000000"/>
          <w:spacing w:val="0"/>
          <w:w w:val="100"/>
          <w:position w:val="0"/>
          <w:sz w:val="24"/>
          <w:szCs w:val="24"/>
        </w:rPr>
        <w:t>、在其他主体中的权益</w:t>
      </w:r>
      <w:bookmarkEnd w:id="1423"/>
      <w:bookmarkEnd w:id="1424"/>
      <w:bookmarkEnd w:id="1426"/>
    </w:p>
    <w:p>
      <w:pPr>
        <w:pStyle w:val="Style35"/>
        <w:keepNext/>
        <w:keepLines/>
        <w:widowControl w:val="0"/>
        <w:shd w:val="clear" w:color="auto" w:fill="auto"/>
        <w:bidi w:val="0"/>
        <w:spacing w:before="0" w:after="320" w:line="240" w:lineRule="auto"/>
        <w:ind w:left="0" w:right="0" w:firstLine="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27"/>
      <w:bookmarkEnd w:id="1428"/>
      <w:bookmarkEnd w:id="1429"/>
    </w:p>
    <w:p>
      <w:pPr>
        <w:pStyle w:val="Style40"/>
        <w:keepNext/>
        <w:keepLines/>
        <w:widowControl w:val="0"/>
        <w:shd w:val="clear" w:color="auto" w:fill="auto"/>
        <w:bidi w:val="0"/>
        <w:spacing w:before="0" w:after="320" w:line="240" w:lineRule="auto"/>
        <w:ind w:left="0" w:right="0" w:firstLine="14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0"/>
      <w:bookmarkEnd w:id="1431"/>
      <w:bookmarkEnd w:id="1432"/>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四方资讯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软件开发和系统 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乐寻坊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四方泰国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泰国曼谷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泰国曼谷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软件和信息技术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bl>
    <w:p>
      <w:pPr>
        <w:widowControl w:val="0"/>
        <w:spacing w:after="319" w:line="1" w:lineRule="exact"/>
      </w:pPr>
    </w:p>
    <w:p>
      <w:pPr>
        <w:pStyle w:val="Style60"/>
        <w:keepNext w:val="0"/>
        <w:keepLines w:val="0"/>
        <w:widowControl w:val="0"/>
        <w:numPr>
          <w:ilvl w:val="0"/>
          <w:numId w:val="103"/>
        </w:numPr>
        <w:shd w:val="clear" w:color="auto" w:fill="auto"/>
        <w:tabs>
          <w:tab w:pos="493" w:val="left"/>
        </w:tabs>
        <w:bidi w:val="0"/>
        <w:spacing w:before="0" w:after="360" w:line="240" w:lineRule="auto"/>
        <w:ind w:left="0" w:right="0" w:firstLine="0"/>
        <w:jc w:val="left"/>
      </w:pPr>
      <w:bookmarkStart w:id="1433" w:name="bookmark1433"/>
      <w:bookmarkStart w:id="1434" w:name="bookmark1434"/>
      <w:bookmarkEnd w:id="1433"/>
      <w:r>
        <w:rPr>
          <w:color w:val="000000"/>
          <w:spacing w:val="0"/>
          <w:w w:val="100"/>
          <w:position w:val="0"/>
        </w:rPr>
        <w:t>重要的非全资子公司</w:t>
      </w:r>
      <w:bookmarkEnd w:id="143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本公司在报告期内没有重要的的非全资子公司</w:t>
      </w:r>
    </w:p>
    <w:p>
      <w:pPr>
        <w:pStyle w:val="Style40"/>
        <w:keepNext/>
        <w:keepLines/>
        <w:widowControl w:val="0"/>
        <w:numPr>
          <w:ilvl w:val="0"/>
          <w:numId w:val="103"/>
        </w:numPr>
        <w:shd w:val="clear" w:color="auto" w:fill="auto"/>
        <w:tabs>
          <w:tab w:pos="493" w:val="left"/>
        </w:tabs>
        <w:bidi w:val="0"/>
        <w:spacing w:before="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不重要的合营企业和联营企业的汇总财务信息</w:t>
      </w:r>
      <w:bookmarkEnd w:id="1435"/>
      <w:bookmarkEnd w:id="1436"/>
      <w:bookmarkEnd w:id="14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46,747,663.92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48,393,395.82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-1,312,398.57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-1,312,398.57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549,118.73</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rPr>
          <w:sz w:val="20"/>
          <w:szCs w:val="20"/>
        </w:rPr>
      </w:pPr>
      <w:bookmarkStart w:id="1439" w:name="bookmark1439"/>
      <w:bookmarkStart w:id="1440" w:name="bookmark1440"/>
      <w:bookmarkStart w:id="1441" w:name="bookmark1441"/>
      <w:r>
        <w:rPr>
          <w:color w:val="000000"/>
          <w:spacing w:val="0"/>
          <w:w w:val="100"/>
          <w:position w:val="0"/>
          <w:sz w:val="20"/>
          <w:szCs w:val="20"/>
        </w:rPr>
        <w:t>十、与金融工具相关的风险</w:t>
      </w:r>
      <w:bookmarkEnd w:id="1439"/>
      <w:bookmarkEnd w:id="1440"/>
      <w:bookmarkEnd w:id="1441"/>
    </w:p>
    <w:p>
      <w:pPr>
        <w:pStyle w:val="Style30"/>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公司的主要金融工具包括货币资金、应收账款、其他权益工具及应付账款等，各项金融工具的详细情况说明见本附注五 相关项目。与这些金融工具有关的风险，以及公司为降低这些风险所采取的风险管理政策如下所述。公司管理层对这些风险 敞口进行管理和监控以确保将上述风险控制在限定的范围之内。</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公司从事风险管理的目标是在风险和收益之间取得适当的平衡，将风险对公司经营业绩的负面影响降低到最低水平，使 股东及其他权益投资者的利益最大化。基于该风险管理目标，公司风险管理的基本策略是确定和分析公司所面临的各种风险, 建立适当的风险承受底线和进行风险管理，并及时可靠地对各种风险进行监督，将风险控制在限定的范围之内。</w:t>
      </w:r>
    </w:p>
    <w:p>
      <w:pPr>
        <w:pStyle w:val="Style3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公司的金融工具导致的主要风险是信用风险、流动性风险、汇率风险</w:t>
      </w:r>
    </w:p>
    <w:p>
      <w:pPr>
        <w:pStyle w:val="Style30"/>
        <w:keepNext w:val="0"/>
        <w:keepLines w:val="0"/>
        <w:widowControl w:val="0"/>
        <w:shd w:val="clear" w:color="auto" w:fill="auto"/>
        <w:tabs>
          <w:tab w:pos="719" w:val="left"/>
        </w:tabs>
        <w:bidi w:val="0"/>
        <w:spacing w:before="0" w:after="0" w:line="240" w:lineRule="auto"/>
        <w:ind w:left="0" w:right="0" w:firstLine="380"/>
        <w:jc w:val="both"/>
      </w:pPr>
      <w:bookmarkStart w:id="1442" w:name="bookmark1442"/>
      <w:r>
        <w:rPr>
          <w:rFonts w:ascii="Times New Roman" w:eastAsia="Times New Roman" w:hAnsi="Times New Roman" w:cs="Times New Roman"/>
          <w:b/>
          <w:bCs/>
          <w:color w:val="000000"/>
          <w:spacing w:val="0"/>
          <w:w w:val="100"/>
          <w:position w:val="0"/>
        </w:rPr>
        <w:t>1</w:t>
      </w:r>
      <w:bookmarkEnd w:id="1442"/>
      <w:r>
        <w:rPr>
          <w:b/>
          <w:bCs/>
          <w:color w:val="000000"/>
          <w:spacing w:val="0"/>
          <w:w w:val="100"/>
          <w:position w:val="0"/>
        </w:rPr>
        <w:t>、</w:t>
        <w:tab/>
        <w:t>信用风险</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信用风险，是指交易对手方未能履行合同义务而导致本集团产生财务损失的风险。</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公司对信用风险按组合分类进行管理。信用风险主要产生于应收款项。</w:t>
      </w:r>
    </w:p>
    <w:p>
      <w:pPr>
        <w:pStyle w:val="Style3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对于应收款项，公司设定相关政策以控制信用风险敞口。公司基于对债务人的财务状况、外部评级、从第三方获取担保 的可能性、信用记录及其它因素诸如目前市场状况等评估债务人的信用资质并设置相应欠款额度与信用期限。公司会定期对 债务人信用记录进行监控，对于信用记录不良的债务人，公司会采用书面催款、缩短信用期或取消信用期等方式，以确保公 司的整体信用风险在可控的范围内。</w:t>
      </w:r>
    </w:p>
    <w:p>
      <w:pPr>
        <w:pStyle w:val="Style30"/>
        <w:keepNext w:val="0"/>
        <w:keepLines w:val="0"/>
        <w:widowControl w:val="0"/>
        <w:shd w:val="clear" w:color="auto" w:fill="auto"/>
        <w:tabs>
          <w:tab w:pos="734" w:val="left"/>
        </w:tabs>
        <w:bidi w:val="0"/>
        <w:spacing w:before="0" w:after="0" w:line="240" w:lineRule="auto"/>
        <w:ind w:left="0" w:right="0" w:firstLine="380"/>
        <w:jc w:val="both"/>
      </w:pPr>
      <w:bookmarkStart w:id="1443" w:name="bookmark1443"/>
      <w:r>
        <w:rPr>
          <w:rFonts w:ascii="Times New Roman" w:eastAsia="Times New Roman" w:hAnsi="Times New Roman" w:cs="Times New Roman"/>
          <w:b/>
          <w:bCs/>
          <w:color w:val="000000"/>
          <w:spacing w:val="0"/>
          <w:w w:val="100"/>
          <w:position w:val="0"/>
        </w:rPr>
        <w:t>2</w:t>
      </w:r>
      <w:bookmarkEnd w:id="1443"/>
      <w:r>
        <w:rPr>
          <w:b/>
          <w:bCs/>
          <w:color w:val="000000"/>
          <w:spacing w:val="0"/>
          <w:w w:val="100"/>
          <w:position w:val="0"/>
        </w:rPr>
        <w:t>、</w:t>
        <w:tab/>
        <w:t>流动性风险</w:t>
      </w:r>
    </w:p>
    <w:p>
      <w:pPr>
        <w:pStyle w:val="Style3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流动性风险，是指公司在履行以交付现金或其他金融资产的方式结算的义务时发生资金短缺的风险。</w:t>
      </w:r>
    </w:p>
    <w:p>
      <w:pPr>
        <w:pStyle w:val="Style30"/>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管理流动风险时，公司保持管理层认为充分的现金及现金等价物并对其进行监控，以满足公司经营需要，并降低现金流 量波动的影响。公司主要通过经营业务产生的资金来筹措营运资金。</w:t>
      </w:r>
    </w:p>
    <w:p>
      <w:pPr>
        <w:pStyle w:val="Style3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期末公司持有的金融负债和表外担保项目按未折现剩余合同现金流量的到期期限分析如下:</w:t>
      </w:r>
    </w:p>
    <w:tbl>
      <w:tblPr>
        <w:tblOverlap w:val="never"/>
        <w:jc w:val="center"/>
        <w:tblLayout w:type="fixed"/>
      </w:tblPr>
      <w:tblGrid>
        <w:gridCol w:w="1550"/>
        <w:gridCol w:w="1675"/>
        <w:gridCol w:w="1498"/>
        <w:gridCol w:w="1406"/>
        <w:gridCol w:w="1498"/>
        <w:gridCol w:w="1685"/>
      </w:tblGrid>
      <w:tr>
        <w:trPr>
          <w:trHeight w:val="44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二到三年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三年以上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1,774,878.03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1,774,878.03</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5,604,343.26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5,604,343.26</w:t>
            </w:r>
          </w:p>
        </w:tc>
      </w:tr>
    </w:tbl>
    <w:p>
      <w:pPr>
        <w:widowControl w:val="0"/>
        <w:spacing w:after="499" w:line="1" w:lineRule="exact"/>
      </w:pPr>
    </w:p>
    <w:p>
      <w:pPr>
        <w:pStyle w:val="Style3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3</w:t>
      </w:r>
      <w:r>
        <w:rPr>
          <w:b/>
          <w:bCs/>
          <w:color w:val="000000"/>
          <w:spacing w:val="0"/>
          <w:w w:val="100"/>
          <w:position w:val="0"/>
        </w:rPr>
        <w:t>、汇率风险</w:t>
      </w:r>
    </w:p>
    <w:p>
      <w:pPr>
        <w:pStyle w:val="Style3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30"/>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公司尽可能将外币收入与外币支出相匹配以降低汇率风险。此外，公司还可能签署远期外汇合约或货币互换合约以达到 规避汇率风险的目的。于本期及上期，公司未签署任何远期外汇合约或货币互换合约。</w:t>
      </w:r>
    </w:p>
    <w:p>
      <w:pPr>
        <w:pStyle w:val="Style28"/>
        <w:keepNext/>
        <w:keepLines/>
        <w:widowControl w:val="0"/>
        <w:shd w:val="clear" w:color="auto" w:fill="auto"/>
        <w:bidi w:val="0"/>
        <w:spacing w:before="0" w:after="340" w:line="240" w:lineRule="auto"/>
        <w:ind w:left="0" w:right="0" w:firstLine="0"/>
        <w:jc w:val="left"/>
      </w:pPr>
      <w:bookmarkStart w:id="1444" w:name="bookmark1444"/>
      <w:bookmarkStart w:id="1445" w:name="bookmark1445"/>
      <w:bookmarkStart w:id="1446" w:name="bookmark1446"/>
      <w:r>
        <w:rPr>
          <w:color w:val="000000"/>
          <w:spacing w:val="0"/>
          <w:w w:val="100"/>
          <w:position w:val="0"/>
          <w:sz w:val="24"/>
          <w:szCs w:val="24"/>
        </w:rPr>
        <w:t>十^一、公允价值的披露</w:t>
      </w:r>
      <w:bookmarkEnd w:id="1444"/>
      <w:bookmarkEnd w:id="1445"/>
      <w:bookmarkEnd w:id="1446"/>
    </w:p>
    <w:p>
      <w:pPr>
        <w:pStyle w:val="Style35"/>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47"/>
      <w:bookmarkEnd w:id="1448"/>
      <w:bookmarkEnd w:id="14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274"/>
        <w:gridCol w:w="1939"/>
        <w:gridCol w:w="1973"/>
        <w:gridCol w:w="15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47,076,310.59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47,076,310.59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47,076,310.59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47,076,310.59</w:t>
            </w:r>
          </w:p>
        </w:tc>
      </w:tr>
    </w:tbl>
    <w:p>
      <w:pPr>
        <w:pStyle w:val="Style35"/>
        <w:keepNext/>
        <w:keepLines/>
        <w:widowControl w:val="0"/>
        <w:shd w:val="clear" w:color="auto" w:fill="auto"/>
        <w:tabs>
          <w:tab w:pos="378" w:val="left"/>
        </w:tabs>
        <w:bidi w:val="0"/>
        <w:spacing w:before="0" w:after="360" w:line="610" w:lineRule="exact"/>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color w:val="000000"/>
          <w:spacing w:val="0"/>
          <w:w w:val="100"/>
          <w:position w:val="0"/>
        </w:rPr>
        <w:t>、</w:t>
        <w:tab/>
        <w:t>持续和非持续第一层次公允价值计量项目市价的确定依据</w:t>
      </w:r>
      <w:bookmarkEnd w:id="1450"/>
      <w:bookmarkEnd w:id="1451"/>
      <w:bookmarkEnd w:id="145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相同资产或负债在活跃市场上</w:t>
      </w:r>
      <w:r>
        <w:rPr>
          <w:rFonts w:ascii="Times New Roman" w:eastAsia="Times New Roman" w:hAnsi="Times New Roman" w:cs="Times New Roman"/>
          <w:color w:val="000000"/>
          <w:spacing w:val="0"/>
          <w:w w:val="100"/>
          <w:position w:val="0"/>
        </w:rPr>
        <w:t>（</w:t>
      </w:r>
      <w:r>
        <w:rPr>
          <w:color w:val="000000"/>
          <w:spacing w:val="0"/>
          <w:w w:val="100"/>
          <w:position w:val="0"/>
        </w:rPr>
        <w:t>未经调整</w:t>
      </w:r>
      <w:r>
        <w:rPr>
          <w:rFonts w:ascii="Times New Roman" w:eastAsia="Times New Roman" w:hAnsi="Times New Roman" w:cs="Times New Roman"/>
          <w:color w:val="000000"/>
          <w:spacing w:val="0"/>
          <w:w w:val="100"/>
          <w:position w:val="0"/>
        </w:rPr>
        <w:t>）</w:t>
      </w:r>
      <w:r>
        <w:rPr>
          <w:color w:val="000000"/>
          <w:spacing w:val="0"/>
          <w:w w:val="100"/>
          <w:position w:val="0"/>
        </w:rPr>
        <w:t>的报价</w:t>
      </w:r>
    </w:p>
    <w:p>
      <w:pPr>
        <w:pStyle w:val="Style35"/>
        <w:keepNext/>
        <w:keepLines/>
        <w:widowControl w:val="0"/>
        <w:shd w:val="clear" w:color="auto" w:fill="auto"/>
        <w:tabs>
          <w:tab w:pos="378" w:val="left"/>
        </w:tabs>
        <w:bidi w:val="0"/>
        <w:spacing w:before="0" w:after="360" w:line="610" w:lineRule="exact"/>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3</w:t>
      </w:r>
      <w:bookmarkEnd w:id="1456"/>
      <w:r>
        <w:rPr>
          <w:color w:val="000000"/>
          <w:spacing w:val="0"/>
          <w:w w:val="100"/>
          <w:position w:val="0"/>
        </w:rPr>
        <w:t>、</w:t>
        <w:tab/>
        <w:t>持续和非持续第二层次公允价值计量项目，采用的估值技术和重要参数的定性及定量信息</w:t>
      </w:r>
      <w:bookmarkEnd w:id="1454"/>
      <w:bookmarkEnd w:id="1455"/>
      <w:bookmarkEnd w:id="145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直接</w:t>
      </w:r>
      <w:r>
        <w:rPr>
          <w:rFonts w:ascii="Times New Roman" w:eastAsia="Times New Roman" w:hAnsi="Times New Roman" w:cs="Times New Roman"/>
          <w:color w:val="000000"/>
          <w:spacing w:val="0"/>
          <w:w w:val="100"/>
          <w:position w:val="0"/>
        </w:rPr>
        <w:t>（</w:t>
      </w:r>
      <w:r>
        <w:rPr>
          <w:color w:val="000000"/>
          <w:spacing w:val="0"/>
          <w:w w:val="100"/>
          <w:position w:val="0"/>
        </w:rPr>
        <w:t>比如取自价格</w:t>
      </w:r>
      <w:r>
        <w:rPr>
          <w:rFonts w:ascii="Times New Roman" w:eastAsia="Times New Roman" w:hAnsi="Times New Roman" w:cs="Times New Roman"/>
          <w:color w:val="000000"/>
          <w:spacing w:val="0"/>
          <w:w w:val="100"/>
          <w:position w:val="0"/>
        </w:rPr>
        <w:t>）</w:t>
      </w:r>
      <w:r>
        <w:rPr>
          <w:color w:val="000000"/>
          <w:spacing w:val="0"/>
          <w:w w:val="100"/>
          <w:position w:val="0"/>
        </w:rPr>
        <w:t>或间接</w:t>
      </w:r>
      <w:r>
        <w:rPr>
          <w:rFonts w:ascii="Times New Roman" w:eastAsia="Times New Roman" w:hAnsi="Times New Roman" w:cs="Times New Roman"/>
          <w:color w:val="000000"/>
          <w:spacing w:val="0"/>
          <w:w w:val="100"/>
          <w:position w:val="0"/>
        </w:rPr>
        <w:t>（</w:t>
      </w:r>
      <w:r>
        <w:rPr>
          <w:color w:val="000000"/>
          <w:spacing w:val="0"/>
          <w:w w:val="100"/>
          <w:position w:val="0"/>
        </w:rPr>
        <w:t>比如根据价格推算的</w:t>
      </w:r>
      <w:r>
        <w:rPr>
          <w:rFonts w:ascii="Times New Roman" w:eastAsia="Times New Roman" w:hAnsi="Times New Roman" w:cs="Times New Roman"/>
          <w:color w:val="000000"/>
          <w:spacing w:val="0"/>
          <w:w w:val="100"/>
          <w:position w:val="0"/>
        </w:rPr>
        <w:t>）</w:t>
      </w:r>
      <w:r>
        <w:rPr>
          <w:color w:val="000000"/>
          <w:spacing w:val="0"/>
          <w:w w:val="100"/>
          <w:position w:val="0"/>
        </w:rPr>
        <w:t>可观察到的、除第一层级中的市场报价以外的资产或负债的输入值。</w:t>
      </w:r>
    </w:p>
    <w:p>
      <w:pPr>
        <w:pStyle w:val="Style35"/>
        <w:keepNext/>
        <w:keepLines/>
        <w:widowControl w:val="0"/>
        <w:shd w:val="clear" w:color="auto" w:fill="auto"/>
        <w:tabs>
          <w:tab w:pos="378" w:val="left"/>
        </w:tabs>
        <w:bidi w:val="0"/>
        <w:spacing w:before="0" w:after="360" w:line="610" w:lineRule="exact"/>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color w:val="000000"/>
          <w:spacing w:val="0"/>
          <w:w w:val="100"/>
          <w:position w:val="0"/>
        </w:rPr>
        <w:t>、</w:t>
        <w:tab/>
        <w:t>持续和非持续第三层次公允价值计量项目，采用的估值技术和重要参数的定性及定量信息</w:t>
      </w:r>
      <w:bookmarkEnd w:id="1458"/>
      <w:bookmarkEnd w:id="1459"/>
      <w:bookmarkEnd w:id="146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公司对持续第三层次公允价值计量项目采用可比上市公司比较法。可比上市公司比较法的不可观察输入值为流动性折扣。</w:t>
      </w:r>
    </w:p>
    <w:p>
      <w:pPr>
        <w:pStyle w:val="Style35"/>
        <w:keepNext/>
        <w:keepLines/>
        <w:widowControl w:val="0"/>
        <w:shd w:val="clear" w:color="auto" w:fill="auto"/>
        <w:tabs>
          <w:tab w:pos="378" w:val="left"/>
        </w:tabs>
        <w:bidi w:val="0"/>
        <w:spacing w:before="0" w:after="0" w:line="610" w:lineRule="exact"/>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shd w:val="clear" w:color="auto" w:fill="FFFFFF"/>
        </w:rPr>
        <w:t>5</w:t>
      </w:r>
      <w:bookmarkEnd w:id="1464"/>
      <w:r>
        <w:rPr>
          <w:color w:val="000000"/>
          <w:spacing w:val="0"/>
          <w:w w:val="100"/>
          <w:position w:val="0"/>
          <w:shd w:val="clear" w:color="auto" w:fill="FFFFFF"/>
        </w:rPr>
        <w:t>、</w:t>
        <w:tab/>
        <w:t>持续的第三层次公允价值计量项目，期初与期末账面价值间的调节信息及不可观察参数敏感性分析</w:t>
      </w:r>
      <w:bookmarkEnd w:id="1462"/>
      <w:bookmarkEnd w:id="1463"/>
      <w:bookmarkEnd w:id="1465"/>
    </w:p>
    <w:p>
      <w:pPr>
        <w:pStyle w:val="Style30"/>
        <w:keepNext w:val="0"/>
        <w:keepLines w:val="0"/>
        <w:widowControl w:val="0"/>
        <w:shd w:val="clear" w:color="auto" w:fill="auto"/>
        <w:tabs>
          <w:tab w:pos="322" w:val="left"/>
        </w:tabs>
        <w:bidi w:val="0"/>
        <w:spacing w:before="0" w:after="360" w:line="610" w:lineRule="exact"/>
        <w:ind w:left="0" w:right="0" w:firstLine="0"/>
        <w:jc w:val="left"/>
      </w:pPr>
      <w:bookmarkStart w:id="1466" w:name="bookmark1466"/>
      <w:r>
        <w:rPr>
          <w:color w:val="000000"/>
          <w:spacing w:val="0"/>
          <w:w w:val="100"/>
          <w:position w:val="0"/>
        </w:rPr>
        <w:t>公司本期无出现该项情况。</w:t>
      </w:r>
      <w:bookmarkEnd w:id="1466"/>
    </w:p>
    <w:p>
      <w:pPr>
        <w:pStyle w:val="Style35"/>
        <w:keepNext/>
        <w:keepLines/>
        <w:widowControl w:val="0"/>
        <w:shd w:val="clear" w:color="auto" w:fill="auto"/>
        <w:tabs>
          <w:tab w:pos="378" w:val="left"/>
        </w:tabs>
        <w:bidi w:val="0"/>
        <w:spacing w:before="0" w:after="360" w:line="610" w:lineRule="exact"/>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6</w:t>
      </w:r>
      <w:bookmarkEnd w:id="1469"/>
      <w:r>
        <w:rPr>
          <w:color w:val="000000"/>
          <w:spacing w:val="0"/>
          <w:w w:val="100"/>
          <w:position w:val="0"/>
        </w:rPr>
        <w:t>、</w:t>
        <w:tab/>
        <w:t>持续的公允价值计量项目，本期内发生各层级之间转换的，转换的原因及确定转换时点的政策</w:t>
      </w:r>
      <w:bookmarkEnd w:id="1467"/>
      <w:bookmarkEnd w:id="1468"/>
      <w:bookmarkEnd w:id="147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公司持续的公允价值计量项目本期内无发生各层级之间转换。</w:t>
      </w:r>
    </w:p>
    <w:p>
      <w:pPr>
        <w:pStyle w:val="Style35"/>
        <w:keepNext/>
        <w:keepLines/>
        <w:widowControl w:val="0"/>
        <w:shd w:val="clear" w:color="auto" w:fill="auto"/>
        <w:tabs>
          <w:tab w:pos="378" w:val="left"/>
        </w:tabs>
        <w:bidi w:val="0"/>
        <w:spacing w:before="0" w:after="360" w:line="610" w:lineRule="exact"/>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7</w:t>
      </w:r>
      <w:bookmarkEnd w:id="1473"/>
      <w:r>
        <w:rPr>
          <w:color w:val="000000"/>
          <w:spacing w:val="0"/>
          <w:w w:val="100"/>
          <w:position w:val="0"/>
        </w:rPr>
        <w:t>、</w:t>
        <w:tab/>
        <w:t>本期内发生的估值技术变更及变更原因</w:t>
      </w:r>
      <w:bookmarkEnd w:id="1471"/>
      <w:bookmarkEnd w:id="1472"/>
      <w:bookmarkEnd w:id="1474"/>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公司持续的公允价值计量项目本期内无发生估值技术变更。</w:t>
      </w:r>
    </w:p>
    <w:p>
      <w:pPr>
        <w:pStyle w:val="Style35"/>
        <w:keepNext/>
        <w:keepLines/>
        <w:widowControl w:val="0"/>
        <w:shd w:val="clear" w:color="auto" w:fill="auto"/>
        <w:tabs>
          <w:tab w:pos="378" w:val="left"/>
        </w:tabs>
        <w:bidi w:val="0"/>
        <w:spacing w:before="0" w:after="360" w:line="610" w:lineRule="exact"/>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8</w:t>
      </w:r>
      <w:bookmarkEnd w:id="1477"/>
      <w:r>
        <w:rPr>
          <w:color w:val="000000"/>
          <w:spacing w:val="0"/>
          <w:w w:val="100"/>
          <w:position w:val="0"/>
        </w:rPr>
        <w:t>、</w:t>
        <w:tab/>
        <w:t>不以公允价值计量的金融资产和金融负债的公允价值情况</w:t>
      </w:r>
      <w:bookmarkEnd w:id="1475"/>
      <w:bookmarkEnd w:id="1476"/>
      <w:bookmarkEnd w:id="1478"/>
    </w:p>
    <w:p>
      <w:pPr>
        <w:pStyle w:val="Style30"/>
        <w:keepNext w:val="0"/>
        <w:keepLines w:val="0"/>
        <w:widowControl w:val="0"/>
        <w:shd w:val="clear" w:color="auto" w:fill="auto"/>
        <w:bidi w:val="0"/>
        <w:spacing w:before="0" w:after="660" w:line="240" w:lineRule="auto"/>
        <w:ind w:left="0" w:right="0" w:firstLine="0"/>
        <w:jc w:val="left"/>
      </w:pPr>
      <w:r>
        <w:rPr>
          <w:color w:val="000000"/>
          <w:spacing w:val="0"/>
          <w:w w:val="100"/>
          <w:position w:val="0"/>
        </w:rPr>
        <w:t>公司以摊余成本计量的金融资产和金融负债主要包括：应收款项、其他应收款及应付款项等。</w:t>
      </w:r>
    </w:p>
    <w:p>
      <w:pPr>
        <w:pStyle w:val="Style28"/>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1" w:name="bookmark1481"/>
      <w:r>
        <w:rPr>
          <w:color w:val="000000"/>
          <w:spacing w:val="0"/>
          <w:w w:val="100"/>
          <w:position w:val="0"/>
          <w:sz w:val="24"/>
          <w:szCs w:val="24"/>
        </w:rPr>
        <w:t>十二、关联方及关联交易</w:t>
      </w:r>
      <w:bookmarkEnd w:id="1479"/>
      <w:bookmarkEnd w:id="1480"/>
      <w:bookmarkEnd w:id="1481"/>
    </w:p>
    <w:p>
      <w:pPr>
        <w:pStyle w:val="Style35"/>
        <w:keepNext/>
        <w:keepLines/>
        <w:widowControl w:val="0"/>
        <w:shd w:val="clear" w:color="auto" w:fill="auto"/>
        <w:bidi w:val="0"/>
        <w:spacing w:before="0" w:after="36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82"/>
      <w:bookmarkEnd w:id="1483"/>
      <w:bookmarkEnd w:id="1484"/>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益群集团控股有限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HKD1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w:t>
            </w:r>
          </w:p>
        </w:tc>
      </w:tr>
    </w:tbl>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公司的实际控制人为周志群。周志群持有益群集团控股有限公司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的股权。法人股东益群集团控股有限公司持有公司</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6,928.05</w:t>
      </w:r>
      <w:r>
        <w:rPr>
          <w:color w:val="000000"/>
          <w:spacing w:val="0"/>
          <w:w w:val="100"/>
          <w:position w:val="0"/>
        </w:rPr>
        <w:t>万股股份，占总股本的</w:t>
      </w:r>
      <w:r>
        <w:rPr>
          <w:rFonts w:ascii="Times New Roman" w:eastAsia="Times New Roman" w:hAnsi="Times New Roman" w:cs="Times New Roman"/>
          <w:color w:val="000000"/>
          <w:spacing w:val="0"/>
          <w:w w:val="100"/>
          <w:position w:val="0"/>
        </w:rPr>
        <w:t>24.45%</w:t>
      </w:r>
      <w:r>
        <w:rPr>
          <w:color w:val="000000"/>
          <w:spacing w:val="0"/>
          <w:w w:val="100"/>
          <w:position w:val="0"/>
        </w:rPr>
        <w:t>,为公司的第一大股东。</w:t>
      </w:r>
      <w:r>
        <w:br w:type="page"/>
      </w:r>
    </w:p>
    <w:p>
      <w:pPr>
        <w:pStyle w:val="Style35"/>
        <w:keepNext/>
        <w:keepLines/>
        <w:widowControl w:val="0"/>
        <w:shd w:val="clear" w:color="auto" w:fill="auto"/>
        <w:tabs>
          <w:tab w:pos="378" w:val="left"/>
        </w:tabs>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bookmarkEnd w:id="1487"/>
      <w:r>
        <w:rPr>
          <w:color w:val="000000"/>
          <w:spacing w:val="0"/>
          <w:w w:val="100"/>
          <w:position w:val="0"/>
        </w:rPr>
        <w:t>、</w:t>
        <w:tab/>
        <w:t>本企业的子公司情况</w:t>
      </w:r>
      <w:bookmarkEnd w:id="1485"/>
      <w:bookmarkEnd w:id="1486"/>
      <w:bookmarkEnd w:id="148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color w:val="000000"/>
          <w:spacing w:val="0"/>
          <w:w w:val="100"/>
          <w:position w:val="0"/>
        </w:rPr>
        <w:t>、</w:t>
        <w:tab/>
        <w:t>本企业合营和联营企业情况</w:t>
      </w:r>
      <w:bookmarkEnd w:id="1489"/>
      <w:bookmarkEnd w:id="1490"/>
      <w:bookmarkEnd w:id="149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公司合营和联营企业情况详见附注九、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color w:val="000000"/>
          <w:spacing w:val="0"/>
          <w:w w:val="100"/>
          <w:position w:val="0"/>
        </w:rPr>
        <w:t>、</w:t>
        <w:tab/>
        <w:t>其他关联方情况</w:t>
      </w:r>
      <w:bookmarkEnd w:id="1493"/>
      <w:bookmarkEnd w:id="1494"/>
      <w:bookmarkEnd w:id="149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SYSTEX SOLUTIONS(HK)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公司股东、实际控制人控股的企业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精诚精诠信息科技有限公司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精诚恒逸软件有限公司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精诚胜龙信息系统有限公司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德龙动能科技（深圳）有限公司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精璞投资股份有限公司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金桥资讯股份有限公司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精聚资讯股份有限公司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精诚软体服务股份有限公司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康和资讯系统股份有限公司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精诚随想行动科技股份有限公司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精诚科技整合股份有限公司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嘉利科技股份有限公司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知意图股份有限公司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台湾计算机服务股份有限公司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内秋应智能科技股份有限公司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Kimo.com</w:t>
            </w:r>
            <w:r>
              <w:rPr>
                <w:rFonts w:ascii="Times New Roman" w:eastAsia="Times New Roman" w:hAnsi="Times New Roman" w:cs="Times New Roman"/>
                <w:color w:val="000000"/>
                <w:spacing w:val="0"/>
                <w:w w:val="100"/>
                <w:position w:val="0"/>
              </w:rPr>
              <w:t xml:space="preserve"> (BVI) Corporation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Systex Capital Group,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Sysware Singapore Pte. Ltd.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精联资讯股份有限公司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精智资讯科技股份有限公司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精睿资讯科技股份有限公司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石河子市信方精科股权投资合伙企业（有限合伙）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精业科技（天津）有限公司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瑞宝资讯科技</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精诚瑞宝计算机系统有限公司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公司董事、监事兼任董事、高级管理人员的企业</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color w:val="000000"/>
          <w:spacing w:val="0"/>
          <w:w w:val="100"/>
          <w:position w:val="0"/>
        </w:rPr>
        <w:t>、关联交易情况</w:t>
      </w:r>
      <w:bookmarkEnd w:id="1497"/>
      <w:bookmarkEnd w:id="1498"/>
      <w:bookmarkEnd w:id="1500"/>
    </w:p>
    <w:p>
      <w:pPr>
        <w:pStyle w:val="Style40"/>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1"/>
      <w:bookmarkEnd w:id="1502"/>
      <w:bookmarkEnd w:id="1503"/>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精诚（中国）企业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软件及技术培训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255,434.29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精诚瑞宝计算机系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软件及技术培训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76,415.09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202,962.12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95,462.64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458,396.41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北京优智汇咨询有限公司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554,847.10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精诚资讯股份有限公司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184,958.68</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739,805.78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504"/>
      <w:bookmarkEnd w:id="1505"/>
      <w:bookmarkEnd w:id="15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404.24</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373.32</w:t>
            </w:r>
            <w:r>
              <w:rPr>
                <w:color w:val="000000"/>
                <w:spacing w:val="0"/>
                <w:w w:val="100"/>
                <w:position w:val="0"/>
              </w:rPr>
              <w:t>万元</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507" w:name="bookmark1507"/>
      <w:bookmarkStart w:id="1508" w:name="bookmark1508"/>
      <w:bookmarkStart w:id="1509" w:name="bookmark1509"/>
      <w:r>
        <w:rPr>
          <w:color w:val="000000"/>
          <w:spacing w:val="0"/>
          <w:w w:val="100"/>
          <w:position w:val="0"/>
          <w:sz w:val="24"/>
          <w:szCs w:val="24"/>
        </w:rPr>
        <w:t>十三、股份支付</w:t>
      </w:r>
      <w:bookmarkEnd w:id="1507"/>
      <w:bookmarkEnd w:id="1508"/>
      <w:bookmarkEnd w:id="1509"/>
    </w:p>
    <w:p>
      <w:pPr>
        <w:pStyle w:val="Style35"/>
        <w:keepNext/>
        <w:keepLines/>
        <w:widowControl w:val="0"/>
        <w:shd w:val="clear" w:color="auto" w:fill="auto"/>
        <w:bidi w:val="0"/>
        <w:spacing w:before="0" w:after="36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10"/>
      <w:bookmarkEnd w:id="1511"/>
      <w:bookmarkEnd w:id="1512"/>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30"/>
        <w:keepNext w:val="0"/>
        <w:keepLines w:val="0"/>
        <w:widowControl w:val="0"/>
        <w:shd w:val="clear" w:color="auto" w:fill="auto"/>
        <w:bidi w:val="0"/>
        <w:spacing w:before="0" w:after="720" w:line="31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日，根据第三届董事会第十六次会议决议通过的《关于回购注销部分已授予限制性股票的议案》，鉴于 公司</w:t>
      </w:r>
      <w:r>
        <w:rPr>
          <w:rFonts w:ascii="Times New Roman" w:eastAsia="Times New Roman" w:hAnsi="Times New Roman" w:cs="Times New Roman"/>
          <w:color w:val="000000"/>
          <w:spacing w:val="0"/>
          <w:w w:val="100"/>
          <w:position w:val="0"/>
        </w:rPr>
        <w:t>2016</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年限制性股票激励计划部分激励对象已离职，根据《深圳四方精创资讯股份有限公司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 票激励计划（草案）》及《深圳四方精创资讯股份有限公司</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年限制性股票激励计划（草案）》，离职的激励对象已不 具备激励对象资格，其中</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年限制性股票激励计划需回购注销的限制性股票数量为</w:t>
      </w:r>
      <w:r>
        <w:rPr>
          <w:rFonts w:ascii="Times New Roman" w:eastAsia="Times New Roman" w:hAnsi="Times New Roman" w:cs="Times New Roman"/>
          <w:color w:val="000000"/>
          <w:spacing w:val="0"/>
          <w:w w:val="100"/>
          <w:position w:val="0"/>
        </w:rPr>
        <w:t>41,916</w:t>
      </w:r>
      <w:r>
        <w:rPr>
          <w:color w:val="000000"/>
          <w:spacing w:val="0"/>
          <w:w w:val="100"/>
          <w:position w:val="0"/>
        </w:rPr>
        <w:t>股，回购价格为人民币</w:t>
      </w:r>
      <w:r>
        <w:rPr>
          <w:rFonts w:ascii="Times New Roman" w:eastAsia="Times New Roman" w:hAnsi="Times New Roman" w:cs="Times New Roman"/>
          <w:color w:val="000000"/>
          <w:spacing w:val="0"/>
          <w:w w:val="100"/>
          <w:position w:val="0"/>
        </w:rPr>
        <w:t xml:space="preserve">16.0510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2017</w:t>
      </w:r>
      <w:r>
        <w:rPr>
          <w:color w:val="000000"/>
          <w:spacing w:val="0"/>
          <w:w w:val="100"/>
          <w:position w:val="0"/>
        </w:rPr>
        <w:t>年限制性股票激励计划需回购注销的限制性股票数量为</w:t>
      </w:r>
      <w:r>
        <w:rPr>
          <w:rFonts w:ascii="Times New Roman" w:eastAsia="Times New Roman" w:hAnsi="Times New Roman" w:cs="Times New Roman"/>
          <w:color w:val="000000"/>
          <w:spacing w:val="0"/>
          <w:w w:val="100"/>
          <w:position w:val="0"/>
        </w:rPr>
        <w:t>111,414</w:t>
      </w:r>
      <w:r>
        <w:rPr>
          <w:color w:val="000000"/>
          <w:spacing w:val="0"/>
          <w:w w:val="100"/>
          <w:position w:val="0"/>
        </w:rPr>
        <w:t>股，回购价格为人民币</w:t>
      </w:r>
      <w:r>
        <w:rPr>
          <w:rFonts w:ascii="Times New Roman" w:eastAsia="Times New Roman" w:hAnsi="Times New Roman" w:cs="Times New Roman"/>
          <w:color w:val="000000"/>
          <w:spacing w:val="0"/>
          <w:w w:val="100"/>
          <w:position w:val="0"/>
        </w:rPr>
        <w:t>11.8077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5"/>
        <w:keepNext/>
        <w:keepLines/>
        <w:widowControl w:val="0"/>
        <w:shd w:val="clear" w:color="auto" w:fill="auto"/>
        <w:bidi w:val="0"/>
        <w:spacing w:before="0" w:after="300" w:line="240" w:lineRule="auto"/>
        <w:ind w:left="0" w:right="0" w:firstLine="0"/>
        <w:jc w:val="both"/>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13"/>
      <w:bookmarkEnd w:id="1514"/>
      <w:bookmarkEnd w:id="1515"/>
    </w:p>
    <w:p>
      <w:pPr>
        <w:pStyle w:val="Style30"/>
        <w:keepNext w:val="0"/>
        <w:keepLines w:val="0"/>
        <w:widowControl w:val="0"/>
        <w:shd w:val="clear" w:color="auto" w:fill="auto"/>
        <w:bidi w:val="0"/>
        <w:spacing w:before="0" w:after="120" w:line="31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布莱克一斯科尔模型来计算期权的理论价值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公司根据在职激励对象对应的权益工具以及对未来年度公 司业绩的预测进行确定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31,904,483.68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815,703.26</w:t>
            </w:r>
          </w:p>
        </w:tc>
      </w:tr>
    </w:tbl>
    <w:p>
      <w:pPr>
        <w:widowControl w:val="0"/>
        <w:spacing w:after="299" w:line="1" w:lineRule="exact"/>
      </w:pPr>
    </w:p>
    <w:p>
      <w:pPr>
        <w:pStyle w:val="Style35"/>
        <w:keepNext/>
        <w:keepLines/>
        <w:widowControl w:val="0"/>
        <w:shd w:val="clear" w:color="auto" w:fill="auto"/>
        <w:tabs>
          <w:tab w:pos="378" w:val="left"/>
        </w:tabs>
        <w:bidi w:val="0"/>
        <w:spacing w:before="0" w:after="36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color w:val="000000"/>
          <w:spacing w:val="0"/>
          <w:w w:val="100"/>
          <w:position w:val="0"/>
        </w:rPr>
        <w:t>、</w:t>
        <w:tab/>
        <w:t>以现金结算的股份支付情况</w:t>
      </w:r>
      <w:bookmarkEnd w:id="1516"/>
      <w:bookmarkEnd w:id="1517"/>
      <w:bookmarkEnd w:id="151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color w:val="000000"/>
          <w:spacing w:val="0"/>
          <w:w w:val="100"/>
          <w:position w:val="0"/>
        </w:rPr>
        <w:t>、</w:t>
        <w:tab/>
        <w:t>股份支付的修改、终止情况</w:t>
      </w:r>
      <w:bookmarkEnd w:id="1520"/>
      <w:bookmarkEnd w:id="1521"/>
      <w:bookmarkEnd w:id="1523"/>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报告期内股份支付无发生修改及终止情况。</w:t>
      </w:r>
    </w:p>
    <w:p>
      <w:pPr>
        <w:pStyle w:val="Style28"/>
        <w:keepNext/>
        <w:keepLines/>
        <w:widowControl w:val="0"/>
        <w:shd w:val="clear" w:color="auto" w:fill="auto"/>
        <w:bidi w:val="0"/>
        <w:spacing w:before="0" w:after="360" w:line="240" w:lineRule="auto"/>
        <w:ind w:left="0" w:right="0" w:firstLine="0"/>
        <w:jc w:val="both"/>
      </w:pPr>
      <w:bookmarkStart w:id="1524" w:name="bookmark1524"/>
      <w:bookmarkStart w:id="1525" w:name="bookmark1525"/>
      <w:bookmarkStart w:id="1526" w:name="bookmark1526"/>
      <w:r>
        <w:rPr>
          <w:color w:val="000000"/>
          <w:spacing w:val="0"/>
          <w:w w:val="100"/>
          <w:position w:val="0"/>
          <w:sz w:val="24"/>
          <w:szCs w:val="24"/>
        </w:rPr>
        <w:t>十四、承诺及或有事项</w:t>
      </w:r>
      <w:bookmarkEnd w:id="1524"/>
      <w:bookmarkEnd w:id="1525"/>
      <w:bookmarkEnd w:id="1526"/>
    </w:p>
    <w:p>
      <w:pPr>
        <w:pStyle w:val="Style35"/>
        <w:keepNext/>
        <w:keepLines/>
        <w:widowControl w:val="0"/>
        <w:shd w:val="clear" w:color="auto" w:fill="auto"/>
        <w:bidi w:val="0"/>
        <w:spacing w:before="0" w:after="360" w:line="240" w:lineRule="auto"/>
        <w:ind w:left="0" w:right="0" w:firstLine="0"/>
        <w:jc w:val="both"/>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27"/>
      <w:bookmarkEnd w:id="1528"/>
      <w:bookmarkEnd w:id="1529"/>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经营租赁承担</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根据不可撤销的有关房屋经营租赁协议，报告期以后应支付的最低租赁付款额如下:</w:t>
      </w:r>
    </w:p>
    <w:tbl>
      <w:tblPr>
        <w:tblOverlap w:val="never"/>
        <w:jc w:val="center"/>
        <w:tblLayout w:type="fixed"/>
      </w:tblPr>
      <w:tblGrid>
        <w:gridCol w:w="4565"/>
        <w:gridCol w:w="4699"/>
      </w:tblGrid>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r>
    </w:tbl>
    <w:p>
      <w:pPr>
        <w:widowControl w:val="0"/>
        <w:spacing w:line="1" w:lineRule="exact"/>
      </w:pPr>
    </w:p>
    <w:tbl>
      <w:tblPr>
        <w:tblOverlap w:val="never"/>
        <w:jc w:val="center"/>
        <w:tblLayout w:type="fixed"/>
      </w:tblPr>
      <w:tblGrid>
        <w:gridCol w:w="4565"/>
        <w:gridCol w:w="469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13,529,474.82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7,330,228.34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4,278,748.53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25,138,451.68</w:t>
            </w:r>
          </w:p>
        </w:tc>
      </w:tr>
    </w:tbl>
    <w:p>
      <w:pPr>
        <w:widowControl w:val="0"/>
        <w:spacing w:after="619" w:line="1" w:lineRule="exact"/>
      </w:pPr>
    </w:p>
    <w:p>
      <w:pPr>
        <w:pStyle w:val="Style35"/>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30"/>
      <w:bookmarkEnd w:id="1531"/>
      <w:bookmarkEnd w:id="1532"/>
    </w:p>
    <w:p>
      <w:pPr>
        <w:pStyle w:val="Style40"/>
        <w:keepNext/>
        <w:keepLines/>
        <w:widowControl w:val="0"/>
        <w:shd w:val="clear" w:color="auto" w:fill="auto"/>
        <w:tabs>
          <w:tab w:pos="493" w:val="left"/>
        </w:tabs>
        <w:bidi w:val="0"/>
        <w:spacing w:before="0" w:after="34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33"/>
      <w:bookmarkEnd w:id="1534"/>
      <w:bookmarkEnd w:id="1536"/>
    </w:p>
    <w:p>
      <w:pPr>
        <w:pStyle w:val="Style30"/>
        <w:keepNext w:val="0"/>
        <w:keepLines w:val="0"/>
        <w:widowControl w:val="0"/>
        <w:shd w:val="clear" w:color="auto" w:fill="auto"/>
        <w:bidi w:val="0"/>
        <w:spacing w:before="0" w:after="680" w:line="240" w:lineRule="auto"/>
        <w:ind w:left="0" w:right="0" w:firstLine="260"/>
        <w:jc w:val="both"/>
      </w:pPr>
      <w:r>
        <w:rPr>
          <w:color w:val="000000"/>
          <w:spacing w:val="0"/>
          <w:w w:val="100"/>
          <w:position w:val="0"/>
        </w:rPr>
        <w:t>截至报告日，公司不存在应披露的或有事项。</w:t>
      </w:r>
    </w:p>
    <w:p>
      <w:pPr>
        <w:pStyle w:val="Style40"/>
        <w:keepNext/>
        <w:keepLines/>
        <w:widowControl w:val="0"/>
        <w:shd w:val="clear" w:color="auto" w:fill="auto"/>
        <w:tabs>
          <w:tab w:pos="493" w:val="left"/>
        </w:tabs>
        <w:bidi w:val="0"/>
        <w:spacing w:before="0" w:after="34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37"/>
      <w:bookmarkEnd w:id="1538"/>
      <w:bookmarkEnd w:id="1540"/>
    </w:p>
    <w:p>
      <w:pPr>
        <w:pStyle w:val="Style30"/>
        <w:keepNext w:val="0"/>
        <w:keepLines w:val="0"/>
        <w:widowControl w:val="0"/>
        <w:shd w:val="clear" w:color="auto" w:fill="auto"/>
        <w:bidi w:val="0"/>
        <w:spacing w:before="0" w:after="340" w:line="240" w:lineRule="auto"/>
        <w:ind w:left="0" w:right="0" w:firstLine="260"/>
        <w:jc w:val="both"/>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40" w:line="240" w:lineRule="auto"/>
        <w:ind w:left="0" w:right="0" w:firstLine="0"/>
        <w:jc w:val="left"/>
      </w:pPr>
      <w:bookmarkStart w:id="1541" w:name="bookmark1541"/>
      <w:bookmarkStart w:id="1542" w:name="bookmark1542"/>
      <w:bookmarkStart w:id="1543" w:name="bookmark1543"/>
      <w:r>
        <w:rPr>
          <w:color w:val="000000"/>
          <w:spacing w:val="0"/>
          <w:w w:val="100"/>
          <w:position w:val="0"/>
          <w:sz w:val="24"/>
          <w:szCs w:val="24"/>
        </w:rPr>
        <w:t>十五、资产负债表日后事项</w:t>
      </w:r>
      <w:bookmarkEnd w:id="1541"/>
      <w:bookmarkEnd w:id="1542"/>
      <w:bookmarkEnd w:id="1543"/>
    </w:p>
    <w:p>
      <w:pPr>
        <w:pStyle w:val="Style35"/>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44"/>
      <w:bookmarkEnd w:id="1545"/>
      <w:bookmarkEnd w:id="154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28,329,905.50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28,329,905.50</w:t>
            </w:r>
          </w:p>
        </w:tc>
      </w:tr>
    </w:tbl>
    <w:p>
      <w:pPr>
        <w:widowControl w:val="0"/>
        <w:spacing w:after="339" w:line="1" w:lineRule="exact"/>
      </w:pPr>
    </w:p>
    <w:p>
      <w:pPr>
        <w:pStyle w:val="Style30"/>
        <w:keepNext w:val="0"/>
        <w:keepLines w:val="0"/>
        <w:widowControl w:val="0"/>
        <w:shd w:val="clear" w:color="auto" w:fill="auto"/>
        <w:bidi w:val="0"/>
        <w:spacing w:before="0" w:after="960" w:line="317"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号第四届董事会第二次会议通过的《关于审议</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283,299,055.00</w:t>
      </w:r>
      <w:r>
        <w:rPr>
          <w:color w:val="000000"/>
          <w:spacing w:val="0"/>
          <w:w w:val="100"/>
          <w:position w:val="0"/>
        </w:rPr>
        <w:t>股为基数</w:t>
      </w:r>
      <w:r>
        <w:rPr>
          <w:rFonts w:ascii="Times New Roman" w:eastAsia="Times New Roman" w:hAnsi="Times New Roman" w:cs="Times New Roman"/>
          <w:color w:val="000000"/>
          <w:spacing w:val="0"/>
          <w:w w:val="100"/>
          <w:position w:val="0"/>
        </w:rPr>
        <w:t>,</w:t>
      </w:r>
      <w:r>
        <w:rPr>
          <w:color w:val="000000"/>
          <w:spacing w:val="0"/>
          <w:w w:val="100"/>
          <w:position w:val="0"/>
        </w:rPr>
        <w:t>拟向全体股东分配共计现金人民币</w:t>
      </w:r>
      <w:r>
        <w:rPr>
          <w:rFonts w:ascii="Times New Roman" w:eastAsia="Times New Roman" w:hAnsi="Times New Roman" w:cs="Times New Roman"/>
          <w:color w:val="000000"/>
          <w:spacing w:val="0"/>
          <w:w w:val="100"/>
          <w:position w:val="0"/>
        </w:rPr>
        <w:t>28,329,905.50</w:t>
      </w:r>
      <w:r>
        <w:rPr>
          <w:color w:val="000000"/>
          <w:spacing w:val="0"/>
          <w:w w:val="100"/>
          <w:position w:val="0"/>
        </w:rPr>
        <w:t>元，即每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元人民币</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。本次利润分配不转增不送红股，剩余未分配利润结转入下一年度。（以上净利润额、可分配利润额以及利 润分配后剩余未分配利润额以最终经审计数据为准。</w:t>
      </w:r>
    </w:p>
    <w:p>
      <w:pPr>
        <w:pStyle w:val="Style35"/>
        <w:keepNext/>
        <w:keepLines/>
        <w:widowControl w:val="0"/>
        <w:shd w:val="clear" w:color="auto" w:fill="auto"/>
        <w:bidi w:val="0"/>
        <w:spacing w:before="0" w:after="28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47"/>
      <w:bookmarkEnd w:id="1548"/>
      <w:bookmarkEnd w:id="1549"/>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向特定对象发行股票获中国证券监督管理委员会批复同意</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日，根据</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年第二次临时股东大会决议通过的《关于公司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年度向特定对象发行股票方案的议案》， 公司拟向不超过</w:t>
      </w:r>
      <w:r>
        <w:rPr>
          <w:rFonts w:ascii="Times New Roman" w:eastAsia="Times New Roman" w:hAnsi="Times New Roman" w:cs="Times New Roman"/>
          <w:color w:val="000000"/>
          <w:spacing w:val="0"/>
          <w:w w:val="100"/>
          <w:position w:val="0"/>
        </w:rPr>
        <w:t>35</w:t>
      </w:r>
      <w:r>
        <w:rPr>
          <w:color w:val="000000"/>
          <w:spacing w:val="0"/>
          <w:w w:val="100"/>
          <w:position w:val="0"/>
        </w:rPr>
        <w:t>名符合中国证监会规定的特定对象发行股票，募集资金总额不超过</w:t>
      </w:r>
      <w:r>
        <w:rPr>
          <w:rFonts w:ascii="Times New Roman" w:eastAsia="Times New Roman" w:hAnsi="Times New Roman" w:cs="Times New Roman"/>
          <w:color w:val="000000"/>
          <w:spacing w:val="0"/>
          <w:w w:val="100"/>
          <w:position w:val="0"/>
        </w:rPr>
        <w:t>100,000</w:t>
      </w:r>
      <w:r>
        <w:rPr>
          <w:color w:val="000000"/>
          <w:spacing w:val="0"/>
          <w:w w:val="100"/>
          <w:position w:val="0"/>
        </w:rPr>
        <w:t>万元（含本数）。</w:t>
      </w:r>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日通过深圳证券交易所上市审核中心审核。</w:t>
      </w:r>
    </w:p>
    <w:p>
      <w:pPr>
        <w:pStyle w:val="Style30"/>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日，中国证券监督管理委员会下发《关于同意深圳四方精创资讯股份有限公司向特定对象发行股票注册的批 复》（证监许可</w:t>
      </w:r>
      <w:r>
        <w:rPr>
          <w:rFonts w:ascii="Times New Roman" w:eastAsia="Times New Roman" w:hAnsi="Times New Roman" w:cs="Times New Roman"/>
          <w:color w:val="000000"/>
          <w:spacing w:val="0"/>
          <w:w w:val="100"/>
          <w:position w:val="0"/>
        </w:rPr>
        <w:t>[2021]882</w:t>
      </w:r>
      <w:r>
        <w:rPr>
          <w:color w:val="000000"/>
          <w:spacing w:val="0"/>
          <w:w w:val="100"/>
          <w:position w:val="0"/>
        </w:rPr>
        <w:t>号），同意公司向特定对象发行股票的注册申请，公司可在批复同意注册之日起</w:t>
      </w:r>
      <w:r>
        <w:rPr>
          <w:rFonts w:ascii="Times New Roman" w:eastAsia="Times New Roman" w:hAnsi="Times New Roman" w:cs="Times New Roman"/>
          <w:color w:val="000000"/>
          <w:spacing w:val="0"/>
          <w:w w:val="100"/>
          <w:position w:val="0"/>
        </w:rPr>
        <w:t>12</w:t>
      </w:r>
      <w:r>
        <w:rPr>
          <w:color w:val="000000"/>
          <w:spacing w:val="0"/>
          <w:w w:val="100"/>
          <w:position w:val="0"/>
        </w:rPr>
        <w:t>个月内完成股 票发行注册的工作。截止报告日，公司尚未完成股票发行注册工作。</w:t>
      </w:r>
    </w:p>
    <w:p>
      <w:pPr>
        <w:pStyle w:val="Style28"/>
        <w:keepNext/>
        <w:keepLines/>
        <w:widowControl w:val="0"/>
        <w:shd w:val="clear" w:color="auto" w:fill="auto"/>
        <w:bidi w:val="0"/>
        <w:spacing w:before="0" w:after="320" w:line="240" w:lineRule="auto"/>
        <w:ind w:left="0" w:right="0" w:firstLine="0"/>
        <w:jc w:val="left"/>
      </w:pPr>
      <w:bookmarkStart w:id="1550" w:name="bookmark1550"/>
      <w:bookmarkStart w:id="1551" w:name="bookmark1551"/>
      <w:bookmarkStart w:id="1552" w:name="bookmark1552"/>
      <w:r>
        <w:rPr>
          <w:color w:val="000000"/>
          <w:spacing w:val="0"/>
          <w:w w:val="100"/>
          <w:position w:val="0"/>
          <w:sz w:val="24"/>
          <w:szCs w:val="24"/>
        </w:rPr>
        <w:t>十六、其他重要事项</w:t>
      </w:r>
      <w:bookmarkEnd w:id="1550"/>
      <w:bookmarkEnd w:id="1551"/>
      <w:bookmarkEnd w:id="1552"/>
    </w:p>
    <w:p>
      <w:pPr>
        <w:pStyle w:val="Style35"/>
        <w:keepNext/>
        <w:keepLines/>
        <w:widowControl w:val="0"/>
        <w:shd w:val="clear" w:color="auto" w:fill="auto"/>
        <w:bidi w:val="0"/>
        <w:spacing w:before="0" w:after="32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53"/>
      <w:bookmarkEnd w:id="1554"/>
      <w:bookmarkEnd w:id="1555"/>
    </w:p>
    <w:p>
      <w:pPr>
        <w:pStyle w:val="Style40"/>
        <w:keepNext/>
        <w:keepLines/>
        <w:widowControl w:val="0"/>
        <w:shd w:val="clear" w:color="auto" w:fill="auto"/>
        <w:bidi w:val="0"/>
        <w:spacing w:before="0" w:after="26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556"/>
      <w:bookmarkEnd w:id="1557"/>
      <w:bookmarkEnd w:id="1558"/>
    </w:p>
    <w:p>
      <w:pPr>
        <w:pStyle w:val="Style3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公司按照主营业务地区划分经营分部，并将营业收入占所有分部收入合计</w:t>
      </w:r>
      <w:r>
        <w:rPr>
          <w:rFonts w:ascii="Times New Roman" w:eastAsia="Times New Roman" w:hAnsi="Times New Roman" w:cs="Times New Roman"/>
          <w:color w:val="000000"/>
          <w:spacing w:val="0"/>
          <w:w w:val="100"/>
          <w:position w:val="0"/>
        </w:rPr>
        <w:t>10%</w:t>
      </w:r>
      <w:r>
        <w:rPr>
          <w:color w:val="000000"/>
          <w:spacing w:val="0"/>
          <w:w w:val="100"/>
          <w:position w:val="0"/>
        </w:rPr>
        <w:t>以上的经营分部确认为报告分部，各报告分 部的情况如下：</w:t>
      </w:r>
    </w:p>
    <w:tbl>
      <w:tblPr>
        <w:tblOverlap w:val="never"/>
        <w:jc w:val="center"/>
        <w:tblLayout w:type="fixed"/>
      </w:tblPr>
      <w:tblGrid>
        <w:gridCol w:w="1003"/>
        <w:gridCol w:w="1699"/>
        <w:gridCol w:w="6518"/>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报告分部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所属公司</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报告分部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四方精创、乐寻坊</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报告分部</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四方资讯、四方信息、四方泰国</w:t>
            </w:r>
          </w:p>
        </w:tc>
      </w:tr>
    </w:tbl>
    <w:p>
      <w:pPr>
        <w:widowControl w:val="0"/>
        <w:spacing w:after="599" w:line="1" w:lineRule="exact"/>
      </w:pPr>
    </w:p>
    <w:p>
      <w:pPr>
        <w:pStyle w:val="Style40"/>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559"/>
      <w:bookmarkEnd w:id="1560"/>
      <w:bookmarkEnd w:id="15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1,183,985,325.83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407,645,877.43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-353,905,702.79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1,237,725,500.47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66,097,288.40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322,587,066.65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-306,669,012.06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82,015,342.99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484,892,711.42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362,969,355.57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-273,878,435.78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573,983,631.21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288,269,774.49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282,224,104.23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-270,234,989.71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300,258,889.01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50,688,930.18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30,712,141.79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-3,643,446.07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77,757,625.90</w:t>
            </w:r>
          </w:p>
        </w:tc>
      </w:tr>
    </w:tbl>
    <w:p>
      <w:pPr>
        <w:widowControl w:val="0"/>
        <w:spacing w:after="919" w:line="1" w:lineRule="exact"/>
      </w:pPr>
    </w:p>
    <w:p>
      <w:pPr>
        <w:pStyle w:val="Style28"/>
        <w:keepNext/>
        <w:keepLines/>
        <w:widowControl w:val="0"/>
        <w:shd w:val="clear" w:color="auto" w:fill="auto"/>
        <w:bidi w:val="0"/>
        <w:spacing w:before="0" w:after="320" w:line="240" w:lineRule="auto"/>
        <w:ind w:left="0" w:right="0" w:firstLine="0"/>
        <w:jc w:val="left"/>
      </w:pPr>
      <w:bookmarkStart w:id="1562" w:name="bookmark1562"/>
      <w:bookmarkStart w:id="1563" w:name="bookmark1563"/>
      <w:bookmarkStart w:id="1564" w:name="bookmark1564"/>
      <w:r>
        <w:rPr>
          <w:color w:val="000000"/>
          <w:spacing w:val="0"/>
          <w:w w:val="100"/>
          <w:position w:val="0"/>
          <w:sz w:val="24"/>
          <w:szCs w:val="24"/>
        </w:rPr>
        <w:t>十七、母公司财务报表主要项目注释</w:t>
      </w:r>
      <w:bookmarkEnd w:id="1562"/>
      <w:bookmarkEnd w:id="1563"/>
      <w:bookmarkEnd w:id="1564"/>
    </w:p>
    <w:p>
      <w:pPr>
        <w:pStyle w:val="Style35"/>
        <w:keepNext/>
        <w:keepLines/>
        <w:widowControl w:val="0"/>
        <w:shd w:val="clear" w:color="auto" w:fill="auto"/>
        <w:bidi w:val="0"/>
        <w:spacing w:before="0" w:after="320" w:line="240" w:lineRule="auto"/>
        <w:ind w:left="0" w:right="0" w:firstLine="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65"/>
      <w:bookmarkEnd w:id="1566"/>
      <w:bookmarkEnd w:id="1567"/>
    </w:p>
    <w:p>
      <w:pPr>
        <w:pStyle w:val="Style40"/>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68"/>
      <w:bookmarkEnd w:id="1569"/>
      <w:bookmarkEnd w:id="157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1,314,84</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1,314,84</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1,713,402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1,713,402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386,997,</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4,429,73</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382,568,0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318,549,8</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3,232,004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315,317,88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其中：国内客户组合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130,837,</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4,429,73</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126,407,6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108,309,7</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3,232,004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105,077,72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256,160,</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256,160,4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210,240,1</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210,240,16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388,312,</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5,744,57</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382,568,0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320,263,2</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4,945,407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315,317,88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1,314,840.00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按组合计提坏账准备：国内客户组合</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125,168,325.28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2,403,231.85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3,527,871.46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629,725.06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1,511,191.49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766,778.56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130,837,388.23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4,429,735.47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按组合计提坏账准备：内部往来组合</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256,160,445.26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256,160,445.26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381,328,770.54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3,527,871.46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2,826,031.49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388,312,673.49</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1"/>
      <w:bookmarkEnd w:id="1572"/>
      <w:bookmarkEnd w:id="157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1,713,402.53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193,562.53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1,314,840.00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国内客户组合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3,232,004.47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1,197,731.00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4,429,735.47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4,945,407.00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1,197,731.00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193,562.53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5,744,575.47</w:t>
            </w:r>
          </w:p>
        </w:tc>
      </w:tr>
    </w:tbl>
    <w:p>
      <w:pPr>
        <w:widowControl w:val="0"/>
        <w:spacing w:after="299" w:line="1" w:lineRule="exact"/>
      </w:pPr>
    </w:p>
    <w:p>
      <w:pPr>
        <w:pStyle w:val="Style40"/>
        <w:keepNext/>
        <w:keepLines/>
        <w:widowControl w:val="0"/>
        <w:numPr>
          <w:ilvl w:val="0"/>
          <w:numId w:val="99"/>
        </w:numPr>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本期实际核销的应收账款情况</w:t>
      </w:r>
      <w:bookmarkEnd w:id="1574"/>
      <w:bookmarkEnd w:id="1575"/>
      <w:bookmarkEnd w:id="15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w:t>
            </w:r>
          </w:p>
        </w:tc>
      </w:tr>
    </w:tbl>
    <w:p>
      <w:pPr>
        <w:widowControl w:val="0"/>
        <w:spacing w:after="299" w:line="1" w:lineRule="exact"/>
      </w:pPr>
    </w:p>
    <w:p>
      <w:pPr>
        <w:pStyle w:val="Style40"/>
        <w:keepNext/>
        <w:keepLines/>
        <w:widowControl w:val="0"/>
        <w:numPr>
          <w:ilvl w:val="0"/>
          <w:numId w:val="99"/>
        </w:numPr>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按欠款方归集的期末余额前五名的应收账款情况</w:t>
      </w:r>
      <w:bookmarkEnd w:id="1578"/>
      <w:bookmarkEnd w:id="1579"/>
      <w:bookmarkEnd w:id="15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234,138,445.26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101,042,223.80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3,229,605.77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5,754,292.56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110,482.42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3,386,563.44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208,399.27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366,343,525.06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94.34%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2"/>
      <w:bookmarkEnd w:id="1583"/>
      <w:bookmarkEnd w:id="1584"/>
    </w:p>
    <w:p>
      <w:pPr>
        <w:pStyle w:val="Style30"/>
        <w:keepNext w:val="0"/>
        <w:keepLines w:val="0"/>
        <w:widowControl w:val="0"/>
        <w:shd w:val="clear" w:color="auto" w:fill="auto"/>
        <w:bidi w:val="0"/>
        <w:spacing w:before="0" w:after="3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3,320,068.57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2,862,130.54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3,320,068.57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2,862,130.54</w:t>
            </w:r>
          </w:p>
        </w:tc>
      </w:tr>
    </w:tbl>
    <w:p>
      <w:pPr>
        <w:widowControl w:val="0"/>
        <w:spacing w:after="659" w:line="1" w:lineRule="exact"/>
      </w:pPr>
    </w:p>
    <w:p>
      <w:pPr>
        <w:pStyle w:val="Style40"/>
        <w:keepNext/>
        <w:keepLines/>
        <w:widowControl w:val="0"/>
        <w:shd w:val="clear" w:color="auto" w:fill="auto"/>
        <w:bidi w:val="0"/>
        <w:spacing w:before="0" w:after="320" w:line="240" w:lineRule="auto"/>
        <w:ind w:left="0" w:right="0" w:firstLine="0"/>
        <w:jc w:val="both"/>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85"/>
      <w:bookmarkEnd w:id="1586"/>
      <w:bookmarkEnd w:id="1587"/>
    </w:p>
    <w:p>
      <w:pPr>
        <w:pStyle w:val="Style70"/>
        <w:keepNext/>
        <w:keepLines/>
        <w:widowControl w:val="0"/>
        <w:shd w:val="clear" w:color="auto" w:fill="auto"/>
        <w:bidi w:val="0"/>
        <w:spacing w:before="0" w:line="240" w:lineRule="auto"/>
        <w:ind w:left="0" w:right="0" w:firstLine="0"/>
        <w:jc w:val="left"/>
        <w:rPr>
          <w:sz w:val="20"/>
          <w:szCs w:val="20"/>
        </w:rPr>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sz w:val="20"/>
          <w:szCs w:val="20"/>
        </w:rPr>
        <w:t>1</w:t>
      </w:r>
      <w:bookmarkEnd w:id="1590"/>
      <w:r>
        <w:rPr>
          <w:color w:val="000000"/>
          <w:spacing w:val="0"/>
          <w:w w:val="100"/>
          <w:position w:val="0"/>
          <w:sz w:val="20"/>
          <w:szCs w:val="20"/>
        </w:rPr>
        <w:t>）其他应收款按款项性质分类情况</w:t>
      </w:r>
      <w:bookmarkEnd w:id="1588"/>
      <w:bookmarkEnd w:id="1589"/>
      <w:bookmarkEnd w:id="15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3,353,604.62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2,891,040.95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3,353,604.62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2,891,040.95</w:t>
            </w:r>
          </w:p>
        </w:tc>
      </w:tr>
    </w:tbl>
    <w:p>
      <w:pPr>
        <w:widowControl w:val="0"/>
        <w:spacing w:after="319" w:line="1" w:lineRule="exact"/>
      </w:pPr>
    </w:p>
    <w:p>
      <w:pPr>
        <w:pStyle w:val="Style70"/>
        <w:keepNext/>
        <w:keepLines/>
        <w:widowControl w:val="0"/>
        <w:shd w:val="clear" w:color="auto" w:fill="auto"/>
        <w:bidi w:val="0"/>
        <w:spacing w:before="0" w:line="240" w:lineRule="auto"/>
        <w:ind w:left="0" w:right="0" w:firstLine="0"/>
        <w:jc w:val="left"/>
        <w:rPr>
          <w:sz w:val="20"/>
          <w:szCs w:val="20"/>
        </w:rPr>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sz w:val="20"/>
          <w:szCs w:val="20"/>
        </w:rPr>
        <w:t>2</w:t>
      </w:r>
      <w:bookmarkEnd w:id="1594"/>
      <w:r>
        <w:rPr>
          <w:color w:val="000000"/>
          <w:spacing w:val="0"/>
          <w:w w:val="100"/>
          <w:position w:val="0"/>
          <w:sz w:val="20"/>
          <w:szCs w:val="20"/>
        </w:rPr>
        <w:t>）坏账准备计提情况</w:t>
      </w:r>
      <w:bookmarkEnd w:id="1592"/>
      <w:bookmarkEnd w:id="1593"/>
      <w:bookmarkEnd w:id="15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28,910.41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28,910.41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33,536.05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3,353,604.62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3,353,604.62</w:t>
            </w:r>
          </w:p>
        </w:tc>
      </w:tr>
    </w:tbl>
    <w:p>
      <w:pPr>
        <w:widowControl w:val="0"/>
        <w:spacing w:after="299" w:line="1" w:lineRule="exact"/>
      </w:pPr>
    </w:p>
    <w:p>
      <w:pPr>
        <w:pStyle w:val="Style70"/>
        <w:keepNext/>
        <w:keepLines/>
        <w:widowControl w:val="0"/>
        <w:shd w:val="clear" w:color="auto" w:fill="auto"/>
        <w:bidi w:val="0"/>
        <w:spacing w:before="0" w:line="240" w:lineRule="auto"/>
        <w:ind w:left="0" w:right="0" w:firstLine="0"/>
        <w:jc w:val="left"/>
        <w:rPr>
          <w:sz w:val="20"/>
          <w:szCs w:val="20"/>
        </w:rPr>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sz w:val="20"/>
          <w:szCs w:val="20"/>
        </w:rPr>
        <w:t>3</w:t>
      </w:r>
      <w:bookmarkEnd w:id="1598"/>
      <w:r>
        <w:rPr>
          <w:color w:val="000000"/>
          <w:spacing w:val="0"/>
          <w:w w:val="100"/>
          <w:position w:val="0"/>
          <w:sz w:val="20"/>
          <w:szCs w:val="20"/>
        </w:rPr>
        <w:t>）本期计提、收回或转回的坏账准备情况</w:t>
      </w:r>
      <w:bookmarkEnd w:id="1596"/>
      <w:bookmarkEnd w:id="1597"/>
      <w:bookmarkEnd w:id="159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押金、保证金及备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28,910.41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28,910.41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4,625.64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33,536.05</w:t>
            </w:r>
          </w:p>
        </w:tc>
      </w:tr>
    </w:tbl>
    <w:p>
      <w:pPr>
        <w:widowControl w:val="0"/>
        <w:spacing w:after="299" w:line="1" w:lineRule="exact"/>
      </w:pPr>
    </w:p>
    <w:p>
      <w:pPr>
        <w:pStyle w:val="Style70"/>
        <w:keepNext/>
        <w:keepLines/>
        <w:widowControl w:val="0"/>
        <w:shd w:val="clear" w:color="auto" w:fill="auto"/>
        <w:tabs>
          <w:tab w:pos="397" w:val="left"/>
        </w:tabs>
        <w:bidi w:val="0"/>
        <w:spacing w:before="0" w:line="240" w:lineRule="auto"/>
        <w:ind w:left="0" w:right="0" w:firstLine="0"/>
        <w:jc w:val="left"/>
        <w:rPr>
          <w:sz w:val="20"/>
          <w:szCs w:val="20"/>
        </w:rPr>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sz w:val="20"/>
          <w:szCs w:val="20"/>
        </w:rPr>
        <w:t>4</w:t>
      </w:r>
      <w:bookmarkEnd w:id="1602"/>
      <w:r>
        <w:rPr>
          <w:color w:val="000000"/>
          <w:spacing w:val="0"/>
          <w:w w:val="100"/>
          <w:position w:val="0"/>
          <w:sz w:val="20"/>
          <w:szCs w:val="20"/>
        </w:rPr>
        <w:t>）</w:t>
        <w:tab/>
        <w:t>本期实际核销的其他应收款情况</w:t>
      </w:r>
      <w:bookmarkEnd w:id="1600"/>
      <w:bookmarkEnd w:id="1601"/>
      <w:bookmarkEnd w:id="160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报告期内无需要核销的其他应收款。</w:t>
      </w:r>
    </w:p>
    <w:p>
      <w:pPr>
        <w:pStyle w:val="Style70"/>
        <w:keepNext/>
        <w:keepLines/>
        <w:widowControl w:val="0"/>
        <w:shd w:val="clear" w:color="auto" w:fill="auto"/>
        <w:tabs>
          <w:tab w:pos="397" w:val="left"/>
        </w:tabs>
        <w:bidi w:val="0"/>
        <w:spacing w:before="0" w:line="240" w:lineRule="auto"/>
        <w:ind w:left="0" w:right="0" w:firstLine="0"/>
        <w:jc w:val="left"/>
        <w:rPr>
          <w:sz w:val="20"/>
          <w:szCs w:val="20"/>
        </w:rPr>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sz w:val="20"/>
          <w:szCs w:val="20"/>
        </w:rPr>
        <w:t>5</w:t>
      </w:r>
      <w:bookmarkEnd w:id="1606"/>
      <w:r>
        <w:rPr>
          <w:color w:val="000000"/>
          <w:spacing w:val="0"/>
          <w:w w:val="100"/>
          <w:position w:val="0"/>
          <w:sz w:val="20"/>
          <w:szCs w:val="20"/>
        </w:rPr>
        <w:t>）</w:t>
        <w:tab/>
        <w:t>按欠款方归集的期末余额前五名的其他应收款情况</w:t>
      </w:r>
      <w:bookmarkEnd w:id="1604"/>
      <w:bookmarkEnd w:id="1605"/>
      <w:bookmarkEnd w:id="16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深圳高新区开发建设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810,311.38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8,103.11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深圳市博恒昌电子商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373,162.50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3,731.63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深圳市塞纳威环境科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340,678.20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深圳天鼎新材料有限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253,404.80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2,077,556.88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20,775.57</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color w:val="000000"/>
          <w:spacing w:val="0"/>
          <w:w w:val="100"/>
          <w:position w:val="0"/>
        </w:rPr>
        <w:t>、长期股权投资</w:t>
      </w:r>
      <w:bookmarkEnd w:id="1608"/>
      <w:bookmarkEnd w:id="1609"/>
      <w:bookmarkEnd w:id="16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42,713,705.33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42,713,705.33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42,713,705.33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42,713,705.33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16,484,107.11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16,484,107.11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15,606,176.08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15,606,176.08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59,197,812.44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59,197,812.44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58,319,881.41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58,319,881.41</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2"/>
      <w:bookmarkEnd w:id="1613"/>
      <w:bookmarkEnd w:id="16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2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四方精创资讯 （香港）有限公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10,737,705.33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10,737,705.33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四方精创信息 </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26,976,000.00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深圳前海乐寻 坊区块链科技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42,713,705.33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42,713,705.33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15"/>
      <w:bookmarkEnd w:id="1616"/>
      <w:bookmarkEnd w:id="16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期初余额 </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rFonts w:ascii="Times New Roman" w:eastAsia="Times New Roman" w:hAnsi="Times New Roman" w:cs="Times New Roma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期末余额 </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减值准备 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北京优智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15,606,17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1,211,264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16,484,10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15,606,17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1,211,264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16,484,10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15,606,17</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16,484,10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numPr>
          <w:ilvl w:val="0"/>
          <w:numId w:val="105"/>
        </w:numPr>
        <w:shd w:val="clear" w:color="auto" w:fill="auto"/>
        <w:bidi w:val="0"/>
        <w:spacing w:before="0" w:after="34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其他说明</w:t>
      </w:r>
      <w:bookmarkEnd w:id="1618"/>
      <w:bookmarkEnd w:id="1619"/>
      <w:bookmarkEnd w:id="1621"/>
    </w:p>
    <w:p>
      <w:pPr>
        <w:pStyle w:val="Style35"/>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color w:val="000000"/>
          <w:spacing w:val="0"/>
          <w:w w:val="100"/>
          <w:position w:val="0"/>
        </w:rPr>
        <w:t>、营业收入和营业成本</w:t>
      </w:r>
      <w:bookmarkEnd w:id="1622"/>
      <w:bookmarkEnd w:id="1623"/>
      <w:bookmarkEnd w:id="16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484,842,777.76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288,269,774.49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487,863,142.01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263,545,241.71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484,842,777.76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288,269,774.49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487,863,142.01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263,545,241.71</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color w:val="000000"/>
          <w:spacing w:val="0"/>
          <w:w w:val="100"/>
          <w:position w:val="0"/>
        </w:rPr>
        <w:t>、投资收益</w:t>
      </w:r>
      <w:bookmarkEnd w:id="1626"/>
      <w:bookmarkEnd w:id="1627"/>
      <w:bookmarkEnd w:id="16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1,211,264.36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742,890.09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3,886,264.36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742,890.09</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color w:val="000000"/>
          <w:spacing w:val="0"/>
          <w:w w:val="100"/>
          <w:position w:val="0"/>
        </w:rPr>
        <w:t>、其他</w:t>
      </w:r>
      <w:bookmarkEnd w:id="1630"/>
      <w:bookmarkEnd w:id="1631"/>
      <w:bookmarkEnd w:id="1633"/>
    </w:p>
    <w:p>
      <w:pPr>
        <w:pStyle w:val="Style28"/>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r>
        <w:rPr>
          <w:color w:val="000000"/>
          <w:spacing w:val="0"/>
          <w:w w:val="100"/>
          <w:position w:val="0"/>
          <w:sz w:val="24"/>
          <w:szCs w:val="24"/>
        </w:rPr>
        <w:t>十八、补充资料</w:t>
      </w:r>
      <w:bookmarkEnd w:id="1634"/>
      <w:bookmarkEnd w:id="1635"/>
      <w:bookmarkEnd w:id="1636"/>
    </w:p>
    <w:p>
      <w:pPr>
        <w:pStyle w:val="Style35"/>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7"/>
      <w:bookmarkEnd w:id="1638"/>
      <w:bookmarkEnd w:id="1639"/>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-25,532.88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7,478,088.59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2,675,000.00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417,762.53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-428,920.79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1,524,806.93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8,591,590.52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40"/>
      <w:bookmarkEnd w:id="1641"/>
      <w:bookmarkEnd w:id="1642"/>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bl>
    <w:p>
      <w:pPr>
        <w:widowControl w:val="0"/>
        <w:spacing w:after="299" w:line="1" w:lineRule="exact"/>
      </w:pPr>
    </w:p>
    <w:p>
      <w:pPr>
        <w:pStyle w:val="Style35"/>
        <w:keepNext/>
        <w:keepLines/>
        <w:widowControl w:val="0"/>
        <w:shd w:val="clear" w:color="auto" w:fill="auto"/>
        <w:tabs>
          <w:tab w:pos="404" w:val="left"/>
        </w:tabs>
        <w:bidi w:val="0"/>
        <w:spacing w:before="0" w:after="300" w:line="317" w:lineRule="exact"/>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3</w:t>
      </w:r>
      <w:bookmarkEnd w:id="1645"/>
      <w:r>
        <w:rPr>
          <w:color w:val="000000"/>
          <w:spacing w:val="0"/>
          <w:w w:val="100"/>
          <w:position w:val="0"/>
        </w:rPr>
        <w:t>、</w:t>
        <w:tab/>
        <w:t>境内外会计准则下会计数据差异</w:t>
      </w:r>
      <w:bookmarkEnd w:id="1643"/>
      <w:bookmarkEnd w:id="1644"/>
      <w:bookmarkEnd w:id="1646"/>
    </w:p>
    <w:p>
      <w:pPr>
        <w:pStyle w:val="Style40"/>
        <w:keepNext/>
        <w:keepLines/>
        <w:widowControl w:val="0"/>
        <w:shd w:val="clear" w:color="auto" w:fill="auto"/>
        <w:tabs>
          <w:tab w:pos="493" w:val="left"/>
        </w:tabs>
        <w:bidi w:val="0"/>
        <w:spacing w:before="0" w:line="317" w:lineRule="exact"/>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47"/>
      <w:bookmarkEnd w:id="1648"/>
      <w:bookmarkEnd w:id="1650"/>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317" w:lineRule="exact"/>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51"/>
      <w:bookmarkEnd w:id="1652"/>
      <w:bookmarkEnd w:id="1654"/>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589" w:val="left"/>
        </w:tabs>
        <w:bidi w:val="0"/>
        <w:spacing w:before="0" w:after="300" w:line="317" w:lineRule="exact"/>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655"/>
      <w:bookmarkEnd w:id="1656"/>
      <w:bookmarkEnd w:id="1658"/>
    </w:p>
    <w:p>
      <w:pPr>
        <w:pStyle w:val="Style35"/>
        <w:keepNext/>
        <w:keepLines/>
        <w:widowControl w:val="0"/>
        <w:shd w:val="clear" w:color="auto" w:fill="auto"/>
        <w:tabs>
          <w:tab w:pos="404" w:val="left"/>
        </w:tabs>
        <w:bidi w:val="0"/>
        <w:spacing w:before="0" w:after="300" w:line="317" w:lineRule="exact"/>
        <w:ind w:left="0" w:right="0" w:firstLine="0"/>
        <w:jc w:val="left"/>
        <w:sectPr>
          <w:footnotePr>
            <w:pos w:val="pageBottom"/>
            <w:numFmt w:val="decimal"/>
            <w:numRestart w:val="continuous"/>
          </w:footnotePr>
          <w:pgSz w:w="11900" w:h="16840"/>
          <w:pgMar w:top="1167" w:right="1057" w:bottom="1441" w:left="1060" w:header="0" w:footer="3" w:gutter="0"/>
          <w:cols w:space="720"/>
          <w:noEndnote/>
          <w:rtlGutter w:val="0"/>
          <w:docGrid w:linePitch="360"/>
        </w:sectPr>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color w:val="000000"/>
          <w:spacing w:val="0"/>
          <w:w w:val="100"/>
          <w:position w:val="0"/>
        </w:rPr>
        <w:t>、</w:t>
        <w:tab/>
        <w:t>其他</w:t>
      </w:r>
      <w:bookmarkEnd w:id="1659"/>
      <w:bookmarkEnd w:id="1660"/>
      <w:bookmarkEnd w:id="1662"/>
    </w:p>
    <w:p>
      <w:pPr>
        <w:pStyle w:val="Style20"/>
        <w:keepNext/>
        <w:keepLines/>
        <w:widowControl w:val="0"/>
        <w:shd w:val="clear" w:color="auto" w:fill="auto"/>
        <w:bidi w:val="0"/>
        <w:spacing w:before="0" w:after="580" w:line="240" w:lineRule="auto"/>
        <w:ind w:left="0" w:right="0" w:firstLine="0"/>
        <w:jc w:val="center"/>
      </w:pPr>
      <w:bookmarkStart w:id="1663" w:name="bookmark1663"/>
      <w:bookmarkStart w:id="1664" w:name="bookmark1664"/>
      <w:bookmarkStart w:id="1665" w:name="bookmark1665"/>
      <w:bookmarkStart w:id="1666" w:name="bookmark1666"/>
      <w:r>
        <w:rPr>
          <w:color w:val="000000"/>
          <w:spacing w:val="0"/>
          <w:w w:val="100"/>
          <w:position w:val="0"/>
        </w:rPr>
        <w:t>第十三节备查文件目录</w:t>
      </w:r>
      <w:bookmarkEnd w:id="1664"/>
      <w:bookmarkEnd w:id="1665"/>
      <w:bookmarkEnd w:id="1666"/>
      <w:bookmarkEnd w:id="1663"/>
    </w:p>
    <w:p>
      <w:pPr>
        <w:pStyle w:val="Style30"/>
        <w:keepNext w:val="0"/>
        <w:keepLines w:val="0"/>
        <w:widowControl w:val="0"/>
        <w:shd w:val="clear" w:color="auto" w:fill="auto"/>
        <w:tabs>
          <w:tab w:pos="531" w:val="left"/>
        </w:tabs>
        <w:bidi w:val="0"/>
        <w:spacing w:before="0" w:after="120" w:line="240" w:lineRule="auto"/>
        <w:ind w:left="0" w:right="0" w:firstLine="0"/>
        <w:jc w:val="left"/>
      </w:pPr>
      <w:bookmarkStart w:id="1667" w:name="bookmark1667"/>
      <w:r>
        <w:rPr>
          <w:color w:val="000000"/>
          <w:spacing w:val="0"/>
          <w:w w:val="100"/>
          <w:position w:val="0"/>
        </w:rPr>
        <w:t>（</w:t>
      </w:r>
      <w:bookmarkEnd w:id="1667"/>
      <w:r>
        <w:rPr>
          <w:color w:val="000000"/>
          <w:spacing w:val="0"/>
          <w:w w:val="100"/>
          <w:position w:val="0"/>
        </w:rPr>
        <w:t>一）</w:t>
        <w:tab/>
        <w:t>载有公司负责人、主管会计工作负责人、会计机构负责人（会计主管人员）签名并盖章的财务报表。</w:t>
      </w:r>
    </w:p>
    <w:p>
      <w:pPr>
        <w:pStyle w:val="Style30"/>
        <w:keepNext w:val="0"/>
        <w:keepLines w:val="0"/>
        <w:widowControl w:val="0"/>
        <w:shd w:val="clear" w:color="auto" w:fill="auto"/>
        <w:tabs>
          <w:tab w:pos="531" w:val="left"/>
        </w:tabs>
        <w:bidi w:val="0"/>
        <w:spacing w:before="0" w:after="120" w:line="240" w:lineRule="auto"/>
        <w:ind w:left="0" w:right="0" w:firstLine="0"/>
        <w:jc w:val="left"/>
      </w:pPr>
      <w:bookmarkStart w:id="1668" w:name="bookmark1668"/>
      <w:r>
        <w:rPr>
          <w:color w:val="000000"/>
          <w:spacing w:val="0"/>
          <w:w w:val="100"/>
          <w:position w:val="0"/>
        </w:rPr>
        <w:t>（</w:t>
      </w:r>
      <w:bookmarkEnd w:id="1668"/>
      <w:r>
        <w:rPr>
          <w:color w:val="000000"/>
          <w:spacing w:val="0"/>
          <w:w w:val="100"/>
          <w:position w:val="0"/>
        </w:rPr>
        <w:t>二）</w:t>
        <w:tab/>
        <w:t>载有会计师事务所盖章、注册会计师签名并盖章的审计报告原件。</w:t>
      </w:r>
    </w:p>
    <w:p>
      <w:pPr>
        <w:pStyle w:val="Style30"/>
        <w:keepNext w:val="0"/>
        <w:keepLines w:val="0"/>
        <w:widowControl w:val="0"/>
        <w:shd w:val="clear" w:color="auto" w:fill="auto"/>
        <w:tabs>
          <w:tab w:pos="531" w:val="left"/>
        </w:tabs>
        <w:bidi w:val="0"/>
        <w:spacing w:before="0" w:after="120" w:line="240" w:lineRule="auto"/>
        <w:ind w:left="0" w:right="0" w:firstLine="0"/>
        <w:jc w:val="left"/>
      </w:pPr>
      <w:bookmarkStart w:id="1669" w:name="bookmark1669"/>
      <w:r>
        <w:rPr>
          <w:color w:val="000000"/>
          <w:spacing w:val="0"/>
          <w:w w:val="100"/>
          <w:position w:val="0"/>
        </w:rPr>
        <w:t>（</w:t>
      </w:r>
      <w:bookmarkEnd w:id="1669"/>
      <w:r>
        <w:rPr>
          <w:color w:val="000000"/>
          <w:spacing w:val="0"/>
          <w:w w:val="100"/>
          <w:position w:val="0"/>
        </w:rPr>
        <w:t>三）</w:t>
        <w:tab/>
        <w:t>报告期内在中国证监会指定网站上公开披露过的所有公司文件的正本及公告的原稿。</w:t>
      </w:r>
    </w:p>
    <w:p>
      <w:pPr>
        <w:pStyle w:val="Style30"/>
        <w:keepNext w:val="0"/>
        <w:keepLines w:val="0"/>
        <w:widowControl w:val="0"/>
        <w:shd w:val="clear" w:color="auto" w:fill="auto"/>
        <w:tabs>
          <w:tab w:pos="531" w:val="left"/>
        </w:tabs>
        <w:bidi w:val="0"/>
        <w:spacing w:before="0" w:after="120" w:line="240" w:lineRule="auto"/>
        <w:ind w:left="0" w:right="0" w:firstLine="0"/>
        <w:jc w:val="left"/>
      </w:pPr>
      <w:bookmarkStart w:id="1670" w:name="bookmark1670"/>
      <w:r>
        <w:rPr>
          <w:color w:val="000000"/>
          <w:spacing w:val="0"/>
          <w:w w:val="100"/>
          <w:position w:val="0"/>
        </w:rPr>
        <w:t>（</w:t>
      </w:r>
      <w:bookmarkEnd w:id="1670"/>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年年度报告文件。</w:t>
      </w:r>
    </w:p>
    <w:sectPr>
      <w:footnotePr>
        <w:pos w:val="pageBottom"/>
        <w:numFmt w:val="decimal"/>
        <w:numRestart w:val="continuous"/>
      </w:footnotePr>
      <w:pgSz w:w="11900" w:h="16840"/>
      <w:pgMar w:top="1662" w:right="1073"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6728460</wp:posOffset>
              </wp:positionH>
              <wp:positionV relativeFrom="page">
                <wp:posOffset>9983470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79999999999995pt;margin-top:786.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4387850</wp:posOffset>
              </wp:positionH>
              <wp:positionV relativeFrom="page">
                <wp:posOffset>556260</wp:posOffset>
              </wp:positionV>
              <wp:extent cx="2441575" cy="106680"/>
              <wp:wrapNone/>
              <wp:docPr id="1" name="Shape 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深圳四方精创资讯股份有限公司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5pt;margin-top:43.800000000000004pt;width:192.2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深圳四方精创资讯股份有限公司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707390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5.700000000000003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61"/>
      <w:numFmt w:val="decimal"/>
      <w:lvlText w:val="188,968,%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6">
    <w:multiLevelType w:val="multilevel"/>
    <w:lvl w:ilvl="0">
      <w:start w:val="261"/>
      <w:numFmt w:val="decimal"/>
      <w:lvlText w:val="188,968,%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8">
    <w:multiLevelType w:val="multilevel"/>
    <w:lvl w:ilvl="0">
      <w:start w:val="261"/>
      <w:numFmt w:val="decimal"/>
      <w:lvlText w:val="188,968,%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0">
    <w:multiLevelType w:val="multilevel"/>
    <w:lvl w:ilvl="0">
      <w:start w:val="261"/>
      <w:numFmt w:val="decimal"/>
      <w:lvlText w:val="188,968,%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21">
    <w:name w:val="标题 #1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6">
    <w:name w:val="正文文本 (6)_"/>
    <w:basedOn w:val="DefaultParagraphFont"/>
    <w:link w:val="Style5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正文文本 (7)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71">
    <w:name w:val="标题 #5_"/>
    <w:basedOn w:val="DefaultParagraphFont"/>
    <w:link w:val="Style70"/>
    <w:rPr>
      <w:rFonts w:ascii="SimSun" w:eastAsia="SimSun" w:hAnsi="SimSun" w:cs="SimSun"/>
      <w:b/>
      <w:bCs/>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3)"/>
    <w:basedOn w:val="Normal"/>
    <w:link w:val="CharStyle15"/>
    <w:pPr>
      <w:widowControl w:val="0"/>
      <w:shd w:val="clear" w:color="auto" w:fill="auto"/>
      <w:spacing w:before="60" w:after="12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0">
    <w:name w:val="标题 #1"/>
    <w:basedOn w:val="Normal"/>
    <w:link w:val="CharStyle21"/>
    <w:pPr>
      <w:widowControl w:val="0"/>
      <w:shd w:val="clear" w:color="auto" w:fill="auto"/>
      <w:spacing w:before="1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2)"/>
    <w:basedOn w:val="Normal"/>
    <w:link w:val="CharStyle23"/>
    <w:pPr>
      <w:widowControl w:val="0"/>
      <w:shd w:val="clear" w:color="auto" w:fill="auto"/>
      <w:spacing w:after="80" w:line="624" w:lineRule="exact"/>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8">
    <w:name w:val="标题 #2"/>
    <w:basedOn w:val="Normal"/>
    <w:link w:val="CharStyle29"/>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after="8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3"/>
    <w:basedOn w:val="Normal"/>
    <w:link w:val="CharStyle36"/>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5">
    <w:name w:val="正文文本 (6)"/>
    <w:basedOn w:val="Normal"/>
    <w:link w:val="CharStyle56"/>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正文文本 (7)"/>
    <w:basedOn w:val="Normal"/>
    <w:link w:val="CharStyle61"/>
    <w:pPr>
      <w:widowControl w:val="0"/>
      <w:shd w:val="clear" w:color="auto" w:fill="auto"/>
      <w:spacing w:after="190" w:line="313" w:lineRule="exact"/>
    </w:pPr>
    <w:rPr>
      <w:rFonts w:ascii="SimSun" w:eastAsia="SimSun" w:hAnsi="SimSun" w:cs="SimSun"/>
      <w:b/>
      <w:bCs/>
      <w:i w:val="0"/>
      <w:iCs w:val="0"/>
      <w:smallCaps w:val="0"/>
      <w:strike w:val="0"/>
      <w:sz w:val="20"/>
      <w:szCs w:val="20"/>
      <w:u w:val="none"/>
      <w:shd w:val="clear" w:color="auto" w:fill="auto"/>
    </w:rPr>
  </w:style>
  <w:style w:type="paragraph" w:customStyle="1" w:styleId="Style70">
    <w:name w:val="标题 #5"/>
    <w:basedOn w:val="Normal"/>
    <w:link w:val="CharStyle71"/>
    <w:pPr>
      <w:widowControl w:val="0"/>
      <w:shd w:val="clear" w:color="auto" w:fill="auto"/>
      <w:spacing w:after="360"/>
      <w:outlineLvl w:val="4"/>
    </w:pPr>
    <w:rPr>
      <w:rFonts w:ascii="SimSun" w:eastAsia="SimSun" w:hAnsi="SimSun" w:cs="SimSu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82361</dc:creator>
  <cp:keywords/>
</cp:coreProperties>
</file>